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1800"/>
        <w:gridCol w:w="3771"/>
      </w:tblGrid>
      <w:tr w:rsidR="0094424E" w:rsidRPr="00FA4EAF">
        <w:trPr>
          <w:trHeight w:val="295"/>
          <w:jc w:val="center"/>
        </w:trPr>
        <w:tc>
          <w:tcPr>
            <w:tcW w:w="5049" w:type="dxa"/>
            <w:gridSpan w:val="3"/>
          </w:tcPr>
          <w:p w:rsidR="0094424E" w:rsidRPr="00FA4EAF" w:rsidRDefault="0094424E">
            <w:pPr>
              <w:rPr>
                <w:rFonts w:ascii="Arial" w:hAnsi="Arial" w:hint="cs"/>
                <w:b/>
                <w:bCs/>
                <w:noProof w:val="0"/>
                <w:sz w:val="26"/>
                <w:szCs w:val="26"/>
                <w:rtl/>
              </w:rPr>
            </w:pPr>
          </w:p>
        </w:tc>
        <w:tc>
          <w:tcPr>
            <w:tcW w:w="3771" w:type="dxa"/>
          </w:tcPr>
          <w:p w:rsidR="0094424E" w:rsidRPr="00FA4EAF" w:rsidRDefault="0094424E" w:rsidP="00896889">
            <w:pPr>
              <w:rPr>
                <w:rFonts w:ascii="Arial" w:hAnsi="Arial"/>
                <w:b/>
                <w:bCs/>
                <w:noProof w:val="0"/>
                <w:sz w:val="26"/>
                <w:szCs w:val="26"/>
                <w:rtl/>
              </w:rPr>
            </w:pPr>
          </w:p>
        </w:tc>
      </w:tr>
      <w:tr w:rsidR="0094424E" w:rsidRPr="00FA4EAF">
        <w:trPr>
          <w:jc w:val="center"/>
        </w:trPr>
        <w:tc>
          <w:tcPr>
            <w:tcW w:w="743" w:type="dxa"/>
          </w:tcPr>
          <w:p w:rsidR="0094424E" w:rsidRPr="00FA4EAF" w:rsidRDefault="00D74378" w:rsidP="00E962E3">
            <w:pPr>
              <w:jc w:val="both"/>
              <w:rPr>
                <w:rFonts w:ascii="Arial" w:hAnsi="Arial"/>
                <w:b/>
                <w:bCs/>
                <w:sz w:val="26"/>
                <w:szCs w:val="26"/>
                <w:rtl/>
              </w:rPr>
            </w:pPr>
            <w:r>
              <w:rPr>
                <w:rFonts w:ascii="Arial" w:hAnsi="Arial" w:hint="cs"/>
                <w:b/>
                <w:bCs/>
                <w:sz w:val="26"/>
                <w:szCs w:val="26"/>
                <w:rtl/>
              </w:rPr>
              <w:t>ל</w:t>
            </w:r>
            <w:r w:rsidR="0094424E" w:rsidRPr="00FA4EAF">
              <w:rPr>
                <w:rFonts w:ascii="Arial" w:hAnsi="Arial"/>
                <w:b/>
                <w:bCs/>
                <w:sz w:val="26"/>
                <w:szCs w:val="26"/>
                <w:rtl/>
              </w:rPr>
              <w:t xml:space="preserve">פני </w:t>
            </w:r>
          </w:p>
        </w:tc>
        <w:tc>
          <w:tcPr>
            <w:tcW w:w="8077" w:type="dxa"/>
            <w:gridSpan w:val="3"/>
          </w:tcPr>
          <w:p w:rsidR="0094424E" w:rsidRPr="00FA4EAF" w:rsidRDefault="000529D2">
            <w:pPr>
              <w:rPr>
                <w:rFonts w:ascii="Arial" w:hAnsi="Arial"/>
                <w:b/>
                <w:bCs/>
                <w:sz w:val="26"/>
                <w:szCs w:val="26"/>
                <w:rtl/>
              </w:rPr>
            </w:pPr>
            <w:r w:rsidRPr="00FA4EAF">
              <w:rPr>
                <w:rFonts w:ascii="Arial" w:hAnsi="Arial" w:hint="cs"/>
                <w:b/>
                <w:bCs/>
                <w:sz w:val="26"/>
                <w:szCs w:val="26"/>
                <w:rtl/>
              </w:rPr>
              <w:t>כבוד</w:t>
            </w:r>
            <w:r w:rsidR="0094424E" w:rsidRPr="00FA4EAF">
              <w:rPr>
                <w:rFonts w:ascii="Arial" w:hAnsi="Arial" w:hint="cs"/>
                <w:b/>
                <w:bCs/>
                <w:sz w:val="26"/>
                <w:szCs w:val="26"/>
                <w:rtl/>
              </w:rPr>
              <w:t xml:space="preserve"> ה</w:t>
            </w:r>
            <w:sdt>
              <w:sdtPr>
                <w:rPr>
                  <w:sz w:val="26"/>
                  <w:szCs w:val="26"/>
                  <w:rtl/>
                </w:rPr>
                <w:alias w:val="1574"/>
                <w:tag w:val="1574"/>
                <w:id w:val="414602899"/>
                <w:text w:multiLine="1"/>
              </w:sdtPr>
              <w:sdtEndPr/>
              <w:sdtContent>
                <w:r>
                  <w:rPr>
                    <w:rFonts w:ascii="Arial" w:hAnsi="Arial"/>
                    <w:b/>
                    <w:bCs/>
                    <w:sz w:val="26"/>
                    <w:szCs w:val="26"/>
                    <w:rtl/>
                  </w:rPr>
                  <w:t>שופטת</w:t>
                </w:r>
              </w:sdtContent>
            </w:sdt>
            <w:r w:rsidR="0094424E" w:rsidRPr="00FA4EAF">
              <w:rPr>
                <w:rFonts w:ascii="Arial" w:hAnsi="Arial" w:hint="cs"/>
                <w:b/>
                <w:bCs/>
                <w:sz w:val="26"/>
                <w:szCs w:val="26"/>
                <w:rtl/>
              </w:rPr>
              <w:t xml:space="preserve">  </w:t>
            </w:r>
            <w:sdt>
              <w:sdtPr>
                <w:rPr>
                  <w:sz w:val="26"/>
                  <w:szCs w:val="26"/>
                  <w:rtl/>
                </w:rPr>
                <w:alias w:val="1573"/>
                <w:tag w:val="1573"/>
                <w:id w:val="-1751030614"/>
                <w:text w:multiLine="1"/>
              </w:sdtPr>
              <w:sdtEndPr/>
              <w:sdtContent>
                <w:r>
                  <w:rPr>
                    <w:rFonts w:ascii="Arial" w:hAnsi="Arial"/>
                    <w:b/>
                    <w:bCs/>
                    <w:sz w:val="26"/>
                    <w:szCs w:val="26"/>
                    <w:rtl/>
                  </w:rPr>
                  <w:t>יעל בלכר</w:t>
                </w:r>
              </w:sdtContent>
            </w:sdt>
          </w:p>
          <w:p w:rsidR="0094424E" w:rsidRPr="00FA4EAF" w:rsidRDefault="0094424E">
            <w:pPr>
              <w:rPr>
                <w:rFonts w:ascii="Arial" w:hAnsi="Arial" w:cs="FrankRuehl"/>
                <w:sz w:val="26"/>
                <w:szCs w:val="26"/>
                <w:highlight w:val="yellow"/>
              </w:rPr>
            </w:pPr>
          </w:p>
        </w:tc>
      </w:tr>
      <w:tr w:rsidR="0094424E" w:rsidRPr="00FA4EAF" w:rsidTr="00465D36">
        <w:trPr>
          <w:jc w:val="center"/>
        </w:trPr>
        <w:tc>
          <w:tcPr>
            <w:tcW w:w="3249" w:type="dxa"/>
            <w:gridSpan w:val="2"/>
          </w:tcPr>
          <w:p w:rsidR="0094424E" w:rsidRPr="00FA4EAF" w:rsidRDefault="0094424E" w:rsidP="00465D36">
            <w:pPr>
              <w:rPr>
                <w:rFonts w:ascii="Arial" w:hAnsi="Arial"/>
                <w:b/>
                <w:bCs/>
                <w:noProof w:val="0"/>
                <w:sz w:val="26"/>
                <w:szCs w:val="26"/>
              </w:rPr>
            </w:pPr>
          </w:p>
          <w:sdt>
            <w:sdtPr>
              <w:rPr>
                <w:b/>
                <w:bCs/>
                <w:sz w:val="26"/>
                <w:szCs w:val="26"/>
                <w:rtl/>
              </w:rPr>
              <w:alias w:val="1180"/>
              <w:tag w:val="1180"/>
              <w:id w:val="637458750"/>
              <w:text w:multiLine="1"/>
            </w:sdtPr>
            <w:sdtEndPr/>
            <w:sdtContent>
              <w:p w:rsidR="00FF33C3" w:rsidRDefault="004057A4" w:rsidP="00AC36F0">
                <w:pPr>
                  <w:rPr>
                    <w:rFonts w:ascii="Arial" w:hAnsi="Arial"/>
                    <w:b/>
                    <w:bCs/>
                    <w:noProof w:val="0"/>
                    <w:sz w:val="26"/>
                    <w:szCs w:val="26"/>
                    <w:rtl/>
                  </w:rPr>
                </w:pPr>
                <w:r w:rsidRPr="004057A4">
                  <w:rPr>
                    <w:rFonts w:ascii="Arial" w:hAnsi="Arial" w:hint="cs"/>
                    <w:b/>
                    <w:bCs/>
                    <w:noProof w:val="0"/>
                    <w:sz w:val="26"/>
                    <w:szCs w:val="26"/>
                    <w:rtl/>
                  </w:rPr>
                  <w:t>ה</w:t>
                </w:r>
                <w:r w:rsidR="00AC36F0" w:rsidRPr="004057A4">
                  <w:rPr>
                    <w:rFonts w:ascii="Arial" w:hAnsi="Arial" w:hint="cs"/>
                    <w:b/>
                    <w:bCs/>
                    <w:noProof w:val="0"/>
                    <w:sz w:val="26"/>
                    <w:szCs w:val="26"/>
                    <w:rtl/>
                  </w:rPr>
                  <w:t>תובע</w:t>
                </w:r>
                <w:r w:rsidRPr="004057A4">
                  <w:rPr>
                    <w:b/>
                    <w:bCs/>
                    <w:sz w:val="26"/>
                    <w:szCs w:val="26"/>
                    <w:rtl/>
                  </w:rPr>
                  <w:br/>
                </w:r>
                <w:r w:rsidRPr="004057A4">
                  <w:rPr>
                    <w:rFonts w:hint="cs"/>
                    <w:b/>
                    <w:bCs/>
                    <w:sz w:val="26"/>
                    <w:szCs w:val="26"/>
                    <w:rtl/>
                  </w:rPr>
                  <w:t>(המשיב לבקשה)</w:t>
                </w:r>
              </w:p>
            </w:sdtContent>
          </w:sdt>
        </w:tc>
        <w:tc>
          <w:tcPr>
            <w:tcW w:w="5571" w:type="dxa"/>
            <w:gridSpan w:val="2"/>
          </w:tcPr>
          <w:p w:rsidR="0094424E" w:rsidRPr="00FA4EAF" w:rsidRDefault="0094424E">
            <w:pPr>
              <w:rPr>
                <w:rFonts w:ascii="Arial" w:hAnsi="Arial"/>
                <w:b/>
                <w:bCs/>
                <w:noProof w:val="0"/>
                <w:sz w:val="26"/>
                <w:szCs w:val="26"/>
                <w:rtl/>
              </w:rPr>
            </w:pPr>
          </w:p>
          <w:p w:rsidR="003763AB" w:rsidRDefault="00E56EF1" w:rsidP="00AC36F0">
            <w:pPr>
              <w:rPr>
                <w:sz w:val="26"/>
                <w:szCs w:val="26"/>
                <w:rtl/>
              </w:rPr>
            </w:pPr>
            <w:sdt>
              <w:sdtPr>
                <w:rPr>
                  <w:sz w:val="26"/>
                  <w:szCs w:val="26"/>
                  <w:rtl/>
                </w:rPr>
                <w:alias w:val="1478"/>
                <w:tag w:val="1478"/>
                <w:id w:val="-2076122985"/>
                <w:text w:multiLine="1"/>
              </w:sdtPr>
              <w:sdtEndPr/>
              <w:sdtContent>
                <w:r w:rsidR="001F5DB6">
                  <w:rPr>
                    <w:rFonts w:ascii="Arial" w:hAnsi="Arial"/>
                    <w:b/>
                    <w:bCs/>
                    <w:noProof w:val="0"/>
                    <w:sz w:val="26"/>
                    <w:szCs w:val="26"/>
                    <w:rtl/>
                  </w:rPr>
                  <w:t>מ</w:t>
                </w:r>
                <w:r w:rsidR="00AC36F0">
                  <w:rPr>
                    <w:rFonts w:ascii="Arial" w:hAnsi="Arial" w:hint="cs"/>
                    <w:b/>
                    <w:bCs/>
                    <w:noProof w:val="0"/>
                    <w:sz w:val="26"/>
                    <w:szCs w:val="26"/>
                    <w:rtl/>
                  </w:rPr>
                  <w:t>רדכי אסולין</w:t>
                </w:r>
              </w:sdtContent>
            </w:sdt>
          </w:p>
          <w:p w:rsidR="0094424E" w:rsidRPr="00897FF0" w:rsidRDefault="001D3441">
            <w:pPr>
              <w:rPr>
                <w:noProof w:val="0"/>
                <w:sz w:val="26"/>
                <w:szCs w:val="26"/>
              </w:rPr>
            </w:pPr>
            <w:r w:rsidRPr="00897FF0">
              <w:rPr>
                <w:rFonts w:hint="cs"/>
                <w:sz w:val="26"/>
                <w:szCs w:val="26"/>
                <w:rtl/>
              </w:rPr>
              <w:t>ע"י ב"כ עו"ד</w:t>
            </w:r>
            <w:r w:rsidR="00897FF0" w:rsidRPr="00897FF0">
              <w:rPr>
                <w:rFonts w:hint="cs"/>
                <w:noProof w:val="0"/>
                <w:sz w:val="26"/>
                <w:szCs w:val="26"/>
                <w:rtl/>
              </w:rPr>
              <w:t xml:space="preserve"> יוחנן כהן</w:t>
            </w:r>
          </w:p>
        </w:tc>
      </w:tr>
      <w:tr w:rsidR="0094424E" w:rsidRPr="00FA4EAF">
        <w:trPr>
          <w:jc w:val="center"/>
        </w:trPr>
        <w:tc>
          <w:tcPr>
            <w:tcW w:w="8820" w:type="dxa"/>
            <w:gridSpan w:val="4"/>
          </w:tcPr>
          <w:p w:rsidR="0094424E" w:rsidRPr="00FA4EAF" w:rsidRDefault="0094424E">
            <w:pPr>
              <w:rPr>
                <w:rFonts w:ascii="Arial" w:hAnsi="Arial"/>
                <w:b/>
                <w:bCs/>
                <w:noProof w:val="0"/>
                <w:sz w:val="26"/>
                <w:szCs w:val="26"/>
                <w:rtl/>
              </w:rPr>
            </w:pPr>
          </w:p>
          <w:p w:rsidR="0094424E" w:rsidRPr="00FA4EAF" w:rsidRDefault="0094424E">
            <w:pPr>
              <w:jc w:val="center"/>
              <w:rPr>
                <w:rFonts w:ascii="Arial" w:hAnsi="Arial"/>
                <w:b/>
                <w:bCs/>
                <w:noProof w:val="0"/>
                <w:sz w:val="26"/>
                <w:szCs w:val="26"/>
                <w:rtl/>
              </w:rPr>
            </w:pPr>
            <w:r w:rsidRPr="00FA4EAF">
              <w:rPr>
                <w:rFonts w:ascii="Arial" w:hAnsi="Arial"/>
                <w:b/>
                <w:bCs/>
                <w:noProof w:val="0"/>
                <w:sz w:val="26"/>
                <w:szCs w:val="26"/>
                <w:rtl/>
              </w:rPr>
              <w:t>נגד</w:t>
            </w:r>
          </w:p>
          <w:p w:rsidR="0094424E" w:rsidRPr="00FA4EAF" w:rsidRDefault="0094424E">
            <w:pPr>
              <w:rPr>
                <w:rFonts w:ascii="Arial" w:hAnsi="Arial"/>
                <w:b/>
                <w:bCs/>
                <w:noProof w:val="0"/>
                <w:sz w:val="26"/>
                <w:szCs w:val="26"/>
              </w:rPr>
            </w:pPr>
          </w:p>
        </w:tc>
      </w:tr>
      <w:tr w:rsidR="0094424E" w:rsidRPr="00FA4EAF">
        <w:trPr>
          <w:jc w:val="center"/>
        </w:trPr>
        <w:tc>
          <w:tcPr>
            <w:tcW w:w="3249" w:type="dxa"/>
            <w:gridSpan w:val="2"/>
          </w:tcPr>
          <w:p w:rsidR="0094424E" w:rsidRPr="00FA4EAF" w:rsidRDefault="0094424E">
            <w:pPr>
              <w:rPr>
                <w:rFonts w:ascii="Arial" w:hAnsi="Arial"/>
                <w:b/>
                <w:bCs/>
                <w:noProof w:val="0"/>
                <w:sz w:val="26"/>
                <w:szCs w:val="26"/>
                <w:rtl/>
              </w:rPr>
            </w:pPr>
          </w:p>
          <w:p w:rsidR="0094424E" w:rsidRPr="00FA4EAF" w:rsidRDefault="00E56EF1" w:rsidP="00AC36F0">
            <w:pPr>
              <w:rPr>
                <w:rFonts w:ascii="Arial" w:hAnsi="Arial"/>
                <w:b/>
                <w:bCs/>
                <w:noProof w:val="0"/>
                <w:sz w:val="26"/>
                <w:szCs w:val="26"/>
              </w:rPr>
            </w:pPr>
            <w:sdt>
              <w:sdtPr>
                <w:rPr>
                  <w:b/>
                  <w:bCs/>
                  <w:sz w:val="26"/>
                  <w:szCs w:val="26"/>
                  <w:rtl/>
                </w:rPr>
                <w:alias w:val="1184"/>
                <w:tag w:val="1184"/>
                <w:id w:val="-340621022"/>
                <w:text w:multiLine="1"/>
              </w:sdtPr>
              <w:sdtEndPr/>
              <w:sdtContent>
                <w:r w:rsidR="004057A4" w:rsidRPr="004057A4">
                  <w:rPr>
                    <w:rFonts w:ascii="Arial" w:hAnsi="Arial" w:hint="cs"/>
                    <w:b/>
                    <w:bCs/>
                    <w:noProof w:val="0"/>
                    <w:sz w:val="26"/>
                    <w:szCs w:val="26"/>
                    <w:rtl/>
                  </w:rPr>
                  <w:t>ה</w:t>
                </w:r>
                <w:r w:rsidR="00AC36F0" w:rsidRPr="004057A4">
                  <w:rPr>
                    <w:rFonts w:ascii="Arial" w:hAnsi="Arial" w:hint="cs"/>
                    <w:b/>
                    <w:bCs/>
                    <w:noProof w:val="0"/>
                    <w:sz w:val="26"/>
                    <w:szCs w:val="26"/>
                    <w:rtl/>
                  </w:rPr>
                  <w:t>נתבעת</w:t>
                </w:r>
                <w:r w:rsidR="004057A4" w:rsidRPr="004057A4">
                  <w:rPr>
                    <w:rFonts w:ascii="Arial" w:hAnsi="Arial"/>
                    <w:b/>
                    <w:bCs/>
                    <w:noProof w:val="0"/>
                    <w:sz w:val="26"/>
                    <w:szCs w:val="26"/>
                    <w:rtl/>
                  </w:rPr>
                  <w:br/>
                </w:r>
                <w:r w:rsidR="004057A4" w:rsidRPr="004057A4">
                  <w:rPr>
                    <w:rFonts w:hint="cs"/>
                    <w:b/>
                    <w:bCs/>
                    <w:sz w:val="26"/>
                    <w:szCs w:val="26"/>
                    <w:rtl/>
                  </w:rPr>
                  <w:t>(המבקשת)</w:t>
                </w:r>
              </w:sdtContent>
            </w:sdt>
          </w:p>
        </w:tc>
        <w:tc>
          <w:tcPr>
            <w:tcW w:w="5571" w:type="dxa"/>
            <w:gridSpan w:val="2"/>
          </w:tcPr>
          <w:p w:rsidR="0094424E" w:rsidRPr="00FA4EAF" w:rsidRDefault="0094424E">
            <w:pPr>
              <w:rPr>
                <w:rFonts w:ascii="Arial" w:hAnsi="Arial"/>
                <w:b/>
                <w:bCs/>
                <w:noProof w:val="0"/>
                <w:sz w:val="26"/>
                <w:szCs w:val="26"/>
                <w:rtl/>
              </w:rPr>
            </w:pPr>
          </w:p>
          <w:p w:rsidR="00AC36F0" w:rsidRDefault="00AC36F0">
            <w:pPr>
              <w:rPr>
                <w:sz w:val="26"/>
                <w:szCs w:val="26"/>
                <w:rtl/>
              </w:rPr>
            </w:pPr>
            <w:r>
              <w:rPr>
                <w:rFonts w:ascii="Arial" w:hAnsi="Arial" w:hint="cs"/>
                <w:b/>
                <w:bCs/>
                <w:noProof w:val="0"/>
                <w:sz w:val="26"/>
                <w:szCs w:val="26"/>
                <w:rtl/>
              </w:rPr>
              <w:t>מ</w:t>
            </w:r>
            <w:r>
              <w:rPr>
                <w:rFonts w:ascii="Arial" w:hAnsi="Arial"/>
                <w:b/>
                <w:bCs/>
                <w:noProof w:val="0"/>
                <w:sz w:val="26"/>
                <w:szCs w:val="26"/>
                <w:rtl/>
              </w:rPr>
              <w:t>נורה מבטחים לביטוח בע"מ</w:t>
            </w:r>
          </w:p>
          <w:p w:rsidR="0094424E" w:rsidRPr="00FA4EAF" w:rsidRDefault="001D3441" w:rsidP="00897FF0">
            <w:pPr>
              <w:rPr>
                <w:b/>
                <w:bCs/>
                <w:noProof w:val="0"/>
                <w:sz w:val="26"/>
                <w:szCs w:val="26"/>
                <w:rtl/>
              </w:rPr>
            </w:pPr>
            <w:r>
              <w:rPr>
                <w:rFonts w:hint="cs"/>
                <w:sz w:val="26"/>
                <w:szCs w:val="26"/>
                <w:rtl/>
              </w:rPr>
              <w:t>ע"י ב"כ עו</w:t>
            </w:r>
            <w:r w:rsidR="00897FF0">
              <w:rPr>
                <w:rFonts w:hint="cs"/>
                <w:sz w:val="26"/>
                <w:szCs w:val="26"/>
                <w:rtl/>
              </w:rPr>
              <w:t>ה</w:t>
            </w:r>
            <w:r>
              <w:rPr>
                <w:rFonts w:hint="cs"/>
                <w:sz w:val="26"/>
                <w:szCs w:val="26"/>
                <w:rtl/>
              </w:rPr>
              <w:t>"ד</w:t>
            </w:r>
            <w:r w:rsidR="00897FF0">
              <w:rPr>
                <w:rFonts w:hint="cs"/>
                <w:sz w:val="26"/>
                <w:szCs w:val="26"/>
                <w:rtl/>
              </w:rPr>
              <w:t xml:space="preserve"> יוסי מנדלבאום ונוף שדה </w:t>
            </w:r>
          </w:p>
        </w:tc>
      </w:tr>
      <w:tr w:rsidR="004C17EE" w:rsidRPr="00FA4EAF" w:rsidTr="00D620FD">
        <w:trPr>
          <w:jc w:val="center"/>
        </w:trPr>
        <w:tc>
          <w:tcPr>
            <w:tcW w:w="8820" w:type="dxa"/>
            <w:gridSpan w:val="4"/>
          </w:tcPr>
          <w:p w:rsidR="00FF33C3" w:rsidRDefault="00FF33C3">
            <w:pPr>
              <w:rPr>
                <w:rFonts w:ascii="Arial" w:hAnsi="Arial"/>
                <w:b/>
                <w:bCs/>
                <w:noProof w:val="0"/>
                <w:sz w:val="26"/>
                <w:szCs w:val="26"/>
                <w:rtl/>
              </w:rPr>
            </w:pPr>
          </w:p>
        </w:tc>
      </w:tr>
    </w:tbl>
    <w:p w:rsidR="0094424E" w:rsidRDefault="0094424E" w:rsidP="0094424E">
      <w:pPr>
        <w:rPr>
          <w:rtl/>
        </w:rPr>
      </w:pPr>
    </w:p>
    <w:p w:rsidR="00E31C2B" w:rsidRDefault="00E31C2B" w:rsidP="006D3B31">
      <w:pPr>
        <w:suppressLineNumbers/>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trPr>
          <w:jc w:val="center"/>
        </w:trPr>
        <w:tc>
          <w:tcPr>
            <w:tcW w:w="8820" w:type="dxa"/>
          </w:tcPr>
          <w:p w:rsidR="00694556" w:rsidRDefault="00180519">
            <w:pPr>
              <w:bidi w:val="0"/>
              <w:jc w:val="center"/>
              <w:rPr>
                <w:rFonts w:ascii="Arial" w:hAnsi="Arial"/>
                <w:b/>
                <w:bCs/>
                <w:noProof w:val="0"/>
                <w:sz w:val="28"/>
                <w:szCs w:val="28"/>
                <w:u w:val="single"/>
              </w:rPr>
            </w:pPr>
            <w:r>
              <w:rPr>
                <w:rFonts w:ascii="Arial" w:hAnsi="Arial" w:hint="cs"/>
                <w:b/>
                <w:bCs/>
                <w:noProof w:val="0"/>
                <w:sz w:val="28"/>
                <w:szCs w:val="28"/>
                <w:u w:val="single"/>
                <w:rtl/>
              </w:rPr>
              <w:t>החלטה</w:t>
            </w:r>
          </w:p>
          <w:p w:rsidR="00A567DD" w:rsidRDefault="00A567DD" w:rsidP="00F319CF">
            <w:pPr>
              <w:bidi w:val="0"/>
              <w:jc w:val="center"/>
              <w:rPr>
                <w:rFonts w:ascii="Arial" w:hAnsi="Arial"/>
                <w:b/>
                <w:bCs/>
                <w:noProof w:val="0"/>
                <w:sz w:val="28"/>
                <w:szCs w:val="28"/>
                <w:u w:val="single"/>
              </w:rPr>
            </w:pPr>
            <w:r>
              <w:rPr>
                <w:rFonts w:ascii="Arial" w:hAnsi="Arial" w:hint="cs"/>
                <w:b/>
                <w:bCs/>
                <w:noProof w:val="0"/>
                <w:sz w:val="28"/>
                <w:szCs w:val="28"/>
                <w:u w:val="single"/>
                <w:rtl/>
              </w:rPr>
              <w:t xml:space="preserve"> בבקש</w:t>
            </w:r>
            <w:r w:rsidR="002C32BF">
              <w:rPr>
                <w:rFonts w:ascii="Arial" w:hAnsi="Arial" w:hint="cs"/>
                <w:b/>
                <w:bCs/>
                <w:noProof w:val="0"/>
                <w:sz w:val="28"/>
                <w:szCs w:val="28"/>
                <w:u w:val="single"/>
                <w:rtl/>
              </w:rPr>
              <w:t xml:space="preserve">ת </w:t>
            </w:r>
            <w:r w:rsidR="00F319CF">
              <w:rPr>
                <w:rFonts w:ascii="Arial" w:hAnsi="Arial" w:hint="cs"/>
                <w:b/>
                <w:bCs/>
                <w:noProof w:val="0"/>
                <w:sz w:val="28"/>
                <w:szCs w:val="28"/>
                <w:u w:val="single"/>
                <w:rtl/>
              </w:rPr>
              <w:t>הנתבע</w:t>
            </w:r>
            <w:r w:rsidR="00A81D9E">
              <w:rPr>
                <w:rFonts w:ascii="Arial" w:hAnsi="Arial" w:hint="cs"/>
                <w:b/>
                <w:bCs/>
                <w:noProof w:val="0"/>
                <w:sz w:val="28"/>
                <w:szCs w:val="28"/>
                <w:u w:val="single"/>
                <w:rtl/>
              </w:rPr>
              <w:t>ת</w:t>
            </w:r>
            <w:r w:rsidR="00F319CF">
              <w:rPr>
                <w:rFonts w:ascii="Arial" w:hAnsi="Arial" w:hint="cs"/>
                <w:b/>
                <w:bCs/>
                <w:noProof w:val="0"/>
                <w:sz w:val="28"/>
                <w:szCs w:val="28"/>
                <w:u w:val="single"/>
                <w:rtl/>
              </w:rPr>
              <w:t xml:space="preserve"> ל</w:t>
            </w:r>
            <w:r>
              <w:rPr>
                <w:rFonts w:ascii="Arial" w:hAnsi="Arial" w:hint="cs"/>
                <w:b/>
                <w:bCs/>
                <w:noProof w:val="0"/>
                <w:sz w:val="28"/>
                <w:szCs w:val="28"/>
                <w:u w:val="single"/>
                <w:rtl/>
              </w:rPr>
              <w:t>ביטול הסדר דיוני</w:t>
            </w:r>
            <w:r w:rsidR="00A81D9E">
              <w:rPr>
                <w:rFonts w:ascii="Arial" w:hAnsi="Arial" w:hint="cs"/>
                <w:b/>
                <w:bCs/>
                <w:noProof w:val="0"/>
                <w:sz w:val="28"/>
                <w:szCs w:val="28"/>
                <w:u w:val="single"/>
                <w:rtl/>
              </w:rPr>
              <w:t xml:space="preserve"> שניתן לו תוקף של החלטה</w:t>
            </w:r>
          </w:p>
        </w:tc>
      </w:tr>
    </w:tbl>
    <w:p w:rsidR="00694556" w:rsidRPr="00A81D9E" w:rsidRDefault="00694556">
      <w:pPr>
        <w:spacing w:line="360" w:lineRule="auto"/>
        <w:jc w:val="both"/>
        <w:rPr>
          <w:rFonts w:ascii="Arial" w:hAnsi="Arial"/>
          <w:noProof w:val="0"/>
          <w:rtl/>
        </w:rPr>
      </w:pPr>
    </w:p>
    <w:p w:rsidR="00A67BFF" w:rsidRDefault="00A67BFF" w:rsidP="00A81D9E">
      <w:pPr>
        <w:spacing w:line="360" w:lineRule="auto"/>
        <w:jc w:val="both"/>
        <w:rPr>
          <w:rFonts w:ascii="David" w:eastAsia="David" w:hAnsi="David"/>
          <w:rtl/>
          <w:lang w:val="he-IL"/>
        </w:rPr>
      </w:pPr>
      <w:r>
        <w:rPr>
          <w:rFonts w:ascii="David" w:eastAsia="David" w:hAnsi="David"/>
          <w:rtl/>
          <w:lang w:val="he-IL"/>
        </w:rPr>
        <w:t>לפניי בקשת הנתבעת (</w:t>
      </w:r>
      <w:r>
        <w:rPr>
          <w:rFonts w:ascii="David" w:eastAsia="David" w:hAnsi="David"/>
          <w:b/>
          <w:bCs/>
          <w:rtl/>
          <w:lang w:val="he-IL"/>
        </w:rPr>
        <w:t>מנורה</w:t>
      </w:r>
      <w:r>
        <w:rPr>
          <w:rFonts w:ascii="David" w:eastAsia="David" w:hAnsi="David"/>
          <w:rtl/>
          <w:lang w:val="he-IL"/>
        </w:rPr>
        <w:t xml:space="preserve">) לביטול </w:t>
      </w:r>
      <w:r w:rsidR="00A81D9E">
        <w:rPr>
          <w:rFonts w:ascii="David" w:eastAsia="David" w:hAnsi="David" w:hint="cs"/>
          <w:rtl/>
          <w:lang w:val="he-IL"/>
        </w:rPr>
        <w:t>"</w:t>
      </w:r>
      <w:r>
        <w:rPr>
          <w:rFonts w:ascii="David" w:eastAsia="David" w:hAnsi="David"/>
          <w:rtl/>
          <w:lang w:val="he-IL"/>
        </w:rPr>
        <w:t>הסדר דיוני" שאליו הגיעו הצדדים בישיבת קדם המשפט מיום 16/12/21 בבית משפט המחוזי בבאר שבע ואשר ניתן לו תוקף של החלטה (</w:t>
      </w:r>
      <w:r>
        <w:rPr>
          <w:rFonts w:ascii="David" w:eastAsia="David" w:hAnsi="David"/>
          <w:b/>
          <w:bCs/>
          <w:rtl/>
          <w:lang w:val="he-IL"/>
        </w:rPr>
        <w:t>ההסדר</w:t>
      </w:r>
      <w:r>
        <w:rPr>
          <w:rFonts w:ascii="David" w:eastAsia="David" w:hAnsi="David"/>
          <w:rtl/>
          <w:lang w:val="he-IL"/>
        </w:rPr>
        <w:t xml:space="preserve">). זאת, </w:t>
      </w:r>
      <w:r w:rsidR="00A81D9E">
        <w:rPr>
          <w:rFonts w:ascii="David" w:eastAsia="David" w:hAnsi="David" w:hint="cs"/>
          <w:rtl/>
          <w:lang w:val="he-IL"/>
        </w:rPr>
        <w:t xml:space="preserve">כך </w:t>
      </w:r>
      <w:r>
        <w:rPr>
          <w:rFonts w:ascii="David" w:eastAsia="David" w:hAnsi="David"/>
          <w:rtl/>
          <w:lang w:val="he-IL"/>
        </w:rPr>
        <w:t>לפי הטענה, "בשל שינוי נסיבות מהותי השומט את הרציונל הכלכלי ואת שיקולי העלות-תועלת אשר עמדו ביסוד החלטתה של מנורה להיעתר לאותו הסדר דיוני".</w:t>
      </w:r>
    </w:p>
    <w:p w:rsidR="00A67BFF" w:rsidRDefault="00A81D9E" w:rsidP="00A81D9E">
      <w:pPr>
        <w:spacing w:line="360" w:lineRule="auto"/>
        <w:jc w:val="both"/>
        <w:rPr>
          <w:rFonts w:ascii="David" w:eastAsia="David" w:hAnsi="David"/>
          <w:rtl/>
          <w:lang w:val="he-IL"/>
        </w:rPr>
      </w:pPr>
      <w:r>
        <w:rPr>
          <w:rFonts w:ascii="David" w:eastAsia="David" w:hAnsi="David" w:hint="cs"/>
          <w:rtl/>
          <w:lang w:val="he-IL"/>
        </w:rPr>
        <w:t xml:space="preserve">השאלה </w:t>
      </w:r>
      <w:r w:rsidR="00A67BFF">
        <w:rPr>
          <w:rFonts w:ascii="David" w:eastAsia="David" w:hAnsi="David"/>
          <w:rtl/>
          <w:lang w:val="he-IL"/>
        </w:rPr>
        <w:t>אם יש מקום לבטל את ההסדר מטעם זה</w:t>
      </w:r>
      <w:r>
        <w:rPr>
          <w:rFonts w:ascii="David" w:eastAsia="David" w:hAnsi="David" w:hint="cs"/>
          <w:rtl/>
          <w:lang w:val="he-IL"/>
        </w:rPr>
        <w:t xml:space="preserve">, היא העומדת </w:t>
      </w:r>
      <w:r w:rsidR="00A67BFF">
        <w:rPr>
          <w:rFonts w:ascii="David" w:eastAsia="David" w:hAnsi="David"/>
          <w:rtl/>
          <w:lang w:val="he-IL"/>
        </w:rPr>
        <w:t>להכרעה בבקשה זו.</w:t>
      </w:r>
    </w:p>
    <w:p w:rsidR="004057A4" w:rsidRDefault="004057A4" w:rsidP="004057A4">
      <w:pPr>
        <w:spacing w:line="360" w:lineRule="auto"/>
        <w:jc w:val="both"/>
        <w:rPr>
          <w:rFonts w:ascii="David" w:eastAsia="David" w:hAnsi="David"/>
          <w:b/>
          <w:bCs/>
          <w:u w:val="single"/>
          <w:rtl/>
          <w:lang w:val="he-IL"/>
        </w:rPr>
      </w:pPr>
    </w:p>
    <w:p w:rsidR="00A67BFF" w:rsidRDefault="00A67BFF" w:rsidP="00A67BFF">
      <w:pPr>
        <w:jc w:val="both"/>
        <w:rPr>
          <w:rFonts w:ascii="David" w:eastAsia="David" w:hAnsi="David"/>
          <w:b/>
          <w:bCs/>
          <w:u w:val="single"/>
          <w:rtl/>
          <w:lang w:val="he-IL"/>
        </w:rPr>
      </w:pPr>
      <w:r>
        <w:rPr>
          <w:rFonts w:ascii="David" w:eastAsia="David" w:hAnsi="David"/>
          <w:b/>
          <w:bCs/>
          <w:u w:val="single"/>
          <w:rtl/>
          <w:lang w:val="he-IL"/>
        </w:rPr>
        <w:t>רקע כללי</w:t>
      </w:r>
    </w:p>
    <w:p w:rsidR="00A67BFF" w:rsidRDefault="00A67BFF" w:rsidP="00A67BFF">
      <w:pPr>
        <w:jc w:val="both"/>
        <w:rPr>
          <w:rFonts w:ascii="David" w:eastAsia="David" w:hAnsi="David"/>
          <w:b/>
          <w:bCs/>
          <w:u w:val="single"/>
          <w:rtl/>
          <w:lang w:val="he-IL"/>
        </w:rPr>
      </w:pPr>
    </w:p>
    <w:p w:rsidR="00A67BFF" w:rsidRDefault="00A67BFF" w:rsidP="00A67BFF">
      <w:pPr>
        <w:pStyle w:val="ad"/>
        <w:numPr>
          <w:ilvl w:val="0"/>
          <w:numId w:val="1"/>
        </w:numPr>
        <w:spacing w:line="360" w:lineRule="auto"/>
        <w:contextualSpacing w:val="0"/>
        <w:jc w:val="both"/>
        <w:rPr>
          <w:rFonts w:ascii="David" w:eastAsia="David" w:hAnsi="David"/>
          <w:rtl/>
          <w:lang w:val="he-IL"/>
        </w:rPr>
      </w:pPr>
      <w:r>
        <w:rPr>
          <w:rFonts w:ascii="David" w:eastAsia="David" w:hAnsi="David"/>
          <w:rtl/>
          <w:lang w:val="he-IL"/>
        </w:rPr>
        <w:t>מנורה היא "מבטח" כמשמעות מונח זה בחוק הפיקוח על שירותים פיננסיים (ביטוח), התשמ"א-1981. המשיב, מר מרדכי אסולין (</w:t>
      </w:r>
      <w:r>
        <w:rPr>
          <w:rFonts w:ascii="David" w:eastAsia="David" w:hAnsi="David"/>
          <w:b/>
          <w:bCs/>
          <w:rtl/>
          <w:lang w:val="he-IL"/>
        </w:rPr>
        <w:t>אסולין</w:t>
      </w:r>
      <w:r>
        <w:rPr>
          <w:rFonts w:ascii="David" w:eastAsia="David" w:hAnsi="David"/>
          <w:rtl/>
          <w:lang w:val="he-IL"/>
        </w:rPr>
        <w:t xml:space="preserve">), היה בעל רישיון "סוכן יחיד". בשנת 2004 או סמוך לכך, החל לעבוד עם מנורה ולשווק פוליסות ביטוח שלה ללקוחות. </w:t>
      </w:r>
    </w:p>
    <w:p w:rsidR="00A67BFF" w:rsidRDefault="00A67BFF" w:rsidP="00A67BFF">
      <w:pPr>
        <w:spacing w:line="360" w:lineRule="auto"/>
        <w:ind w:left="509" w:hanging="425"/>
        <w:jc w:val="both"/>
        <w:rPr>
          <w:rFonts w:ascii="David" w:eastAsia="David" w:hAnsi="David"/>
          <w:rtl/>
          <w:lang w:bidi="ar-SA"/>
        </w:rPr>
      </w:pPr>
    </w:p>
    <w:p w:rsidR="00A67BFF" w:rsidRDefault="00A67BFF" w:rsidP="00A81D9E">
      <w:pPr>
        <w:pStyle w:val="ad"/>
        <w:numPr>
          <w:ilvl w:val="0"/>
          <w:numId w:val="1"/>
        </w:numPr>
        <w:spacing w:line="360" w:lineRule="auto"/>
        <w:contextualSpacing w:val="0"/>
        <w:jc w:val="both"/>
        <w:rPr>
          <w:rFonts w:ascii="David" w:eastAsia="David" w:hAnsi="David"/>
          <w:rtl/>
          <w:lang w:val="he-IL"/>
        </w:rPr>
      </w:pPr>
      <w:r>
        <w:rPr>
          <w:rFonts w:ascii="David" w:eastAsia="David" w:hAnsi="David"/>
          <w:rtl/>
          <w:lang w:val="he-IL"/>
        </w:rPr>
        <w:t>ההליך שבכותרת נפתח ביום 17/3/21 בבית המשפט המחוזי בבאר שבע כתביעה שהגיש אסולין כנגד מנורה על סך של 13,475,580 ₪ (</w:t>
      </w:r>
      <w:r>
        <w:rPr>
          <w:rFonts w:ascii="David" w:eastAsia="David" w:hAnsi="David"/>
          <w:b/>
          <w:bCs/>
          <w:rtl/>
          <w:lang w:val="he-IL"/>
        </w:rPr>
        <w:t>תביעת אסולין</w:t>
      </w:r>
      <w:r>
        <w:rPr>
          <w:rFonts w:ascii="David" w:eastAsia="David" w:hAnsi="David"/>
          <w:rtl/>
          <w:lang w:val="he-IL"/>
        </w:rPr>
        <w:t xml:space="preserve">). לטענת אסולין, מנורה השתלטה על עסקו והחלה לתפעל אותו באמצעות עובד שלה לשעבר, וזאת באופן כושל שהביא את גובה עמלת הנפרעים שהוא היה זכאי לקבל ממנה, לסך נמוך של 160 אלף ₪ לחודש; בעוד שלפני ההשתלטות הנטענת, עמד גובה העמלות </w:t>
      </w:r>
      <w:r>
        <w:rPr>
          <w:rFonts w:ascii="David" w:eastAsia="David" w:hAnsi="David"/>
          <w:rtl/>
          <w:lang w:val="he-IL"/>
        </w:rPr>
        <w:lastRenderedPageBreak/>
        <w:t xml:space="preserve">על סך של 220 אלף ₪ לחודש. עוד נטען, כי החל מחודש ספטמבר 2014 מנורה לא העבירה לו את עמלת הנפרעים שלה היה זכאי. בכתב ההגנה הכחישה מנורה כל חבות וטענה כי חלק מדרישותיו של אסולין התיישנו. מנורה טענה עוד, כי העבירה לאסולין כספים כמקדמות בגין עמלות, אך בדיעבד הסתבר כי לא היה זכאי לקבלן בשל ביטול פוליסות. לטענת מנורה, על פי המוסכם בין הצדדים הפכו המקדמות להלוואות, וכספי העמלות משועבדים לפירעונן. מנורה מאשרת כי לצורך שיקום עסקו של אסולין מונה בהסכמת האחרון, מר אוחיון כ"מפקח", כשלאסולין נותרה זכות החתימה הבלעדית. </w:t>
      </w:r>
    </w:p>
    <w:p w:rsidR="00A67BFF" w:rsidRPr="00BE09D1" w:rsidRDefault="00A67BFF" w:rsidP="00BE09D1">
      <w:pPr>
        <w:spacing w:line="360" w:lineRule="auto"/>
        <w:jc w:val="both"/>
        <w:rPr>
          <w:rFonts w:ascii="David" w:eastAsia="David" w:hAnsi="David"/>
          <w:rtl/>
          <w:lang w:val="he-IL"/>
        </w:rPr>
      </w:pPr>
    </w:p>
    <w:p w:rsidR="00A67BFF" w:rsidRDefault="00A67BFF" w:rsidP="00A81D9E">
      <w:pPr>
        <w:pStyle w:val="ad"/>
        <w:numPr>
          <w:ilvl w:val="0"/>
          <w:numId w:val="1"/>
        </w:numPr>
        <w:spacing w:line="360" w:lineRule="auto"/>
        <w:contextualSpacing w:val="0"/>
        <w:jc w:val="both"/>
        <w:rPr>
          <w:rFonts w:ascii="David" w:eastAsia="David" w:hAnsi="David"/>
          <w:rtl/>
          <w:lang w:val="he-IL"/>
        </w:rPr>
      </w:pPr>
      <w:r>
        <w:rPr>
          <w:rFonts w:ascii="David" w:eastAsia="David" w:hAnsi="David"/>
          <w:rtl/>
          <w:lang w:val="he-IL"/>
        </w:rPr>
        <w:t xml:space="preserve">לתביעת אסולין קדמה תביעה שהגישה מנורה כנגד אסולין לבית המשפט המחוזי בתל-אביב ביום 11/2/16, על סך של </w:t>
      </w:r>
      <w:r w:rsidR="00F319CF">
        <w:rPr>
          <w:rFonts w:ascii="David" w:eastAsia="David" w:hAnsi="David" w:hint="cs"/>
          <w:rtl/>
          <w:lang w:val="he-IL"/>
        </w:rPr>
        <w:t xml:space="preserve">כ- </w:t>
      </w:r>
      <w:r>
        <w:rPr>
          <w:rFonts w:ascii="David" w:eastAsia="David" w:hAnsi="David"/>
          <w:rtl/>
          <w:lang w:val="he-IL"/>
        </w:rPr>
        <w:t>13,470,000 ₪ (תא"ק 25898-02-16), אשר טרם הוכרעה (</w:t>
      </w:r>
      <w:r>
        <w:rPr>
          <w:rFonts w:ascii="David" w:eastAsia="David" w:hAnsi="David"/>
          <w:b/>
          <w:bCs/>
          <w:rtl/>
          <w:lang w:val="he-IL"/>
        </w:rPr>
        <w:t>תביעת מנורה</w:t>
      </w:r>
      <w:r>
        <w:rPr>
          <w:rFonts w:ascii="David" w:eastAsia="David" w:hAnsi="David"/>
          <w:rtl/>
          <w:lang w:val="he-IL"/>
        </w:rPr>
        <w:t xml:space="preserve">). נוכח תביעת מנורה, עם הגשת תביעת אסולין לבית המשפט המחוזי בבאר שבע, עתרה מנורה </w:t>
      </w:r>
      <w:r w:rsidR="00F319CF">
        <w:rPr>
          <w:rFonts w:ascii="David" w:eastAsia="David" w:hAnsi="David" w:hint="cs"/>
          <w:rtl/>
          <w:lang w:val="he-IL"/>
        </w:rPr>
        <w:t xml:space="preserve">(גם) </w:t>
      </w:r>
      <w:r>
        <w:rPr>
          <w:rFonts w:ascii="David" w:eastAsia="David" w:hAnsi="David"/>
          <w:rtl/>
          <w:lang w:val="he-IL"/>
        </w:rPr>
        <w:t xml:space="preserve">לעיכוב ההליכים בה מחמת "הליך תלוי ועומד". במסגרת ההסדר הדיוני מושא הבקשה הוסכם, כי תביעת אסולין תועבר לבית המשפט המחוזי בתל אביב, לצד הסכמה על עיכוב ההליך וחידושו בתנאים מסוימים בלבד, כמפורט בהסדר. </w:t>
      </w:r>
      <w:r w:rsidR="00A81D9E">
        <w:rPr>
          <w:rFonts w:ascii="David" w:eastAsia="David" w:hAnsi="David" w:hint="cs"/>
          <w:rtl/>
          <w:lang w:val="he-IL"/>
        </w:rPr>
        <w:t>בנסיבות אלה</w:t>
      </w:r>
      <w:r>
        <w:rPr>
          <w:rFonts w:ascii="David" w:eastAsia="David" w:hAnsi="David"/>
          <w:rtl/>
          <w:lang w:val="he-IL"/>
        </w:rPr>
        <w:t xml:space="preserve">, הוגשה הבקשה </w:t>
      </w:r>
      <w:r w:rsidR="00A81D9E">
        <w:rPr>
          <w:rFonts w:ascii="David" w:eastAsia="David" w:hAnsi="David" w:hint="cs"/>
          <w:rtl/>
          <w:lang w:val="he-IL"/>
        </w:rPr>
        <w:t xml:space="preserve">דנא </w:t>
      </w:r>
      <w:r>
        <w:rPr>
          <w:rFonts w:ascii="David" w:eastAsia="David" w:hAnsi="David"/>
          <w:rtl/>
          <w:lang w:val="he-IL"/>
        </w:rPr>
        <w:t>לביטול ההסדר</w:t>
      </w:r>
      <w:r w:rsidR="00A81D9E">
        <w:rPr>
          <w:rFonts w:ascii="David" w:eastAsia="David" w:hAnsi="David" w:hint="cs"/>
          <w:rtl/>
          <w:lang w:val="he-IL"/>
        </w:rPr>
        <w:t>,</w:t>
      </w:r>
      <w:r>
        <w:rPr>
          <w:rFonts w:ascii="David" w:eastAsia="David" w:hAnsi="David"/>
          <w:rtl/>
          <w:lang w:val="he-IL"/>
        </w:rPr>
        <w:t xml:space="preserve"> לבית משפט זה.</w:t>
      </w:r>
    </w:p>
    <w:p w:rsidR="00A67BFF" w:rsidRDefault="00A67BFF" w:rsidP="00A67BFF">
      <w:pPr>
        <w:spacing w:line="360" w:lineRule="auto"/>
        <w:jc w:val="both"/>
        <w:rPr>
          <w:rFonts w:ascii="David" w:eastAsia="David" w:hAnsi="David"/>
          <w:rtl/>
          <w:lang w:val="he-IL"/>
        </w:rPr>
      </w:pPr>
    </w:p>
    <w:p w:rsidR="00A67BFF" w:rsidRDefault="00A67BFF" w:rsidP="00F319CF">
      <w:pPr>
        <w:pStyle w:val="ad"/>
        <w:numPr>
          <w:ilvl w:val="0"/>
          <w:numId w:val="1"/>
        </w:numPr>
        <w:spacing w:line="360" w:lineRule="auto"/>
        <w:contextualSpacing w:val="0"/>
        <w:jc w:val="both"/>
        <w:rPr>
          <w:rFonts w:ascii="David" w:eastAsia="David" w:hAnsi="David"/>
          <w:rtl/>
          <w:lang w:val="he-IL"/>
        </w:rPr>
      </w:pPr>
      <w:r>
        <w:rPr>
          <w:rFonts w:ascii="David" w:eastAsia="David" w:hAnsi="David"/>
          <w:rtl/>
          <w:lang w:val="he-IL"/>
        </w:rPr>
        <w:t xml:space="preserve">להשלמת התמונה יצוין, כי בשנת 2017 פתחו אסולין ורעייתו לשעבר בהליכי פשיטת רגל בבית המשפט המחוזי בבאר שבע, וביום 26/11/17 ניתן צו לכינוס נכסי אסולין (פש"ר 58105-11-17, להלן: </w:t>
      </w:r>
      <w:r>
        <w:rPr>
          <w:rFonts w:ascii="David" w:eastAsia="David" w:hAnsi="David"/>
          <w:b/>
          <w:bCs/>
          <w:rtl/>
          <w:lang w:val="he-IL"/>
        </w:rPr>
        <w:t>הליך הפש"ר</w:t>
      </w:r>
      <w:r>
        <w:rPr>
          <w:rFonts w:ascii="David" w:eastAsia="David" w:hAnsi="David"/>
          <w:rtl/>
          <w:lang w:val="he-IL"/>
        </w:rPr>
        <w:t>). הליך זה בוטל לפי בקשת מנורה שהתקבלה, בהחלט</w:t>
      </w:r>
      <w:r w:rsidR="00F319CF">
        <w:rPr>
          <w:rFonts w:ascii="David" w:eastAsia="David" w:hAnsi="David" w:hint="cs"/>
          <w:rtl/>
          <w:lang w:val="he-IL"/>
        </w:rPr>
        <w:t>ת בית המשפט של פשיטת רגל</w:t>
      </w:r>
      <w:r>
        <w:rPr>
          <w:rFonts w:ascii="David" w:eastAsia="David" w:hAnsi="David"/>
          <w:rtl/>
          <w:lang w:val="he-IL"/>
        </w:rPr>
        <w:t xml:space="preserve"> מיום 23/1/22</w:t>
      </w:r>
      <w:r w:rsidR="00F319CF">
        <w:rPr>
          <w:rFonts w:ascii="David" w:eastAsia="David" w:hAnsi="David" w:hint="cs"/>
          <w:rtl/>
          <w:lang w:val="he-IL"/>
        </w:rPr>
        <w:t>,</w:t>
      </w:r>
      <w:r>
        <w:rPr>
          <w:rFonts w:ascii="David" w:eastAsia="David" w:hAnsi="David"/>
          <w:rtl/>
          <w:lang w:val="he-IL"/>
        </w:rPr>
        <w:t xml:space="preserve"> </w:t>
      </w:r>
      <w:r w:rsidR="00F319CF">
        <w:rPr>
          <w:rFonts w:ascii="David" w:eastAsia="David" w:hAnsi="David" w:hint="cs"/>
          <w:rtl/>
          <w:lang w:val="he-IL"/>
        </w:rPr>
        <w:t xml:space="preserve">אשר </w:t>
      </w:r>
      <w:r>
        <w:rPr>
          <w:rFonts w:ascii="David" w:eastAsia="David" w:hAnsi="David"/>
          <w:rtl/>
          <w:lang w:val="he-IL"/>
        </w:rPr>
        <w:t>ניתנה מספר שבועות לאחר שנערך ההסדר שקיבל תוקף של החלטה. לשיטת מנורה, כפי שעוד יפורט בהמשך, ביטול הליך פשיטת הרגל הוא שינוי הנסיבות המצדיק את ביטול ההסדר.</w:t>
      </w:r>
    </w:p>
    <w:p w:rsidR="00A67BFF" w:rsidRDefault="00A67BFF" w:rsidP="00A67BFF">
      <w:pPr>
        <w:pStyle w:val="ad"/>
        <w:spacing w:line="360" w:lineRule="auto"/>
        <w:ind w:left="509" w:hanging="425"/>
        <w:jc w:val="both"/>
        <w:rPr>
          <w:rFonts w:ascii="David" w:eastAsia="David" w:hAnsi="David"/>
          <w:rtl/>
          <w:lang w:val="he-IL"/>
        </w:rPr>
      </w:pPr>
    </w:p>
    <w:p w:rsidR="00A67BFF" w:rsidRDefault="00A67BFF" w:rsidP="00A67BFF">
      <w:pPr>
        <w:ind w:left="509" w:hanging="425"/>
        <w:jc w:val="both"/>
        <w:rPr>
          <w:rFonts w:ascii="David" w:eastAsia="David" w:hAnsi="David"/>
          <w:b/>
          <w:bCs/>
          <w:u w:val="single"/>
          <w:rtl/>
          <w:lang w:val="he-IL"/>
        </w:rPr>
      </w:pPr>
      <w:r>
        <w:rPr>
          <w:rFonts w:ascii="David" w:eastAsia="David" w:hAnsi="David"/>
          <w:b/>
          <w:bCs/>
          <w:u w:val="single"/>
          <w:rtl/>
          <w:lang w:val="he-IL"/>
        </w:rPr>
        <w:t xml:space="preserve">ההסדר שניתן לו תוקף של החלטה על ידי בית המשפט המחוזי בבאר שבע </w:t>
      </w:r>
    </w:p>
    <w:p w:rsidR="00A67BFF" w:rsidRDefault="00A67BFF" w:rsidP="00A67BFF">
      <w:pPr>
        <w:ind w:left="509" w:hanging="425"/>
        <w:jc w:val="both"/>
        <w:rPr>
          <w:rFonts w:ascii="David" w:eastAsia="David" w:hAnsi="David"/>
          <w:b/>
          <w:bCs/>
          <w:u w:val="single"/>
          <w:rtl/>
          <w:lang w:bidi="ar-SA"/>
        </w:rPr>
      </w:pPr>
    </w:p>
    <w:p w:rsidR="00A67BFF" w:rsidRDefault="00A67BFF" w:rsidP="00A81D9E">
      <w:pPr>
        <w:pStyle w:val="ad"/>
        <w:numPr>
          <w:ilvl w:val="0"/>
          <w:numId w:val="1"/>
        </w:numPr>
        <w:spacing w:line="360" w:lineRule="auto"/>
        <w:contextualSpacing w:val="0"/>
        <w:jc w:val="both"/>
        <w:rPr>
          <w:rFonts w:ascii="David" w:eastAsia="David" w:hAnsi="David"/>
          <w:rtl/>
          <w:lang w:val="he-IL"/>
        </w:rPr>
      </w:pPr>
      <w:r>
        <w:rPr>
          <w:rFonts w:ascii="David" w:eastAsia="David" w:hAnsi="David"/>
          <w:rtl/>
          <w:lang w:val="he-IL"/>
        </w:rPr>
        <w:t xml:space="preserve">בישיבת קדם המשפט הראשונה בתביעת אסולין, שהתקיימה </w:t>
      </w:r>
      <w:r w:rsidR="00A81D9E">
        <w:rPr>
          <w:rFonts w:ascii="David" w:eastAsia="David" w:hAnsi="David" w:hint="cs"/>
          <w:rtl/>
          <w:lang w:val="he-IL"/>
        </w:rPr>
        <w:t>ב</w:t>
      </w:r>
      <w:r w:rsidR="00F319CF">
        <w:rPr>
          <w:rFonts w:ascii="David" w:eastAsia="David" w:hAnsi="David"/>
          <w:rtl/>
          <w:lang w:val="he-IL"/>
        </w:rPr>
        <w:t>יום 16/12/21</w:t>
      </w:r>
      <w:r w:rsidR="00F319CF">
        <w:rPr>
          <w:rFonts w:ascii="David" w:eastAsia="David" w:hAnsi="David" w:hint="cs"/>
          <w:rtl/>
          <w:lang w:val="he-IL"/>
        </w:rPr>
        <w:t xml:space="preserve"> </w:t>
      </w:r>
      <w:r>
        <w:rPr>
          <w:rFonts w:ascii="David" w:eastAsia="David" w:hAnsi="David"/>
          <w:rtl/>
          <w:lang w:val="he-IL"/>
        </w:rPr>
        <w:t xml:space="preserve">לפני בית המשפט המחוזי בבאר שבע (כבוד השופט עמית כהן), בנוכחות ב"כ הצדדים, ניתן תוקף של החלטה להסדר שסוכם בין הצדדים. זו לשון ההסדר </w:t>
      </w:r>
      <w:r w:rsidR="00A81D9E">
        <w:rPr>
          <w:rFonts w:ascii="David" w:eastAsia="David" w:hAnsi="David" w:hint="cs"/>
          <w:rtl/>
          <w:lang w:val="he-IL"/>
        </w:rPr>
        <w:t xml:space="preserve">כמובא </w:t>
      </w:r>
      <w:r>
        <w:rPr>
          <w:rFonts w:ascii="David" w:eastAsia="David" w:hAnsi="David"/>
          <w:rtl/>
          <w:lang w:val="he-IL"/>
        </w:rPr>
        <w:t>בפרוטוקול הדיון:</w:t>
      </w:r>
    </w:p>
    <w:p w:rsidR="00A67BFF" w:rsidRDefault="00A67BFF" w:rsidP="00A67BFF">
      <w:pPr>
        <w:spacing w:line="360" w:lineRule="auto"/>
        <w:ind w:left="509" w:hanging="425"/>
        <w:jc w:val="both"/>
        <w:rPr>
          <w:rFonts w:ascii="David" w:eastAsia="David" w:hAnsi="David"/>
          <w:rtl/>
        </w:rPr>
      </w:pPr>
    </w:p>
    <w:p w:rsidR="00A67BFF" w:rsidRDefault="00A67BFF" w:rsidP="00A67BFF">
      <w:pPr>
        <w:spacing w:line="276" w:lineRule="auto"/>
        <w:ind w:left="1076" w:right="993" w:hanging="425"/>
        <w:jc w:val="both"/>
        <w:rPr>
          <w:rFonts w:ascii="David" w:eastAsia="David" w:hAnsi="David"/>
          <w:b/>
          <w:bCs/>
          <w:rtl/>
          <w:lang w:val="he-IL"/>
        </w:rPr>
      </w:pPr>
      <w:r>
        <w:rPr>
          <w:rFonts w:ascii="David" w:eastAsia="David" w:hAnsi="David"/>
          <w:b/>
          <w:bCs/>
          <w:rtl/>
          <w:lang w:val="he-IL"/>
        </w:rPr>
        <w:lastRenderedPageBreak/>
        <w:t>"א.</w:t>
      </w:r>
      <w:r>
        <w:rPr>
          <w:rFonts w:ascii="David" w:eastAsia="David" w:hAnsi="David"/>
          <w:b/>
          <w:bCs/>
          <w:rtl/>
          <w:lang w:val="he-IL"/>
        </w:rPr>
        <w:tab/>
        <w:t xml:space="preserve">התביעה בתיק זה תעוכב עד אשר יסתיים הדיון בתא"ק 25898-02-16 (להלן: 'תביעת מנורה'). </w:t>
      </w:r>
    </w:p>
    <w:p w:rsidR="00A67BFF" w:rsidRDefault="00A67BFF" w:rsidP="00A67BFF">
      <w:pPr>
        <w:spacing w:line="276" w:lineRule="auto"/>
        <w:ind w:left="1076" w:right="993" w:hanging="425"/>
        <w:jc w:val="both"/>
        <w:rPr>
          <w:rFonts w:ascii="David" w:eastAsia="David" w:hAnsi="David"/>
          <w:b/>
          <w:bCs/>
          <w:rtl/>
          <w:lang w:val="he-IL"/>
        </w:rPr>
      </w:pPr>
      <w:r>
        <w:rPr>
          <w:rFonts w:ascii="David" w:eastAsia="David" w:hAnsi="David"/>
          <w:b/>
          <w:bCs/>
          <w:rtl/>
          <w:lang w:val="he-IL"/>
        </w:rPr>
        <w:t>ב.</w:t>
      </w:r>
      <w:r>
        <w:rPr>
          <w:rFonts w:ascii="David" w:eastAsia="David" w:hAnsi="David"/>
          <w:b/>
          <w:bCs/>
          <w:rtl/>
          <w:lang w:val="he-IL"/>
        </w:rPr>
        <w:tab/>
        <w:t xml:space="preserve">התביעה בתיק הנוכחי תועבר לבית המשפט המחוזי בתל אביב, בהתאם לתניית השיפוט בהסכמים בין הצדדים. </w:t>
      </w:r>
    </w:p>
    <w:p w:rsidR="00A67BFF" w:rsidRDefault="00A67BFF" w:rsidP="00A67BFF">
      <w:pPr>
        <w:spacing w:line="276" w:lineRule="auto"/>
        <w:ind w:left="1076" w:right="993" w:hanging="425"/>
        <w:jc w:val="both"/>
        <w:rPr>
          <w:rFonts w:ascii="David" w:eastAsia="David" w:hAnsi="David"/>
          <w:b/>
          <w:bCs/>
          <w:rtl/>
          <w:lang w:val="he-IL"/>
        </w:rPr>
      </w:pPr>
      <w:r>
        <w:rPr>
          <w:rFonts w:ascii="David" w:eastAsia="David" w:hAnsi="David"/>
          <w:b/>
          <w:bCs/>
          <w:rtl/>
          <w:lang w:val="he-IL"/>
        </w:rPr>
        <w:t>ג.</w:t>
      </w:r>
      <w:r>
        <w:rPr>
          <w:rFonts w:ascii="David" w:eastAsia="David" w:hAnsi="David"/>
          <w:b/>
          <w:bCs/>
          <w:rtl/>
          <w:lang w:val="he-IL"/>
        </w:rPr>
        <w:tab/>
        <w:t>היה ומנורה תזכה בתביעת מנורה, יעמוד לזכותה שיעבוד על כספים המגיעים לתובע ממנה.</w:t>
      </w:r>
      <w:r>
        <w:rPr>
          <w:rFonts w:ascii="David" w:eastAsia="David" w:hAnsi="David"/>
          <w:b/>
          <w:bCs/>
          <w:rtl/>
          <w:lang w:val="he-IL"/>
        </w:rPr>
        <w:tab/>
      </w:r>
      <w:r>
        <w:rPr>
          <w:rFonts w:ascii="David" w:eastAsia="David" w:hAnsi="David"/>
          <w:b/>
          <w:bCs/>
          <w:rtl/>
          <w:lang w:val="he-IL"/>
        </w:rPr>
        <w:br/>
        <w:t xml:space="preserve">במקרה זה, ורק במקרה זה, ולצורך החישוב של יתרת חובו של התובע כלפי מנורה, יעמוד הסכום המשועבד על 8,000,000 ₪. </w:t>
      </w:r>
    </w:p>
    <w:p w:rsidR="00A67BFF" w:rsidRDefault="00A67BFF" w:rsidP="00A67BFF">
      <w:pPr>
        <w:spacing w:line="276" w:lineRule="auto"/>
        <w:ind w:left="1076" w:right="993" w:hanging="425"/>
        <w:jc w:val="both"/>
        <w:rPr>
          <w:rFonts w:ascii="David" w:eastAsia="David" w:hAnsi="David"/>
          <w:rtl/>
          <w:lang w:val="he-IL"/>
        </w:rPr>
      </w:pPr>
      <w:r>
        <w:rPr>
          <w:rFonts w:ascii="David" w:eastAsia="David" w:hAnsi="David"/>
          <w:b/>
          <w:bCs/>
          <w:rtl/>
          <w:lang w:val="he-IL"/>
        </w:rPr>
        <w:t>ד.</w:t>
      </w:r>
      <w:r>
        <w:rPr>
          <w:rFonts w:ascii="David" w:eastAsia="David" w:hAnsi="David"/>
          <w:b/>
          <w:bCs/>
          <w:rtl/>
          <w:lang w:val="he-IL"/>
        </w:rPr>
        <w:tab/>
        <w:t>היה ומנורה תפסיד בתביעת מנורה או שהסכום בו היא תזכה יהיה נמוך מ</w:t>
      </w:r>
      <w:r>
        <w:rPr>
          <w:rFonts w:ascii="David" w:eastAsia="David" w:hAnsi="David"/>
          <w:b/>
          <w:bCs/>
          <w:position w:val="8"/>
          <w:rtl/>
          <w:lang w:val="he-IL"/>
        </w:rPr>
        <w:t>-</w:t>
      </w:r>
      <w:r>
        <w:rPr>
          <w:rFonts w:ascii="David" w:eastAsia="David" w:hAnsi="David"/>
          <w:b/>
          <w:bCs/>
          <w:rtl/>
          <w:lang w:val="he-IL"/>
        </w:rPr>
        <w:t>8,000,000 ₪, יחודש הדיון בתיק הנוכחי על מנת לקבוע אם וכמה חייבת מנורה לתובע, כאשר כל טענות וזכויות הצדדים עומדות להם"</w:t>
      </w:r>
      <w:r>
        <w:rPr>
          <w:rFonts w:ascii="David" w:eastAsia="David" w:hAnsi="David"/>
          <w:rtl/>
          <w:lang w:val="he-IL"/>
        </w:rPr>
        <w:t>.</w:t>
      </w:r>
    </w:p>
    <w:p w:rsidR="00A67BFF" w:rsidRDefault="00A67BFF" w:rsidP="00A67BFF">
      <w:pPr>
        <w:ind w:left="509" w:hanging="425"/>
        <w:jc w:val="both"/>
        <w:rPr>
          <w:rFonts w:ascii="David" w:eastAsia="David" w:hAnsi="David"/>
          <w:rtl/>
          <w:lang w:val="he-IL"/>
        </w:rPr>
      </w:pPr>
    </w:p>
    <w:p w:rsidR="00A67BFF" w:rsidRDefault="00A67BFF" w:rsidP="00F319CF">
      <w:pPr>
        <w:spacing w:line="360" w:lineRule="auto"/>
        <w:ind w:left="84"/>
        <w:jc w:val="both"/>
        <w:rPr>
          <w:rFonts w:ascii="David" w:eastAsia="David" w:hAnsi="David"/>
          <w:rtl/>
          <w:lang w:val="he-IL"/>
        </w:rPr>
      </w:pPr>
      <w:r>
        <w:rPr>
          <w:rFonts w:ascii="David" w:eastAsia="David" w:hAnsi="David"/>
          <w:rtl/>
          <w:lang w:val="he-IL"/>
        </w:rPr>
        <w:t xml:space="preserve">כדי להבין את המנגנון הקבוע בסעיפים ג' </w:t>
      </w:r>
      <w:r w:rsidR="00F319CF">
        <w:rPr>
          <w:rFonts w:ascii="David" w:eastAsia="David" w:hAnsi="David" w:hint="cs"/>
          <w:rtl/>
          <w:lang w:val="he-IL"/>
        </w:rPr>
        <w:t xml:space="preserve">ו- </w:t>
      </w:r>
      <w:r>
        <w:rPr>
          <w:rFonts w:ascii="David" w:eastAsia="David" w:hAnsi="David"/>
          <w:rtl/>
          <w:lang w:val="he-IL"/>
        </w:rPr>
        <w:t xml:space="preserve">ד' </w:t>
      </w:r>
      <w:r w:rsidR="00F319CF">
        <w:rPr>
          <w:rFonts w:ascii="David" w:eastAsia="David" w:hAnsi="David" w:hint="cs"/>
          <w:rtl/>
          <w:lang w:val="he-IL"/>
        </w:rPr>
        <w:t xml:space="preserve">לעיל </w:t>
      </w:r>
      <w:r>
        <w:rPr>
          <w:rFonts w:ascii="David" w:eastAsia="David" w:hAnsi="David"/>
          <w:rtl/>
          <w:lang w:val="he-IL"/>
        </w:rPr>
        <w:t>הובהר, כחלק בלתי נפרד מההסדר שפורט בפרוטוקול הדיון, בזו הלשון:</w:t>
      </w:r>
    </w:p>
    <w:p w:rsidR="00A67BFF" w:rsidRDefault="00A67BFF" w:rsidP="00A67BFF">
      <w:pPr>
        <w:ind w:left="509" w:hanging="425"/>
        <w:jc w:val="both"/>
        <w:rPr>
          <w:rFonts w:ascii="David" w:eastAsia="David" w:hAnsi="David"/>
          <w:rtl/>
          <w:lang w:val="he-IL"/>
        </w:rPr>
      </w:pPr>
    </w:p>
    <w:p w:rsidR="00A67BFF" w:rsidRDefault="00A67BFF" w:rsidP="00F319CF">
      <w:pPr>
        <w:spacing w:line="276" w:lineRule="auto"/>
        <w:ind w:left="1076" w:right="993" w:hanging="425"/>
        <w:jc w:val="both"/>
        <w:rPr>
          <w:rFonts w:ascii="David" w:eastAsia="David" w:hAnsi="David"/>
          <w:b/>
          <w:bCs/>
          <w:rtl/>
          <w:lang w:val="he-IL"/>
        </w:rPr>
      </w:pPr>
      <w:r>
        <w:rPr>
          <w:rFonts w:ascii="David" w:eastAsia="David" w:hAnsi="David"/>
          <w:b/>
          <w:bCs/>
          <w:rtl/>
          <w:lang w:val="he-IL"/>
        </w:rPr>
        <w:t>"1.</w:t>
      </w:r>
      <w:r>
        <w:rPr>
          <w:rFonts w:ascii="David" w:eastAsia="David" w:hAnsi="David"/>
          <w:b/>
          <w:bCs/>
          <w:rtl/>
          <w:lang w:val="he-IL"/>
        </w:rPr>
        <w:tab/>
        <w:t>היה ומנורה תזכה בתביעת מנורה בסכום העולה על 8,000,000 ₪, משמעות הדבר תהיה שחובו של התובע למנורה יעמוד על סכום הזכייה בהפחתת 8,000,000 ₪.</w:t>
      </w:r>
    </w:p>
    <w:p w:rsidR="00A67BFF" w:rsidRDefault="00A67BFF" w:rsidP="00F319CF">
      <w:pPr>
        <w:spacing w:line="276" w:lineRule="auto"/>
        <w:ind w:left="1076" w:right="993" w:hanging="425"/>
        <w:jc w:val="both"/>
        <w:rPr>
          <w:rFonts w:ascii="David" w:eastAsia="David" w:hAnsi="David"/>
          <w:rtl/>
          <w:lang w:val="he-IL"/>
        </w:rPr>
      </w:pPr>
      <w:r>
        <w:rPr>
          <w:rFonts w:ascii="David" w:eastAsia="David" w:hAnsi="David"/>
          <w:b/>
          <w:bCs/>
          <w:rtl/>
          <w:lang w:val="he-IL"/>
        </w:rPr>
        <w:t>2.</w:t>
      </w:r>
      <w:r>
        <w:rPr>
          <w:rFonts w:ascii="David" w:eastAsia="David" w:hAnsi="David"/>
          <w:b/>
          <w:bCs/>
          <w:rtl/>
          <w:lang w:val="he-IL"/>
        </w:rPr>
        <w:tab/>
        <w:t>היה ומנורה תפסיד בתביעת מנורה או תזכה בסכום הנמוך מסכום ש</w:t>
      </w:r>
      <w:r>
        <w:rPr>
          <w:rFonts w:ascii="David" w:eastAsia="David" w:hAnsi="David"/>
          <w:rtl/>
          <w:lang w:val="he-IL"/>
        </w:rPr>
        <w:t>[ל]</w:t>
      </w:r>
      <w:r>
        <w:rPr>
          <w:rFonts w:ascii="David" w:eastAsia="David" w:hAnsi="David"/>
          <w:b/>
          <w:bCs/>
          <w:rtl/>
          <w:lang w:val="he-IL"/>
        </w:rPr>
        <w:t xml:space="preserve"> 8,000,000 ₪, אזי ינוהל התיק הנוכחי, וזכויות וחובות הצדדים האחד כלפי משנהו, ייקבעו בהתאם לפסקי הדין בשני התיקים"</w:t>
      </w:r>
      <w:r>
        <w:rPr>
          <w:rFonts w:ascii="David" w:eastAsia="David" w:hAnsi="David"/>
          <w:rtl/>
          <w:lang w:val="he-IL"/>
        </w:rPr>
        <w:t>.</w:t>
      </w:r>
    </w:p>
    <w:p w:rsidR="00A67BFF" w:rsidRDefault="00A67BFF" w:rsidP="00A67BFF">
      <w:pPr>
        <w:ind w:left="509" w:hanging="425"/>
        <w:jc w:val="both"/>
        <w:rPr>
          <w:rFonts w:ascii="David" w:eastAsia="David" w:hAnsi="David"/>
          <w:rtl/>
          <w:lang w:val="he-IL"/>
        </w:rPr>
      </w:pPr>
      <w:r>
        <w:rPr>
          <w:rFonts w:ascii="David" w:eastAsia="David" w:hAnsi="David"/>
          <w:rtl/>
          <w:lang w:val="he-IL"/>
        </w:rPr>
        <w:t xml:space="preserve"> </w:t>
      </w:r>
    </w:p>
    <w:p w:rsidR="00A67BFF" w:rsidRDefault="00A67BFF" w:rsidP="00A67BFF">
      <w:pPr>
        <w:ind w:left="509" w:hanging="425"/>
        <w:jc w:val="both"/>
        <w:rPr>
          <w:rFonts w:ascii="David" w:eastAsia="David" w:hAnsi="David"/>
          <w:rtl/>
          <w:lang w:val="he-IL"/>
        </w:rPr>
      </w:pPr>
    </w:p>
    <w:p w:rsidR="00A67BFF" w:rsidRDefault="00A67BFF" w:rsidP="003F18EE">
      <w:pPr>
        <w:pStyle w:val="ad"/>
        <w:numPr>
          <w:ilvl w:val="0"/>
          <w:numId w:val="1"/>
        </w:numPr>
        <w:spacing w:line="360" w:lineRule="auto"/>
        <w:contextualSpacing w:val="0"/>
        <w:jc w:val="both"/>
        <w:rPr>
          <w:rFonts w:ascii="David" w:eastAsia="David" w:hAnsi="David"/>
          <w:rtl/>
          <w:lang w:val="he-IL"/>
        </w:rPr>
      </w:pPr>
      <w:r>
        <w:rPr>
          <w:rFonts w:ascii="David" w:eastAsia="David" w:hAnsi="David"/>
          <w:rtl/>
          <w:lang w:val="he-IL"/>
        </w:rPr>
        <w:t xml:space="preserve">כאמור, </w:t>
      </w:r>
      <w:r w:rsidR="003F18EE">
        <w:rPr>
          <w:rFonts w:ascii="David" w:eastAsia="David" w:hAnsi="David"/>
          <w:rtl/>
          <w:lang w:val="he-IL"/>
        </w:rPr>
        <w:t>ביום 23/1/22,</w:t>
      </w:r>
      <w:r w:rsidR="003F18EE">
        <w:rPr>
          <w:rFonts w:ascii="David" w:eastAsia="David" w:hAnsi="David" w:hint="cs"/>
          <w:rtl/>
          <w:lang w:val="he-IL"/>
        </w:rPr>
        <w:t xml:space="preserve"> </w:t>
      </w:r>
      <w:r>
        <w:rPr>
          <w:rFonts w:ascii="David" w:eastAsia="David" w:hAnsi="David"/>
          <w:rtl/>
          <w:lang w:val="he-IL"/>
        </w:rPr>
        <w:t xml:space="preserve">מספר שבועות לאחר שהסכימו הצדדים על ההסדר הנ"ל שקיבל תוקף של החלטה, הורה בית המשפט </w:t>
      </w:r>
      <w:r w:rsidR="003F18EE">
        <w:rPr>
          <w:rFonts w:ascii="David" w:eastAsia="David" w:hAnsi="David" w:hint="cs"/>
          <w:rtl/>
          <w:lang w:val="he-IL"/>
        </w:rPr>
        <w:t xml:space="preserve">של פשיטת רגל </w:t>
      </w:r>
      <w:r>
        <w:rPr>
          <w:rFonts w:ascii="David" w:eastAsia="David" w:hAnsi="David"/>
          <w:rtl/>
          <w:lang w:val="he-IL"/>
        </w:rPr>
        <w:t>על ביטול הליך פשיטת הרגל שנפתח לבקשת אסולין וצו הכינוס שניתן לנכסיו</w:t>
      </w:r>
      <w:r w:rsidR="003F18EE">
        <w:rPr>
          <w:rFonts w:ascii="David" w:eastAsia="David" w:hAnsi="David" w:hint="cs"/>
          <w:rtl/>
          <w:lang w:val="he-IL"/>
        </w:rPr>
        <w:t>,</w:t>
      </w:r>
      <w:r>
        <w:rPr>
          <w:rFonts w:ascii="David" w:eastAsia="David" w:hAnsi="David"/>
          <w:rtl/>
          <w:lang w:val="he-IL"/>
        </w:rPr>
        <w:t xml:space="preserve"> בוטל. בכך, קיבל בית המשפט את בקשת מנורה לביטול ההליך (</w:t>
      </w:r>
      <w:r>
        <w:rPr>
          <w:rFonts w:ascii="David" w:eastAsia="David" w:hAnsi="David"/>
          <w:b/>
          <w:bCs/>
          <w:rtl/>
          <w:lang w:val="he-IL"/>
        </w:rPr>
        <w:t>בקשת מנורה לביטול הליך פשיטת הרגל</w:t>
      </w:r>
      <w:r>
        <w:rPr>
          <w:rFonts w:ascii="David" w:eastAsia="David" w:hAnsi="David"/>
          <w:rtl/>
          <w:lang w:val="he-IL"/>
        </w:rPr>
        <w:t>). בקשת אסולין לעיון מחדש בהחלטה על ביטול ההליך נדחתה (החלטות כבוד השופט דניאל מיום 23/1/22 ומיום 6/2/22, צורפו כנספחים 4-5 לבקשה, להלן, יחדיו:</w:t>
      </w:r>
      <w:r>
        <w:rPr>
          <w:rFonts w:ascii="David" w:eastAsia="David" w:hAnsi="David"/>
          <w:b/>
          <w:bCs/>
          <w:rtl/>
          <w:lang w:val="he-IL"/>
        </w:rPr>
        <w:t xml:space="preserve"> החלטת בית המשפט של פשיטת רגל על ביטול ההליך</w:t>
      </w:r>
      <w:r>
        <w:rPr>
          <w:rFonts w:ascii="David" w:eastAsia="David" w:hAnsi="David"/>
          <w:rtl/>
          <w:lang w:val="he-IL"/>
        </w:rPr>
        <w:t>).</w:t>
      </w:r>
    </w:p>
    <w:p w:rsidR="00A67BFF" w:rsidRDefault="00A67BFF" w:rsidP="00A67BFF">
      <w:pPr>
        <w:spacing w:line="360" w:lineRule="auto"/>
        <w:ind w:left="509" w:hanging="425"/>
        <w:jc w:val="both"/>
        <w:rPr>
          <w:rFonts w:ascii="David" w:eastAsia="David" w:hAnsi="David"/>
          <w:rtl/>
          <w:lang w:val="he-IL"/>
        </w:rPr>
      </w:pPr>
    </w:p>
    <w:p w:rsidR="00A67BFF" w:rsidRDefault="00A67BFF" w:rsidP="00BE09D1">
      <w:pPr>
        <w:ind w:left="509" w:hanging="425"/>
        <w:jc w:val="both"/>
        <w:rPr>
          <w:rFonts w:ascii="David" w:eastAsia="David" w:hAnsi="David"/>
          <w:b/>
          <w:bCs/>
          <w:u w:val="single"/>
          <w:rtl/>
          <w:lang w:val="he-IL"/>
        </w:rPr>
      </w:pPr>
      <w:r>
        <w:rPr>
          <w:rFonts w:ascii="David" w:eastAsia="David" w:hAnsi="David"/>
          <w:b/>
          <w:bCs/>
          <w:u w:val="single"/>
          <w:rtl/>
          <w:lang w:val="he-IL"/>
        </w:rPr>
        <w:t>בקשת מנורה לביטול ההסדר וטענות הצדדים</w:t>
      </w:r>
    </w:p>
    <w:p w:rsidR="00A67BFF" w:rsidRDefault="00A67BFF" w:rsidP="00A67BFF">
      <w:pPr>
        <w:ind w:left="509" w:hanging="425"/>
        <w:jc w:val="both"/>
        <w:rPr>
          <w:rFonts w:ascii="David" w:eastAsia="David" w:hAnsi="David"/>
          <w:rtl/>
          <w:lang w:bidi="ar-SA"/>
        </w:rPr>
      </w:pPr>
    </w:p>
    <w:p w:rsidR="00A67BFF" w:rsidRDefault="00A67BFF" w:rsidP="00BE09D1">
      <w:pPr>
        <w:pStyle w:val="ad"/>
        <w:numPr>
          <w:ilvl w:val="0"/>
          <w:numId w:val="1"/>
        </w:numPr>
        <w:spacing w:line="360" w:lineRule="auto"/>
        <w:contextualSpacing w:val="0"/>
        <w:jc w:val="both"/>
        <w:rPr>
          <w:rFonts w:ascii="David" w:eastAsia="David" w:hAnsi="David"/>
          <w:rtl/>
          <w:lang w:val="he-IL"/>
        </w:rPr>
      </w:pPr>
      <w:r>
        <w:rPr>
          <w:rFonts w:ascii="David" w:eastAsia="David" w:hAnsi="David"/>
          <w:rtl/>
          <w:lang w:val="he-IL"/>
        </w:rPr>
        <w:lastRenderedPageBreak/>
        <w:t>בבקשה שלפניי התבקש בית המשפט לעשות שימוש בסמכותו מכוח תקנה 176(א) לתקנות סדר הדין האזרחי, תשע"ט-2018 (</w:t>
      </w:r>
      <w:r>
        <w:rPr>
          <w:rFonts w:ascii="David" w:eastAsia="David" w:hAnsi="David"/>
          <w:b/>
          <w:bCs/>
          <w:rtl/>
          <w:lang w:val="he-IL"/>
        </w:rPr>
        <w:t>התקנות</w:t>
      </w:r>
      <w:r>
        <w:rPr>
          <w:rFonts w:ascii="David" w:eastAsia="David" w:hAnsi="David"/>
          <w:rtl/>
          <w:lang w:val="he-IL"/>
        </w:rPr>
        <w:t xml:space="preserve">) ולהורות על ביטול ההסדר שכונה בפי המבקשת "הסדר דיוני", </w:t>
      </w:r>
      <w:r>
        <w:rPr>
          <w:rFonts w:ascii="David" w:eastAsia="David" w:hAnsi="David"/>
          <w:b/>
          <w:bCs/>
          <w:rtl/>
          <w:lang w:val="he-IL"/>
        </w:rPr>
        <w:t>"בשל שינוי נסיבות מהותי</w:t>
      </w:r>
      <w:r>
        <w:rPr>
          <w:rFonts w:ascii="David" w:eastAsia="David" w:hAnsi="David"/>
          <w:rtl/>
          <w:lang w:val="he-IL"/>
        </w:rPr>
        <w:t xml:space="preserve"> </w:t>
      </w:r>
      <w:r>
        <w:rPr>
          <w:rFonts w:ascii="David" w:eastAsia="David" w:hAnsi="David"/>
          <w:b/>
          <w:bCs/>
          <w:rtl/>
          <w:lang w:val="he-IL"/>
        </w:rPr>
        <w:t>השומט את הרציונל הכלכלי ואת שיקולי העלות</w:t>
      </w:r>
      <w:r w:rsidR="00BE09D1">
        <w:rPr>
          <w:rFonts w:ascii="David" w:eastAsia="David" w:hAnsi="David" w:hint="cs"/>
          <w:b/>
          <w:bCs/>
          <w:rtl/>
          <w:lang w:val="he-IL"/>
        </w:rPr>
        <w:t>-</w:t>
      </w:r>
      <w:r>
        <w:rPr>
          <w:rFonts w:ascii="David" w:eastAsia="David" w:hAnsi="David"/>
          <w:b/>
          <w:bCs/>
          <w:rtl/>
          <w:lang w:val="he-IL"/>
        </w:rPr>
        <w:t>תועלת אשר עמדו ביסוד החלטתה של מנורה להיעתר לאותו הסדר דיוני, שהוצע לצדדים ע"י כב' בית המשפט המחוזי בבאר</w:t>
      </w:r>
      <w:r w:rsidR="00BE09D1">
        <w:rPr>
          <w:rFonts w:ascii="David" w:eastAsia="David" w:hAnsi="David" w:hint="cs"/>
          <w:b/>
          <w:bCs/>
          <w:rtl/>
          <w:lang w:val="he-IL"/>
        </w:rPr>
        <w:t>-</w:t>
      </w:r>
      <w:r>
        <w:rPr>
          <w:rFonts w:ascii="David" w:eastAsia="David" w:hAnsi="David"/>
          <w:b/>
          <w:bCs/>
          <w:rtl/>
          <w:lang w:val="he-IL"/>
        </w:rPr>
        <w:t xml:space="preserve">שבע </w:t>
      </w:r>
      <w:r>
        <w:rPr>
          <w:rFonts w:ascii="David" w:eastAsia="David" w:hAnsi="David"/>
          <w:rtl/>
          <w:lang w:val="he-IL"/>
        </w:rPr>
        <w:t>[...]</w:t>
      </w:r>
      <w:r>
        <w:rPr>
          <w:rFonts w:ascii="David" w:eastAsia="David" w:hAnsi="David"/>
          <w:b/>
          <w:bCs/>
          <w:rtl/>
          <w:lang w:val="he-IL"/>
        </w:rPr>
        <w:t>"</w:t>
      </w:r>
      <w:r>
        <w:rPr>
          <w:rFonts w:ascii="David" w:eastAsia="David" w:hAnsi="David"/>
          <w:rtl/>
          <w:lang w:val="he-IL"/>
        </w:rPr>
        <w:t>.</w:t>
      </w:r>
      <w:r>
        <w:rPr>
          <w:rFonts w:ascii="David" w:eastAsia="David" w:hAnsi="David"/>
          <w:b/>
          <w:bCs/>
          <w:rtl/>
          <w:lang w:val="he-IL"/>
        </w:rPr>
        <w:t xml:space="preserve"> </w:t>
      </w:r>
      <w:r>
        <w:rPr>
          <w:rFonts w:ascii="David" w:eastAsia="David" w:hAnsi="David"/>
          <w:rtl/>
          <w:lang w:val="he-IL"/>
        </w:rPr>
        <w:t>שינוי הנסיבות המהותי הנטען הוא החלטת בית המשפט של פשיטת רגל על ביטול ההליך. לטענת מנורה, בשל כך "</w:t>
      </w:r>
      <w:r>
        <w:rPr>
          <w:rFonts w:ascii="David" w:eastAsia="David" w:hAnsi="David"/>
          <w:b/>
          <w:bCs/>
          <w:rtl/>
          <w:lang w:val="he-IL"/>
        </w:rPr>
        <w:t>חל שינוי נסיבות משמעותי ביותר, אשר יש בו כדי לשנות לחלוטין את השיקולים הנוגעים ליכולת הפירעון של מנורה מאת אסולין, מחד, ולהצדקת המשך מימון עלויות ניהול הגנתה בתיק זה, מאידך</w:t>
      </w:r>
      <w:r>
        <w:rPr>
          <w:rFonts w:ascii="David" w:eastAsia="David" w:hAnsi="David"/>
          <w:rtl/>
          <w:lang w:val="he-IL"/>
        </w:rPr>
        <w:t>".</w:t>
      </w:r>
    </w:p>
    <w:p w:rsidR="00A67BFF" w:rsidRDefault="00A67BFF" w:rsidP="00A67BFF">
      <w:pPr>
        <w:spacing w:line="360" w:lineRule="auto"/>
        <w:ind w:left="509" w:hanging="425"/>
        <w:jc w:val="both"/>
        <w:rPr>
          <w:rFonts w:ascii="David" w:eastAsia="David" w:hAnsi="David"/>
          <w:rtl/>
          <w:lang w:bidi="ar-SA"/>
        </w:rPr>
      </w:pPr>
    </w:p>
    <w:p w:rsidR="00A67BFF" w:rsidRDefault="00A67BFF" w:rsidP="003F18EE">
      <w:pPr>
        <w:pStyle w:val="ad"/>
        <w:numPr>
          <w:ilvl w:val="0"/>
          <w:numId w:val="1"/>
        </w:numPr>
        <w:spacing w:line="360" w:lineRule="auto"/>
        <w:contextualSpacing w:val="0"/>
        <w:jc w:val="both"/>
        <w:rPr>
          <w:rFonts w:ascii="David" w:eastAsia="David" w:hAnsi="David"/>
          <w:rtl/>
          <w:lang w:val="he-IL"/>
        </w:rPr>
      </w:pPr>
      <w:r>
        <w:rPr>
          <w:rFonts w:ascii="David" w:eastAsia="David" w:hAnsi="David"/>
          <w:rtl/>
          <w:lang w:val="he-IL"/>
        </w:rPr>
        <w:t>לטענת מנורה, הסיבה לכך שנתנה הסכמתה להסדר היא "</w:t>
      </w:r>
      <w:r>
        <w:rPr>
          <w:rFonts w:ascii="David" w:eastAsia="David" w:hAnsi="David"/>
          <w:b/>
          <w:bCs/>
          <w:rtl/>
          <w:lang w:val="he-IL"/>
        </w:rPr>
        <w:t>הקטנת עלויות ניהול הגנתה מפני תביעת אסולין</w:t>
      </w:r>
      <w:r>
        <w:rPr>
          <w:rFonts w:ascii="David" w:eastAsia="David" w:hAnsi="David"/>
          <w:rtl/>
          <w:lang w:val="he-IL"/>
        </w:rPr>
        <w:t>". זאת, משום שהעריכה כי "</w:t>
      </w:r>
      <w:r>
        <w:rPr>
          <w:rFonts w:ascii="David" w:eastAsia="David" w:hAnsi="David"/>
          <w:b/>
          <w:bCs/>
          <w:rtl/>
          <w:lang w:val="he-IL"/>
        </w:rPr>
        <w:t>כל עוד אסולין מצוי בהליכי פשיטת רגל, לא תהא נפקות אמתית לסכום שיפסק לטובתה (להערכתה), שכן לא נצברו כספים משמעותיים בקופת הכינוס לעומת מצבת חובותיו</w:t>
      </w:r>
      <w:r>
        <w:rPr>
          <w:rFonts w:ascii="David" w:eastAsia="David" w:hAnsi="David"/>
          <w:rtl/>
          <w:lang w:val="he-IL"/>
        </w:rPr>
        <w:t>". עוד ציינה מנורה בבקשתה כי "</w:t>
      </w:r>
      <w:r>
        <w:rPr>
          <w:rFonts w:ascii="David" w:eastAsia="David" w:hAnsi="David"/>
          <w:b/>
          <w:bCs/>
          <w:rtl/>
          <w:lang w:val="he-IL"/>
        </w:rPr>
        <w:t>אמנם במועד אישור ההסדר הדיוני הייתה תלויה ועומדת לפני בית המשפט של פשיטת רגל בקשתה (השנייה) של מנורה לביטול צו הכינוס, אולם הח"מ הסכים בשם מנורה להסדר הדיוני מכיוון שלא היה ניתן לדעת באותו מועד כיצד תוכרע בקשה זו ומה ייקבע במסגרתה</w:t>
      </w:r>
      <w:r>
        <w:rPr>
          <w:rFonts w:ascii="David" w:eastAsia="David" w:hAnsi="David"/>
          <w:rtl/>
          <w:lang w:val="he-IL"/>
        </w:rPr>
        <w:t>". בנוסף,</w:t>
      </w:r>
      <w:r w:rsidR="003F18EE">
        <w:rPr>
          <w:rFonts w:ascii="David" w:eastAsia="David" w:hAnsi="David" w:hint="cs"/>
          <w:rtl/>
          <w:lang w:val="he-IL"/>
        </w:rPr>
        <w:t xml:space="preserve"> </w:t>
      </w:r>
      <w:r>
        <w:rPr>
          <w:rFonts w:ascii="David" w:eastAsia="David" w:hAnsi="David"/>
          <w:rtl/>
          <w:lang w:val="he-IL"/>
        </w:rPr>
        <w:t>לאחר אישור ההסדר, ביום 6/1/22</w:t>
      </w:r>
      <w:r w:rsidR="003F18EE">
        <w:rPr>
          <w:rFonts w:ascii="David" w:eastAsia="David" w:hAnsi="David" w:hint="cs"/>
          <w:rtl/>
          <w:lang w:val="he-IL"/>
        </w:rPr>
        <w:t>,</w:t>
      </w:r>
      <w:r>
        <w:rPr>
          <w:rFonts w:ascii="David" w:eastAsia="David" w:hAnsi="David"/>
          <w:rtl/>
          <w:lang w:val="he-IL"/>
        </w:rPr>
        <w:t xml:space="preserve"> הגיש אסולין </w:t>
      </w:r>
      <w:r w:rsidR="003F18EE">
        <w:rPr>
          <w:rFonts w:ascii="David" w:eastAsia="David" w:hAnsi="David" w:hint="cs"/>
          <w:rtl/>
          <w:lang w:val="he-IL"/>
        </w:rPr>
        <w:t>במסגרת תיק פשיטת הרגל</w:t>
      </w:r>
      <w:r w:rsidR="003F18EE">
        <w:rPr>
          <w:rFonts w:ascii="David" w:eastAsia="David" w:hAnsi="David"/>
          <w:rtl/>
          <w:lang w:val="he-IL"/>
        </w:rPr>
        <w:t xml:space="preserve"> </w:t>
      </w:r>
      <w:r>
        <w:rPr>
          <w:rFonts w:ascii="David" w:eastAsia="David" w:hAnsi="David"/>
          <w:rtl/>
          <w:lang w:val="he-IL"/>
        </w:rPr>
        <w:t>תצהיר שאליו צורפה בקשתו בהליך פלילי (בקשה להחזרת תפוס), וזה כלל נתונים חדשים שלא היו בידיעתה של מנורה קודם לכן</w:t>
      </w:r>
      <w:r w:rsidR="003F18EE">
        <w:rPr>
          <w:rFonts w:ascii="David" w:eastAsia="David" w:hAnsi="David" w:hint="cs"/>
          <w:rtl/>
          <w:lang w:val="he-IL"/>
        </w:rPr>
        <w:t>,</w:t>
      </w:r>
      <w:r>
        <w:rPr>
          <w:rFonts w:ascii="David" w:eastAsia="David" w:hAnsi="David"/>
          <w:rtl/>
          <w:lang w:val="he-IL"/>
        </w:rPr>
        <w:t xml:space="preserve"> על אודות ניהול חברה והעסקת עובדים מצדו.</w:t>
      </w:r>
    </w:p>
    <w:p w:rsidR="00A67BFF" w:rsidRPr="00BE09D1" w:rsidRDefault="00A67BFF" w:rsidP="00BE09D1">
      <w:pPr>
        <w:spacing w:line="360" w:lineRule="auto"/>
        <w:jc w:val="both"/>
        <w:rPr>
          <w:rFonts w:ascii="David" w:eastAsia="David" w:hAnsi="David"/>
          <w:rtl/>
          <w:lang w:val="he-IL"/>
        </w:rPr>
      </w:pPr>
    </w:p>
    <w:p w:rsidR="00A67BFF" w:rsidRDefault="00A67BFF" w:rsidP="00A67BFF">
      <w:pPr>
        <w:pStyle w:val="ad"/>
        <w:numPr>
          <w:ilvl w:val="0"/>
          <w:numId w:val="1"/>
        </w:numPr>
        <w:spacing w:line="360" w:lineRule="auto"/>
        <w:contextualSpacing w:val="0"/>
        <w:jc w:val="both"/>
        <w:rPr>
          <w:rFonts w:ascii="David" w:eastAsia="David" w:hAnsi="David"/>
          <w:rtl/>
          <w:lang w:val="he-IL"/>
        </w:rPr>
      </w:pPr>
      <w:r w:rsidRPr="00BE09D1">
        <w:rPr>
          <w:rFonts w:ascii="David" w:eastAsia="David" w:hAnsi="David"/>
          <w:rtl/>
          <w:lang w:val="he-IL"/>
        </w:rPr>
        <w:t>כאמור, מנורה מבקשת להסתמך</w:t>
      </w:r>
      <w:r>
        <w:rPr>
          <w:rFonts w:ascii="David" w:eastAsia="David" w:hAnsi="David"/>
          <w:shd w:val="clear" w:color="auto" w:fill="FFFFFF"/>
          <w:rtl/>
          <w:lang w:val="he-IL"/>
        </w:rPr>
        <w:t xml:space="preserve"> על הוראת סעיף 176(א) לתקנות,</w:t>
      </w:r>
      <w:r>
        <w:rPr>
          <w:rFonts w:ascii="David" w:eastAsia="David" w:hAnsi="David"/>
          <w:rtl/>
          <w:lang w:val="he-IL"/>
        </w:rPr>
        <w:t xml:space="preserve"> ה</w:t>
      </w:r>
      <w:r>
        <w:rPr>
          <w:rFonts w:ascii="David" w:eastAsia="David" w:hAnsi="David"/>
          <w:shd w:val="clear" w:color="auto" w:fill="FFFFFF"/>
          <w:rtl/>
          <w:lang w:val="he-IL"/>
        </w:rPr>
        <w:t xml:space="preserve">קובעת כי </w:t>
      </w:r>
      <w:r>
        <w:rPr>
          <w:rFonts w:ascii="David" w:eastAsia="David" w:hAnsi="David"/>
          <w:b/>
          <w:bCs/>
          <w:shd w:val="clear" w:color="auto" w:fill="FFFFFF"/>
          <w:rtl/>
          <w:lang w:val="he-IL"/>
        </w:rPr>
        <w:t>"בית המשפט רשאי לתת בכל עת הוראות לכל עניין שבסדרי הדין וכן לתקן כל פגם או טעות בכל הליך לרבות בעניין שהוכרע לפי תקנה 33(ד) אם ראה לנכון צורך בכך לשם הגשמת מטרת תקנות אלה</w:t>
      </w:r>
      <w:r>
        <w:rPr>
          <w:rFonts w:ascii="David" w:eastAsia="David" w:hAnsi="David"/>
          <w:rtl/>
          <w:lang w:val="he-IL"/>
        </w:rPr>
        <w:t xml:space="preserve">". עוד טוענת מנורה, כי על הסדר שעניינו אופן בירור התביעה ובכלל זה, הסכמה על עובדות, הגשת ראיות, קיזוז וכו' חלות הוראות חוק החוזים (חלק כללי), תשל"ג- 1973 וזאת, בשינויים המחויבים מטיבו וטיבעו של הסכם על דרכי הדיון, כשאחד מהם הוא כי ניתן לשחרר צד מהסכמה כזו ברשות בית המשפט, בהתקיים שינוי נסיבות מהותי או עילה אחרת שבדין אשר מצדיקה את ביטולו. לשיטת מנורה, זהו המקרה שבו על בית המשפט </w:t>
      </w:r>
      <w:r>
        <w:rPr>
          <w:rFonts w:ascii="David" w:eastAsia="David" w:hAnsi="David"/>
          <w:rtl/>
          <w:lang w:val="he-IL"/>
        </w:rPr>
        <w:lastRenderedPageBreak/>
        <w:t>להפעיל את סמכותו</w:t>
      </w:r>
      <w:r w:rsidR="003F18EE">
        <w:rPr>
          <w:rFonts w:ascii="David" w:eastAsia="David" w:hAnsi="David" w:hint="cs"/>
          <w:rtl/>
          <w:lang w:val="he-IL"/>
        </w:rPr>
        <w:t>,</w:t>
      </w:r>
      <w:r>
        <w:rPr>
          <w:rFonts w:ascii="David" w:eastAsia="David" w:hAnsi="David"/>
          <w:rtl/>
          <w:lang w:val="he-IL"/>
        </w:rPr>
        <w:t xml:space="preserve"> שכן במועד זה יכול ותהא נפקות לקבלת פסק דין כספי מלא בתביעת מנורה אשר לאחריו היא תוכל לפעול בהליכי גבייה כנגד אסולין ללא הגבלות שבדין ומתוך ידיעה</w:t>
      </w:r>
      <w:r w:rsidR="003F18EE">
        <w:rPr>
          <w:rFonts w:ascii="David" w:eastAsia="David" w:hAnsi="David" w:hint="cs"/>
          <w:rtl/>
          <w:lang w:val="he-IL"/>
        </w:rPr>
        <w:t>,</w:t>
      </w:r>
      <w:r>
        <w:rPr>
          <w:rFonts w:ascii="David" w:eastAsia="David" w:hAnsi="David"/>
          <w:rtl/>
          <w:lang w:val="he-IL"/>
        </w:rPr>
        <w:t xml:space="preserve"> כי ניתן יהיה להיפרע ממנו סכומים מסוימים בשל עיסוקיו השונים כפי שהתגלו. לפי הטענה, ההסדר נועד כמתווה לסייע לצדדים לאזן בין שיקולי העלות והתועלת בהמשך ניהול תביעת אסולין אך זאת, כל עוד אסולין תחת צו כינוס והצדדים היו כפופים לדיני פשיטת הרגל. ההסדר נערך כהליך וולונטרי ואין מקום לכבול את הצדדים או מי מהם להסכמות הדיוניות.</w:t>
      </w:r>
    </w:p>
    <w:p w:rsidR="00A67BFF" w:rsidRDefault="00A67BFF" w:rsidP="00A67BFF">
      <w:pPr>
        <w:spacing w:line="360" w:lineRule="auto"/>
        <w:jc w:val="both"/>
        <w:rPr>
          <w:rFonts w:ascii="David" w:eastAsia="David" w:hAnsi="David"/>
          <w:rtl/>
          <w:lang w:val="he-IL"/>
        </w:rPr>
      </w:pPr>
    </w:p>
    <w:p w:rsidR="00A67BFF" w:rsidRDefault="00A67BFF" w:rsidP="00A81D9E">
      <w:pPr>
        <w:pStyle w:val="ad"/>
        <w:numPr>
          <w:ilvl w:val="0"/>
          <w:numId w:val="1"/>
        </w:numPr>
        <w:spacing w:line="360" w:lineRule="auto"/>
        <w:contextualSpacing w:val="0"/>
        <w:jc w:val="both"/>
        <w:rPr>
          <w:rFonts w:ascii="David" w:eastAsia="David" w:hAnsi="David"/>
          <w:rtl/>
          <w:lang w:val="he-IL"/>
        </w:rPr>
      </w:pPr>
      <w:r>
        <w:rPr>
          <w:rFonts w:ascii="David" w:eastAsia="David" w:hAnsi="David"/>
          <w:rtl/>
          <w:lang w:val="he-IL"/>
        </w:rPr>
        <w:t xml:space="preserve">לטענת אסולין, מנורה מבקשת להשיג יתרון דיוני תוך הצגת מצג שווא ויש לדחות את בקשתה. ההסדר אושר באופן רצוני על ידי באי כוח מנורה שנכחו בדיון, ולא תחת כפיה; המועד להגשת ערעור על ההחלטה כבר חלף; ממצאי החקירות הסמויות, אשר בוצעו מטעם מנורה במשך תקופה ארוכה היו בידיה כבר ביום 9/8/21, דהיינו: עובר לעריכת ההסדר ואם אמנם סברה כי מנורה ממצאי חקירתה נכונים לשיטתה, מדוע מיהרה להגיע להסדר מבלי להמתין להכרעת בית המשפט בהליך פשיטת הרגל (שבסופו של יום קיבל את בקשתה)? אסולין טוען עוד כי מנורה הצליחה להביא לביטולו של הליך פשיטת הרגל, תוך הצגת מצגי שווא או הימנעות מהצגת האמת. עוד לטענת אסולין, במסגרת תביעת מנורה נחקר בין היתר מנהל במנורה ומעדותו עלה (כלשון אסולין) כי הוא </w:t>
      </w:r>
      <w:r>
        <w:rPr>
          <w:rFonts w:ascii="David" w:eastAsia="David" w:hAnsi="David"/>
          <w:b/>
          <w:bCs/>
          <w:rtl/>
          <w:lang w:val="he-IL"/>
        </w:rPr>
        <w:t>"</w:t>
      </w:r>
      <w:r>
        <w:rPr>
          <w:rFonts w:ascii="David" w:eastAsia="David" w:hAnsi="David"/>
          <w:rtl/>
          <w:lang w:val="he-IL"/>
        </w:rPr>
        <w:t>דרש שוחד בסך 500,000 ₪ מהתובע</w:t>
      </w:r>
      <w:r>
        <w:rPr>
          <w:rFonts w:ascii="David" w:eastAsia="David" w:hAnsi="David"/>
          <w:b/>
          <w:bCs/>
          <w:rtl/>
          <w:lang w:val="he-IL"/>
        </w:rPr>
        <w:t xml:space="preserve"> </w:t>
      </w:r>
      <w:r>
        <w:rPr>
          <w:rFonts w:ascii="David" w:eastAsia="David" w:hAnsi="David"/>
          <w:rtl/>
          <w:lang w:val="he-IL"/>
        </w:rPr>
        <w:t>[אסולין]</w:t>
      </w:r>
      <w:r>
        <w:rPr>
          <w:rFonts w:ascii="David" w:eastAsia="David" w:hAnsi="David"/>
          <w:b/>
          <w:bCs/>
          <w:rtl/>
          <w:lang w:val="he-IL"/>
        </w:rPr>
        <w:t>"</w:t>
      </w:r>
      <w:r>
        <w:rPr>
          <w:rFonts w:ascii="David" w:eastAsia="David" w:hAnsi="David"/>
          <w:rtl/>
          <w:lang w:val="he-IL"/>
        </w:rPr>
        <w:t>. עוד הוא מציין ש</w:t>
      </w:r>
      <w:r w:rsidR="00A81D9E">
        <w:rPr>
          <w:rFonts w:ascii="David" w:eastAsia="David" w:hAnsi="David" w:hint="cs"/>
          <w:rtl/>
          <w:lang w:val="he-IL"/>
        </w:rPr>
        <w:t xml:space="preserve">אותו מנהל </w:t>
      </w:r>
      <w:r>
        <w:rPr>
          <w:rFonts w:ascii="David" w:eastAsia="David" w:hAnsi="David"/>
          <w:rtl/>
          <w:lang w:val="he-IL"/>
        </w:rPr>
        <w:t>העיד כי סכום של 8.5 מיליון ₪ לא ניתן לאסולין כהלוואה, אלא מנורה הפיקה חשבונית שלילית שבה זוכה אסולין בסכום המע"מ, אבל היא יוצרת לו חיוב פיקטיבי בהנהלת חשבונות. אליבא דאסולין</w:t>
      </w:r>
      <w:r w:rsidR="00A81D9E">
        <w:rPr>
          <w:rFonts w:ascii="David" w:eastAsia="David" w:hAnsi="David" w:hint="cs"/>
          <w:rtl/>
          <w:lang w:val="he-IL"/>
        </w:rPr>
        <w:t>,</w:t>
      </w:r>
      <w:r>
        <w:rPr>
          <w:rFonts w:ascii="David" w:eastAsia="David" w:hAnsi="David"/>
          <w:rtl/>
          <w:lang w:val="he-IL"/>
        </w:rPr>
        <w:t xml:space="preserve"> הצהרה זו "סיימה" למעשה את תביעת מנורה.</w:t>
      </w:r>
    </w:p>
    <w:p w:rsidR="00A67BFF" w:rsidRPr="00BE09D1" w:rsidRDefault="00A67BFF" w:rsidP="00BE09D1">
      <w:pPr>
        <w:spacing w:line="360" w:lineRule="auto"/>
        <w:jc w:val="both"/>
        <w:rPr>
          <w:rFonts w:ascii="David" w:eastAsia="David" w:hAnsi="David"/>
          <w:rtl/>
          <w:lang w:val="he-IL"/>
        </w:rPr>
      </w:pPr>
    </w:p>
    <w:p w:rsidR="00A67BFF" w:rsidRDefault="00A67BFF" w:rsidP="001869D5">
      <w:pPr>
        <w:pStyle w:val="ad"/>
        <w:numPr>
          <w:ilvl w:val="0"/>
          <w:numId w:val="1"/>
        </w:numPr>
        <w:spacing w:line="360" w:lineRule="auto"/>
        <w:contextualSpacing w:val="0"/>
        <w:jc w:val="both"/>
        <w:rPr>
          <w:rFonts w:ascii="David" w:eastAsia="David" w:hAnsi="David"/>
          <w:rtl/>
          <w:lang w:val="he-IL"/>
        </w:rPr>
      </w:pPr>
      <w:r>
        <w:rPr>
          <w:rFonts w:ascii="David" w:eastAsia="David" w:hAnsi="David"/>
          <w:rtl/>
          <w:lang w:val="he-IL"/>
        </w:rPr>
        <w:t>בהיתר בית המשפט הגישה מנורה תגובה לתשובה</w:t>
      </w:r>
      <w:r w:rsidR="001869D5">
        <w:rPr>
          <w:rFonts w:ascii="David" w:eastAsia="David" w:hAnsi="David" w:hint="cs"/>
          <w:rtl/>
          <w:lang w:val="he-IL"/>
        </w:rPr>
        <w:t>,</w:t>
      </w:r>
      <w:r>
        <w:rPr>
          <w:rFonts w:ascii="David" w:eastAsia="David" w:hAnsi="David"/>
          <w:rtl/>
          <w:lang w:val="he-IL"/>
        </w:rPr>
        <w:t xml:space="preserve"> ב</w:t>
      </w:r>
      <w:r w:rsidR="001869D5">
        <w:rPr>
          <w:rFonts w:ascii="David" w:eastAsia="David" w:hAnsi="David" w:hint="cs"/>
          <w:rtl/>
          <w:lang w:val="he-IL"/>
        </w:rPr>
        <w:t>מסגרתה</w:t>
      </w:r>
      <w:r>
        <w:rPr>
          <w:rFonts w:ascii="David" w:eastAsia="David" w:hAnsi="David"/>
          <w:rtl/>
          <w:lang w:val="he-IL"/>
        </w:rPr>
        <w:t xml:space="preserve"> שבה וטענה, בין השאר, כי לא ניתן היה לדעת בעת אישור ההסדר כיצד תוכרע הבקשה שהגישה לביטול הליכי פשיטת הרגל של אסולין; וכי אסולין הגיש במסגרת הליך פשיטת הרגל תצהיר שבו נכללו נתונים חדשים שלא היו בידיעתה. מנורה טענה עוד כי משעה שניתנה החלטת בית המשפט לביטול הליך פשיטת הרגל </w:t>
      </w:r>
      <w:r w:rsidR="001869D5">
        <w:rPr>
          <w:rFonts w:ascii="David" w:eastAsia="David" w:hAnsi="David" w:hint="cs"/>
          <w:rtl/>
          <w:lang w:val="he-IL"/>
        </w:rPr>
        <w:t>תוך ש</w:t>
      </w:r>
      <w:r>
        <w:rPr>
          <w:rFonts w:ascii="David" w:eastAsia="David" w:hAnsi="David"/>
          <w:rtl/>
          <w:lang w:val="he-IL"/>
        </w:rPr>
        <w:t>נקבעו ממצאים חמורים ובין היתר, כי אסולין הוא אדם לא אמין הפועל בשיטות הסתרה ומרמה, ומבריח נכסים וזכויות מנושיו, המשליכים אף הם על אומד דעתה</w:t>
      </w:r>
      <w:r w:rsidR="001869D5">
        <w:rPr>
          <w:rFonts w:ascii="David" w:eastAsia="David" w:hAnsi="David" w:hint="cs"/>
          <w:rtl/>
          <w:lang w:val="he-IL"/>
        </w:rPr>
        <w:t xml:space="preserve"> -</w:t>
      </w:r>
      <w:r>
        <w:rPr>
          <w:rFonts w:ascii="David" w:eastAsia="David" w:hAnsi="David"/>
          <w:rtl/>
          <w:lang w:val="he-IL"/>
        </w:rPr>
        <w:t xml:space="preserve"> קמה לה זכות לכלכל מחדש את צעדיה הדיוניים בתביעה כאן. כן טענה כי ככל שסבור אסולין כי תביעת מנורה תידחה, ממילא לפי ההסדר יש לחדש את התביעה </w:t>
      </w:r>
      <w:r>
        <w:rPr>
          <w:rFonts w:ascii="David" w:eastAsia="David" w:hAnsi="David"/>
          <w:rtl/>
          <w:lang w:val="he-IL"/>
        </w:rPr>
        <w:lastRenderedPageBreak/>
        <w:t>בהליך דנן ללא זכות קיזוז וכל צד שומר על טענותיו. מנורה טענה עוד כי אין היא משיגה כל יתרון דיוני בביטול ההסדר, שאין בו אלא כדי להביא לחידוש ההליך מהמקום בו עוכב.</w:t>
      </w:r>
    </w:p>
    <w:p w:rsidR="00A67BFF" w:rsidRDefault="00A67BFF" w:rsidP="00A67BFF">
      <w:pPr>
        <w:spacing w:line="360" w:lineRule="auto"/>
        <w:jc w:val="both"/>
        <w:rPr>
          <w:rFonts w:ascii="David" w:eastAsia="David" w:hAnsi="David"/>
          <w:rtl/>
          <w:lang w:val="he-IL"/>
        </w:rPr>
      </w:pPr>
    </w:p>
    <w:p w:rsidR="00A67BFF" w:rsidRDefault="00A67BFF" w:rsidP="00A67BFF">
      <w:pPr>
        <w:ind w:left="84"/>
        <w:jc w:val="both"/>
        <w:rPr>
          <w:rFonts w:ascii="David" w:eastAsia="David" w:hAnsi="David"/>
          <w:b/>
          <w:bCs/>
          <w:u w:val="single"/>
          <w:rtl/>
          <w:lang w:val="he-IL"/>
        </w:rPr>
      </w:pPr>
      <w:r>
        <w:rPr>
          <w:rFonts w:ascii="David" w:eastAsia="David" w:hAnsi="David"/>
          <w:b/>
          <w:bCs/>
          <w:u w:val="single"/>
          <w:rtl/>
          <w:lang w:val="he-IL"/>
        </w:rPr>
        <w:t>דיון והכרעה</w:t>
      </w:r>
    </w:p>
    <w:p w:rsidR="00A67BFF" w:rsidRDefault="00A67BFF" w:rsidP="00A67BFF">
      <w:pPr>
        <w:ind w:left="509" w:hanging="425"/>
        <w:jc w:val="both"/>
        <w:rPr>
          <w:rFonts w:ascii="David" w:eastAsia="David" w:hAnsi="David"/>
          <w:rtl/>
          <w:lang w:val="he-IL"/>
        </w:rPr>
      </w:pPr>
    </w:p>
    <w:p w:rsidR="00A67BFF" w:rsidRDefault="00A67BFF" w:rsidP="00A67BFF">
      <w:pPr>
        <w:pStyle w:val="ad"/>
        <w:numPr>
          <w:ilvl w:val="0"/>
          <w:numId w:val="1"/>
        </w:numPr>
        <w:spacing w:line="360" w:lineRule="auto"/>
        <w:contextualSpacing w:val="0"/>
        <w:jc w:val="both"/>
        <w:rPr>
          <w:rFonts w:ascii="David" w:eastAsia="David" w:hAnsi="David"/>
          <w:rtl/>
          <w:lang w:val="he-IL"/>
        </w:rPr>
      </w:pPr>
      <w:r>
        <w:rPr>
          <w:rFonts w:ascii="David" w:eastAsia="David" w:hAnsi="David"/>
          <w:rtl/>
          <w:lang w:val="he-IL"/>
        </w:rPr>
        <w:t>לאחר שעיינתי בטענות הצדדים, אני דוחה את הבקשה.</w:t>
      </w:r>
    </w:p>
    <w:p w:rsidR="00A67BFF" w:rsidRDefault="00A67BFF" w:rsidP="00A67BFF">
      <w:pPr>
        <w:spacing w:line="360" w:lineRule="auto"/>
        <w:jc w:val="both"/>
        <w:rPr>
          <w:rFonts w:ascii="David" w:eastAsia="David" w:hAnsi="David"/>
          <w:rtl/>
          <w:lang w:bidi="ar-SA"/>
        </w:rPr>
      </w:pPr>
    </w:p>
    <w:p w:rsidR="00A67BFF" w:rsidRDefault="00A67BFF" w:rsidP="004847AA">
      <w:pPr>
        <w:pStyle w:val="ad"/>
        <w:numPr>
          <w:ilvl w:val="0"/>
          <w:numId w:val="1"/>
        </w:numPr>
        <w:spacing w:line="360" w:lineRule="auto"/>
        <w:contextualSpacing w:val="0"/>
        <w:jc w:val="both"/>
        <w:rPr>
          <w:rFonts w:ascii="David" w:eastAsia="David" w:hAnsi="David"/>
          <w:rtl/>
          <w:lang w:val="he-IL"/>
        </w:rPr>
      </w:pPr>
      <w:r>
        <w:rPr>
          <w:rFonts w:ascii="David" w:eastAsia="David" w:hAnsi="David"/>
          <w:rtl/>
          <w:lang w:val="he-IL"/>
        </w:rPr>
        <w:t>עסקינן בבקשה לביטול הסדר שכונה על ידי מנורה כ"הסדר דיוני" אשר ניתן לו תוקף של החלטה על ידי בית המשפט המחוזי בבאר שבע</w:t>
      </w:r>
      <w:r w:rsidR="00BE09D1">
        <w:rPr>
          <w:rFonts w:ascii="David" w:eastAsia="David" w:hAnsi="David" w:hint="cs"/>
          <w:rtl/>
          <w:lang w:val="he-IL"/>
        </w:rPr>
        <w:t>,</w:t>
      </w:r>
      <w:r>
        <w:rPr>
          <w:rFonts w:ascii="David" w:eastAsia="David" w:hAnsi="David"/>
          <w:rtl/>
          <w:lang w:val="he-IL"/>
        </w:rPr>
        <w:t xml:space="preserve"> בדיון שהתקיים במעמד באי כוח הצדדים. לטענת מנורה, חל שינוי נסיבות מהותי אשר מצדיק את ביטול ההסדר, בדמות החלטת בית המשפט של פשיטת רגל לבטל את הליך פשיטת הרגל של אסולין. לטענת מנורה, בכך חל שינוי משמעותי אשר יש בו כדי לשנות לחלוטין את מארג השיקולים הנוגעים ליכולתה של מנורה להיפרע מאסולין ומצדיק מבחינת מנורה לשאת בעלויות הגנתה בתביעת אסולין. </w:t>
      </w:r>
      <w:r w:rsidR="001869D5">
        <w:rPr>
          <w:rFonts w:ascii="David" w:eastAsia="David" w:hAnsi="David" w:hint="cs"/>
          <w:rtl/>
          <w:lang w:val="he-IL"/>
        </w:rPr>
        <w:t>חל שינוי בשיקולי עלות-תועלת שעמדו ביסוד הסכמתה להסדר ו</w:t>
      </w:r>
      <w:r>
        <w:rPr>
          <w:rFonts w:ascii="David" w:eastAsia="David" w:hAnsi="David"/>
          <w:rtl/>
          <w:lang w:val="he-IL"/>
        </w:rPr>
        <w:t xml:space="preserve">משכך, מוצדק לשיטתה, להורות על ביטול ההסדר. </w:t>
      </w:r>
    </w:p>
    <w:p w:rsidR="00A67BFF" w:rsidRDefault="00A67BFF" w:rsidP="00A67BFF">
      <w:pPr>
        <w:spacing w:line="360" w:lineRule="auto"/>
        <w:jc w:val="both"/>
        <w:rPr>
          <w:rFonts w:ascii="David" w:eastAsia="David" w:hAnsi="David"/>
          <w:rtl/>
          <w:lang w:val="he-IL"/>
        </w:rPr>
      </w:pPr>
    </w:p>
    <w:p w:rsidR="00A67BFF" w:rsidRDefault="00A67BFF" w:rsidP="001869D5">
      <w:pPr>
        <w:pStyle w:val="ad"/>
        <w:numPr>
          <w:ilvl w:val="0"/>
          <w:numId w:val="1"/>
        </w:numPr>
        <w:spacing w:line="360" w:lineRule="auto"/>
        <w:contextualSpacing w:val="0"/>
        <w:jc w:val="both"/>
        <w:rPr>
          <w:rFonts w:ascii="David" w:eastAsia="David" w:hAnsi="David"/>
          <w:rtl/>
          <w:lang w:val="he-IL"/>
        </w:rPr>
      </w:pPr>
      <w:r>
        <w:rPr>
          <w:rFonts w:ascii="David" w:eastAsia="David" w:hAnsi="David"/>
          <w:rtl/>
          <w:lang w:val="he-IL"/>
        </w:rPr>
        <w:t xml:space="preserve">אין בידי לקבל טענתה זו של מנורה. סבורני כי אין מדובר בשינוי נסיבות שיש בו כדי להצדיק ביטולו של ההסדר. לכל היותר, מדובר בחוסר כדאיות כלכלית של ההסדר מנקודת המבט (המאוחרת) של מנורה. ביטולו של הליך פשיטת הרגל הוא סיכון שמנורה נטלה על עצמה במודע, שהרי לעת גיבוש ההסדר ומתן תוקף של החלטה להסדר </w:t>
      </w:r>
      <w:r w:rsidR="001869D5">
        <w:rPr>
          <w:rFonts w:ascii="David" w:eastAsia="David" w:hAnsi="David" w:hint="cs"/>
          <w:rtl/>
          <w:lang w:val="he-IL"/>
        </w:rPr>
        <w:t xml:space="preserve">על ידי </w:t>
      </w:r>
      <w:r>
        <w:rPr>
          <w:rFonts w:ascii="David" w:eastAsia="David" w:hAnsi="David"/>
          <w:rtl/>
          <w:lang w:val="he-IL"/>
        </w:rPr>
        <w:t xml:space="preserve">בית המשפט, הייתה תלויה ועומדת בקשתה-שלה לביטול הליך פשיטת הרגל. משהתקבלה בקשתה, אין מנורה יכולה להיתלות בהחלטה על ביטול הליך פשיטת הרגל של אסולין כדי לבטל את ההסדר. על אחת כמה וכמה כשהחלטה זו נשענת ביסודה ובעיקרה על בקשתה של מנורה ועל המידע שמסרה </w:t>
      </w:r>
      <w:r w:rsidR="001869D5">
        <w:rPr>
          <w:rFonts w:ascii="David" w:eastAsia="David" w:hAnsi="David" w:hint="cs"/>
          <w:rtl/>
          <w:lang w:val="he-IL"/>
        </w:rPr>
        <w:t xml:space="preserve">היא </w:t>
      </w:r>
      <w:r>
        <w:rPr>
          <w:rFonts w:ascii="David" w:eastAsia="David" w:hAnsi="David"/>
          <w:rtl/>
          <w:lang w:val="he-IL"/>
        </w:rPr>
        <w:t>בבקש</w:t>
      </w:r>
      <w:r w:rsidR="001869D5">
        <w:rPr>
          <w:rFonts w:ascii="David" w:eastAsia="David" w:hAnsi="David" w:hint="cs"/>
          <w:rtl/>
          <w:lang w:val="he-IL"/>
        </w:rPr>
        <w:t>ת</w:t>
      </w:r>
      <w:r>
        <w:rPr>
          <w:rFonts w:ascii="David" w:eastAsia="David" w:hAnsi="David"/>
          <w:rtl/>
          <w:lang w:val="he-IL"/>
        </w:rPr>
        <w:t xml:space="preserve">ה. </w:t>
      </w:r>
      <w:r>
        <w:rPr>
          <w:rFonts w:ascii="David" w:eastAsia="David" w:hAnsi="David"/>
          <w:rtl/>
          <w:lang w:val="he-IL"/>
        </w:rPr>
        <w:tab/>
      </w:r>
      <w:r>
        <w:rPr>
          <w:rFonts w:ascii="David" w:eastAsia="David" w:hAnsi="David"/>
          <w:rtl/>
          <w:lang w:val="he-IL"/>
        </w:rPr>
        <w:br/>
        <w:t>להלן אבאר הדברים.</w:t>
      </w:r>
    </w:p>
    <w:p w:rsidR="00A67BFF" w:rsidRDefault="00A67BFF" w:rsidP="00A67BFF">
      <w:pPr>
        <w:spacing w:line="360" w:lineRule="auto"/>
        <w:jc w:val="both"/>
        <w:rPr>
          <w:rFonts w:ascii="David" w:eastAsia="David" w:hAnsi="David"/>
          <w:rtl/>
          <w:lang w:val="he-IL"/>
        </w:rPr>
      </w:pPr>
    </w:p>
    <w:p w:rsidR="006D162F" w:rsidRDefault="00A67BFF" w:rsidP="0063009A">
      <w:pPr>
        <w:pStyle w:val="ad"/>
        <w:numPr>
          <w:ilvl w:val="0"/>
          <w:numId w:val="1"/>
        </w:numPr>
        <w:spacing w:line="360" w:lineRule="auto"/>
        <w:contextualSpacing w:val="0"/>
        <w:jc w:val="both"/>
        <w:rPr>
          <w:rFonts w:ascii="David" w:eastAsia="David" w:hAnsi="David"/>
          <w:rtl/>
          <w:lang w:val="he-IL"/>
        </w:rPr>
      </w:pPr>
      <w:r w:rsidRPr="00BE09D1">
        <w:rPr>
          <w:rFonts w:ascii="David" w:eastAsia="David" w:hAnsi="David"/>
          <w:rtl/>
          <w:lang w:val="he-IL"/>
        </w:rPr>
        <w:t xml:space="preserve">תחילה אעיר, כי הבקשה הוכתרה כ"בקשה לביטול הסדר דיוני", אך נדמה כי אין מדובר בהסדר דיוני "טהור". ככלל, ניתן לומר, כי הסדר דיוני, הוא כזה הנוגע לאופן בירור המחלוקת או לדרך יישוב הסכסוך </w:t>
      </w:r>
      <w:r w:rsidRPr="00BE09D1">
        <w:rPr>
          <w:rFonts w:ascii="David" w:eastAsia="David" w:hAnsi="David"/>
          <w:rtl/>
          <w:lang w:val="he-IL"/>
        </w:rPr>
        <w:lastRenderedPageBreak/>
        <w:t>ולדרכי ההוכחה; זאת, להבדיל מהסדר שעניינו סיום המחלוקת כולה או חלקה לגופה. ככלל, בקשות לאישור או לביטול הסדר דיוני שקיבל תוקף של החלטה</w:t>
      </w:r>
      <w:r w:rsidR="0063009A">
        <w:rPr>
          <w:rFonts w:ascii="David" w:eastAsia="David" w:hAnsi="David" w:hint="cs"/>
          <w:rtl/>
          <w:lang w:val="he-IL"/>
        </w:rPr>
        <w:t>,</w:t>
      </w:r>
      <w:r w:rsidRPr="00BE09D1">
        <w:rPr>
          <w:rFonts w:ascii="David" w:eastAsia="David" w:hAnsi="David"/>
          <w:rtl/>
          <w:lang w:val="he-IL"/>
        </w:rPr>
        <w:t xml:space="preserve"> </w:t>
      </w:r>
      <w:r w:rsidR="006D162F">
        <w:rPr>
          <w:rFonts w:ascii="David" w:eastAsia="David" w:hAnsi="David" w:hint="cs"/>
          <w:rtl/>
          <w:lang w:val="he-IL"/>
        </w:rPr>
        <w:t>הן</w:t>
      </w:r>
      <w:r w:rsidR="001869D5">
        <w:rPr>
          <w:rFonts w:ascii="David" w:eastAsia="David" w:hAnsi="David" w:hint="cs"/>
          <w:rtl/>
          <w:lang w:val="he-IL"/>
        </w:rPr>
        <w:t xml:space="preserve"> </w:t>
      </w:r>
      <w:r w:rsidRPr="00BE09D1">
        <w:rPr>
          <w:rFonts w:ascii="David" w:eastAsia="David" w:hAnsi="David"/>
          <w:rtl/>
          <w:lang w:val="he-IL"/>
        </w:rPr>
        <w:t>חלק בלתי נפרד מההליך ומתבררות בגדרו</w:t>
      </w:r>
      <w:r w:rsidR="001869D5">
        <w:rPr>
          <w:rFonts w:ascii="David" w:eastAsia="David" w:hAnsi="David" w:hint="cs"/>
          <w:rtl/>
          <w:lang w:val="he-IL"/>
        </w:rPr>
        <w:t>,</w:t>
      </w:r>
      <w:r w:rsidRPr="00BE09D1">
        <w:rPr>
          <w:rFonts w:ascii="David" w:eastAsia="David" w:hAnsi="David"/>
          <w:rtl/>
          <w:lang w:val="he-IL"/>
        </w:rPr>
        <w:t xml:space="preserve"> בתוקף סמכותו ושיקול דעתו של בית המשפט שההליך מתנהל לפניו (ככל שלא מדובר בפגם ברכיב השיפוטי המצדיק הליך ערעורי). </w:t>
      </w:r>
      <w:r w:rsidR="0063009A">
        <w:rPr>
          <w:rFonts w:ascii="David" w:eastAsia="David" w:hAnsi="David" w:hint="cs"/>
          <w:rtl/>
          <w:lang w:val="he-IL"/>
        </w:rPr>
        <w:t xml:space="preserve">משכך, </w:t>
      </w:r>
      <w:r w:rsidRPr="00BE09D1">
        <w:rPr>
          <w:rFonts w:ascii="David" w:eastAsia="David" w:hAnsi="David"/>
          <w:rtl/>
          <w:lang w:val="he-IL"/>
        </w:rPr>
        <w:t xml:space="preserve">לבית המשפט שיקול דעת ביחס לאישור ההסדר </w:t>
      </w:r>
      <w:r w:rsidR="00BE09D1" w:rsidRPr="00BE09D1">
        <w:rPr>
          <w:rFonts w:ascii="David" w:eastAsia="David" w:hAnsi="David" w:hint="cs"/>
          <w:rtl/>
          <w:lang w:val="he-IL"/>
        </w:rPr>
        <w:t>ש</w:t>
      </w:r>
      <w:r w:rsidRPr="00BE09D1">
        <w:rPr>
          <w:rFonts w:ascii="David" w:eastAsia="David" w:hAnsi="David"/>
          <w:rtl/>
          <w:lang w:val="he-IL"/>
        </w:rPr>
        <w:t>אליו הגיעו הצדדים או ביטולו</w:t>
      </w:r>
      <w:r w:rsidR="0063009A">
        <w:rPr>
          <w:rFonts w:ascii="David" w:eastAsia="David" w:hAnsi="David" w:hint="cs"/>
          <w:rtl/>
          <w:lang w:val="he-IL"/>
        </w:rPr>
        <w:t>,</w:t>
      </w:r>
      <w:r w:rsidR="006D162F">
        <w:rPr>
          <w:rFonts w:ascii="David" w:eastAsia="David" w:hAnsi="David" w:hint="cs"/>
          <w:rtl/>
          <w:lang w:val="he-IL"/>
        </w:rPr>
        <w:t xml:space="preserve"> וההחלטות בעניין זה הן בבחינת "החלטות ביניים"</w:t>
      </w:r>
      <w:r w:rsidRPr="00BE09D1">
        <w:rPr>
          <w:rFonts w:ascii="David" w:eastAsia="David" w:hAnsi="David"/>
          <w:rtl/>
          <w:lang w:val="he-IL"/>
        </w:rPr>
        <w:t>. כשמדובר בבקשה לביטול הסדר דיוני על בית</w:t>
      </w:r>
      <w:r w:rsidR="00BE09D1" w:rsidRPr="00BE09D1">
        <w:rPr>
          <w:rFonts w:ascii="David" w:eastAsia="David" w:hAnsi="David" w:hint="cs"/>
          <w:rtl/>
          <w:lang w:val="he-IL"/>
        </w:rPr>
        <w:t xml:space="preserve"> </w:t>
      </w:r>
      <w:r w:rsidRPr="00BE09D1">
        <w:rPr>
          <w:rFonts w:ascii="David" w:eastAsia="David" w:hAnsi="David"/>
          <w:rtl/>
          <w:lang w:val="he-IL"/>
        </w:rPr>
        <w:t xml:space="preserve">המשפט לבחון, בין היתר, אם יש בהסדר הדיוני כדי למנוע מבית המשפט למלא את תפקידו. לעומת זאת, בקשה לביטול הסכם שקיבל תוקף של פסק דין, מתבררת ככלל, כתובענה עצמאית לביטול ההסכם (אם עניינה בפגם חוזי) או על דרך ערעור (אם הפגם בהיבט השיפוטי). </w:t>
      </w:r>
    </w:p>
    <w:p w:rsidR="006D162F" w:rsidRPr="0063009A" w:rsidRDefault="006D162F" w:rsidP="0063009A">
      <w:pPr>
        <w:spacing w:line="360" w:lineRule="auto"/>
        <w:jc w:val="both"/>
        <w:rPr>
          <w:rFonts w:ascii="David" w:eastAsia="David" w:hAnsi="David"/>
          <w:rtl/>
          <w:lang w:val="he-IL"/>
        </w:rPr>
      </w:pPr>
    </w:p>
    <w:p w:rsidR="00A67BFF" w:rsidRPr="006D162F" w:rsidRDefault="00A67BFF" w:rsidP="004847AA">
      <w:pPr>
        <w:pStyle w:val="ad"/>
        <w:numPr>
          <w:ilvl w:val="0"/>
          <w:numId w:val="1"/>
        </w:numPr>
        <w:spacing w:line="360" w:lineRule="auto"/>
        <w:contextualSpacing w:val="0"/>
        <w:jc w:val="both"/>
        <w:rPr>
          <w:rFonts w:ascii="David" w:eastAsia="David" w:hAnsi="David"/>
          <w:rtl/>
          <w:lang w:val="he-IL"/>
        </w:rPr>
      </w:pPr>
      <w:r w:rsidRPr="006D162F">
        <w:rPr>
          <w:rFonts w:ascii="David" w:eastAsia="David" w:hAnsi="David"/>
          <w:rtl/>
          <w:lang w:val="he-IL"/>
        </w:rPr>
        <w:t xml:space="preserve">קו הגבול בין הדיוני למהותי בהגדרת טיבה של ההסכמה שאושרה </w:t>
      </w:r>
      <w:r w:rsidR="004847AA">
        <w:rPr>
          <w:rFonts w:ascii="David" w:eastAsia="David" w:hAnsi="David" w:hint="cs"/>
          <w:rtl/>
          <w:lang w:val="he-IL"/>
        </w:rPr>
        <w:t xml:space="preserve">על ידי </w:t>
      </w:r>
      <w:r w:rsidRPr="006D162F">
        <w:rPr>
          <w:rFonts w:ascii="David" w:eastAsia="David" w:hAnsi="David"/>
          <w:rtl/>
          <w:lang w:val="he-IL"/>
        </w:rPr>
        <w:t>בית המשפט, אינו תמיד חד וברור. הסכמות הצדדים המגדרות או מצמצמות את המחלוקת עשויות לשקף גם ויתור או פשרה מהותית, ולא רק הסדר דיוני.</w:t>
      </w:r>
      <w:r w:rsidR="00542512" w:rsidRPr="006D162F">
        <w:rPr>
          <w:rFonts w:ascii="David" w:eastAsia="David" w:hAnsi="David" w:hint="cs"/>
          <w:rtl/>
          <w:lang w:val="he-IL"/>
        </w:rPr>
        <w:t xml:space="preserve"> ב</w:t>
      </w:r>
      <w:r w:rsidRPr="006D162F">
        <w:rPr>
          <w:rFonts w:ascii="David" w:eastAsia="David" w:hAnsi="David"/>
          <w:rtl/>
          <w:lang w:val="he-IL"/>
        </w:rPr>
        <w:t>ענייננו,</w:t>
      </w:r>
      <w:r w:rsidR="00542512" w:rsidRPr="006D162F">
        <w:rPr>
          <w:rFonts w:ascii="David" w:eastAsia="David" w:hAnsi="David" w:hint="cs"/>
          <w:rtl/>
          <w:lang w:val="he-IL"/>
        </w:rPr>
        <w:t xml:space="preserve"> </w:t>
      </w:r>
      <w:r w:rsidRPr="006D162F">
        <w:rPr>
          <w:rFonts w:ascii="David" w:eastAsia="David" w:hAnsi="David"/>
          <w:rtl/>
          <w:lang w:val="he-IL"/>
        </w:rPr>
        <w:t>על</w:t>
      </w:r>
      <w:r w:rsidR="00542512" w:rsidRPr="006D162F">
        <w:rPr>
          <w:rFonts w:ascii="David" w:eastAsia="David" w:hAnsi="David" w:hint="cs"/>
          <w:rtl/>
          <w:lang w:val="he-IL"/>
        </w:rPr>
        <w:t xml:space="preserve"> </w:t>
      </w:r>
      <w:r w:rsidRPr="006D162F">
        <w:rPr>
          <w:rFonts w:ascii="David" w:eastAsia="David" w:hAnsi="David"/>
          <w:rtl/>
          <w:lang w:val="he-IL"/>
        </w:rPr>
        <w:t>פניו, ההסדר הוא "הסדר מעורב" ואינו כולל רק עניינים דיוניים (כגון עיכוב הליכים או העברת הדיון מבית המשפט המחוזי בבאר שבע לבית משפט זה). ההסדר אף דומה במהותו לפסק דין מותנה. להזכיר, על פי ההסדר שקיבל תוקף של החלטה, אם מנורה תזכה בתביעתה בסכום העולה על 8,000,000 ₪, חובו של אסולין למנורה יעמוד על סכום פסק הדין בתביעת מנורה בהפחתת 8,000,000 ₪, ובכך יסתיים הליך זה (תביעת אסולין). רק אם מנורה תפסיד בתביעתה או תזכה בה בסכום הנמוך מ- 8,000,000 ₪, תתנהל תביעת אסולין. עם זאת, משעה שלא מצאתי כי בנסיבות העניין יש לסיווג ההסדר משמעות ביחס לשאלה אם יש לאפשר למנורה לחזור בה מן ההסדר ולבטלו, ומשעה ש</w:t>
      </w:r>
      <w:r w:rsidR="00D34EA7" w:rsidRPr="006D162F">
        <w:rPr>
          <w:rFonts w:ascii="David" w:eastAsia="David" w:hAnsi="David" w:hint="cs"/>
          <w:rtl/>
          <w:lang w:val="he-IL"/>
        </w:rPr>
        <w:t>אסולין</w:t>
      </w:r>
      <w:r w:rsidRPr="006D162F">
        <w:rPr>
          <w:rFonts w:ascii="David" w:eastAsia="David" w:hAnsi="David"/>
          <w:rtl/>
          <w:lang w:val="he-IL"/>
        </w:rPr>
        <w:t xml:space="preserve"> לא חלק על סיווג</w:t>
      </w:r>
      <w:r w:rsidR="00D34EA7" w:rsidRPr="006D162F">
        <w:rPr>
          <w:rFonts w:ascii="David" w:eastAsia="David" w:hAnsi="David" w:hint="cs"/>
          <w:rtl/>
          <w:lang w:val="he-IL"/>
        </w:rPr>
        <w:t>ו</w:t>
      </w:r>
      <w:r w:rsidRPr="006D162F">
        <w:rPr>
          <w:rFonts w:ascii="David" w:eastAsia="David" w:hAnsi="David"/>
          <w:rtl/>
          <w:lang w:val="he-IL"/>
        </w:rPr>
        <w:t xml:space="preserve"> של </w:t>
      </w:r>
      <w:r w:rsidR="00D34EA7" w:rsidRPr="006D162F">
        <w:rPr>
          <w:rFonts w:ascii="David" w:eastAsia="David" w:hAnsi="David" w:hint="cs"/>
          <w:rtl/>
          <w:lang w:val="he-IL"/>
        </w:rPr>
        <w:t>ההסדר או על המתווה הנורמטיבי הרלבנטי ל</w:t>
      </w:r>
      <w:r w:rsidR="00907A9E" w:rsidRPr="006D162F">
        <w:rPr>
          <w:rFonts w:ascii="David" w:eastAsia="David" w:hAnsi="David" w:hint="cs"/>
          <w:rtl/>
          <w:lang w:val="he-IL"/>
        </w:rPr>
        <w:t>בחינת ה</w:t>
      </w:r>
      <w:r w:rsidRPr="006D162F">
        <w:rPr>
          <w:rFonts w:ascii="David" w:eastAsia="David" w:hAnsi="David"/>
          <w:rtl/>
          <w:lang w:val="he-IL"/>
        </w:rPr>
        <w:t xml:space="preserve">בקשה והדבר לא לובן בטענות הצדדים - אתייחס לבקשה כבקשה לביטול הסדר דיוני. כאמור, כך או כך, לא מצאתי שחל שינוי נסיבות המאפשר את ביטול ההסדר. </w:t>
      </w:r>
    </w:p>
    <w:p w:rsidR="00A67BFF" w:rsidRDefault="00A67BFF" w:rsidP="00A67BFF">
      <w:pPr>
        <w:spacing w:line="360" w:lineRule="auto"/>
        <w:jc w:val="both"/>
        <w:rPr>
          <w:rFonts w:ascii="David" w:eastAsia="David" w:hAnsi="David"/>
          <w:rtl/>
          <w:lang w:val="he-IL"/>
        </w:rPr>
      </w:pPr>
    </w:p>
    <w:p w:rsidR="00A67BFF" w:rsidRDefault="00A67BFF" w:rsidP="00A67BFF">
      <w:pPr>
        <w:pStyle w:val="ad"/>
        <w:numPr>
          <w:ilvl w:val="0"/>
          <w:numId w:val="1"/>
        </w:numPr>
        <w:spacing w:line="360" w:lineRule="auto"/>
        <w:contextualSpacing w:val="0"/>
        <w:jc w:val="both"/>
        <w:rPr>
          <w:rFonts w:ascii="David" w:eastAsia="David" w:hAnsi="David"/>
          <w:rtl/>
          <w:lang w:val="he-IL"/>
        </w:rPr>
      </w:pPr>
      <w:r>
        <w:rPr>
          <w:rFonts w:ascii="David" w:eastAsia="David" w:hAnsi="David"/>
          <w:rtl/>
          <w:lang w:val="he-IL"/>
        </w:rPr>
        <w:t>אין חולק כי גם להסדר דיוני היבט הסכמי וכי ביטולו בהיתר בית המשפט, הוא בבחינת החריג לכלל המחייב כיבוד ההסכמות שניתן להן תוקף של החלטה; וכי (כלשון הפסיקה להלן) דרושים "עילה של ממש", "טעמים של צדק", "טעם מבורר"</w:t>
      </w:r>
      <w:r w:rsidR="00D14839">
        <w:rPr>
          <w:rFonts w:ascii="David" w:eastAsia="David" w:hAnsi="David" w:hint="cs"/>
          <w:rtl/>
          <w:lang w:val="he-IL"/>
        </w:rPr>
        <w:t>, "שינוי נסיבות מהותי היורד לשורש ההסכמה"</w:t>
      </w:r>
      <w:r>
        <w:rPr>
          <w:rFonts w:ascii="David" w:eastAsia="David" w:hAnsi="David"/>
          <w:rtl/>
          <w:lang w:val="he-IL"/>
        </w:rPr>
        <w:t xml:space="preserve"> או עילה חוזית מבוררת (כגון פגם ברצון או העדר גמירות דעת), שיצדיקו את ביטולו</w:t>
      </w:r>
      <w:r w:rsidR="00907A9E">
        <w:rPr>
          <w:rFonts w:ascii="David" w:eastAsia="David" w:hAnsi="David" w:hint="cs"/>
          <w:rtl/>
          <w:lang w:val="he-IL"/>
        </w:rPr>
        <w:t xml:space="preserve"> על ידי בית המשפט</w:t>
      </w:r>
      <w:r>
        <w:rPr>
          <w:rFonts w:ascii="David" w:eastAsia="David" w:hAnsi="David"/>
          <w:rtl/>
          <w:lang w:val="he-IL"/>
        </w:rPr>
        <w:t xml:space="preserve">. </w:t>
      </w:r>
    </w:p>
    <w:p w:rsidR="00A67BFF" w:rsidRDefault="00A67BFF" w:rsidP="00A67BFF">
      <w:pPr>
        <w:spacing w:line="360" w:lineRule="auto"/>
        <w:jc w:val="both"/>
        <w:rPr>
          <w:rFonts w:ascii="David" w:eastAsia="David" w:hAnsi="David"/>
          <w:rtl/>
          <w:lang w:val="he-IL"/>
        </w:rPr>
      </w:pPr>
    </w:p>
    <w:p w:rsidR="00A67BFF" w:rsidRDefault="00A67BFF" w:rsidP="00E86A15">
      <w:pPr>
        <w:pStyle w:val="ad"/>
        <w:numPr>
          <w:ilvl w:val="0"/>
          <w:numId w:val="1"/>
        </w:numPr>
        <w:spacing w:line="360" w:lineRule="auto"/>
        <w:contextualSpacing w:val="0"/>
        <w:jc w:val="both"/>
        <w:rPr>
          <w:rFonts w:ascii="David" w:eastAsia="David" w:hAnsi="David"/>
          <w:rtl/>
          <w:lang w:val="he-IL"/>
        </w:rPr>
      </w:pPr>
      <w:r>
        <w:rPr>
          <w:rFonts w:ascii="David" w:eastAsia="David" w:hAnsi="David"/>
          <w:rtl/>
          <w:lang w:val="he-IL"/>
        </w:rPr>
        <w:t xml:space="preserve">בטיעוניה הפנתה מנורה לפסק הדין בע"א 595/78 </w:t>
      </w:r>
      <w:r>
        <w:rPr>
          <w:rFonts w:ascii="David" w:eastAsia="David" w:hAnsi="David"/>
          <w:b/>
          <w:bCs/>
          <w:rtl/>
          <w:lang w:val="he-IL"/>
        </w:rPr>
        <w:t>בלדרמן נ' אורנשטיין</w:t>
      </w:r>
      <w:r>
        <w:rPr>
          <w:rFonts w:ascii="David" w:eastAsia="David" w:hAnsi="David"/>
          <w:rtl/>
          <w:lang w:val="he-IL"/>
        </w:rPr>
        <w:t>, פ"ד לה(1) 467.</w:t>
      </w:r>
      <w:r w:rsidR="004D5242">
        <w:rPr>
          <w:rFonts w:ascii="David" w:eastAsia="David" w:hAnsi="David" w:hint="cs"/>
          <w:rtl/>
          <w:lang w:val="he-IL"/>
        </w:rPr>
        <w:t xml:space="preserve"> </w:t>
      </w:r>
      <w:r>
        <w:rPr>
          <w:rFonts w:ascii="David" w:eastAsia="David" w:hAnsi="David"/>
          <w:rtl/>
          <w:lang w:val="he-IL"/>
        </w:rPr>
        <w:t xml:space="preserve">באותו עניין הסכימו הצדדים שלא לחקור את הרופאים שערכו חוות דעת מטעמם. בית המשפט </w:t>
      </w:r>
      <w:r w:rsidR="00E86A15">
        <w:rPr>
          <w:rFonts w:ascii="David" w:eastAsia="David" w:hAnsi="David" w:hint="cs"/>
          <w:rtl/>
          <w:lang w:val="he-IL"/>
        </w:rPr>
        <w:t xml:space="preserve">העליון </w:t>
      </w:r>
      <w:r>
        <w:rPr>
          <w:rFonts w:ascii="David" w:eastAsia="David" w:hAnsi="David"/>
          <w:rtl/>
          <w:lang w:val="he-IL"/>
        </w:rPr>
        <w:t xml:space="preserve">קבע </w:t>
      </w:r>
      <w:r w:rsidR="00E86A15">
        <w:rPr>
          <w:rStyle w:val="ae"/>
          <w:rFonts w:ascii="David" w:eastAsia="David" w:hAnsi="David"/>
          <w:rtl/>
          <w:lang w:val="he-IL"/>
        </w:rPr>
        <w:t>כי משלא ניתנה החלטה המבטלת את ההסכמה הרי שהיא מחייבת; ולא היה מקום שבית המשפט קמא יתעלם מחוות דעת המומחה מהטעם שהוא לא התייצב לחקירה.</w:t>
      </w:r>
      <w:r w:rsidR="00E86A15">
        <w:rPr>
          <w:rFonts w:ascii="David" w:eastAsia="David" w:hAnsi="David" w:hint="cs"/>
          <w:rtl/>
          <w:lang w:val="he-IL"/>
        </w:rPr>
        <w:t xml:space="preserve"> נקבע כי</w:t>
      </w:r>
      <w:r>
        <w:rPr>
          <w:rFonts w:ascii="David" w:eastAsia="David" w:hAnsi="David"/>
          <w:rtl/>
          <w:lang w:val="he-IL"/>
        </w:rPr>
        <w:t xml:space="preserve"> "</w:t>
      </w:r>
      <w:r>
        <w:rPr>
          <w:rFonts w:ascii="David" w:eastAsia="David" w:hAnsi="David"/>
          <w:b/>
          <w:bCs/>
          <w:rtl/>
          <w:lang w:val="he-IL"/>
        </w:rPr>
        <w:t xml:space="preserve">ההסכם, שעליו מדובר, היה בדבר דרכי הדיון בבית המשפט, ואם כי רשאים בדרך כלל בעלי הדין להסכים על דרך הדיון בעניינים אזרחיים, הרי כל הסכם כזה מטבעו נתון לפיקוחו ולביקורתו של בית המשפט, שבפניו מתבררת התביעה. אותו בית-משפט רשאי להרשות לצד לחזור בו מההסכם, אם קיים טעם לכך. גם אם על הסכם מעין זה חל </w:t>
      </w:r>
      <w:r>
        <w:rPr>
          <w:rStyle w:val="Hyperlink0"/>
          <w:rtl/>
        </w:rPr>
        <w:t>חוק החוזים</w:t>
      </w:r>
      <w:r>
        <w:rPr>
          <w:rStyle w:val="Hyperlink0"/>
          <w:b w:val="0"/>
          <w:bCs w:val="0"/>
          <w:rtl/>
        </w:rPr>
        <w:t xml:space="preserve"> (</w:t>
      </w:r>
      <w:r w:rsidRPr="00775139">
        <w:rPr>
          <w:rStyle w:val="Hyperlink0"/>
          <w:rtl/>
        </w:rPr>
        <w:t>חלק כללי), תשל"ג</w:t>
      </w:r>
      <w:r w:rsidRPr="00775139">
        <w:rPr>
          <w:rStyle w:val="Hyperlink0"/>
          <w:b w:val="0"/>
          <w:bCs w:val="0"/>
          <w:rtl/>
        </w:rPr>
        <w:t>-</w:t>
      </w:r>
      <w:r w:rsidRPr="00775139">
        <w:rPr>
          <w:rStyle w:val="ae"/>
          <w:rFonts w:ascii="David" w:eastAsia="David" w:hAnsi="David"/>
          <w:b/>
          <w:bCs/>
        </w:rPr>
        <w:t>1973</w:t>
      </w:r>
      <w:r w:rsidRPr="00775139">
        <w:rPr>
          <w:rStyle w:val="Hyperlink0"/>
          <w:rFonts w:hint="cs"/>
          <w:b w:val="0"/>
          <w:bCs w:val="0"/>
          <w:rtl/>
        </w:rPr>
        <w:t xml:space="preserve">, </w:t>
      </w:r>
      <w:r w:rsidRPr="00775139">
        <w:rPr>
          <w:rStyle w:val="Hyperlink0"/>
          <w:rFonts w:hint="cs"/>
          <w:rtl/>
        </w:rPr>
        <w:t xml:space="preserve">הרי תחולת אותו חוק יכולה להיות מבוססת אך ורק על הוראת </w:t>
      </w:r>
      <w:hyperlink w:history="1">
        <w:r w:rsidRPr="00775139">
          <w:rPr>
            <w:rStyle w:val="Hyperlink0"/>
            <w:rFonts w:hint="cs"/>
            <w:rtl/>
          </w:rPr>
          <w:t>סעיף 61(ב)</w:t>
        </w:r>
      </w:hyperlink>
      <w:r w:rsidRPr="00775139">
        <w:rPr>
          <w:rStyle w:val="Hyperlink0"/>
          <w:rFonts w:hint="cs"/>
          <w:rtl/>
        </w:rPr>
        <w:t>, שבו נאמר, שהוראות החוק '...</w:t>
      </w:r>
      <w:r w:rsidR="00775139">
        <w:rPr>
          <w:rStyle w:val="Hyperlink0"/>
          <w:rFonts w:hint="cs"/>
          <w:rtl/>
        </w:rPr>
        <w:t xml:space="preserve"> </w:t>
      </w:r>
      <w:r w:rsidRPr="00775139">
        <w:rPr>
          <w:rStyle w:val="Hyperlink0"/>
          <w:rFonts w:hint="cs"/>
          <w:rtl/>
        </w:rPr>
        <w:t>יחולו, ככל שהדבר מתאים לעניין ובשינויים המחויבים, גם על פעולות משפטיות שאינן בבחינת חוזה ועל חיובים שאינם נובעים מחוזה'. אחד 'השינויים המחויבים' מטיבו ומטבעו של הסכם על דרכי הדיון הוא, כי ניתן לשחרר צד מהסכם כזה ברשות בית המשפט</w:t>
      </w:r>
      <w:r>
        <w:rPr>
          <w:rStyle w:val="Hyperlink0"/>
          <w:rFonts w:hint="cs"/>
          <w:b w:val="0"/>
          <w:bCs w:val="0"/>
          <w:rtl/>
        </w:rPr>
        <w:t>״</w:t>
      </w:r>
      <w:r>
        <w:rPr>
          <w:rStyle w:val="ae"/>
          <w:rFonts w:ascii="David" w:eastAsia="David" w:hAnsi="David"/>
          <w:rtl/>
          <w:lang w:val="he-IL"/>
        </w:rPr>
        <w:t xml:space="preserve">. </w:t>
      </w:r>
      <w:r w:rsidR="00E86A15">
        <w:rPr>
          <w:rStyle w:val="ae"/>
          <w:rFonts w:ascii="David" w:eastAsia="David" w:hAnsi="David"/>
          <w:rtl/>
          <w:lang w:val="he-IL"/>
        </w:rPr>
        <w:tab/>
      </w:r>
      <w:r>
        <w:rPr>
          <w:rStyle w:val="ae"/>
          <w:rFonts w:ascii="David" w:eastAsia="David" w:hAnsi="David"/>
          <w:rtl/>
          <w:lang w:val="he-IL"/>
        </w:rPr>
        <w:br/>
      </w:r>
      <w:r>
        <w:rPr>
          <w:rStyle w:val="ae"/>
          <w:rFonts w:ascii="David" w:eastAsia="David" w:hAnsi="David"/>
          <w:rtl/>
          <w:lang w:val="he-IL"/>
        </w:rPr>
        <w:br/>
        <w:t xml:space="preserve">ודוק: "השינויים המחויבים" נדרשים מזווית הראיה של בית המשפט, בשל "טיבו וטבעו של הסכם על דרכי הדיון". </w:t>
      </w:r>
      <w:r w:rsidR="00DB2872">
        <w:rPr>
          <w:rStyle w:val="ae"/>
          <w:rFonts w:ascii="David" w:eastAsia="David" w:hAnsi="David" w:hint="cs"/>
          <w:rtl/>
          <w:lang w:val="he-IL"/>
        </w:rPr>
        <w:t xml:space="preserve">עם זאת, </w:t>
      </w:r>
      <w:r>
        <w:rPr>
          <w:rStyle w:val="ae"/>
          <w:rFonts w:ascii="David" w:eastAsia="David" w:hAnsi="David"/>
          <w:rtl/>
          <w:lang w:val="he-IL"/>
        </w:rPr>
        <w:t>כפי ש</w:t>
      </w:r>
      <w:r w:rsidR="00E86A15">
        <w:rPr>
          <w:rStyle w:val="ae"/>
          <w:rFonts w:ascii="David" w:eastAsia="David" w:hAnsi="David" w:hint="cs"/>
          <w:rtl/>
          <w:lang w:val="he-IL"/>
        </w:rPr>
        <w:t xml:space="preserve">גם </w:t>
      </w:r>
      <w:r>
        <w:rPr>
          <w:rStyle w:val="ae"/>
          <w:rFonts w:ascii="David" w:eastAsia="David" w:hAnsi="David"/>
          <w:rtl/>
          <w:lang w:val="he-IL"/>
        </w:rPr>
        <w:t xml:space="preserve">נקבע ברע"א 5256/17 </w:t>
      </w:r>
      <w:r w:rsidRPr="00775139">
        <w:rPr>
          <w:rStyle w:val="Hyperlink0"/>
          <w:rFonts w:hint="cs"/>
          <w:rtl/>
        </w:rPr>
        <w:t>חאג' נ' חאג'</w:t>
      </w:r>
      <w:r w:rsidR="00353394">
        <w:rPr>
          <w:rStyle w:val="ae"/>
          <w:rFonts w:ascii="David" w:eastAsia="David" w:hAnsi="David" w:hint="cs"/>
          <w:rtl/>
          <w:lang w:val="he-IL"/>
        </w:rPr>
        <w:t>,</w:t>
      </w:r>
      <w:r>
        <w:rPr>
          <w:rStyle w:val="ae"/>
          <w:rFonts w:ascii="David" w:eastAsia="David" w:hAnsi="David"/>
          <w:rtl/>
          <w:lang w:val="he-IL"/>
        </w:rPr>
        <w:t xml:space="preserve"> </w:t>
      </w:r>
      <w:r w:rsidR="00E86A15">
        <w:rPr>
          <w:rStyle w:val="ae"/>
          <w:rFonts w:ascii="David" w:eastAsia="David" w:hAnsi="David" w:hint="cs"/>
          <w:rtl/>
          <w:lang w:val="he-IL"/>
        </w:rPr>
        <w:t>הכלל הוא כיבוד ההסכם על דרכי הדיון וביטולו, הוא חריג.</w:t>
      </w:r>
      <w:r w:rsidR="006D162F">
        <w:rPr>
          <w:rStyle w:val="ae"/>
          <w:rFonts w:ascii="David" w:eastAsia="David" w:hAnsi="David" w:hint="cs"/>
          <w:rtl/>
          <w:lang w:val="he-IL"/>
        </w:rPr>
        <w:t xml:space="preserve"> </w:t>
      </w:r>
      <w:r w:rsidR="00E86A15">
        <w:rPr>
          <w:rStyle w:val="ae"/>
          <w:rFonts w:ascii="David" w:eastAsia="David" w:hAnsi="David" w:hint="cs"/>
          <w:rtl/>
          <w:lang w:val="he-IL"/>
        </w:rPr>
        <w:t xml:space="preserve">בלשון פסק הדין (כבוד השופט הנדל): </w:t>
      </w:r>
      <w:r>
        <w:rPr>
          <w:rStyle w:val="ae"/>
          <w:rFonts w:ascii="David" w:eastAsia="David" w:hAnsi="David"/>
          <w:rtl/>
          <w:lang w:val="he-IL"/>
        </w:rPr>
        <w:t>"</w:t>
      </w:r>
      <w:r w:rsidRPr="00775139">
        <w:rPr>
          <w:rStyle w:val="Hyperlink0"/>
          <w:rFonts w:hint="cs"/>
          <w:rtl/>
        </w:rPr>
        <w:t xml:space="preserve">הסדר דיוני עשוי ליעל את בירור המשפט. לכן ככלל יש לברך על הסדר כזה; כל עוד אין בו כדי לגרוע מיכולתו של בית המשפט לעשות משפט, בעלי הדין זכאים לצפות ולדרוש שההליך ינוהל על פי המתכונת שנקבעה בהסדר שעליו הסכימו מראש [...] כלל וחריג לצדו. אם אין המדובר בפגיעה באינטרס הציבורי, בחוסר צדק כלפי אחד הצדדים או בהסדר המונע מבית המשפט למלא את תפקידו </w:t>
      </w:r>
      <w:r w:rsidR="00775139">
        <w:rPr>
          <w:rStyle w:val="Hyperlink0"/>
          <w:rFonts w:hint="cs"/>
          <w:rtl/>
        </w:rPr>
        <w:t>-</w:t>
      </w:r>
      <w:r w:rsidRPr="00775139">
        <w:rPr>
          <w:rStyle w:val="Hyperlink0"/>
          <w:rFonts w:hint="cs"/>
          <w:rtl/>
        </w:rPr>
        <w:t xml:space="preserve"> אל לו לבית המשפט לסטות מן ההסדר הדיוני שאליו הגיעו הצדדים ...</w:t>
      </w:r>
      <w:r>
        <w:rPr>
          <w:rStyle w:val="ae"/>
          <w:rFonts w:ascii="David" w:eastAsia="David" w:hAnsi="David"/>
          <w:rtl/>
          <w:lang w:val="he-IL"/>
        </w:rPr>
        <w:t>" (ניתן ביום 7/11/17, פסקה 3).</w:t>
      </w:r>
    </w:p>
    <w:p w:rsidR="00A67BFF" w:rsidRDefault="00A67BFF" w:rsidP="00A67BFF">
      <w:pPr>
        <w:spacing w:line="360" w:lineRule="auto"/>
        <w:jc w:val="both"/>
        <w:rPr>
          <w:rStyle w:val="ae"/>
          <w:rFonts w:eastAsia="David"/>
          <w:rtl/>
        </w:rPr>
      </w:pPr>
    </w:p>
    <w:p w:rsidR="00A67BFF" w:rsidRDefault="00A67BFF" w:rsidP="00E37E54">
      <w:pPr>
        <w:pStyle w:val="ad"/>
        <w:numPr>
          <w:ilvl w:val="0"/>
          <w:numId w:val="1"/>
        </w:numPr>
        <w:spacing w:line="360" w:lineRule="auto"/>
        <w:contextualSpacing w:val="0"/>
        <w:jc w:val="both"/>
        <w:rPr>
          <w:rFonts w:eastAsia="David"/>
          <w:rtl/>
        </w:rPr>
      </w:pPr>
      <w:r>
        <w:rPr>
          <w:rStyle w:val="ae"/>
          <w:rFonts w:ascii="David" w:eastAsia="David" w:hAnsi="David"/>
          <w:rtl/>
          <w:lang w:val="he-IL"/>
        </w:rPr>
        <w:t>דברים דומים נקבעו גם בפסקי דין נוספים</w:t>
      </w:r>
      <w:r w:rsidR="00907A9E">
        <w:rPr>
          <w:rStyle w:val="ae"/>
          <w:rFonts w:ascii="David" w:eastAsia="David" w:hAnsi="David" w:hint="cs"/>
          <w:rtl/>
          <w:lang w:val="he-IL"/>
        </w:rPr>
        <w:t xml:space="preserve"> שעסקו ב</w:t>
      </w:r>
      <w:r w:rsidR="00E37E54">
        <w:rPr>
          <w:rStyle w:val="ae"/>
          <w:rFonts w:ascii="David" w:eastAsia="David" w:hAnsi="David" w:hint="cs"/>
          <w:rtl/>
          <w:lang w:val="he-IL"/>
        </w:rPr>
        <w:t>דבר</w:t>
      </w:r>
      <w:r>
        <w:rPr>
          <w:rStyle w:val="ae"/>
          <w:rFonts w:ascii="David" w:eastAsia="David" w:hAnsi="David"/>
          <w:rtl/>
          <w:lang w:val="he-IL"/>
        </w:rPr>
        <w:t>. ב</w:t>
      </w:r>
      <w:r w:rsidR="00E37E54">
        <w:rPr>
          <w:rStyle w:val="ae"/>
          <w:rFonts w:ascii="David" w:eastAsia="David" w:hAnsi="David" w:hint="cs"/>
          <w:rtl/>
          <w:lang w:val="he-IL"/>
        </w:rPr>
        <w:t xml:space="preserve">עניין </w:t>
      </w:r>
      <w:r>
        <w:rPr>
          <w:rStyle w:val="ae"/>
          <w:rFonts w:ascii="David" w:eastAsia="David" w:hAnsi="David"/>
          <w:rtl/>
          <w:lang w:val="he-IL"/>
        </w:rPr>
        <w:t xml:space="preserve">ע"א 130/77 </w:t>
      </w:r>
      <w:r w:rsidRPr="00775139">
        <w:rPr>
          <w:rStyle w:val="Hyperlink0"/>
          <w:rFonts w:hint="cs"/>
          <w:rtl/>
        </w:rPr>
        <w:t>עוזרי נ' עוזרי</w:t>
      </w:r>
      <w:r>
        <w:rPr>
          <w:rStyle w:val="ae"/>
          <w:rFonts w:ascii="David" w:eastAsia="David" w:hAnsi="David"/>
          <w:rtl/>
          <w:lang w:val="he-IL"/>
        </w:rPr>
        <w:t xml:space="preserve">, פ"ד לג(2) 346, 352 (1979) </w:t>
      </w:r>
      <w:r w:rsidRPr="00775139">
        <w:rPr>
          <w:rStyle w:val="ae"/>
          <w:rFonts w:ascii="David" w:eastAsia="David" w:hAnsi="David"/>
          <w:rtl/>
          <w:lang w:val="he-IL"/>
        </w:rPr>
        <w:t>הושגה הסכמה ביחס לפלוגתאות ולטענות שיידונו בהליך</w:t>
      </w:r>
      <w:r w:rsidR="00907A9E">
        <w:rPr>
          <w:rStyle w:val="ae"/>
          <w:rFonts w:ascii="David" w:eastAsia="David" w:hAnsi="David" w:hint="cs"/>
          <w:rtl/>
          <w:lang w:val="he-IL"/>
        </w:rPr>
        <w:t>,</w:t>
      </w:r>
      <w:r w:rsidRPr="00775139">
        <w:rPr>
          <w:rStyle w:val="ae"/>
          <w:rFonts w:ascii="David" w:eastAsia="David" w:hAnsi="David"/>
          <w:rtl/>
          <w:lang w:val="he-IL"/>
        </w:rPr>
        <w:t xml:space="preserve"> תוך ויתור מוסכם על טענות. </w:t>
      </w:r>
      <w:r w:rsidR="004847AA">
        <w:rPr>
          <w:rStyle w:val="ae"/>
          <w:rFonts w:ascii="David" w:eastAsia="David" w:hAnsi="David" w:hint="cs"/>
          <w:rtl/>
          <w:lang w:val="he-IL"/>
        </w:rPr>
        <w:t xml:space="preserve">בית המשפט העליון לא התיר למערער </w:t>
      </w:r>
      <w:r w:rsidRPr="00775139">
        <w:rPr>
          <w:rStyle w:val="ae"/>
          <w:rFonts w:ascii="David" w:eastAsia="David" w:hAnsi="David"/>
          <w:rtl/>
          <w:lang w:val="he-IL"/>
        </w:rPr>
        <w:t xml:space="preserve">להעלות </w:t>
      </w:r>
      <w:r w:rsidR="004847AA">
        <w:rPr>
          <w:rStyle w:val="ae"/>
          <w:rFonts w:ascii="David" w:eastAsia="David" w:hAnsi="David" w:hint="cs"/>
          <w:rtl/>
          <w:lang w:val="he-IL"/>
        </w:rPr>
        <w:t xml:space="preserve">בערעורו </w:t>
      </w:r>
      <w:r w:rsidRPr="00775139">
        <w:rPr>
          <w:rStyle w:val="ae"/>
          <w:rFonts w:ascii="David" w:eastAsia="David" w:hAnsi="David"/>
          <w:rtl/>
          <w:lang w:val="he-IL"/>
        </w:rPr>
        <w:t>טענות בסטיה מהסדר דיוני</w:t>
      </w:r>
      <w:r w:rsidR="004847AA">
        <w:rPr>
          <w:rStyle w:val="ae"/>
          <w:rFonts w:ascii="David" w:eastAsia="David" w:hAnsi="David" w:hint="cs"/>
          <w:rtl/>
          <w:lang w:val="he-IL"/>
        </w:rPr>
        <w:t xml:space="preserve"> שהושג בערכאה </w:t>
      </w:r>
      <w:r w:rsidR="004847AA">
        <w:rPr>
          <w:rStyle w:val="ae"/>
          <w:rFonts w:ascii="David" w:eastAsia="David" w:hAnsi="David" w:hint="cs"/>
          <w:rtl/>
          <w:lang w:val="he-IL"/>
        </w:rPr>
        <w:lastRenderedPageBreak/>
        <w:t>קמא</w:t>
      </w:r>
      <w:r w:rsidRPr="00775139">
        <w:rPr>
          <w:rStyle w:val="ae"/>
          <w:rFonts w:ascii="David" w:eastAsia="David" w:hAnsi="David"/>
          <w:rtl/>
          <w:lang w:val="he-IL"/>
        </w:rPr>
        <w:t>. נקבע מפי כבוד השופט (כתוארו אז) שמגר כי</w:t>
      </w:r>
      <w:r w:rsidRPr="00775139">
        <w:rPr>
          <w:rStyle w:val="ae"/>
          <w:rFonts w:ascii="David" w:eastAsia="David" w:hAnsi="David"/>
          <w:b/>
          <w:bCs/>
          <w:rtl/>
          <w:lang w:val="he-IL"/>
        </w:rPr>
        <w:t xml:space="preserve"> </w:t>
      </w:r>
      <w:r w:rsidRPr="00775139">
        <w:rPr>
          <w:rStyle w:val="Hyperlink0"/>
          <w:rFonts w:hint="cs"/>
          <w:rtl/>
        </w:rPr>
        <w:t>"</w:t>
      </w:r>
      <w:r w:rsidRPr="00775139">
        <w:rPr>
          <w:rStyle w:val="ae"/>
          <w:rFonts w:ascii="David" w:eastAsia="David" w:hAnsi="David"/>
          <w:rtl/>
          <w:lang w:val="he-IL"/>
        </w:rPr>
        <w:t>[...]</w:t>
      </w:r>
      <w:r w:rsidRPr="00775139">
        <w:rPr>
          <w:rStyle w:val="Hyperlink0"/>
          <w:rFonts w:hint="cs"/>
          <w:rtl/>
        </w:rPr>
        <w:t xml:space="preserve"> סדרי הדין אמנם אינם מיטת סדום, אלא מכשיר לייעולה של עשיית המשפט, והנוקשות המופרזת לא יאה להם </w:t>
      </w:r>
      <w:r w:rsidRPr="00775139">
        <w:rPr>
          <w:rStyle w:val="ae"/>
          <w:rFonts w:ascii="David" w:eastAsia="David" w:hAnsi="David"/>
          <w:rtl/>
          <w:lang w:val="he-IL"/>
        </w:rPr>
        <w:t>[...]</w:t>
      </w:r>
      <w:r w:rsidRPr="00775139">
        <w:rPr>
          <w:rStyle w:val="Hyperlink0"/>
          <w:rFonts w:hint="cs"/>
          <w:rtl/>
        </w:rPr>
        <w:t xml:space="preserve"> במקרה ראוי, בו הצדק יחייב זאת, יכול בית המשפט על כן להתיר גם חזרה מהסדר דיוני מוסכם, אך כל דבר נבחן על יסוד נתוניו, ובאלו אשר לפנינו אין מאומה כדי להצדיק חזרה מן ההסדר המוסכם. הווה אומר, אין לפנינו עילה של ממש להתיר התעלמות מדברים שסוכמו מפורשות וברורות כדי להרשות חזרה מוויתור המצמצם את המחלוקת </w:t>
      </w:r>
      <w:r w:rsidRPr="00775139">
        <w:rPr>
          <w:rStyle w:val="ae"/>
          <w:rFonts w:ascii="David" w:eastAsia="David" w:hAnsi="David"/>
          <w:rtl/>
          <w:lang w:val="he-IL"/>
        </w:rPr>
        <w:t>[...]</w:t>
      </w:r>
      <w:r>
        <w:rPr>
          <w:rStyle w:val="Hyperlink0"/>
          <w:rFonts w:hint="cs"/>
          <w:b w:val="0"/>
          <w:bCs w:val="0"/>
          <w:rtl/>
        </w:rPr>
        <w:t>"</w:t>
      </w:r>
      <w:r>
        <w:rPr>
          <w:rStyle w:val="ae"/>
          <w:rFonts w:ascii="David" w:eastAsia="David" w:hAnsi="David"/>
          <w:rtl/>
          <w:lang w:val="he-IL"/>
        </w:rPr>
        <w:t>. ברע"א 2160/09</w:t>
      </w:r>
      <w:r>
        <w:rPr>
          <w:rStyle w:val="Hyperlink0"/>
          <w:rFonts w:hint="cs"/>
          <w:b w:val="0"/>
          <w:bCs w:val="0"/>
          <w:rtl/>
        </w:rPr>
        <w:t xml:space="preserve"> </w:t>
      </w:r>
      <w:r w:rsidRPr="00775139">
        <w:rPr>
          <w:rStyle w:val="Hyperlink0"/>
          <w:rFonts w:hint="cs"/>
          <w:rtl/>
        </w:rPr>
        <w:t>ש.ב סופר בע"מ נ' קבוצת מתיישבי ברסלב</w:t>
      </w:r>
      <w:r>
        <w:rPr>
          <w:rStyle w:val="ae"/>
          <w:rFonts w:ascii="David" w:eastAsia="David" w:hAnsi="David"/>
          <w:rtl/>
          <w:lang w:val="he-IL"/>
        </w:rPr>
        <w:t xml:space="preserve">, דחה בית המשפט המחוזי את בקשת המבקשת לחזור בה מהסדר דיוני בדבר מינוי מומחה מכריע שיחווה דעתו במחלוקות שבין הצדדים </w:t>
      </w:r>
      <w:r w:rsidR="00FD0275">
        <w:rPr>
          <w:rStyle w:val="ae"/>
          <w:rFonts w:ascii="David" w:eastAsia="David" w:hAnsi="David" w:hint="cs"/>
          <w:rtl/>
          <w:lang w:val="he-IL"/>
        </w:rPr>
        <w:t>"</w:t>
      </w:r>
      <w:r>
        <w:rPr>
          <w:rStyle w:val="ae"/>
          <w:rFonts w:ascii="David" w:eastAsia="David" w:hAnsi="David"/>
          <w:rtl/>
          <w:lang w:val="he-IL"/>
        </w:rPr>
        <w:t>בהעדר שינוי נסיבות מהותי היורד לשורש ההסכמה</w:t>
      </w:r>
      <w:r w:rsidR="00FD0275">
        <w:rPr>
          <w:rStyle w:val="ae"/>
          <w:rFonts w:ascii="David" w:eastAsia="David" w:hAnsi="David" w:hint="cs"/>
          <w:rtl/>
          <w:lang w:val="he-IL"/>
        </w:rPr>
        <w:t>"</w:t>
      </w:r>
      <w:r>
        <w:rPr>
          <w:rStyle w:val="ae"/>
          <w:rFonts w:ascii="David" w:eastAsia="David" w:hAnsi="David"/>
          <w:rtl/>
          <w:lang w:val="he-IL"/>
        </w:rPr>
        <w:t xml:space="preserve"> וקבע</w:t>
      </w:r>
      <w:r w:rsidR="00FD0275">
        <w:rPr>
          <w:rStyle w:val="ae"/>
          <w:rFonts w:ascii="David" w:eastAsia="David" w:hAnsi="David" w:hint="cs"/>
          <w:rtl/>
          <w:lang w:val="he-IL"/>
        </w:rPr>
        <w:t>,</w:t>
      </w:r>
      <w:r>
        <w:rPr>
          <w:rStyle w:val="ae"/>
          <w:rFonts w:ascii="David" w:eastAsia="David" w:hAnsi="David"/>
          <w:rtl/>
          <w:lang w:val="he-IL"/>
        </w:rPr>
        <w:t xml:space="preserve"> כי הסכמה כאמור לא ניתנת לביטול חד צדדי בשל עלות שכרו של המומחה. הערעור נדחה תוך שנקבע מפי כב' השופטת (כתוארה אז) חיות</w:t>
      </w:r>
      <w:r w:rsidR="00FD0275">
        <w:rPr>
          <w:rStyle w:val="ae"/>
          <w:rFonts w:ascii="David" w:eastAsia="David" w:hAnsi="David" w:hint="cs"/>
          <w:rtl/>
          <w:lang w:val="he-IL"/>
        </w:rPr>
        <w:t>,</w:t>
      </w:r>
      <w:r>
        <w:rPr>
          <w:rStyle w:val="ae"/>
          <w:rFonts w:ascii="David" w:eastAsia="David" w:hAnsi="David"/>
          <w:rtl/>
          <w:lang w:val="he-IL"/>
        </w:rPr>
        <w:t xml:space="preserve"> כי "</w:t>
      </w:r>
      <w:r w:rsidRPr="00775139">
        <w:rPr>
          <w:rStyle w:val="Hyperlink0"/>
          <w:rFonts w:hint="cs"/>
          <w:rtl/>
        </w:rPr>
        <w:t>הסדר דיוני הוא אמצעי יעיל לניהול דיון המושתת על הסכמות הצדדים ויש לעודדו, אם כי בהחלט יתכנו מקרים בהם יתיר בית המשפט חזרה מהסדר דיוני מוסכם מקום בו ישתכנע כי קיימים טעמים של צדק המחייבים זאת וכל מקרה נבחן על פי נתוניו"</w:t>
      </w:r>
      <w:r w:rsidR="00FD0275">
        <w:rPr>
          <w:rStyle w:val="ae"/>
          <w:rFonts w:ascii="David" w:eastAsia="David" w:hAnsi="David" w:hint="cs"/>
          <w:rtl/>
          <w:lang w:val="he-IL"/>
        </w:rPr>
        <w:t>;</w:t>
      </w:r>
      <w:r w:rsidRPr="00775139">
        <w:rPr>
          <w:rStyle w:val="ae"/>
          <w:rFonts w:ascii="David" w:eastAsia="David" w:hAnsi="David"/>
          <w:rtl/>
          <w:lang w:val="he-IL"/>
        </w:rPr>
        <w:t xml:space="preserve"> וכי אין מקום להתערב במסקנת בית המשפט קמא כי טענות המבקשת "</w:t>
      </w:r>
      <w:r w:rsidRPr="00775139">
        <w:rPr>
          <w:rStyle w:val="Hyperlink0"/>
          <w:rFonts w:hint="cs"/>
          <w:rtl/>
        </w:rPr>
        <w:t>אינן מגלות טעם מבורר המצדיק חזרה מן ההסדר הדיוני המוסכם</w:t>
      </w:r>
      <w:r>
        <w:rPr>
          <w:rStyle w:val="ae"/>
          <w:rFonts w:ascii="David" w:eastAsia="David" w:hAnsi="David"/>
          <w:rtl/>
          <w:lang w:val="he-IL"/>
        </w:rPr>
        <w:t>".</w:t>
      </w:r>
      <w:r>
        <w:rPr>
          <w:rStyle w:val="ae"/>
          <w:rFonts w:ascii="David" w:eastAsia="David" w:hAnsi="David"/>
          <w:rtl/>
          <w:lang w:val="he-IL"/>
        </w:rPr>
        <w:tab/>
      </w:r>
    </w:p>
    <w:p w:rsidR="00A67BFF" w:rsidRDefault="00A67BFF" w:rsidP="00A67BFF">
      <w:pPr>
        <w:spacing w:line="360" w:lineRule="auto"/>
        <w:jc w:val="both"/>
        <w:rPr>
          <w:rStyle w:val="ae"/>
          <w:rFonts w:eastAsia="David"/>
          <w:rtl/>
          <w:lang w:bidi="ar-SA"/>
        </w:rPr>
      </w:pPr>
    </w:p>
    <w:p w:rsidR="00A67BFF" w:rsidRDefault="00A67BFF" w:rsidP="00A67BFF">
      <w:pPr>
        <w:pStyle w:val="ad"/>
        <w:numPr>
          <w:ilvl w:val="0"/>
          <w:numId w:val="1"/>
        </w:numPr>
        <w:spacing w:line="360" w:lineRule="auto"/>
        <w:contextualSpacing w:val="0"/>
        <w:jc w:val="both"/>
        <w:rPr>
          <w:rFonts w:eastAsia="David" w:cs="Times New Roman"/>
          <w:rtl/>
          <w:lang w:val="he-IL"/>
        </w:rPr>
      </w:pPr>
      <w:r>
        <w:rPr>
          <w:rStyle w:val="ae"/>
          <w:rFonts w:ascii="David" w:eastAsia="David" w:hAnsi="David"/>
          <w:rtl/>
          <w:lang w:val="he-IL"/>
        </w:rPr>
        <w:t>כך גם בענייננו, סבורני כי אין מאומה כדי להצדיק חזרה מן ההסדר. לא חל שינוי נסיבות שיצדיק זאת, אין טעמים של צדק או טעמים הנעוצים באינטרס הציבורי או ביכולת של בית המשפט למלא את תפקידו</w:t>
      </w:r>
      <w:r w:rsidR="00FD0275">
        <w:rPr>
          <w:rStyle w:val="ae"/>
          <w:rFonts w:ascii="David" w:eastAsia="David" w:hAnsi="David" w:hint="cs"/>
          <w:rtl/>
          <w:lang w:val="he-IL"/>
        </w:rPr>
        <w:t>,</w:t>
      </w:r>
      <w:r>
        <w:rPr>
          <w:rStyle w:val="ae"/>
          <w:rFonts w:ascii="David" w:eastAsia="David" w:hAnsi="David"/>
          <w:rtl/>
          <w:lang w:val="he-IL"/>
        </w:rPr>
        <w:t xml:space="preserve"> שיש בהם כדי להביא לביטולו; ואין טעמים שבהיבט ההסכמי שמצדיקים זאת.</w:t>
      </w:r>
    </w:p>
    <w:p w:rsidR="00A67BFF" w:rsidRDefault="00A67BFF" w:rsidP="00A67BFF">
      <w:pPr>
        <w:spacing w:line="360" w:lineRule="auto"/>
        <w:jc w:val="both"/>
        <w:rPr>
          <w:rStyle w:val="ae"/>
          <w:rFonts w:eastAsia="David"/>
          <w:rtl/>
          <w:lang w:bidi="ar-SA"/>
        </w:rPr>
      </w:pPr>
    </w:p>
    <w:p w:rsidR="00A67BFF" w:rsidRPr="00D25DA7" w:rsidRDefault="00A67BFF" w:rsidP="00986EC9">
      <w:pPr>
        <w:pStyle w:val="ad"/>
        <w:numPr>
          <w:ilvl w:val="0"/>
          <w:numId w:val="1"/>
        </w:numPr>
        <w:spacing w:line="360" w:lineRule="auto"/>
        <w:contextualSpacing w:val="0"/>
        <w:jc w:val="both"/>
        <w:rPr>
          <w:rStyle w:val="ae"/>
          <w:rFonts w:ascii="David" w:eastAsia="David" w:hAnsi="David"/>
          <w:rtl/>
          <w:lang w:val="he-IL"/>
        </w:rPr>
      </w:pPr>
      <w:r>
        <w:rPr>
          <w:rStyle w:val="ae"/>
          <w:rFonts w:ascii="David" w:eastAsia="David" w:hAnsi="David"/>
          <w:rtl/>
          <w:lang w:val="he-IL"/>
        </w:rPr>
        <w:t xml:space="preserve">מהחלטת בית המשפט של פשיטת רגל עולה כי מנורה הפנתה בבקשתה לביטול צו הכינוס לדו"ח חקירה כלכלית סמויה שנערכה, לפי בקשתה, לגבי אסולין (בהיותו חייב בתיק פשיטת הרגל). החקירה העלתה כי אסולין רשום כמנהל תיק עצמאי וכי הוא מכהן כדירקטור בחברות שונות, המשיך לעבוד כסוכן ביטוח באמצעות סוכנות הביטוח שבבעלותו וכן באמצעות גופים אחרים שפורטו בבקשת </w:t>
      </w:r>
      <w:r w:rsidR="00986EC9">
        <w:rPr>
          <w:rStyle w:val="ae"/>
          <w:rFonts w:ascii="David" w:eastAsia="David" w:hAnsi="David" w:hint="cs"/>
          <w:rtl/>
          <w:lang w:val="he-IL"/>
        </w:rPr>
        <w:t>מנורה</w:t>
      </w:r>
      <w:r>
        <w:rPr>
          <w:rStyle w:val="ae"/>
          <w:rFonts w:ascii="David" w:eastAsia="David" w:hAnsi="David"/>
          <w:rtl/>
          <w:lang w:val="he-IL"/>
        </w:rPr>
        <w:t>. לדו"ח החקירה שהג</w:t>
      </w:r>
      <w:r w:rsidR="00986EC9">
        <w:rPr>
          <w:rStyle w:val="ae"/>
          <w:rFonts w:ascii="David" w:eastAsia="David" w:hAnsi="David" w:hint="cs"/>
          <w:rtl/>
          <w:lang w:val="he-IL"/>
        </w:rPr>
        <w:t>י</w:t>
      </w:r>
      <w:r>
        <w:rPr>
          <w:rStyle w:val="ae"/>
          <w:rFonts w:ascii="David" w:eastAsia="David" w:hAnsi="David"/>
          <w:rtl/>
          <w:lang w:val="he-IL"/>
        </w:rPr>
        <w:t>ש</w:t>
      </w:r>
      <w:r w:rsidR="00986EC9">
        <w:rPr>
          <w:rStyle w:val="ae"/>
          <w:rFonts w:ascii="David" w:eastAsia="David" w:hAnsi="David" w:hint="cs"/>
          <w:rtl/>
          <w:lang w:val="he-IL"/>
        </w:rPr>
        <w:t>ה מנורה</w:t>
      </w:r>
      <w:r>
        <w:rPr>
          <w:rStyle w:val="ae"/>
          <w:rFonts w:ascii="David" w:eastAsia="David" w:hAnsi="David"/>
          <w:rtl/>
          <w:lang w:val="he-IL"/>
        </w:rPr>
        <w:t xml:space="preserve"> צורפו תצלומים המתעדים את אסולין כשהוא נוהג ומשתמש ברכב יוקרה חדש</w:t>
      </w:r>
      <w:r>
        <w:rPr>
          <w:rStyle w:val="ae"/>
          <w:rFonts w:ascii="David" w:eastAsia="David" w:hAnsi="David"/>
          <w:sz w:val="22"/>
          <w:szCs w:val="22"/>
          <w:rtl/>
          <w:lang w:val="he-IL"/>
        </w:rPr>
        <w:t>; ו</w:t>
      </w:r>
      <w:r>
        <w:rPr>
          <w:rStyle w:val="ae"/>
          <w:rFonts w:ascii="David" w:eastAsia="David" w:hAnsi="David"/>
          <w:rtl/>
          <w:lang w:val="he-IL"/>
        </w:rPr>
        <w:t>מחשבון הפייסבוק שלו עלה</w:t>
      </w:r>
      <w:r>
        <w:rPr>
          <w:rStyle w:val="Hyperlink0"/>
          <w:rFonts w:hint="cs"/>
          <w:b w:val="0"/>
          <w:bCs w:val="0"/>
          <w:rtl/>
        </w:rPr>
        <w:t xml:space="preserve"> </w:t>
      </w:r>
      <w:r>
        <w:rPr>
          <w:rStyle w:val="ae"/>
          <w:rFonts w:ascii="David" w:eastAsia="David" w:hAnsi="David"/>
          <w:rtl/>
          <w:lang w:val="he-IL"/>
        </w:rPr>
        <w:t xml:space="preserve">כי הוא נוהג לנפוש בבתי מלון וצימרים שונים. עוד טענה מנורה בתיק פשיטת הרגל כי אסולין נעצר במהלך שנת 2020 על ידי המשטרה בחשד למעורבות בעבירות זיוף ומרמה, </w:t>
      </w:r>
      <w:r>
        <w:rPr>
          <w:rStyle w:val="ae"/>
          <w:rFonts w:ascii="David" w:eastAsia="David" w:hAnsi="David"/>
          <w:rtl/>
          <w:lang w:val="he-IL"/>
        </w:rPr>
        <w:lastRenderedPageBreak/>
        <w:t xml:space="preserve">במסגרת חקירה רחבה בפרשת הנפקת ערבויות הנדרשות להשתתפות גורמים במכרזים. בבקשתה לביטול ההליך אף הצביעה מנורה על כך שכנגד אסולין התנהלו מספר הליכים משפטיים, בעודו תחת צו הכינוס ומבלי שהוא דיווח על כך לבית המשפט של פשיטת רגל. </w:t>
      </w:r>
    </w:p>
    <w:p w:rsidR="00A67BFF" w:rsidRPr="00D25DA7" w:rsidRDefault="00A67BFF" w:rsidP="00D25DA7">
      <w:pPr>
        <w:spacing w:line="360" w:lineRule="auto"/>
        <w:jc w:val="both"/>
        <w:rPr>
          <w:rStyle w:val="ae"/>
          <w:rFonts w:ascii="David" w:eastAsia="David" w:hAnsi="David"/>
          <w:rtl/>
          <w:lang w:val="he-IL"/>
        </w:rPr>
      </w:pPr>
    </w:p>
    <w:p w:rsidR="00A67BFF" w:rsidRPr="00D25DA7" w:rsidRDefault="00A67BFF" w:rsidP="00FD0275">
      <w:pPr>
        <w:pStyle w:val="ad"/>
        <w:numPr>
          <w:ilvl w:val="0"/>
          <w:numId w:val="1"/>
        </w:numPr>
        <w:spacing w:line="360" w:lineRule="auto"/>
        <w:jc w:val="both"/>
        <w:rPr>
          <w:rStyle w:val="ae"/>
          <w:rFonts w:ascii="Arial Unicode MS" w:eastAsia="Arial Unicode MS" w:hAnsi="Arial Unicode MS" w:cs="Arial Unicode MS"/>
          <w:rtl/>
          <w:lang w:bidi="ar-SA"/>
        </w:rPr>
      </w:pPr>
      <w:r w:rsidRPr="00D25DA7">
        <w:rPr>
          <w:rStyle w:val="ae"/>
          <w:rFonts w:ascii="David" w:eastAsia="David" w:hAnsi="David"/>
          <w:rtl/>
          <w:lang w:val="he-IL"/>
        </w:rPr>
        <w:t xml:space="preserve">בית המשפט של פשיטת הרגל ציין עוד בהחלטתו בבקשת מנורה לביטול ההליך, כי מנורה הגישה בקשה מפורטת שבה העלתה </w:t>
      </w:r>
      <w:r>
        <w:rPr>
          <w:rStyle w:val="Hyperlink0"/>
          <w:rFonts w:hint="cs"/>
          <w:rtl/>
        </w:rPr>
        <w:t>"</w:t>
      </w:r>
      <w:r w:rsidRPr="00D14839">
        <w:rPr>
          <w:rStyle w:val="Hyperlink0"/>
          <w:rFonts w:hint="cs"/>
          <w:rtl/>
        </w:rPr>
        <w:t>שורה ארוכה מאד של נושאים אשר לעמדתה מצדיקים את ביטול צו הכינוס. כך נטען, כי החייב מסתיר את עיסוקיו השונים, לרבות כעצמאי, הכנסותיו, כהונתו כדירקטור בתאגידים, התנהלותו הכלכלית, מקום מגוריו, ניהול הליכים פליליים ואזרחיים נגדו לאחר צו הכינוס, נהיגה ברכב יוקרה ועוד</w:t>
      </w:r>
      <w:r>
        <w:rPr>
          <w:rStyle w:val="Hyperlink0"/>
          <w:rFonts w:hint="cs"/>
          <w:rtl/>
        </w:rPr>
        <w:t>"</w:t>
      </w:r>
      <w:r w:rsidRPr="00D25DA7">
        <w:rPr>
          <w:rStyle w:val="Hyperlink0"/>
          <w:rFonts w:hint="cs"/>
          <w:b w:val="0"/>
          <w:bCs w:val="0"/>
          <w:rtl/>
        </w:rPr>
        <w:t xml:space="preserve"> (עמ</w:t>
      </w:r>
      <w:r w:rsidR="00FD0275">
        <w:rPr>
          <w:rStyle w:val="Hyperlink0"/>
          <w:rFonts w:hint="cs"/>
          <w:b w:val="0"/>
          <w:bCs w:val="0"/>
          <w:rtl/>
        </w:rPr>
        <w:t>וד</w:t>
      </w:r>
      <w:r w:rsidRPr="00D25DA7">
        <w:rPr>
          <w:rStyle w:val="Hyperlink0"/>
          <w:rFonts w:hint="cs"/>
          <w:b w:val="0"/>
          <w:bCs w:val="0"/>
          <w:rtl/>
        </w:rPr>
        <w:t xml:space="preserve"> 2); </w:t>
      </w:r>
      <w:r w:rsidRPr="00D25DA7">
        <w:rPr>
          <w:rStyle w:val="ae"/>
          <w:rFonts w:ascii="David" w:eastAsia="David" w:hAnsi="David"/>
          <w:rtl/>
          <w:lang w:val="he-IL"/>
        </w:rPr>
        <w:t>וכי "</w:t>
      </w:r>
      <w:r w:rsidRPr="00D25DA7">
        <w:rPr>
          <w:rStyle w:val="ae"/>
          <w:rFonts w:ascii="David" w:eastAsia="David" w:hAnsi="David"/>
          <w:b/>
          <w:bCs/>
          <w:rtl/>
          <w:lang w:val="he-IL"/>
        </w:rPr>
        <w:t>המבקשת חשפה את התנהלותו של החייב ולנוכח הראיות שהוצגו, התגלה כי מדובר במי שהמשיך בעיסוקים שונים תוך הפקת רווחים, אותם הסתיר, בשיתוף פעולה עם גורמים שונים</w:t>
      </w:r>
      <w:r w:rsidRPr="00D25DA7">
        <w:rPr>
          <w:rStyle w:val="ae"/>
          <w:rFonts w:ascii="David" w:eastAsia="David" w:hAnsi="David"/>
          <w:rtl/>
          <w:lang w:val="he-IL"/>
        </w:rPr>
        <w:t xml:space="preserve"> (עמ</w:t>
      </w:r>
      <w:r w:rsidR="00FD0275">
        <w:rPr>
          <w:rStyle w:val="ae"/>
          <w:rFonts w:ascii="David" w:eastAsia="David" w:hAnsi="David" w:hint="cs"/>
          <w:rtl/>
          <w:lang w:val="he-IL"/>
        </w:rPr>
        <w:t>וד</w:t>
      </w:r>
      <w:r w:rsidRPr="00D25DA7">
        <w:rPr>
          <w:rStyle w:val="ae"/>
          <w:rFonts w:ascii="David" w:eastAsia="David" w:hAnsi="David"/>
          <w:rtl/>
          <w:lang w:val="he-IL"/>
        </w:rPr>
        <w:t xml:space="preserve"> 6)</w:t>
      </w:r>
      <w:r w:rsidRPr="00D25DA7">
        <w:rPr>
          <w:rFonts w:ascii="David" w:eastAsia="David" w:hAnsi="David"/>
          <w:rtl/>
          <w:lang w:val="he-IL"/>
        </w:rPr>
        <w:t>.</w:t>
      </w:r>
      <w:r w:rsidRPr="00D25DA7">
        <w:rPr>
          <w:rStyle w:val="Hyperlink0"/>
          <w:b w:val="0"/>
          <w:bCs w:val="0"/>
          <w:rtl/>
        </w:rPr>
        <w:t xml:space="preserve"> משכך נקבע כי "</w:t>
      </w:r>
      <w:r>
        <w:rPr>
          <w:rStyle w:val="Hyperlink0"/>
          <w:rtl/>
        </w:rPr>
        <w:t>מדובר בחייב אשר פעל בשורה ארוכה של פעולות מרמה חמורות בהליך פשיטת הרגל. החייב המשיך לפעול בעיסוקים שונים, תוך מתן דיווח כוזב לגבי עיסוקיו, וכן העלים שורה ארוכה של עניינים מהותיים בקשר להתנהלותו הכלכלית. רשימת הנושאים אשר מצביעים על חוסר תום ליבו של החייב היא כה ארוכה, עד כי אין עוד טעם למנותה</w:t>
      </w:r>
      <w:r w:rsidRPr="00D25DA7">
        <w:rPr>
          <w:rFonts w:ascii="David" w:eastAsia="David" w:hAnsi="David"/>
          <w:rtl/>
          <w:lang w:val="he-IL"/>
        </w:rPr>
        <w:t>.</w:t>
      </w:r>
      <w:r w:rsidRPr="00D25DA7">
        <w:rPr>
          <w:rFonts w:ascii="David" w:eastAsia="David" w:hAnsi="David"/>
          <w:b/>
          <w:bCs/>
          <w:rtl/>
          <w:lang w:val="he-IL"/>
        </w:rPr>
        <w:t xml:space="preserve"> די בכל אחד מהנושאים שהוצגו לעיל על מנת להביא למסקנה בדבר ביטול צו כינוס...</w:t>
      </w:r>
      <w:r w:rsidRPr="00D25DA7">
        <w:rPr>
          <w:rFonts w:ascii="David" w:eastAsia="David" w:hAnsi="David"/>
          <w:rtl/>
          <w:lang w:val="he-IL"/>
        </w:rPr>
        <w:t>" (עמ</w:t>
      </w:r>
      <w:r w:rsidR="00FD0275">
        <w:rPr>
          <w:rFonts w:ascii="David" w:eastAsia="David" w:hAnsi="David" w:hint="cs"/>
          <w:rtl/>
          <w:lang w:val="he-IL"/>
        </w:rPr>
        <w:t>וד</w:t>
      </w:r>
      <w:r w:rsidRPr="00D25DA7">
        <w:rPr>
          <w:rFonts w:ascii="David" w:eastAsia="David" w:hAnsi="David"/>
          <w:rtl/>
          <w:lang w:val="he-IL"/>
        </w:rPr>
        <w:t xml:space="preserve"> 9).</w:t>
      </w:r>
    </w:p>
    <w:p w:rsidR="00A67BFF" w:rsidRDefault="00A67BFF" w:rsidP="00A67BFF">
      <w:pPr>
        <w:spacing w:line="360" w:lineRule="auto"/>
        <w:jc w:val="both"/>
        <w:rPr>
          <w:rStyle w:val="ae"/>
          <w:rFonts w:cs="Times New Roman"/>
          <w:rtl/>
          <w:lang w:val="he-IL"/>
        </w:rPr>
      </w:pPr>
    </w:p>
    <w:p w:rsidR="00A67BFF" w:rsidRPr="00D25DA7" w:rsidRDefault="00A67BFF" w:rsidP="00986EC9">
      <w:pPr>
        <w:pStyle w:val="ad"/>
        <w:numPr>
          <w:ilvl w:val="0"/>
          <w:numId w:val="1"/>
        </w:numPr>
        <w:spacing w:line="360" w:lineRule="auto"/>
        <w:contextualSpacing w:val="0"/>
        <w:jc w:val="both"/>
        <w:rPr>
          <w:rStyle w:val="ae"/>
          <w:rtl/>
          <w:lang w:val="he-IL"/>
        </w:rPr>
      </w:pPr>
      <w:r>
        <w:rPr>
          <w:rStyle w:val="ae"/>
          <w:rFonts w:ascii="David" w:eastAsia="David" w:hAnsi="David"/>
          <w:rtl/>
          <w:lang w:val="he-IL"/>
        </w:rPr>
        <w:t>אין חולק, אפוא, כי נושאים אלו היו בידיעתה של מנורה עובר לאישור ההסדר בתיק זה. משמע - במועד כריתת ההסדר ביום 16/12/21, שמנורה עותרת כעת לביטולו, היא ייחסה לאסולין מעשים של הסתרת</w:t>
      </w:r>
      <w:r w:rsidR="00D14839">
        <w:rPr>
          <w:rStyle w:val="ae"/>
          <w:rFonts w:ascii="David" w:eastAsia="David" w:hAnsi="David" w:hint="cs"/>
          <w:rtl/>
          <w:lang w:val="he-IL"/>
        </w:rPr>
        <w:t xml:space="preserve"> עיסוקיו והכנסותיו, הסתרת</w:t>
      </w:r>
      <w:r>
        <w:rPr>
          <w:rStyle w:val="ae"/>
          <w:rFonts w:ascii="David" w:eastAsia="David" w:hAnsi="David"/>
          <w:rtl/>
          <w:lang w:val="he-IL"/>
        </w:rPr>
        <w:t xml:space="preserve"> נכסים ומרמה אשר, לשיטתה שלה, הצדיקו את ביטולו של צו הכינוס</w:t>
      </w:r>
      <w:r w:rsidR="00D14839">
        <w:rPr>
          <w:rStyle w:val="ae"/>
          <w:rFonts w:ascii="David" w:eastAsia="David" w:hAnsi="David" w:hint="cs"/>
          <w:rtl/>
          <w:lang w:val="he-IL"/>
        </w:rPr>
        <w:t>;</w:t>
      </w:r>
      <w:r>
        <w:rPr>
          <w:rStyle w:val="ae"/>
          <w:rFonts w:ascii="David" w:eastAsia="David" w:hAnsi="David"/>
          <w:rtl/>
          <w:lang w:val="he-IL"/>
        </w:rPr>
        <w:t xml:space="preserve"> והפנתה לעובדות וראיות התומכות בטענתה. מסיבותיה והערכותיה, בחרה מנורה להגיע להסדר האמור חלף המתנה למתן החלטה בבקשה שהגישה לביטול הליך פשיטת הרגל. כפי שצוין בברור בבקשת מנורה (וראו למשל המצוטט בסעיף </w:t>
      </w:r>
      <w:r w:rsidR="004834BB">
        <w:rPr>
          <w:rStyle w:val="ae"/>
          <w:rFonts w:ascii="David" w:eastAsia="David" w:hAnsi="David" w:hint="cs"/>
          <w:rtl/>
          <w:lang w:val="he-IL"/>
        </w:rPr>
        <w:t>8</w:t>
      </w:r>
      <w:r>
        <w:rPr>
          <w:rStyle w:val="ae"/>
          <w:rFonts w:ascii="David" w:eastAsia="David" w:hAnsi="David"/>
          <w:rtl/>
          <w:lang w:val="he-IL"/>
        </w:rPr>
        <w:t xml:space="preserve"> לעיל וכן את כותרת בקשתה</w:t>
      </w:r>
      <w:r w:rsidR="00D14839">
        <w:rPr>
          <w:rStyle w:val="ae"/>
          <w:rFonts w:ascii="David" w:eastAsia="David" w:hAnsi="David" w:hint="cs"/>
          <w:rtl/>
          <w:lang w:val="he-IL"/>
        </w:rPr>
        <w:t xml:space="preserve"> זו</w:t>
      </w:r>
      <w:r>
        <w:rPr>
          <w:rStyle w:val="ae"/>
          <w:rFonts w:ascii="David" w:eastAsia="David" w:hAnsi="David"/>
          <w:rtl/>
          <w:lang w:val="he-IL"/>
        </w:rPr>
        <w:t xml:space="preserve">), לשיטתה ההחלטה המבטלת את הליך פשיטת הרגל היא בבחינת שינוי הנסיבות שמצדיק חזרה מן ההסדר וביטולו, שכן במועד גיבוש ההסדר לא היה בידה לדעת אם תתקבל בקשתה לביטול ההליך. כפי שמציינים המלומדים דניאל פרידמן ונילי כהן, בספרם </w:t>
      </w:r>
      <w:r w:rsidRPr="00D14839">
        <w:rPr>
          <w:rStyle w:val="Hyperlink0"/>
          <w:rFonts w:hint="cs"/>
          <w:rtl/>
        </w:rPr>
        <w:t>חוזים</w:t>
      </w:r>
      <w:r>
        <w:rPr>
          <w:rStyle w:val="ae"/>
          <w:rFonts w:ascii="David" w:eastAsia="David" w:hAnsi="David"/>
          <w:rtl/>
          <w:lang w:val="he-IL"/>
        </w:rPr>
        <w:t xml:space="preserve"> כרך ב 741 (1992)</w:t>
      </w:r>
      <w:r>
        <w:rPr>
          <w:rStyle w:val="Hyperlink0"/>
          <w:rFonts w:hint="cs"/>
          <w:b w:val="0"/>
          <w:bCs w:val="0"/>
          <w:rtl/>
        </w:rPr>
        <w:t xml:space="preserve"> "</w:t>
      </w:r>
      <w:r w:rsidRPr="00D14839">
        <w:rPr>
          <w:rStyle w:val="Hyperlink0"/>
          <w:rFonts w:hint="cs"/>
          <w:rtl/>
        </w:rPr>
        <w:t xml:space="preserve">מקום שצד ער לכך שאין לו ידיעה לגבי נתון מסוים בעל חשיבות או שידיעתו היא בלתי מושלמת, והוא מחליט למרות זאת לכרות את החוזה, אין הוא זכאי להעלות </w:t>
      </w:r>
      <w:r w:rsidRPr="00D14839">
        <w:rPr>
          <w:rStyle w:val="Hyperlink0"/>
          <w:rFonts w:hint="cs"/>
          <w:rtl/>
        </w:rPr>
        <w:lastRenderedPageBreak/>
        <w:t>טענת טעות בקשר לנתון זה, שכן הוא נטל על עצמו את הסיכון לגביו</w:t>
      </w:r>
      <w:r w:rsidRPr="00D14839">
        <w:rPr>
          <w:rStyle w:val="ae"/>
          <w:rFonts w:ascii="David" w:eastAsia="David" w:hAnsi="David"/>
          <w:rtl/>
          <w:lang w:val="he-IL"/>
        </w:rPr>
        <w:t xml:space="preserve"> [...]</w:t>
      </w:r>
      <w:r>
        <w:rPr>
          <w:rStyle w:val="Hyperlink0"/>
          <w:rFonts w:hint="cs"/>
          <w:b w:val="0"/>
          <w:bCs w:val="0"/>
          <w:rtl/>
        </w:rPr>
        <w:t>"</w:t>
      </w:r>
      <w:r>
        <w:rPr>
          <w:rStyle w:val="ae"/>
          <w:rFonts w:ascii="David" w:eastAsia="David" w:hAnsi="David"/>
          <w:rtl/>
          <w:lang w:val="he-IL"/>
        </w:rPr>
        <w:t xml:space="preserve">. (לדיון במשקפי דיני החוזים בבקשה (שנדחתה) לבטל הסכמה למינוי מומחה שקיבלה תוקף של החלטה, ראו גם רע"א 3264/21 </w:t>
      </w:r>
      <w:r w:rsidRPr="00D14839">
        <w:rPr>
          <w:rStyle w:val="Hyperlink0"/>
          <w:rFonts w:hint="cs"/>
          <w:rtl/>
        </w:rPr>
        <w:t>כהן נ' אלקטרה בניין</w:t>
      </w:r>
      <w:r>
        <w:rPr>
          <w:rStyle w:val="ae"/>
          <w:rFonts w:ascii="David" w:eastAsia="David" w:hAnsi="David"/>
          <w:rtl/>
          <w:lang w:val="he-IL"/>
        </w:rPr>
        <w:t>, כב</w:t>
      </w:r>
      <w:r w:rsidR="00D14839">
        <w:rPr>
          <w:rStyle w:val="ae"/>
          <w:rFonts w:ascii="David" w:eastAsia="David" w:hAnsi="David" w:hint="cs"/>
          <w:rtl/>
          <w:lang w:val="he-IL"/>
        </w:rPr>
        <w:t xml:space="preserve">וד השופט </w:t>
      </w:r>
      <w:r>
        <w:rPr>
          <w:rStyle w:val="ae"/>
          <w:rFonts w:ascii="David" w:eastAsia="David" w:hAnsi="David"/>
          <w:rtl/>
          <w:lang w:val="he-IL"/>
        </w:rPr>
        <w:t>גרוסקופף מיום 18/7/21).</w:t>
      </w:r>
    </w:p>
    <w:p w:rsidR="00A67BFF" w:rsidRPr="00D25DA7" w:rsidRDefault="00A67BFF" w:rsidP="00D25DA7">
      <w:pPr>
        <w:spacing w:line="360" w:lineRule="auto"/>
        <w:jc w:val="both"/>
        <w:rPr>
          <w:rStyle w:val="ae"/>
          <w:rFonts w:ascii="David" w:eastAsia="David" w:hAnsi="David"/>
          <w:rtl/>
          <w:lang w:val="he-IL"/>
        </w:rPr>
      </w:pPr>
    </w:p>
    <w:p w:rsidR="00A67BFF" w:rsidRPr="00810BFC" w:rsidRDefault="00A67BFF" w:rsidP="00A67BFF">
      <w:pPr>
        <w:pStyle w:val="ad"/>
        <w:numPr>
          <w:ilvl w:val="0"/>
          <w:numId w:val="1"/>
        </w:numPr>
        <w:spacing w:line="360" w:lineRule="auto"/>
        <w:contextualSpacing w:val="0"/>
        <w:jc w:val="both"/>
        <w:rPr>
          <w:rStyle w:val="ae"/>
          <w:rFonts w:ascii="David" w:eastAsia="David" w:hAnsi="David"/>
          <w:rtl/>
          <w:lang w:val="he-IL"/>
        </w:rPr>
      </w:pPr>
      <w:r>
        <w:rPr>
          <w:rStyle w:val="ae"/>
          <w:rFonts w:ascii="David" w:eastAsia="David" w:hAnsi="David"/>
          <w:rtl/>
          <w:lang w:val="he-IL"/>
        </w:rPr>
        <w:t>אעיר כי לצד שינוי הנסיבות הנטען בדמות ביטול הליך פשיטת הרגל ציינה מנורה גם (וביתר שאת בתגובה שהגישה לתשובת אסולין ולנוכח טענותיו), כי בתצהיר שהגיש אסולין בחודש ינואר 2022 בתמיכה לבקשה להחזרת תפוס (נספח 3 לבקשה), יש מידע חדש שלא היה ידוע לה "</w:t>
      </w:r>
      <w:r w:rsidRPr="00D14839">
        <w:rPr>
          <w:rStyle w:val="ae"/>
          <w:rFonts w:ascii="David" w:eastAsia="David" w:hAnsi="David"/>
          <w:b/>
          <w:bCs/>
          <w:rtl/>
          <w:lang w:val="he-IL"/>
        </w:rPr>
        <w:t>אודות ניהול חברה והעסקת עובדים על ידו</w:t>
      </w:r>
      <w:r>
        <w:rPr>
          <w:rStyle w:val="ae"/>
          <w:rFonts w:ascii="David" w:eastAsia="David" w:hAnsi="David"/>
          <w:rtl/>
          <w:lang w:val="he-IL"/>
        </w:rPr>
        <w:t>". אולם איני רואה כיצד יש בתצהיר כדי לשנות את מצב הדברים</w:t>
      </w:r>
      <w:r w:rsidR="00E37E54">
        <w:rPr>
          <w:rStyle w:val="ae"/>
          <w:rFonts w:ascii="David" w:eastAsia="David" w:hAnsi="David" w:hint="cs"/>
          <w:rtl/>
          <w:lang w:val="he-IL"/>
        </w:rPr>
        <w:t>,</w:t>
      </w:r>
      <w:r>
        <w:rPr>
          <w:rStyle w:val="ae"/>
          <w:rFonts w:ascii="David" w:eastAsia="David" w:hAnsi="David"/>
          <w:rtl/>
          <w:lang w:val="he-IL"/>
        </w:rPr>
        <w:t xml:space="preserve"> ובוודאי שאין התצהיר כשלעצמו בבחינת עובדה או נסיבה חדשה שמצדיקה את ביטול ההסדר. אין בתצהיר אלא לסייע סיוע נוסף לעמדה שהציגה מנורה כבר בבקשתה לביטול צו הכינוס</w:t>
      </w:r>
      <w:r w:rsidR="004834BB">
        <w:rPr>
          <w:rStyle w:val="ae"/>
          <w:rFonts w:ascii="David" w:eastAsia="David" w:hAnsi="David" w:hint="cs"/>
          <w:rtl/>
          <w:lang w:val="he-IL"/>
        </w:rPr>
        <w:t xml:space="preserve"> על ראיותיה</w:t>
      </w:r>
      <w:r>
        <w:rPr>
          <w:rStyle w:val="ae"/>
          <w:rFonts w:ascii="David" w:eastAsia="David" w:hAnsi="David"/>
          <w:rtl/>
          <w:lang w:val="he-IL"/>
        </w:rPr>
        <w:t xml:space="preserve">, ועיקר הדברים - כעולה מהחלטת בית המשפט של פשיטת רגל - הוצג בבקשתה של מנורה. </w:t>
      </w:r>
    </w:p>
    <w:p w:rsidR="00A67BFF" w:rsidRPr="00810BFC" w:rsidRDefault="00A67BFF" w:rsidP="00810BFC">
      <w:pPr>
        <w:spacing w:line="360" w:lineRule="auto"/>
        <w:jc w:val="both"/>
        <w:rPr>
          <w:rStyle w:val="ae"/>
          <w:rFonts w:eastAsia="David"/>
          <w:rtl/>
        </w:rPr>
      </w:pPr>
    </w:p>
    <w:p w:rsidR="00A67BFF" w:rsidRPr="00D25DA7" w:rsidRDefault="00A67BFF" w:rsidP="00810BFC">
      <w:pPr>
        <w:pStyle w:val="ad"/>
        <w:numPr>
          <w:ilvl w:val="0"/>
          <w:numId w:val="1"/>
        </w:numPr>
        <w:spacing w:line="360" w:lineRule="auto"/>
        <w:contextualSpacing w:val="0"/>
        <w:jc w:val="both"/>
        <w:rPr>
          <w:rStyle w:val="ae"/>
          <w:rFonts w:ascii="David" w:eastAsia="David" w:hAnsi="David"/>
          <w:rtl/>
          <w:lang w:val="he-IL"/>
        </w:rPr>
      </w:pPr>
      <w:r>
        <w:rPr>
          <w:rStyle w:val="ae"/>
          <w:rFonts w:ascii="David" w:eastAsia="David" w:hAnsi="David"/>
          <w:rtl/>
          <w:lang w:val="he-IL"/>
        </w:rPr>
        <w:t>אוסיף עוד כי בקשתה של מנורה לביטול ההסדר (וגם התגובה לתשובה) לא נתמכו בתצהיר. הטענה כי העובדות שנלמדו מהתצהיר "אודות ניהול חברה והעסקת עובדים" לא היו ידועות למנורה (סעיף 10 לבקשה) היא טענה עובדתית שיש לתמוך בתצהיר. יתר על כן, לא נטען (ובוודאי שלא נתמך בתצהיר) כי אילו היה מידע זה ידוע למנורה במועד ההסדר</w:t>
      </w:r>
      <w:r w:rsidR="00810BFC">
        <w:rPr>
          <w:rStyle w:val="ae"/>
          <w:rFonts w:ascii="David" w:eastAsia="David" w:hAnsi="David" w:hint="cs"/>
          <w:rtl/>
          <w:lang w:val="he-IL"/>
        </w:rPr>
        <w:t>,</w:t>
      </w:r>
      <w:r>
        <w:rPr>
          <w:rStyle w:val="ae"/>
          <w:rFonts w:ascii="David" w:eastAsia="David" w:hAnsi="David"/>
          <w:rtl/>
          <w:lang w:val="he-IL"/>
        </w:rPr>
        <w:t xml:space="preserve"> לא הי</w:t>
      </w:r>
      <w:r w:rsidR="00E37E54">
        <w:rPr>
          <w:rStyle w:val="ae"/>
          <w:rFonts w:ascii="David" w:eastAsia="David" w:hAnsi="David" w:hint="cs"/>
          <w:rtl/>
          <w:lang w:val="he-IL"/>
        </w:rPr>
        <w:t>ית</w:t>
      </w:r>
      <w:r>
        <w:rPr>
          <w:rStyle w:val="ae"/>
          <w:rFonts w:ascii="David" w:eastAsia="David" w:hAnsi="David"/>
          <w:rtl/>
          <w:lang w:val="he-IL"/>
        </w:rPr>
        <w:t xml:space="preserve">ה מסכימה לו. ממילא גם הטענות בעניין זה נטענו בכלליות ובעלמא, ללא כל פירוט או הסבר ולא בואר למשל, כיצד היה בו (אם אמנם כך) כדי להשפיע על </w:t>
      </w:r>
      <w:r w:rsidR="00810BFC">
        <w:rPr>
          <w:rStyle w:val="ae"/>
          <w:rFonts w:ascii="David" w:eastAsia="David" w:hAnsi="David" w:hint="cs"/>
          <w:rtl/>
          <w:lang w:val="he-IL"/>
        </w:rPr>
        <w:t>מסקנותיה ביחס ל</w:t>
      </w:r>
      <w:r>
        <w:rPr>
          <w:rStyle w:val="ae"/>
          <w:rFonts w:ascii="David" w:eastAsia="David" w:hAnsi="David"/>
          <w:rtl/>
          <w:lang w:val="he-IL"/>
        </w:rPr>
        <w:t>יכולת להיפרע מאסולין או שיקוליה של מנורה בעניין זה, בשים לב לכלל המידע שהיה בידה.</w:t>
      </w:r>
    </w:p>
    <w:p w:rsidR="00A67BFF" w:rsidRPr="00D25DA7" w:rsidRDefault="00A67BFF" w:rsidP="00D25DA7">
      <w:pPr>
        <w:spacing w:line="360" w:lineRule="auto"/>
        <w:jc w:val="both"/>
        <w:rPr>
          <w:rStyle w:val="ae"/>
          <w:rFonts w:ascii="David" w:eastAsia="David" w:hAnsi="David"/>
          <w:rtl/>
          <w:lang w:val="he-IL"/>
        </w:rPr>
      </w:pPr>
    </w:p>
    <w:p w:rsidR="00A67BFF" w:rsidRDefault="00A67BFF" w:rsidP="00E1068B">
      <w:pPr>
        <w:pStyle w:val="ad"/>
        <w:numPr>
          <w:ilvl w:val="0"/>
          <w:numId w:val="1"/>
        </w:numPr>
        <w:spacing w:line="360" w:lineRule="auto"/>
        <w:contextualSpacing w:val="0"/>
        <w:jc w:val="both"/>
        <w:rPr>
          <w:rFonts w:eastAsia="David"/>
          <w:rtl/>
        </w:rPr>
      </w:pPr>
      <w:r>
        <w:rPr>
          <w:rStyle w:val="ae"/>
          <w:rFonts w:ascii="David" w:eastAsia="David" w:hAnsi="David"/>
          <w:rtl/>
          <w:lang w:val="he-IL"/>
        </w:rPr>
        <w:t xml:space="preserve">קיצורם של דברים, מנורה ידעה בוודאי על האפשרות שבית המשפט </w:t>
      </w:r>
      <w:r w:rsidR="00E37E54">
        <w:rPr>
          <w:rStyle w:val="ae"/>
          <w:rFonts w:ascii="David" w:eastAsia="David" w:hAnsi="David" w:hint="cs"/>
          <w:rtl/>
          <w:lang w:val="he-IL"/>
        </w:rPr>
        <w:t xml:space="preserve">של פשיטת רגל </w:t>
      </w:r>
      <w:r>
        <w:rPr>
          <w:rStyle w:val="ae"/>
          <w:rFonts w:ascii="David" w:eastAsia="David" w:hAnsi="David"/>
          <w:rtl/>
          <w:lang w:val="he-IL"/>
        </w:rPr>
        <w:t>יבטל את הליך פשיטת הרגל</w:t>
      </w:r>
      <w:r w:rsidR="00E37E54">
        <w:rPr>
          <w:rStyle w:val="ae"/>
          <w:rFonts w:ascii="David" w:eastAsia="David" w:hAnsi="David" w:hint="cs"/>
          <w:rtl/>
          <w:lang w:val="he-IL"/>
        </w:rPr>
        <w:t xml:space="preserve"> של אסולין על יסוד הבקשה ש</w:t>
      </w:r>
      <w:r>
        <w:rPr>
          <w:rStyle w:val="ae"/>
          <w:rFonts w:ascii="David" w:eastAsia="David" w:hAnsi="David"/>
          <w:rtl/>
          <w:lang w:val="he-IL"/>
        </w:rPr>
        <w:t>היא עצמה הגישה</w:t>
      </w:r>
      <w:r w:rsidR="00E1068B">
        <w:rPr>
          <w:rStyle w:val="ae"/>
          <w:rFonts w:ascii="David" w:eastAsia="David" w:hAnsi="David" w:hint="cs"/>
          <w:rtl/>
          <w:lang w:val="he-IL"/>
        </w:rPr>
        <w:t xml:space="preserve"> לביטולו</w:t>
      </w:r>
      <w:r>
        <w:rPr>
          <w:rStyle w:val="ae"/>
          <w:rFonts w:ascii="David" w:eastAsia="David" w:hAnsi="David"/>
          <w:rtl/>
          <w:lang w:val="he-IL"/>
        </w:rPr>
        <w:t>. לא ניתן לראות ב</w:t>
      </w:r>
      <w:r w:rsidR="00E1068B">
        <w:rPr>
          <w:rStyle w:val="ae"/>
          <w:rFonts w:ascii="David" w:eastAsia="David" w:hAnsi="David" w:hint="cs"/>
          <w:rtl/>
          <w:lang w:val="he-IL"/>
        </w:rPr>
        <w:t xml:space="preserve">כך </w:t>
      </w:r>
      <w:r>
        <w:rPr>
          <w:rStyle w:val="ae"/>
          <w:rFonts w:ascii="David" w:eastAsia="David" w:hAnsi="David"/>
          <w:rtl/>
          <w:lang w:val="he-IL"/>
        </w:rPr>
        <w:t>ש</w:t>
      </w:r>
      <w:r w:rsidR="00E1068B">
        <w:rPr>
          <w:rStyle w:val="ae"/>
          <w:rFonts w:ascii="David" w:eastAsia="David" w:hAnsi="David" w:hint="cs"/>
          <w:rtl/>
          <w:lang w:val="he-IL"/>
        </w:rPr>
        <w:t xml:space="preserve">בית המשפט </w:t>
      </w:r>
      <w:r>
        <w:rPr>
          <w:rStyle w:val="ae"/>
          <w:rFonts w:ascii="David" w:eastAsia="David" w:hAnsi="David"/>
          <w:rtl/>
          <w:lang w:val="he-IL"/>
        </w:rPr>
        <w:t>נעתר לבקשתה והורה על ביטול ההליך</w:t>
      </w:r>
      <w:r w:rsidR="00810BFC">
        <w:rPr>
          <w:rStyle w:val="ae"/>
          <w:rFonts w:ascii="David" w:eastAsia="David" w:hAnsi="David" w:hint="cs"/>
          <w:rtl/>
          <w:lang w:val="he-IL"/>
        </w:rPr>
        <w:t>,</w:t>
      </w:r>
      <w:r>
        <w:rPr>
          <w:rStyle w:val="ae"/>
          <w:rFonts w:ascii="David" w:eastAsia="David" w:hAnsi="David"/>
          <w:rtl/>
          <w:lang w:val="he-IL"/>
        </w:rPr>
        <w:t xml:space="preserve"> כשינוי נסיבות המצדיק את ביטול ההסדר. ההחלטה </w:t>
      </w:r>
      <w:r w:rsidR="00E1068B">
        <w:rPr>
          <w:rStyle w:val="ae"/>
          <w:rFonts w:ascii="David" w:eastAsia="David" w:hAnsi="David" w:hint="cs"/>
          <w:rtl/>
          <w:lang w:val="he-IL"/>
        </w:rPr>
        <w:t xml:space="preserve">על ביטול </w:t>
      </w:r>
      <w:r>
        <w:rPr>
          <w:rStyle w:val="ae"/>
          <w:rFonts w:ascii="David" w:eastAsia="David" w:hAnsi="David"/>
          <w:rtl/>
          <w:lang w:val="he-IL"/>
        </w:rPr>
        <w:t xml:space="preserve">ההליך היא התפתחות מאוחרת שמצויה בלב ליבה של הקצאת הסיכונים על ידי הצדדים, המעוגנת בהסדר שקיבל תוקף של החלטה. אכן, מנורה לא ידעה מה תהיה ההכרעה בבקשתה לביטול ההליך, אך למרות </w:t>
      </w:r>
      <w:r w:rsidR="00E1068B">
        <w:rPr>
          <w:rStyle w:val="ae"/>
          <w:rFonts w:ascii="David" w:eastAsia="David" w:hAnsi="David" w:hint="cs"/>
          <w:rtl/>
          <w:lang w:val="he-IL"/>
        </w:rPr>
        <w:t xml:space="preserve">זאת </w:t>
      </w:r>
      <w:r>
        <w:rPr>
          <w:rStyle w:val="ae"/>
          <w:rFonts w:ascii="David" w:eastAsia="David" w:hAnsi="David"/>
          <w:rtl/>
          <w:lang w:val="he-IL"/>
        </w:rPr>
        <w:t>היא החליטה להגיע להסדר</w:t>
      </w:r>
      <w:r w:rsidR="00810BFC">
        <w:rPr>
          <w:rStyle w:val="ae"/>
          <w:rFonts w:ascii="David" w:eastAsia="David" w:hAnsi="David" w:hint="cs"/>
          <w:rtl/>
          <w:lang w:val="he-IL"/>
        </w:rPr>
        <w:t xml:space="preserve"> ולא להמתין עד שתתקבל החלטה</w:t>
      </w:r>
      <w:r>
        <w:rPr>
          <w:rStyle w:val="ae"/>
          <w:rFonts w:ascii="David" w:eastAsia="David" w:hAnsi="David"/>
          <w:rtl/>
          <w:lang w:val="he-IL"/>
        </w:rPr>
        <w:t xml:space="preserve"> </w:t>
      </w:r>
      <w:r w:rsidR="00E1068B">
        <w:rPr>
          <w:rStyle w:val="ae"/>
          <w:rFonts w:ascii="David" w:eastAsia="David" w:hAnsi="David" w:hint="cs"/>
          <w:rtl/>
          <w:lang w:val="he-IL"/>
        </w:rPr>
        <w:t xml:space="preserve">ובכך, </w:t>
      </w:r>
      <w:r w:rsidR="00E37E54">
        <w:rPr>
          <w:rStyle w:val="ae"/>
          <w:rFonts w:ascii="David" w:eastAsia="David" w:hAnsi="David"/>
          <w:rtl/>
          <w:lang w:val="he-IL"/>
        </w:rPr>
        <w:t xml:space="preserve">היא "נטלה </w:t>
      </w:r>
      <w:r w:rsidR="00E37E54">
        <w:rPr>
          <w:rStyle w:val="ae"/>
          <w:rFonts w:ascii="David" w:eastAsia="David" w:hAnsi="David"/>
          <w:rtl/>
          <w:lang w:val="he-IL"/>
        </w:rPr>
        <w:lastRenderedPageBreak/>
        <w:t>על עצמה סיכון" שבקשתה תתקבל</w:t>
      </w:r>
      <w:r>
        <w:rPr>
          <w:rStyle w:val="ae"/>
          <w:rFonts w:ascii="David" w:eastAsia="David" w:hAnsi="David"/>
          <w:rtl/>
          <w:lang w:val="he-IL"/>
        </w:rPr>
        <w:t xml:space="preserve">. גם אם טעתה מנורה, הרי שטעותה היא לכל היותר טעות בכדאיות העסקה, אשר אינה מקימה עילה לביטול ההסדר. </w:t>
      </w:r>
      <w:r w:rsidR="004834BB">
        <w:rPr>
          <w:rStyle w:val="ae"/>
          <w:rFonts w:ascii="David" w:eastAsia="David" w:hAnsi="David" w:hint="cs"/>
          <w:rtl/>
          <w:lang w:val="he-IL"/>
        </w:rPr>
        <w:t xml:space="preserve">גם </w:t>
      </w:r>
      <w:r>
        <w:rPr>
          <w:rStyle w:val="ae"/>
          <w:rFonts w:ascii="David" w:eastAsia="David" w:hAnsi="David"/>
          <w:rtl/>
          <w:lang w:val="he-IL"/>
        </w:rPr>
        <w:t xml:space="preserve">מהאופן שבו הציגה מנורה את הדברים עולה בבירור, כי לכל היותר (אם בכלל), מדובר בטעות בכדאיות העסקה, שעה שציינה כי ביטול ההליך (שכאמור אינו שינוי נסיבות המצדיק את ביטול ההסדר) </w:t>
      </w:r>
      <w:r>
        <w:rPr>
          <w:rStyle w:val="Hyperlink0"/>
          <w:rFonts w:hint="cs"/>
          <w:b w:val="0"/>
          <w:bCs w:val="0"/>
          <w:rtl/>
        </w:rPr>
        <w:t>"</w:t>
      </w:r>
      <w:r w:rsidRPr="00810BFC">
        <w:rPr>
          <w:rStyle w:val="Hyperlink0"/>
          <w:rFonts w:hint="cs"/>
          <w:rtl/>
        </w:rPr>
        <w:t xml:space="preserve">שומט את הרציונל הכלכלי ואת שיקולי העלות-תועלת אשר עמדו ביסוד החלטתה של מנורה להיעתר לאותו הסדר דיוני, שהוצע לצדדים ע"י כב' בית המשפט המחוזי בבאר-שבע </w:t>
      </w:r>
      <w:r w:rsidRPr="00810BFC">
        <w:rPr>
          <w:rStyle w:val="ae"/>
          <w:rFonts w:ascii="David" w:eastAsia="David" w:hAnsi="David"/>
          <w:rtl/>
          <w:lang w:val="he-IL"/>
        </w:rPr>
        <w:t>[...]</w:t>
      </w:r>
      <w:r>
        <w:rPr>
          <w:rStyle w:val="Hyperlink0"/>
          <w:rFonts w:hint="cs"/>
          <w:b w:val="0"/>
          <w:bCs w:val="0"/>
          <w:rtl/>
        </w:rPr>
        <w:t>"</w:t>
      </w:r>
      <w:r>
        <w:rPr>
          <w:rStyle w:val="ae"/>
          <w:rFonts w:ascii="David" w:eastAsia="David" w:hAnsi="David"/>
          <w:rtl/>
          <w:lang w:val="he-IL"/>
        </w:rPr>
        <w:t xml:space="preserve">. </w:t>
      </w:r>
    </w:p>
    <w:p w:rsidR="00A67BFF" w:rsidRDefault="00A67BFF" w:rsidP="00A67BFF">
      <w:pPr>
        <w:spacing w:line="360" w:lineRule="auto"/>
        <w:jc w:val="both"/>
        <w:rPr>
          <w:rStyle w:val="ae"/>
          <w:rFonts w:eastAsia="David"/>
          <w:rtl/>
        </w:rPr>
      </w:pPr>
    </w:p>
    <w:p w:rsidR="00A67BFF" w:rsidRDefault="00A67BFF" w:rsidP="00DB2872">
      <w:pPr>
        <w:pStyle w:val="ad"/>
        <w:numPr>
          <w:ilvl w:val="0"/>
          <w:numId w:val="1"/>
        </w:numPr>
        <w:spacing w:line="360" w:lineRule="auto"/>
        <w:contextualSpacing w:val="0"/>
        <w:jc w:val="both"/>
        <w:rPr>
          <w:rFonts w:eastAsia="David"/>
          <w:rtl/>
        </w:rPr>
      </w:pPr>
      <w:r>
        <w:rPr>
          <w:rStyle w:val="ae"/>
          <w:rFonts w:ascii="David" w:eastAsia="David" w:hAnsi="David"/>
          <w:rtl/>
          <w:lang w:val="he-IL"/>
        </w:rPr>
        <w:t>על יסוד כל האמור לא מצאתי, אפוא, כי בנסיבות העניין שלפניי חל שינוי מהותי בנסיבות או כי מתקיימות עילות אחרות שבדין, המצדיקות את ביטול ההסדר</w:t>
      </w:r>
      <w:r w:rsidR="00DB2872">
        <w:rPr>
          <w:rStyle w:val="ae"/>
          <w:rFonts w:ascii="David" w:eastAsia="David" w:hAnsi="David" w:hint="cs"/>
          <w:rtl/>
          <w:lang w:val="he-IL"/>
        </w:rPr>
        <w:t>, שניתן לו תוקף של החלטה</w:t>
      </w:r>
      <w:r>
        <w:rPr>
          <w:rStyle w:val="ae"/>
          <w:rFonts w:ascii="David" w:eastAsia="David" w:hAnsi="David"/>
          <w:rtl/>
          <w:lang w:val="he-IL"/>
        </w:rPr>
        <w:t xml:space="preserve">. </w:t>
      </w:r>
      <w:r w:rsidR="00E1068B">
        <w:rPr>
          <w:rStyle w:val="ae"/>
          <w:rFonts w:ascii="David" w:eastAsia="David" w:hAnsi="David" w:hint="cs"/>
          <w:rtl/>
          <w:lang w:val="he-IL"/>
        </w:rPr>
        <w:t xml:space="preserve">כאמור, </w:t>
      </w:r>
      <w:r>
        <w:rPr>
          <w:rStyle w:val="ae"/>
          <w:rFonts w:ascii="David" w:eastAsia="David" w:hAnsi="David"/>
          <w:rtl/>
          <w:lang w:val="he-IL"/>
        </w:rPr>
        <w:t>החלטת בית המשפט בדבר ביטול הליך פשיטת הרגל של אסולין על קביעותיה וממצאיה, אינם שינוי נסיבות שמצדיק את ביטול</w:t>
      </w:r>
      <w:r w:rsidR="00DB2872">
        <w:rPr>
          <w:rStyle w:val="ae"/>
          <w:rFonts w:ascii="David" w:eastAsia="David" w:hAnsi="David" w:hint="cs"/>
          <w:rtl/>
          <w:lang w:val="he-IL"/>
        </w:rPr>
        <w:t>ו</w:t>
      </w:r>
      <w:r w:rsidR="00E1068B">
        <w:rPr>
          <w:rStyle w:val="ae"/>
          <w:rFonts w:ascii="David" w:eastAsia="David" w:hAnsi="David" w:hint="cs"/>
          <w:rtl/>
          <w:lang w:val="he-IL"/>
        </w:rPr>
        <w:t>,</w:t>
      </w:r>
      <w:r w:rsidR="00810BFC">
        <w:rPr>
          <w:rStyle w:val="ae"/>
          <w:rFonts w:ascii="David" w:eastAsia="David" w:hAnsi="David" w:hint="cs"/>
          <w:rtl/>
          <w:lang w:val="he-IL"/>
        </w:rPr>
        <w:t xml:space="preserve"> בנסיבות שבהן ידעה מנורה כי תלויה ועומדת בקשתה לביטול ההליך</w:t>
      </w:r>
      <w:r>
        <w:rPr>
          <w:rStyle w:val="ae"/>
          <w:rFonts w:ascii="David" w:eastAsia="David" w:hAnsi="David"/>
          <w:rtl/>
          <w:lang w:val="he-IL"/>
        </w:rPr>
        <w:t>. גם לא הוכחו טעות או פגם ברצון, להבדיל (אולי) מטעות באשר לכדאיות גרידא</w:t>
      </w:r>
      <w:r w:rsidR="00E1068B">
        <w:rPr>
          <w:rStyle w:val="ae"/>
          <w:rFonts w:ascii="David" w:eastAsia="David" w:hAnsi="David" w:hint="cs"/>
          <w:rtl/>
          <w:lang w:val="he-IL"/>
        </w:rPr>
        <w:t>;</w:t>
      </w:r>
      <w:r>
        <w:rPr>
          <w:rStyle w:val="ae"/>
          <w:rFonts w:ascii="David" w:eastAsia="David" w:hAnsi="David"/>
          <w:rtl/>
          <w:lang w:val="he-IL"/>
        </w:rPr>
        <w:t xml:space="preserve"> </w:t>
      </w:r>
      <w:r w:rsidR="004834BB">
        <w:rPr>
          <w:rStyle w:val="ae"/>
          <w:rFonts w:ascii="David" w:eastAsia="David" w:hAnsi="David" w:hint="cs"/>
          <w:rtl/>
          <w:lang w:val="he-IL"/>
        </w:rPr>
        <w:t>ו</w:t>
      </w:r>
      <w:r>
        <w:rPr>
          <w:rStyle w:val="ae"/>
          <w:rFonts w:ascii="David" w:eastAsia="David" w:hAnsi="David"/>
          <w:rtl/>
          <w:lang w:val="he-IL"/>
        </w:rPr>
        <w:t xml:space="preserve">מנורה </w:t>
      </w:r>
      <w:r w:rsidR="004834BB">
        <w:rPr>
          <w:rStyle w:val="ae"/>
          <w:rFonts w:ascii="David" w:eastAsia="David" w:hAnsi="David" w:hint="cs"/>
          <w:rtl/>
          <w:lang w:val="he-IL"/>
        </w:rPr>
        <w:t>אף</w:t>
      </w:r>
      <w:r>
        <w:rPr>
          <w:rStyle w:val="ae"/>
          <w:rFonts w:ascii="David" w:eastAsia="David" w:hAnsi="David"/>
          <w:rtl/>
          <w:lang w:val="he-IL"/>
        </w:rPr>
        <w:t xml:space="preserve"> לא הצביעה על פגיעה באינטרס ציבורי כלשהו. התוצאה שלפיה מנורה מחויבת לפעול על פי ההסדר שהסכימה לו בהיותה מיוצגת</w:t>
      </w:r>
      <w:r w:rsidR="004834BB">
        <w:rPr>
          <w:rStyle w:val="ae"/>
          <w:rFonts w:ascii="David" w:eastAsia="David" w:hAnsi="David" w:hint="cs"/>
          <w:rtl/>
          <w:lang w:val="he-IL"/>
        </w:rPr>
        <w:t>,</w:t>
      </w:r>
      <w:r>
        <w:rPr>
          <w:rStyle w:val="ae"/>
          <w:rFonts w:ascii="David" w:eastAsia="David" w:hAnsi="David"/>
          <w:rtl/>
          <w:lang w:val="he-IL"/>
        </w:rPr>
        <w:t xml:space="preserve"> ובעוד בקשתה לביטול צו הכינוס על דו"ח החקירה שהוגש במסגרתה ומכלול טענותיה (שהתקבלו), תלויה ועומדת ובטרם התקבלה החלטה</w:t>
      </w:r>
      <w:r w:rsidR="00810BFC">
        <w:rPr>
          <w:rStyle w:val="ae"/>
          <w:rFonts w:ascii="David" w:eastAsia="David" w:hAnsi="David" w:hint="cs"/>
          <w:rtl/>
          <w:lang w:val="he-IL"/>
        </w:rPr>
        <w:t xml:space="preserve"> -</w:t>
      </w:r>
      <w:r>
        <w:rPr>
          <w:rStyle w:val="ae"/>
          <w:rFonts w:ascii="David" w:eastAsia="David" w:hAnsi="David"/>
          <w:rtl/>
          <w:lang w:val="he-IL"/>
        </w:rPr>
        <w:t xml:space="preserve"> ודאי שאינה בבחינת "חוסר צדק" כלפיה. ברי גם כי אין מדובר בהסדר המונע מבית המשפט למלא את תפקידו</w:t>
      </w:r>
      <w:r w:rsidR="00A67DEF">
        <w:rPr>
          <w:rStyle w:val="ae"/>
          <w:rFonts w:ascii="David" w:eastAsia="David" w:hAnsi="David" w:hint="cs"/>
          <w:rtl/>
          <w:lang w:val="he-IL"/>
        </w:rPr>
        <w:t>,</w:t>
      </w:r>
      <w:r>
        <w:rPr>
          <w:rStyle w:val="ae"/>
          <w:rFonts w:ascii="David" w:eastAsia="David" w:hAnsi="David"/>
          <w:rtl/>
          <w:lang w:val="he-IL"/>
        </w:rPr>
        <w:t xml:space="preserve"> </w:t>
      </w:r>
      <w:r w:rsidR="00A67DEF">
        <w:rPr>
          <w:rStyle w:val="ae"/>
          <w:rFonts w:ascii="David" w:eastAsia="David" w:hAnsi="David" w:hint="cs"/>
          <w:rtl/>
          <w:lang w:val="he-IL"/>
        </w:rPr>
        <w:t>ו</w:t>
      </w:r>
      <w:r>
        <w:rPr>
          <w:rStyle w:val="ae"/>
          <w:rFonts w:ascii="David" w:eastAsia="David" w:hAnsi="David"/>
          <w:rtl/>
          <w:lang w:val="he-IL"/>
        </w:rPr>
        <w:t xml:space="preserve">לא הוצגה כל מניעה מלפעול על פי ההסדר ובאופן שהליך זה </w:t>
      </w:r>
      <w:r w:rsidRPr="00D25DA7">
        <w:rPr>
          <w:rFonts w:eastAsia="David"/>
          <w:rtl/>
        </w:rPr>
        <w:t xml:space="preserve">יתברר כהלכתו אך ורק בהימלא התנאים שהוסכמו וניתן להם תוקף של החלטה. </w:t>
      </w:r>
    </w:p>
    <w:p w:rsidR="00A67BFF" w:rsidRPr="00D25DA7" w:rsidRDefault="00A67BFF" w:rsidP="00D25DA7">
      <w:pPr>
        <w:spacing w:line="360" w:lineRule="auto"/>
        <w:jc w:val="both"/>
        <w:rPr>
          <w:rFonts w:eastAsia="David"/>
          <w:rtl/>
        </w:rPr>
      </w:pPr>
    </w:p>
    <w:p w:rsidR="00A67BFF" w:rsidRDefault="00A67BFF" w:rsidP="00A67BFF">
      <w:pPr>
        <w:ind w:left="509" w:hanging="425"/>
        <w:jc w:val="both"/>
        <w:rPr>
          <w:rStyle w:val="ae"/>
          <w:rFonts w:ascii="David" w:eastAsia="David" w:hAnsi="David"/>
          <w:b/>
          <w:bCs/>
          <w:u w:val="single"/>
          <w:rtl/>
          <w:lang w:val="he-IL"/>
        </w:rPr>
      </w:pPr>
      <w:r>
        <w:rPr>
          <w:rStyle w:val="ae"/>
          <w:rFonts w:ascii="David" w:eastAsia="David" w:hAnsi="David"/>
          <w:b/>
          <w:bCs/>
          <w:u w:val="single"/>
          <w:rtl/>
          <w:lang w:val="he-IL"/>
        </w:rPr>
        <w:t>סוף דבר</w:t>
      </w:r>
    </w:p>
    <w:p w:rsidR="00A67BFF" w:rsidRDefault="00A67BFF" w:rsidP="00A67BFF">
      <w:pPr>
        <w:ind w:left="509" w:hanging="425"/>
        <w:jc w:val="both"/>
        <w:rPr>
          <w:rStyle w:val="ae"/>
          <w:rFonts w:ascii="David" w:eastAsia="David" w:hAnsi="David"/>
          <w:b/>
          <w:bCs/>
          <w:u w:val="single"/>
          <w:rtl/>
          <w:lang w:val="he-IL"/>
        </w:rPr>
      </w:pPr>
    </w:p>
    <w:p w:rsidR="00A67BFF" w:rsidRDefault="00A67BFF" w:rsidP="00D25DA7">
      <w:pPr>
        <w:pStyle w:val="ad"/>
        <w:numPr>
          <w:ilvl w:val="0"/>
          <w:numId w:val="1"/>
        </w:numPr>
        <w:spacing w:line="360" w:lineRule="auto"/>
        <w:contextualSpacing w:val="0"/>
        <w:jc w:val="both"/>
        <w:rPr>
          <w:rFonts w:eastAsia="David"/>
          <w:rtl/>
        </w:rPr>
      </w:pPr>
      <w:r>
        <w:rPr>
          <w:rStyle w:val="ae"/>
          <w:rFonts w:ascii="David" w:eastAsia="David" w:hAnsi="David"/>
          <w:rtl/>
          <w:lang w:val="he-IL"/>
        </w:rPr>
        <w:t xml:space="preserve">מכל הנימוקים דלעיל, הבקשה לביטול ההסדר נדחית. </w:t>
      </w:r>
      <w:r>
        <w:rPr>
          <w:rStyle w:val="ae"/>
          <w:rFonts w:ascii="David" w:eastAsia="David" w:hAnsi="David"/>
          <w:rtl/>
          <w:lang w:val="he-IL"/>
        </w:rPr>
        <w:tab/>
      </w:r>
      <w:r>
        <w:rPr>
          <w:rStyle w:val="ae"/>
          <w:rFonts w:ascii="David" w:eastAsia="David" w:hAnsi="David"/>
          <w:rtl/>
          <w:lang w:val="he-IL"/>
        </w:rPr>
        <w:br/>
        <w:t>אני מחייבת את מנורה בהוצאות הבקשה בסך 15,000 ₪.</w:t>
      </w:r>
      <w:r>
        <w:rPr>
          <w:rFonts w:ascii="David" w:eastAsia="David" w:hAnsi="David"/>
          <w:rtl/>
          <w:lang w:val="he-IL"/>
        </w:rPr>
        <w:t xml:space="preserve"> בקביעת ההוצאות נתתי דעתי לתוצאה ולכך שההחלטה ניתנה על יסוד טיעונים בכתב, כמו גם למכלול הנסיבות</w:t>
      </w:r>
      <w:r>
        <w:rPr>
          <w:rFonts w:ascii="David" w:eastAsia="David" w:hAnsi="David" w:hint="cs"/>
          <w:rtl/>
          <w:lang w:val="he-IL"/>
        </w:rPr>
        <w:t xml:space="preserve"> וקביעותיי</w:t>
      </w:r>
      <w:r>
        <w:rPr>
          <w:rFonts w:ascii="David" w:eastAsia="David" w:hAnsi="David"/>
          <w:rtl/>
          <w:lang w:val="he-IL"/>
        </w:rPr>
        <w:t xml:space="preserve"> כמתואר בהחלטה.</w:t>
      </w:r>
    </w:p>
    <w:p w:rsidR="00D60194" w:rsidRDefault="00D60194" w:rsidP="00D60194">
      <w:pPr>
        <w:spacing w:line="360" w:lineRule="auto"/>
        <w:jc w:val="both"/>
        <w:rPr>
          <w:rFonts w:ascii="David" w:hAnsi="David"/>
          <w:noProof w:val="0"/>
          <w:rtl/>
        </w:rPr>
      </w:pPr>
    </w:p>
    <w:p w:rsidR="00A67BFF" w:rsidRPr="00A67BFF" w:rsidRDefault="00A67BFF" w:rsidP="00D60194">
      <w:pPr>
        <w:spacing w:line="360" w:lineRule="auto"/>
        <w:jc w:val="both"/>
        <w:rPr>
          <w:rFonts w:ascii="David" w:hAnsi="David"/>
          <w:b/>
          <w:bCs/>
          <w:noProof w:val="0"/>
          <w:u w:val="single"/>
          <w:rtl/>
        </w:rPr>
      </w:pPr>
      <w:r w:rsidRPr="00A67BFF">
        <w:rPr>
          <w:rFonts w:ascii="David" w:hAnsi="David" w:hint="cs"/>
          <w:b/>
          <w:bCs/>
          <w:noProof w:val="0"/>
          <w:u w:val="single"/>
          <w:rtl/>
        </w:rPr>
        <w:t>המזכירות תדוור לצדדים</w:t>
      </w:r>
    </w:p>
    <w:p w:rsidR="00694556" w:rsidRDefault="0043502B" w:rsidP="00A67BFF">
      <w:pPr>
        <w:spacing w:line="360" w:lineRule="auto"/>
        <w:jc w:val="both"/>
        <w:rPr>
          <w:rFonts w:ascii="Arial" w:hAnsi="Arial"/>
          <w:noProof w:val="0"/>
          <w:rtl/>
        </w:rPr>
      </w:pPr>
      <w:r>
        <w:rPr>
          <w:rFonts w:ascii="Arial" w:hAnsi="Arial"/>
          <w:noProof w:val="0"/>
          <w:rtl/>
        </w:rPr>
        <w:t>נית</w:t>
      </w:r>
      <w:r>
        <w:rPr>
          <w:rFonts w:ascii="Arial" w:hAnsi="Arial" w:hint="cs"/>
          <w:noProof w:val="0"/>
          <w:rtl/>
        </w:rPr>
        <w:t>נה</w:t>
      </w:r>
      <w:r w:rsidR="00005C8B">
        <w:rPr>
          <w:rFonts w:ascii="Arial" w:hAnsi="Arial"/>
          <w:noProof w:val="0"/>
          <w:rtl/>
        </w:rPr>
        <w:t xml:space="preserve"> היום, </w:t>
      </w:r>
      <w:sdt>
        <w:sdtPr>
          <w:rPr>
            <w:rtl/>
          </w:rPr>
          <w:alias w:val="1455"/>
          <w:tag w:val="1455"/>
          <w:id w:val="1666048407"/>
          <w:text w:multiLine="1"/>
        </w:sdtPr>
        <w:sdtEndPr/>
        <w:sdtContent>
          <w:r>
            <w:rPr>
              <w:rFonts w:ascii="Arial" w:hAnsi="Arial" w:hint="cs"/>
              <w:noProof w:val="0"/>
              <w:rtl/>
            </w:rPr>
            <w:t>י"א תשרי תשפ"ג</w:t>
          </w:r>
        </w:sdtContent>
      </w:sdt>
      <w:r w:rsidR="00005C8B">
        <w:rPr>
          <w:rFonts w:ascii="Arial" w:hAnsi="Arial"/>
          <w:noProof w:val="0"/>
          <w:rtl/>
        </w:rPr>
        <w:t xml:space="preserve">, </w:t>
      </w:r>
      <w:sdt>
        <w:sdtPr>
          <w:rPr>
            <w:rtl/>
          </w:rPr>
          <w:alias w:val="1456"/>
          <w:tag w:val="1456"/>
          <w:id w:val="-1186288958"/>
          <w:text w:multiLine="1"/>
        </w:sdtPr>
        <w:sdtEndPr/>
        <w:sdtContent>
          <w:r>
            <w:rPr>
              <w:rFonts w:ascii="Arial" w:hAnsi="Arial" w:hint="cs"/>
              <w:noProof w:val="0"/>
              <w:rtl/>
            </w:rPr>
            <w:t>06 אוקטובר 2022</w:t>
          </w:r>
        </w:sdtContent>
      </w:sdt>
      <w:r w:rsidR="00005C8B">
        <w:rPr>
          <w:rFonts w:ascii="Arial" w:hAnsi="Arial"/>
          <w:noProof w:val="0"/>
          <w:rtl/>
        </w:rPr>
        <w:t>, בהעדר הצדדים.</w:t>
      </w:r>
    </w:p>
    <w:p w:rsidR="00C43648" w:rsidRDefault="00E56EF1" w:rsidP="00BD6531">
      <w:pPr>
        <w:tabs>
          <w:tab w:val="left" w:pos="2553"/>
        </w:tabs>
        <w:ind w:left="5040"/>
        <w:rPr>
          <w:rtl/>
        </w:rPr>
      </w:pPr>
      <w:sdt>
        <w:sdtPr>
          <w:rPr>
            <w:rFonts w:hint="cs"/>
            <w:rtl/>
          </w:rPr>
          <w:alias w:val="2045"/>
          <w:tag w:val="2045"/>
          <w:id w:val="740689340"/>
          <w:placeholder>
            <w:docPart w:val="E460D38E05664FF79D4EFF282EF8EC99"/>
          </w:placeholder>
          <w:showingPlcHdr/>
          <w:text w:multiLine="1"/>
        </w:sdtPr>
        <w:sdtEndPr/>
        <w:sdtContent>
          <w:r w:rsidR="00C43648">
            <w:rPr>
              <w:rFonts w:hint="cs"/>
              <w:rtl/>
            </w:rPr>
            <w:t xml:space="preserve">     </w:t>
          </w:r>
        </w:sdtContent>
      </w:sdt>
    </w:p>
    <w:p w:rsidR="00694556" w:rsidRDefault="00BD6531" w:rsidP="00BD6531">
      <w:pPr>
        <w:tabs>
          <w:tab w:val="left" w:pos="2553"/>
        </w:tabs>
      </w:pPr>
      <w:r>
        <w:rPr>
          <w:rFonts w:hint="cs"/>
          <w:rtl/>
        </w:rPr>
        <w:tab/>
      </w:r>
      <w:r>
        <w:rPr>
          <w:rFonts w:hint="cs"/>
          <w:rtl/>
        </w:rPr>
        <w:tab/>
      </w:r>
      <w:r>
        <w:rPr>
          <w:rFonts w:hint="cs"/>
          <w:rtl/>
        </w:rPr>
        <w:tab/>
      </w:r>
      <w:r>
        <w:rPr>
          <w:rFonts w:hint="cs"/>
          <w:rtl/>
        </w:rPr>
        <w:tab/>
        <w:t xml:space="preserve">        </w:t>
      </w:r>
      <w:sdt>
        <w:sdtPr>
          <w:rPr>
            <w:rtl/>
          </w:rPr>
          <w:alias w:val="MergeField"/>
          <w:tag w:val="1237"/>
          <w:id w:val="1550877142"/>
        </w:sdtPr>
        <w:sdtEndPr/>
        <w:sdtContent>
          <w:r w:rsidR="00BD68FF">
            <w:drawing>
              <wp:inline distT="0" distB="0" distL="0" distR="0" wp14:editId="50D07946">
                <wp:extent cx="1028700" cy="8286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8" cstate="print">
                          <a:extLst/>
                        </a:blip>
                        <a:stretch>
                          <a:fillRect/>
                        </a:stretch>
                      </pic:blipFill>
                      <pic:spPr>
                        <a:xfrm>
                          <a:off x="0" y="0"/>
                          <a:ext cx="1028700" cy="828675"/>
                        </a:xfrm>
                        <a:prstGeom prst="rect">
                          <a:avLst/>
                        </a:prstGeom>
                      </pic:spPr>
                    </pic:pic>
                  </a:graphicData>
                </a:graphic>
              </wp:inline>
            </w:drawing>
          </w:r>
        </w:sdtContent>
      </w:sdt>
    </w:p>
    <w:p w:rsidR="00694556" w:rsidRDefault="00694556" w:rsidP="00BD6531">
      <w:pPr>
        <w:tabs>
          <w:tab w:val="left" w:pos="2553"/>
        </w:tabs>
        <w:rPr>
          <w:rFonts w:ascii="Arial" w:hAnsi="Arial"/>
          <w:noProof w:val="0"/>
          <w:rtl/>
        </w:rPr>
      </w:pPr>
    </w:p>
    <w:sectPr w:rsidR="00694556" w:rsidSect="00A67BFF">
      <w:headerReference w:type="even" r:id="rId9"/>
      <w:headerReference w:type="default" r:id="rId10"/>
      <w:footerReference w:type="even" r:id="rId11"/>
      <w:footerReference w:type="default" r:id="rId12"/>
      <w:headerReference w:type="first" r:id="rId13"/>
      <w:footerReference w:type="first" r:id="rId14"/>
      <w:pgSz w:w="11907" w:h="16840" w:code="9"/>
      <w:pgMar w:top="1440" w:right="1800" w:bottom="1440" w:left="1800" w:header="720" w:footer="510" w:gutter="0"/>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68FF" w:rsidRDefault="00BD68FF">
      <w:r>
        <w:separator/>
      </w:r>
    </w:p>
  </w:endnote>
  <w:endnote w:type="continuationSeparator" w:id="0">
    <w:p w:rsidR="00BD68FF" w:rsidRDefault="00BD68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EF1" w:rsidRDefault="00E56EF1">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D5242" w:rsidRDefault="000C3B60">
    <w:pPr>
      <w:pStyle w:val="a4"/>
      <w:jc w:val="center"/>
      <w:rPr>
        <w:rStyle w:val="ab"/>
        <w:rFonts w:ascii="David" w:hAnsi="David"/>
      </w:rPr>
    </w:pPr>
    <w:r w:rsidRPr="004D5242">
      <w:rPr>
        <w:rStyle w:val="ab"/>
        <w:rFonts w:ascii="David" w:hAnsi="David"/>
      </w:rPr>
      <w:fldChar w:fldCharType="begin"/>
    </w:r>
    <w:r w:rsidR="00005C8B" w:rsidRPr="004D5242">
      <w:rPr>
        <w:rStyle w:val="ab"/>
        <w:rFonts w:ascii="David" w:hAnsi="David"/>
      </w:rPr>
      <w:instrText xml:space="preserve"> PAGE </w:instrText>
    </w:r>
    <w:r w:rsidRPr="004D5242">
      <w:rPr>
        <w:rStyle w:val="ab"/>
        <w:rFonts w:ascii="David" w:hAnsi="David"/>
      </w:rPr>
      <w:fldChar w:fldCharType="separate"/>
    </w:r>
    <w:r w:rsidR="00E56EF1">
      <w:rPr>
        <w:rStyle w:val="ab"/>
        <w:rFonts w:ascii="David" w:hAnsi="David"/>
        <w:rtl/>
      </w:rPr>
      <w:t>1</w:t>
    </w:r>
    <w:r w:rsidRPr="004D5242">
      <w:rPr>
        <w:rStyle w:val="ab"/>
        <w:rFonts w:ascii="David" w:hAnsi="David"/>
      </w:rPr>
      <w:fldChar w:fldCharType="end"/>
    </w:r>
    <w:r w:rsidR="00005C8B" w:rsidRPr="004D5242">
      <w:rPr>
        <w:rStyle w:val="ab"/>
        <w:rFonts w:ascii="David" w:hAnsi="David"/>
        <w:rtl/>
      </w:rPr>
      <w:t xml:space="preserve"> מתוך </w:t>
    </w:r>
    <w:r w:rsidRPr="004D5242">
      <w:rPr>
        <w:rStyle w:val="ab"/>
        <w:rFonts w:ascii="David" w:hAnsi="David"/>
      </w:rPr>
      <w:fldChar w:fldCharType="begin"/>
    </w:r>
    <w:r w:rsidR="00005C8B" w:rsidRPr="004D5242">
      <w:rPr>
        <w:rStyle w:val="ab"/>
        <w:rFonts w:ascii="David" w:hAnsi="David"/>
      </w:rPr>
      <w:instrText xml:space="preserve"> NUMPAGES </w:instrText>
    </w:r>
    <w:r w:rsidRPr="004D5242">
      <w:rPr>
        <w:rStyle w:val="ab"/>
        <w:rFonts w:ascii="David" w:hAnsi="David"/>
      </w:rPr>
      <w:fldChar w:fldCharType="separate"/>
    </w:r>
    <w:r w:rsidR="00E56EF1">
      <w:rPr>
        <w:rStyle w:val="ab"/>
        <w:rFonts w:ascii="David" w:hAnsi="David"/>
        <w:rtl/>
      </w:rPr>
      <w:t>11</w:t>
    </w:r>
    <w:r w:rsidRPr="004D5242">
      <w:rPr>
        <w:rStyle w:val="ab"/>
        <w:rFonts w:ascii="David" w:hAnsi="David"/>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EF1" w:rsidRDefault="00E56EF1">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68FF" w:rsidRDefault="00BD68FF">
      <w:r>
        <w:separator/>
      </w:r>
    </w:p>
  </w:footnote>
  <w:footnote w:type="continuationSeparator" w:id="0">
    <w:p w:rsidR="00BD68FF" w:rsidRDefault="00BD68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EF1" w:rsidRDefault="00E56EF1">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3"/>
      <w:jc w:val="center"/>
      <w:rPr>
        <w:rFonts w:cs="FrankRuehl"/>
        <w:noProof w:val="0"/>
        <w:sz w:val="28"/>
        <w:szCs w:val="28"/>
        <w:rtl/>
      </w:rPr>
    </w:pPr>
    <w:r>
      <w:rPr>
        <w:rFonts w:cs="FrankRuehl"/>
        <w:sz w:val="28"/>
        <w:szCs w:val="28"/>
      </w:rPr>
      <w:drawing>
        <wp:inline distT="0" distB="0" distL="0" distR="0" wp14:anchorId="5D3BA177" wp14:editId="53AE422C">
          <wp:extent cx="374015" cy="469265"/>
          <wp:effectExtent l="0" t="0" r="6985" b="698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8307"/>
    </w:tblGrid>
    <w:tr w:rsidR="00694556" w:rsidTr="004057A4">
      <w:trPr>
        <w:trHeight w:hRule="exact" w:val="993"/>
        <w:jc w:val="center"/>
      </w:trPr>
      <w:sdt>
        <w:sdtPr>
          <w:rPr>
            <w:rFonts w:ascii="Tahoma" w:hAnsi="Tahoma"/>
            <w:b/>
            <w:bCs/>
            <w:color w:val="000080"/>
            <w:sz w:val="32"/>
            <w:szCs w:val="32"/>
            <w:rtl/>
          </w:rPr>
          <w:alias w:val="1174"/>
          <w:tag w:val="1174"/>
          <w:id w:val="-1585920285"/>
          <w:text w:multiLine="1"/>
        </w:sdtPr>
        <w:sdtEndPr/>
        <w:sdtContent>
          <w:tc>
            <w:tcPr>
              <w:tcW w:w="8307" w:type="dxa"/>
            </w:tcPr>
            <w:p w:rsidR="00694556" w:rsidRPr="00FA4EAF" w:rsidRDefault="003D1C8C" w:rsidP="003230C7">
              <w:pPr>
                <w:pStyle w:val="a3"/>
                <w:jc w:val="center"/>
                <w:rPr>
                  <w:rFonts w:ascii="Tahoma" w:hAnsi="Tahoma"/>
                  <w:noProof w:val="0"/>
                  <w:color w:val="000080"/>
                  <w:sz w:val="32"/>
                  <w:szCs w:val="32"/>
                  <w:rtl/>
                </w:rPr>
              </w:pPr>
              <w:r w:rsidRPr="00FA4EAF">
                <w:rPr>
                  <w:rFonts w:ascii="Tahoma" w:hAnsi="Tahoma"/>
                  <w:b/>
                  <w:bCs/>
                  <w:color w:val="000080"/>
                  <w:sz w:val="32"/>
                  <w:szCs w:val="32"/>
                  <w:rtl/>
                </w:rPr>
                <w:t>בית המשפט המחוזי בתל אביב - יפו</w:t>
              </w:r>
            </w:p>
          </w:tc>
        </w:sdtContent>
      </w:sdt>
    </w:tr>
    <w:tr w:rsidR="00694556" w:rsidRPr="00FA4EAF" w:rsidTr="004057A4">
      <w:trPr>
        <w:trHeight w:val="337"/>
        <w:jc w:val="center"/>
      </w:trPr>
      <w:tc>
        <w:tcPr>
          <w:tcW w:w="8307" w:type="dxa"/>
        </w:tcPr>
        <w:p w:rsidR="007D45E3" w:rsidRPr="00FA4EAF" w:rsidRDefault="00E56EF1" w:rsidP="007D45E3">
          <w:pPr>
            <w:rPr>
              <w:b/>
              <w:bCs/>
              <w:noProof w:val="0"/>
              <w:sz w:val="26"/>
              <w:szCs w:val="26"/>
              <w:rtl/>
            </w:rPr>
          </w:pPr>
          <w:sdt>
            <w:sdtPr>
              <w:rPr>
                <w:sz w:val="26"/>
                <w:szCs w:val="26"/>
                <w:rtl/>
              </w:rPr>
              <w:alias w:val="1170"/>
              <w:tag w:val="1170"/>
              <w:id w:val="1066377040"/>
              <w:text w:multiLine="1"/>
            </w:sdtPr>
            <w:sdtEndPr/>
            <w:sdtContent>
              <w:r w:rsidR="001F5DB6">
                <w:rPr>
                  <w:b/>
                  <w:bCs/>
                  <w:noProof w:val="0"/>
                  <w:sz w:val="26"/>
                  <w:szCs w:val="26"/>
                  <w:rtl/>
                </w:rPr>
                <w:t>ת"א</w:t>
              </w:r>
            </w:sdtContent>
          </w:sdt>
          <w:r w:rsidR="00005C8B" w:rsidRPr="00FA4EAF">
            <w:rPr>
              <w:b/>
              <w:bCs/>
              <w:noProof w:val="0"/>
              <w:sz w:val="26"/>
              <w:szCs w:val="26"/>
              <w:rtl/>
            </w:rPr>
            <w:t xml:space="preserve"> </w:t>
          </w:r>
          <w:bookmarkStart w:id="0" w:name="_GoBack"/>
          <w:sdt>
            <w:sdtPr>
              <w:rPr>
                <w:sz w:val="26"/>
                <w:szCs w:val="26"/>
                <w:rtl/>
              </w:rPr>
              <w:alias w:val="1171"/>
              <w:tag w:val="1171"/>
              <w:id w:val="257034231"/>
              <w:text w:multiLine="1"/>
            </w:sdtPr>
            <w:sdtEndPr/>
            <w:sdtContent>
              <w:r w:rsidR="001F5DB6">
                <w:rPr>
                  <w:b/>
                  <w:bCs/>
                  <w:noProof w:val="0"/>
                  <w:sz w:val="26"/>
                  <w:szCs w:val="26"/>
                  <w:rtl/>
                </w:rPr>
                <w:t>41080-03-21</w:t>
              </w:r>
            </w:sdtContent>
          </w:sdt>
          <w:bookmarkEnd w:id="0"/>
          <w:r w:rsidR="00005C8B" w:rsidRPr="00FA4EAF">
            <w:rPr>
              <w:b/>
              <w:bCs/>
              <w:noProof w:val="0"/>
              <w:sz w:val="26"/>
              <w:szCs w:val="26"/>
              <w:rtl/>
            </w:rPr>
            <w:t xml:space="preserve"> </w:t>
          </w:r>
          <w:sdt>
            <w:sdtPr>
              <w:rPr>
                <w:sz w:val="26"/>
                <w:szCs w:val="26"/>
                <w:rtl/>
              </w:rPr>
              <w:alias w:val="1172"/>
              <w:tag w:val="1172"/>
              <w:id w:val="-595170033"/>
              <w:text w:multiLine="1"/>
            </w:sdtPr>
            <w:sdtEndPr/>
            <w:sdtContent>
              <w:r w:rsidR="001F5DB6">
                <w:rPr>
                  <w:b/>
                  <w:bCs/>
                  <w:noProof w:val="0"/>
                  <w:sz w:val="26"/>
                  <w:szCs w:val="26"/>
                  <w:rtl/>
                </w:rPr>
                <w:t>אסולין נ' מנורה מבטחים ביטוח בע"מ</w:t>
              </w:r>
            </w:sdtContent>
          </w:sdt>
        </w:p>
        <w:p w:rsidR="007D45E3" w:rsidRPr="00FA4EAF" w:rsidRDefault="007D45E3" w:rsidP="007D45E3">
          <w:pPr>
            <w:rPr>
              <w:b/>
              <w:bCs/>
              <w:noProof w:val="0"/>
              <w:sz w:val="26"/>
              <w:szCs w:val="26"/>
              <w:rtl/>
            </w:rPr>
          </w:pPr>
        </w:p>
        <w:p w:rsidR="008D10B2" w:rsidRPr="00FA4EAF" w:rsidRDefault="007D45E3" w:rsidP="009B4939">
          <w:pPr>
            <w:rPr>
              <w:sz w:val="26"/>
              <w:szCs w:val="26"/>
              <w:rtl/>
            </w:rPr>
          </w:pPr>
          <w:r w:rsidRPr="00FA4EAF">
            <w:rPr>
              <w:rFonts w:hint="cs"/>
              <w:sz w:val="26"/>
              <w:szCs w:val="26"/>
              <w:rtl/>
            </w:rPr>
            <w:t xml:space="preserve">                                                                  </w:t>
          </w:r>
          <w:r w:rsidRPr="00FA4EAF">
            <w:rPr>
              <w:sz w:val="26"/>
              <w:szCs w:val="26"/>
              <w:rtl/>
            </w:rPr>
            <w:t xml:space="preserve"> </w:t>
          </w:r>
          <w:r w:rsidR="001173C6" w:rsidRPr="00FA4EAF">
            <w:rPr>
              <w:sz w:val="26"/>
              <w:szCs w:val="26"/>
              <w:rtl/>
            </w:rPr>
            <w:t xml:space="preserve"> </w:t>
          </w:r>
        </w:p>
      </w:tc>
    </w:tr>
  </w:tbl>
  <w:p w:rsidR="00694556" w:rsidRPr="00FA4EAF" w:rsidRDefault="00694556">
    <w:pPr>
      <w:pStyle w:val="a3"/>
      <w:rPr>
        <w:noProof w:val="0"/>
        <w:sz w:val="26"/>
        <w:szCs w:val="26"/>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EF1" w:rsidRDefault="00E56EF1">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683591"/>
    <w:multiLevelType w:val="hybridMultilevel"/>
    <w:tmpl w:val="61DA7722"/>
    <w:lvl w:ilvl="0" w:tplc="0409000F">
      <w:start w:val="1"/>
      <w:numFmt w:val="decimal"/>
      <w:lvlText w:val="%1."/>
      <w:lvlJc w:val="left"/>
      <w:pPr>
        <w:ind w:left="804" w:hanging="360"/>
      </w:pPr>
    </w:lvl>
    <w:lvl w:ilvl="1" w:tplc="04090019" w:tentative="1">
      <w:start w:val="1"/>
      <w:numFmt w:val="lowerLetter"/>
      <w:lvlText w:val="%2."/>
      <w:lvlJc w:val="left"/>
      <w:pPr>
        <w:ind w:left="1524" w:hanging="360"/>
      </w:pPr>
    </w:lvl>
    <w:lvl w:ilvl="2" w:tplc="0409001B" w:tentative="1">
      <w:start w:val="1"/>
      <w:numFmt w:val="lowerRoman"/>
      <w:lvlText w:val="%3."/>
      <w:lvlJc w:val="right"/>
      <w:pPr>
        <w:ind w:left="2244" w:hanging="180"/>
      </w:pPr>
    </w:lvl>
    <w:lvl w:ilvl="3" w:tplc="0409000F" w:tentative="1">
      <w:start w:val="1"/>
      <w:numFmt w:val="decimal"/>
      <w:lvlText w:val="%4."/>
      <w:lvlJc w:val="left"/>
      <w:pPr>
        <w:ind w:left="2964" w:hanging="360"/>
      </w:pPr>
    </w:lvl>
    <w:lvl w:ilvl="4" w:tplc="04090019" w:tentative="1">
      <w:start w:val="1"/>
      <w:numFmt w:val="lowerLetter"/>
      <w:lvlText w:val="%5."/>
      <w:lvlJc w:val="left"/>
      <w:pPr>
        <w:ind w:left="3684" w:hanging="360"/>
      </w:pPr>
    </w:lvl>
    <w:lvl w:ilvl="5" w:tplc="0409001B" w:tentative="1">
      <w:start w:val="1"/>
      <w:numFmt w:val="lowerRoman"/>
      <w:lvlText w:val="%6."/>
      <w:lvlJc w:val="right"/>
      <w:pPr>
        <w:ind w:left="4404" w:hanging="180"/>
      </w:pPr>
    </w:lvl>
    <w:lvl w:ilvl="6" w:tplc="0409000F" w:tentative="1">
      <w:start w:val="1"/>
      <w:numFmt w:val="decimal"/>
      <w:lvlText w:val="%7."/>
      <w:lvlJc w:val="left"/>
      <w:pPr>
        <w:ind w:left="5124" w:hanging="360"/>
      </w:pPr>
    </w:lvl>
    <w:lvl w:ilvl="7" w:tplc="04090019" w:tentative="1">
      <w:start w:val="1"/>
      <w:numFmt w:val="lowerLetter"/>
      <w:lvlText w:val="%8."/>
      <w:lvlJc w:val="left"/>
      <w:pPr>
        <w:ind w:left="5844" w:hanging="360"/>
      </w:pPr>
    </w:lvl>
    <w:lvl w:ilvl="8" w:tplc="0409001B" w:tentative="1">
      <w:start w:val="1"/>
      <w:numFmt w:val="lowerRoman"/>
      <w:lvlText w:val="%9."/>
      <w:lvlJc w:val="right"/>
      <w:pPr>
        <w:ind w:left="6564" w:hanging="180"/>
      </w:pPr>
    </w:lvl>
  </w:abstractNum>
  <w:abstractNum w:abstractNumId="1" w15:restartNumberingAfterBreak="0">
    <w:nsid w:val="290554D6"/>
    <w:multiLevelType w:val="hybridMultilevel"/>
    <w:tmpl w:val="A9604614"/>
    <w:numStyleLink w:val="1"/>
  </w:abstractNum>
  <w:abstractNum w:abstractNumId="2" w15:restartNumberingAfterBreak="0">
    <w:nsid w:val="4D0C187A"/>
    <w:multiLevelType w:val="hybridMultilevel"/>
    <w:tmpl w:val="7472AA20"/>
    <w:lvl w:ilvl="0" w:tplc="0409000F">
      <w:start w:val="1"/>
      <w:numFmt w:val="decimal"/>
      <w:lvlText w:val="%1."/>
      <w:lvlJc w:val="left"/>
      <w:pPr>
        <w:ind w:left="804" w:hanging="360"/>
      </w:pPr>
    </w:lvl>
    <w:lvl w:ilvl="1" w:tplc="04090019" w:tentative="1">
      <w:start w:val="1"/>
      <w:numFmt w:val="lowerLetter"/>
      <w:lvlText w:val="%2."/>
      <w:lvlJc w:val="left"/>
      <w:pPr>
        <w:ind w:left="1524" w:hanging="360"/>
      </w:pPr>
    </w:lvl>
    <w:lvl w:ilvl="2" w:tplc="0409001B" w:tentative="1">
      <w:start w:val="1"/>
      <w:numFmt w:val="lowerRoman"/>
      <w:lvlText w:val="%3."/>
      <w:lvlJc w:val="right"/>
      <w:pPr>
        <w:ind w:left="2244" w:hanging="180"/>
      </w:pPr>
    </w:lvl>
    <w:lvl w:ilvl="3" w:tplc="0409000F" w:tentative="1">
      <w:start w:val="1"/>
      <w:numFmt w:val="decimal"/>
      <w:lvlText w:val="%4."/>
      <w:lvlJc w:val="left"/>
      <w:pPr>
        <w:ind w:left="2964" w:hanging="360"/>
      </w:pPr>
    </w:lvl>
    <w:lvl w:ilvl="4" w:tplc="04090019" w:tentative="1">
      <w:start w:val="1"/>
      <w:numFmt w:val="lowerLetter"/>
      <w:lvlText w:val="%5."/>
      <w:lvlJc w:val="left"/>
      <w:pPr>
        <w:ind w:left="3684" w:hanging="360"/>
      </w:pPr>
    </w:lvl>
    <w:lvl w:ilvl="5" w:tplc="0409001B" w:tentative="1">
      <w:start w:val="1"/>
      <w:numFmt w:val="lowerRoman"/>
      <w:lvlText w:val="%6."/>
      <w:lvlJc w:val="right"/>
      <w:pPr>
        <w:ind w:left="4404" w:hanging="180"/>
      </w:pPr>
    </w:lvl>
    <w:lvl w:ilvl="6" w:tplc="0409000F" w:tentative="1">
      <w:start w:val="1"/>
      <w:numFmt w:val="decimal"/>
      <w:lvlText w:val="%7."/>
      <w:lvlJc w:val="left"/>
      <w:pPr>
        <w:ind w:left="5124" w:hanging="360"/>
      </w:pPr>
    </w:lvl>
    <w:lvl w:ilvl="7" w:tplc="04090019" w:tentative="1">
      <w:start w:val="1"/>
      <w:numFmt w:val="lowerLetter"/>
      <w:lvlText w:val="%8."/>
      <w:lvlJc w:val="left"/>
      <w:pPr>
        <w:ind w:left="5844" w:hanging="360"/>
      </w:pPr>
    </w:lvl>
    <w:lvl w:ilvl="8" w:tplc="0409001B" w:tentative="1">
      <w:start w:val="1"/>
      <w:numFmt w:val="lowerRoman"/>
      <w:lvlText w:val="%9."/>
      <w:lvlJc w:val="right"/>
      <w:pPr>
        <w:ind w:left="6564" w:hanging="180"/>
      </w:pPr>
    </w:lvl>
  </w:abstractNum>
  <w:abstractNum w:abstractNumId="3" w15:restartNumberingAfterBreak="0">
    <w:nsid w:val="5024249D"/>
    <w:multiLevelType w:val="hybridMultilevel"/>
    <w:tmpl w:val="A9604614"/>
    <w:styleLink w:val="1"/>
    <w:lvl w:ilvl="0" w:tplc="809086A2">
      <w:start w:val="1"/>
      <w:numFmt w:val="decimal"/>
      <w:lvlText w:val="%1."/>
      <w:lvlJc w:val="left"/>
      <w:pPr>
        <w:ind w:left="509" w:hanging="425"/>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86EEFD8C">
      <w:start w:val="1"/>
      <w:numFmt w:val="lowerLetter"/>
      <w:lvlText w:val="%2."/>
      <w:lvlJc w:val="left"/>
      <w:pPr>
        <w:ind w:left="1229" w:hanging="425"/>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B156CD60">
      <w:start w:val="1"/>
      <w:numFmt w:val="lowerRoman"/>
      <w:lvlText w:val="%3."/>
      <w:lvlJc w:val="left"/>
      <w:pPr>
        <w:ind w:left="1949" w:hanging="378"/>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6AFA5040">
      <w:start w:val="1"/>
      <w:numFmt w:val="decimal"/>
      <w:lvlText w:val="%4."/>
      <w:lvlJc w:val="left"/>
      <w:pPr>
        <w:ind w:left="2669" w:hanging="425"/>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395E2388">
      <w:start w:val="1"/>
      <w:numFmt w:val="lowerLetter"/>
      <w:lvlText w:val="%5."/>
      <w:lvlJc w:val="left"/>
      <w:pPr>
        <w:ind w:left="3389" w:hanging="425"/>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83BA1F9A">
      <w:start w:val="1"/>
      <w:numFmt w:val="lowerRoman"/>
      <w:lvlText w:val="%6."/>
      <w:lvlJc w:val="left"/>
      <w:pPr>
        <w:ind w:left="4109" w:hanging="378"/>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D3CCDAEC">
      <w:start w:val="1"/>
      <w:numFmt w:val="decimal"/>
      <w:lvlText w:val="%7."/>
      <w:lvlJc w:val="left"/>
      <w:pPr>
        <w:ind w:left="4829" w:hanging="425"/>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4858BE5C">
      <w:start w:val="1"/>
      <w:numFmt w:val="lowerLetter"/>
      <w:lvlText w:val="%8."/>
      <w:lvlJc w:val="left"/>
      <w:pPr>
        <w:ind w:left="5549" w:hanging="425"/>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841493E8">
      <w:start w:val="1"/>
      <w:numFmt w:val="lowerRoman"/>
      <w:lvlText w:val="%9."/>
      <w:lvlJc w:val="left"/>
      <w:pPr>
        <w:ind w:left="6269" w:hanging="378"/>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num w:numId="1">
    <w:abstractNumId w:val="1"/>
    <w:lvlOverride w:ilvl="0">
      <w:lvl w:ilvl="0" w:tplc="6636C4C4">
        <w:start w:val="1"/>
        <w:numFmt w:val="decimal"/>
        <w:lvlText w:val="%1."/>
        <w:lvlJc w:val="left"/>
        <w:pPr>
          <w:ind w:left="509" w:hanging="425"/>
        </w:pPr>
        <w:rPr>
          <w:rFonts w:ascii="David" w:hAnsi="David" w:cs="David" w:hint="default"/>
          <w:caps w:val="0"/>
          <w:smallCaps w:val="0"/>
          <w:strike w:val="0"/>
          <w:dstrike w:val="0"/>
          <w:outline w:val="0"/>
          <w:shadow w:val="0"/>
          <w:emboss w:val="0"/>
          <w:imprint w:val="0"/>
          <w:spacing w:val="0"/>
          <w:w w:val="100"/>
          <w:kern w:val="0"/>
          <w:position w:val="0"/>
          <w:highlight w:val="none"/>
          <w:u w:val="none"/>
          <w:effect w:val="none"/>
          <w:vertAlign w:val="baseline"/>
        </w:rPr>
      </w:lvl>
    </w:lvlOverride>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6"/>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56"/>
    <w:rsid w:val="00000062"/>
    <w:rsid w:val="0000226B"/>
    <w:rsid w:val="00005C8B"/>
    <w:rsid w:val="000529D2"/>
    <w:rsid w:val="00056182"/>
    <w:rsid w:val="000564AB"/>
    <w:rsid w:val="00064FBD"/>
    <w:rsid w:val="00082AB2"/>
    <w:rsid w:val="000906FE"/>
    <w:rsid w:val="00096AF7"/>
    <w:rsid w:val="000A4CA8"/>
    <w:rsid w:val="000A4DD5"/>
    <w:rsid w:val="000A7AF5"/>
    <w:rsid w:val="000B344B"/>
    <w:rsid w:val="000B4551"/>
    <w:rsid w:val="000C3B0F"/>
    <w:rsid w:val="000C3B60"/>
    <w:rsid w:val="000E0DD2"/>
    <w:rsid w:val="000E3AF1"/>
    <w:rsid w:val="000F0BC8"/>
    <w:rsid w:val="000F0DD6"/>
    <w:rsid w:val="00105F7B"/>
    <w:rsid w:val="00107E6D"/>
    <w:rsid w:val="001102E1"/>
    <w:rsid w:val="0011194C"/>
    <w:rsid w:val="0011424C"/>
    <w:rsid w:val="001173C6"/>
    <w:rsid w:val="001367BC"/>
    <w:rsid w:val="00136A7A"/>
    <w:rsid w:val="00144D2A"/>
    <w:rsid w:val="0014653E"/>
    <w:rsid w:val="00180519"/>
    <w:rsid w:val="001869D5"/>
    <w:rsid w:val="00190863"/>
    <w:rsid w:val="00191C82"/>
    <w:rsid w:val="001A25EE"/>
    <w:rsid w:val="001B34A8"/>
    <w:rsid w:val="001B48A4"/>
    <w:rsid w:val="001C3FD7"/>
    <w:rsid w:val="001C4003"/>
    <w:rsid w:val="001D2982"/>
    <w:rsid w:val="001D3441"/>
    <w:rsid w:val="001D4DBF"/>
    <w:rsid w:val="001E75CA"/>
    <w:rsid w:val="001F5DB6"/>
    <w:rsid w:val="00217A24"/>
    <w:rsid w:val="002265FF"/>
    <w:rsid w:val="002401A6"/>
    <w:rsid w:val="0027108F"/>
    <w:rsid w:val="00271B56"/>
    <w:rsid w:val="00271D00"/>
    <w:rsid w:val="00291593"/>
    <w:rsid w:val="002C32BF"/>
    <w:rsid w:val="002C344E"/>
    <w:rsid w:val="002E75E9"/>
    <w:rsid w:val="002F23FC"/>
    <w:rsid w:val="00307A6A"/>
    <w:rsid w:val="00307C40"/>
    <w:rsid w:val="00314039"/>
    <w:rsid w:val="00320433"/>
    <w:rsid w:val="003230C7"/>
    <w:rsid w:val="00327E50"/>
    <w:rsid w:val="0033597A"/>
    <w:rsid w:val="00343D89"/>
    <w:rsid w:val="00353394"/>
    <w:rsid w:val="00362612"/>
    <w:rsid w:val="0036743F"/>
    <w:rsid w:val="003715DD"/>
    <w:rsid w:val="003760A8"/>
    <w:rsid w:val="003763AB"/>
    <w:rsid w:val="00382032"/>
    <w:rsid w:val="003823E0"/>
    <w:rsid w:val="003841E1"/>
    <w:rsid w:val="003A4521"/>
    <w:rsid w:val="003B5D17"/>
    <w:rsid w:val="003C2B8B"/>
    <w:rsid w:val="003D1C8C"/>
    <w:rsid w:val="003F18EE"/>
    <w:rsid w:val="003F26F2"/>
    <w:rsid w:val="0040096C"/>
    <w:rsid w:val="00402CE7"/>
    <w:rsid w:val="004057A4"/>
    <w:rsid w:val="004109BE"/>
    <w:rsid w:val="00414F1F"/>
    <w:rsid w:val="0043125D"/>
    <w:rsid w:val="0043502B"/>
    <w:rsid w:val="00440D02"/>
    <w:rsid w:val="004443AC"/>
    <w:rsid w:val="00450FD9"/>
    <w:rsid w:val="00451E28"/>
    <w:rsid w:val="004574BF"/>
    <w:rsid w:val="00462C62"/>
    <w:rsid w:val="00465D36"/>
    <w:rsid w:val="0047718D"/>
    <w:rsid w:val="00482367"/>
    <w:rsid w:val="004834BB"/>
    <w:rsid w:val="004847AA"/>
    <w:rsid w:val="004856D2"/>
    <w:rsid w:val="004B4FCE"/>
    <w:rsid w:val="004C17EE"/>
    <w:rsid w:val="004C4B72"/>
    <w:rsid w:val="004C4BDF"/>
    <w:rsid w:val="004D1187"/>
    <w:rsid w:val="004D3AA0"/>
    <w:rsid w:val="004D5242"/>
    <w:rsid w:val="004E1987"/>
    <w:rsid w:val="004E2E15"/>
    <w:rsid w:val="004E6E3C"/>
    <w:rsid w:val="004F489C"/>
    <w:rsid w:val="004F495C"/>
    <w:rsid w:val="004F5609"/>
    <w:rsid w:val="00506419"/>
    <w:rsid w:val="00513C9C"/>
    <w:rsid w:val="00520898"/>
    <w:rsid w:val="00523621"/>
    <w:rsid w:val="00524986"/>
    <w:rsid w:val="005268F6"/>
    <w:rsid w:val="00534284"/>
    <w:rsid w:val="00542512"/>
    <w:rsid w:val="0054494A"/>
    <w:rsid w:val="00547DB7"/>
    <w:rsid w:val="00552A17"/>
    <w:rsid w:val="00564EBB"/>
    <w:rsid w:val="0057676F"/>
    <w:rsid w:val="00585851"/>
    <w:rsid w:val="005C666E"/>
    <w:rsid w:val="005D64EA"/>
    <w:rsid w:val="005E782A"/>
    <w:rsid w:val="005F4F09"/>
    <w:rsid w:val="005F5513"/>
    <w:rsid w:val="0061431B"/>
    <w:rsid w:val="00617CEE"/>
    <w:rsid w:val="00622455"/>
    <w:rsid w:val="00622BAA"/>
    <w:rsid w:val="0063009A"/>
    <w:rsid w:val="006306CF"/>
    <w:rsid w:val="00641A8D"/>
    <w:rsid w:val="00644E9A"/>
    <w:rsid w:val="00651BC7"/>
    <w:rsid w:val="0065325E"/>
    <w:rsid w:val="00662CE9"/>
    <w:rsid w:val="006648F7"/>
    <w:rsid w:val="00671BD5"/>
    <w:rsid w:val="00673CA1"/>
    <w:rsid w:val="006805C1"/>
    <w:rsid w:val="00686C21"/>
    <w:rsid w:val="006931C1"/>
    <w:rsid w:val="00694556"/>
    <w:rsid w:val="006C30C5"/>
    <w:rsid w:val="006D162F"/>
    <w:rsid w:val="006D3B31"/>
    <w:rsid w:val="006E0D96"/>
    <w:rsid w:val="006E1A53"/>
    <w:rsid w:val="006F56E6"/>
    <w:rsid w:val="00704EDA"/>
    <w:rsid w:val="00704FB0"/>
    <w:rsid w:val="00715172"/>
    <w:rsid w:val="00721122"/>
    <w:rsid w:val="00742790"/>
    <w:rsid w:val="00744B1C"/>
    <w:rsid w:val="00744E94"/>
    <w:rsid w:val="00747D03"/>
    <w:rsid w:val="00747E6A"/>
    <w:rsid w:val="00753019"/>
    <w:rsid w:val="00754801"/>
    <w:rsid w:val="00763B17"/>
    <w:rsid w:val="0077174A"/>
    <w:rsid w:val="00775139"/>
    <w:rsid w:val="00795365"/>
    <w:rsid w:val="007A188E"/>
    <w:rsid w:val="007A351D"/>
    <w:rsid w:val="007A4D88"/>
    <w:rsid w:val="007B33EF"/>
    <w:rsid w:val="007B7765"/>
    <w:rsid w:val="007C5BDD"/>
    <w:rsid w:val="007D45E3"/>
    <w:rsid w:val="007E1949"/>
    <w:rsid w:val="007E6115"/>
    <w:rsid w:val="007F4609"/>
    <w:rsid w:val="00810BFC"/>
    <w:rsid w:val="008176A1"/>
    <w:rsid w:val="00820005"/>
    <w:rsid w:val="00826108"/>
    <w:rsid w:val="00835AB4"/>
    <w:rsid w:val="00835F3E"/>
    <w:rsid w:val="00844318"/>
    <w:rsid w:val="0086119C"/>
    <w:rsid w:val="00863F5D"/>
    <w:rsid w:val="00870890"/>
    <w:rsid w:val="00873602"/>
    <w:rsid w:val="00875D12"/>
    <w:rsid w:val="008800CD"/>
    <w:rsid w:val="0088103B"/>
    <w:rsid w:val="0088479D"/>
    <w:rsid w:val="008927B9"/>
    <w:rsid w:val="00896889"/>
    <w:rsid w:val="00897FF0"/>
    <w:rsid w:val="008B4F47"/>
    <w:rsid w:val="008C5714"/>
    <w:rsid w:val="008D10B2"/>
    <w:rsid w:val="008E40D2"/>
    <w:rsid w:val="008F3B65"/>
    <w:rsid w:val="00903896"/>
    <w:rsid w:val="00903B75"/>
    <w:rsid w:val="00906F3D"/>
    <w:rsid w:val="00907A9E"/>
    <w:rsid w:val="00930FB7"/>
    <w:rsid w:val="0094424E"/>
    <w:rsid w:val="00945174"/>
    <w:rsid w:val="00955642"/>
    <w:rsid w:val="00960940"/>
    <w:rsid w:val="009622DF"/>
    <w:rsid w:val="00967DFF"/>
    <w:rsid w:val="00986EC9"/>
    <w:rsid w:val="00994341"/>
    <w:rsid w:val="009B4939"/>
    <w:rsid w:val="009C3FAE"/>
    <w:rsid w:val="009D1A48"/>
    <w:rsid w:val="009E1CE7"/>
    <w:rsid w:val="009E4EA5"/>
    <w:rsid w:val="009F164B"/>
    <w:rsid w:val="009F323C"/>
    <w:rsid w:val="009F441C"/>
    <w:rsid w:val="009F4B50"/>
    <w:rsid w:val="009F771C"/>
    <w:rsid w:val="009F79E9"/>
    <w:rsid w:val="00A03075"/>
    <w:rsid w:val="00A06D5E"/>
    <w:rsid w:val="00A22800"/>
    <w:rsid w:val="00A3392B"/>
    <w:rsid w:val="00A567DD"/>
    <w:rsid w:val="00A67BFF"/>
    <w:rsid w:val="00A67DEF"/>
    <w:rsid w:val="00A81D9E"/>
    <w:rsid w:val="00A842D4"/>
    <w:rsid w:val="00A854E8"/>
    <w:rsid w:val="00A94B64"/>
    <w:rsid w:val="00AA3229"/>
    <w:rsid w:val="00AA4A53"/>
    <w:rsid w:val="00AA7596"/>
    <w:rsid w:val="00AB2757"/>
    <w:rsid w:val="00AB5E52"/>
    <w:rsid w:val="00AC0EFA"/>
    <w:rsid w:val="00AC12A3"/>
    <w:rsid w:val="00AC36F0"/>
    <w:rsid w:val="00AC3B02"/>
    <w:rsid w:val="00AC3B7B"/>
    <w:rsid w:val="00AC5209"/>
    <w:rsid w:val="00AD00A6"/>
    <w:rsid w:val="00AE729E"/>
    <w:rsid w:val="00AE7752"/>
    <w:rsid w:val="00AF7098"/>
    <w:rsid w:val="00AF7FDA"/>
    <w:rsid w:val="00B0339F"/>
    <w:rsid w:val="00B127AF"/>
    <w:rsid w:val="00B21BE1"/>
    <w:rsid w:val="00B35E35"/>
    <w:rsid w:val="00B40160"/>
    <w:rsid w:val="00B5356E"/>
    <w:rsid w:val="00B61727"/>
    <w:rsid w:val="00B809AD"/>
    <w:rsid w:val="00B80CBD"/>
    <w:rsid w:val="00B847ED"/>
    <w:rsid w:val="00B86096"/>
    <w:rsid w:val="00B90C0F"/>
    <w:rsid w:val="00B91637"/>
    <w:rsid w:val="00B9570C"/>
    <w:rsid w:val="00B95A71"/>
    <w:rsid w:val="00B964D9"/>
    <w:rsid w:val="00BA0A7C"/>
    <w:rsid w:val="00BA0F82"/>
    <w:rsid w:val="00BA517C"/>
    <w:rsid w:val="00BB30A7"/>
    <w:rsid w:val="00BB3D05"/>
    <w:rsid w:val="00BB5951"/>
    <w:rsid w:val="00BB73BE"/>
    <w:rsid w:val="00BC2D89"/>
    <w:rsid w:val="00BD54D4"/>
    <w:rsid w:val="00BD6531"/>
    <w:rsid w:val="00BD68FF"/>
    <w:rsid w:val="00BE05B2"/>
    <w:rsid w:val="00BE09D1"/>
    <w:rsid w:val="00BE67EC"/>
    <w:rsid w:val="00BF1908"/>
    <w:rsid w:val="00BF7F3B"/>
    <w:rsid w:val="00C21D89"/>
    <w:rsid w:val="00C22D93"/>
    <w:rsid w:val="00C26095"/>
    <w:rsid w:val="00C31120"/>
    <w:rsid w:val="00C34482"/>
    <w:rsid w:val="00C37BC5"/>
    <w:rsid w:val="00C43648"/>
    <w:rsid w:val="00C46642"/>
    <w:rsid w:val="00C50A9F"/>
    <w:rsid w:val="00C53EB8"/>
    <w:rsid w:val="00C55278"/>
    <w:rsid w:val="00C56BC7"/>
    <w:rsid w:val="00C642FA"/>
    <w:rsid w:val="00C64D96"/>
    <w:rsid w:val="00C65565"/>
    <w:rsid w:val="00C67C91"/>
    <w:rsid w:val="00C70022"/>
    <w:rsid w:val="00CB6087"/>
    <w:rsid w:val="00CC2400"/>
    <w:rsid w:val="00CC7622"/>
    <w:rsid w:val="00CD4994"/>
    <w:rsid w:val="00CD608F"/>
    <w:rsid w:val="00CE143B"/>
    <w:rsid w:val="00CF2134"/>
    <w:rsid w:val="00D14839"/>
    <w:rsid w:val="00D25DA7"/>
    <w:rsid w:val="00D27982"/>
    <w:rsid w:val="00D33B86"/>
    <w:rsid w:val="00D33BEF"/>
    <w:rsid w:val="00D34EA7"/>
    <w:rsid w:val="00D37C16"/>
    <w:rsid w:val="00D53924"/>
    <w:rsid w:val="00D55D0C"/>
    <w:rsid w:val="00D60194"/>
    <w:rsid w:val="00D627CF"/>
    <w:rsid w:val="00D74378"/>
    <w:rsid w:val="00D76DD8"/>
    <w:rsid w:val="00D82F5F"/>
    <w:rsid w:val="00D85FAC"/>
    <w:rsid w:val="00D96D8C"/>
    <w:rsid w:val="00DA04F3"/>
    <w:rsid w:val="00DA6649"/>
    <w:rsid w:val="00DA72D7"/>
    <w:rsid w:val="00DB2872"/>
    <w:rsid w:val="00DC1259"/>
    <w:rsid w:val="00DC1BD2"/>
    <w:rsid w:val="00DC2571"/>
    <w:rsid w:val="00DC487C"/>
    <w:rsid w:val="00DD7092"/>
    <w:rsid w:val="00DE6BF6"/>
    <w:rsid w:val="00DF4E87"/>
    <w:rsid w:val="00E1068A"/>
    <w:rsid w:val="00E1068B"/>
    <w:rsid w:val="00E25884"/>
    <w:rsid w:val="00E25B55"/>
    <w:rsid w:val="00E31C2B"/>
    <w:rsid w:val="00E33D9B"/>
    <w:rsid w:val="00E37181"/>
    <w:rsid w:val="00E37E54"/>
    <w:rsid w:val="00E524C3"/>
    <w:rsid w:val="00E5426A"/>
    <w:rsid w:val="00E54642"/>
    <w:rsid w:val="00E56EF1"/>
    <w:rsid w:val="00E57F4B"/>
    <w:rsid w:val="00E67407"/>
    <w:rsid w:val="00E74EAE"/>
    <w:rsid w:val="00E80CBE"/>
    <w:rsid w:val="00E860BF"/>
    <w:rsid w:val="00E86A15"/>
    <w:rsid w:val="00E962E3"/>
    <w:rsid w:val="00E97A78"/>
    <w:rsid w:val="00EB6C79"/>
    <w:rsid w:val="00EC37E9"/>
    <w:rsid w:val="00F06995"/>
    <w:rsid w:val="00F13623"/>
    <w:rsid w:val="00F253CA"/>
    <w:rsid w:val="00F319CF"/>
    <w:rsid w:val="00F44D1D"/>
    <w:rsid w:val="00F567D7"/>
    <w:rsid w:val="00F57B5F"/>
    <w:rsid w:val="00F802A7"/>
    <w:rsid w:val="00F84B6D"/>
    <w:rsid w:val="00F90E43"/>
    <w:rsid w:val="00FA0DCD"/>
    <w:rsid w:val="00FA2099"/>
    <w:rsid w:val="00FA3176"/>
    <w:rsid w:val="00FA4EAF"/>
    <w:rsid w:val="00FA5FDA"/>
    <w:rsid w:val="00FB6AB3"/>
    <w:rsid w:val="00FD0275"/>
    <w:rsid w:val="00FD1419"/>
    <w:rsid w:val="00FD1B89"/>
    <w:rsid w:val="00FD79E4"/>
    <w:rsid w:val="00FE2894"/>
    <w:rsid w:val="00FE3614"/>
    <w:rsid w:val="00FF33C3"/>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0">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3230C7"/>
    <w:rPr>
      <w:color w:val="808080"/>
    </w:rPr>
  </w:style>
  <w:style w:type="paragraph" w:styleId="ad">
    <w:name w:val="List Paragraph"/>
    <w:basedOn w:val="a"/>
    <w:qFormat/>
    <w:rsid w:val="00AC36F0"/>
    <w:pPr>
      <w:ind w:left="720"/>
      <w:contextualSpacing/>
    </w:pPr>
  </w:style>
  <w:style w:type="character" w:styleId="Hyperlink">
    <w:name w:val="Hyperlink"/>
    <w:basedOn w:val="a0"/>
    <w:uiPriority w:val="99"/>
    <w:semiHidden/>
    <w:unhideWhenUsed/>
    <w:rsid w:val="00622455"/>
    <w:rPr>
      <w:color w:val="0000FF"/>
      <w:u w:val="single"/>
    </w:rPr>
  </w:style>
  <w:style w:type="paragraph" w:customStyle="1" w:styleId="a00">
    <w:name w:val="a0"/>
    <w:basedOn w:val="a"/>
    <w:rsid w:val="00DF4E87"/>
    <w:pPr>
      <w:bidi w:val="0"/>
      <w:spacing w:before="100" w:beforeAutospacing="1" w:after="100" w:afterAutospacing="1"/>
    </w:pPr>
    <w:rPr>
      <w:rFonts w:eastAsiaTheme="minorHAnsi" w:cs="Times New Roman"/>
      <w:noProof w:val="0"/>
    </w:rPr>
  </w:style>
  <w:style w:type="character" w:customStyle="1" w:styleId="ae">
    <w:name w:val="ללא"/>
    <w:rsid w:val="00A67BFF"/>
  </w:style>
  <w:style w:type="character" w:customStyle="1" w:styleId="Hyperlink0">
    <w:name w:val="Hyperlink.0"/>
    <w:basedOn w:val="ae"/>
    <w:rsid w:val="00A67BFF"/>
    <w:rPr>
      <w:rFonts w:ascii="David" w:eastAsia="David" w:hAnsi="David" w:cs="David" w:hint="default"/>
      <w:b/>
      <w:bCs/>
      <w:lang w:val="he-IL" w:bidi="he-IL"/>
    </w:rPr>
  </w:style>
  <w:style w:type="numbering" w:customStyle="1" w:styleId="1">
    <w:name w:val="סגנון מיובא 1"/>
    <w:rsid w:val="00A67BFF"/>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4494663">
      <w:bodyDiv w:val="1"/>
      <w:marLeft w:val="0"/>
      <w:marRight w:val="0"/>
      <w:marTop w:val="0"/>
      <w:marBottom w:val="0"/>
      <w:divBdr>
        <w:top w:val="none" w:sz="0" w:space="0" w:color="auto"/>
        <w:left w:val="none" w:sz="0" w:space="0" w:color="auto"/>
        <w:bottom w:val="none" w:sz="0" w:space="0" w:color="auto"/>
        <w:right w:val="none" w:sz="0" w:space="0" w:color="auto"/>
      </w:divBdr>
    </w:div>
    <w:div w:id="997417649">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06908260">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460D38E05664FF79D4EFF282EF8EC99"/>
        <w:category>
          <w:name w:val="כללי"/>
          <w:gallery w:val="placeholder"/>
        </w:category>
        <w:types>
          <w:type w:val="bbPlcHdr"/>
        </w:types>
        <w:behaviors>
          <w:behavior w:val="content"/>
        </w:behaviors>
        <w:guid w:val="{FD09B0DC-A014-4BFE-8938-8AD9210BC601}"/>
      </w:docPartPr>
      <w:docPartBody>
        <w:p w:rsidR="00345C9D" w:rsidRDefault="003E1A82" w:rsidP="003E1A82">
          <w:pPr>
            <w:pStyle w:val="E460D38E05664FF79D4EFF282EF8EC9918"/>
          </w:pPr>
          <w:r>
            <w:rPr>
              <w:rFonts w:hint="cs"/>
              <w:rtl/>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A4ACE"/>
    <w:rsid w:val="002D02C4"/>
    <w:rsid w:val="002E734C"/>
    <w:rsid w:val="00334638"/>
    <w:rsid w:val="00345C9D"/>
    <w:rsid w:val="00350FA3"/>
    <w:rsid w:val="003E1A82"/>
    <w:rsid w:val="0048651F"/>
    <w:rsid w:val="00556D67"/>
    <w:rsid w:val="00793995"/>
    <w:rsid w:val="007C6F98"/>
    <w:rsid w:val="007E254A"/>
    <w:rsid w:val="008B4366"/>
    <w:rsid w:val="009133C7"/>
    <w:rsid w:val="009178E4"/>
    <w:rsid w:val="00961B27"/>
    <w:rsid w:val="00AA7CE3"/>
    <w:rsid w:val="00B91FA3"/>
    <w:rsid w:val="00C96C06"/>
    <w:rsid w:val="00E31BF6"/>
    <w:rsid w:val="00E81DB1"/>
    <w:rsid w:val="00F04DC1"/>
    <w:rsid w:val="00F4674E"/>
    <w:rsid w:val="00F678C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E1A82"/>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E31BF6"/>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E31BF6"/>
    <w:pPr>
      <w:bidi/>
      <w:spacing w:after="0" w:line="240" w:lineRule="auto"/>
    </w:pPr>
    <w:rPr>
      <w:rFonts w:ascii="Times New Roman" w:eastAsia="Times New Roman" w:hAnsi="Times New Roman" w:cs="David"/>
      <w:noProof/>
      <w:sz w:val="24"/>
      <w:szCs w:val="24"/>
    </w:rPr>
  </w:style>
  <w:style w:type="paragraph" w:customStyle="1" w:styleId="BDEC6EF4A26446AEA2E1516382A0B8E3">
    <w:name w:val="BDEC6EF4A26446AEA2E1516382A0B8E3"/>
    <w:rsid w:val="00E31BF6"/>
    <w:pPr>
      <w:bidi/>
      <w:spacing w:after="160" w:line="259" w:lineRule="auto"/>
    </w:pPr>
  </w:style>
  <w:style w:type="paragraph" w:customStyle="1" w:styleId="74FAC0D4100349AAB7CFF87C68038087">
    <w:name w:val="74FAC0D4100349AAB7CFF87C68038087"/>
    <w:rsid w:val="00E31BF6"/>
    <w:pPr>
      <w:bidi/>
      <w:spacing w:after="160" w:line="259" w:lineRule="auto"/>
    </w:pPr>
  </w:style>
  <w:style w:type="paragraph" w:customStyle="1" w:styleId="E5D38D1255CA4A599DDADA0AE1A5590E">
    <w:name w:val="E5D38D1255CA4A599DDADA0AE1A5590E"/>
    <w:rsid w:val="00E31BF6"/>
    <w:pPr>
      <w:bidi/>
      <w:spacing w:after="160" w:line="259" w:lineRule="auto"/>
    </w:pPr>
  </w:style>
  <w:style w:type="paragraph" w:customStyle="1" w:styleId="B486AC440BF14F3BBBD42CAB0606FAF0">
    <w:name w:val="B486AC440BF14F3BBBD42CAB0606FAF0"/>
    <w:rsid w:val="00E31BF6"/>
    <w:pPr>
      <w:bidi/>
      <w:spacing w:after="160" w:line="259" w:lineRule="auto"/>
    </w:pPr>
  </w:style>
  <w:style w:type="paragraph" w:customStyle="1" w:styleId="D4BA11CE55FB47E4943078C6F3A24A5F">
    <w:name w:val="D4BA11CE55FB47E4943078C6F3A24A5F"/>
    <w:rsid w:val="00E31BF6"/>
    <w:pPr>
      <w:bidi/>
      <w:spacing w:after="160" w:line="259" w:lineRule="auto"/>
    </w:pPr>
  </w:style>
  <w:style w:type="paragraph" w:customStyle="1" w:styleId="BDEC6EF4A26446AEA2E1516382A0B8E31">
    <w:name w:val="BDEC6EF4A26446AEA2E1516382A0B8E31"/>
    <w:rsid w:val="009178E4"/>
    <w:pPr>
      <w:bidi/>
      <w:spacing w:after="0" w:line="240" w:lineRule="auto"/>
    </w:pPr>
    <w:rPr>
      <w:rFonts w:ascii="Times New Roman" w:eastAsia="Times New Roman" w:hAnsi="Times New Roman" w:cs="David"/>
      <w:noProof/>
      <w:sz w:val="24"/>
      <w:szCs w:val="24"/>
    </w:rPr>
  </w:style>
  <w:style w:type="paragraph" w:customStyle="1" w:styleId="74FAC0D4100349AAB7CFF87C680380871">
    <w:name w:val="74FAC0D4100349AAB7CFF87C680380871"/>
    <w:rsid w:val="009178E4"/>
    <w:pPr>
      <w:bidi/>
      <w:spacing w:after="0" w:line="240" w:lineRule="auto"/>
    </w:pPr>
    <w:rPr>
      <w:rFonts w:ascii="Times New Roman" w:eastAsia="Times New Roman" w:hAnsi="Times New Roman" w:cs="David"/>
      <w:noProof/>
      <w:sz w:val="24"/>
      <w:szCs w:val="24"/>
    </w:rPr>
  </w:style>
  <w:style w:type="paragraph" w:customStyle="1" w:styleId="E5D38D1255CA4A599DDADA0AE1A5590E1">
    <w:name w:val="E5D38D1255CA4A599DDADA0AE1A5590E1"/>
    <w:rsid w:val="009178E4"/>
    <w:pPr>
      <w:bidi/>
      <w:spacing w:after="0" w:line="240" w:lineRule="auto"/>
    </w:pPr>
    <w:rPr>
      <w:rFonts w:ascii="Times New Roman" w:eastAsia="Times New Roman" w:hAnsi="Times New Roman" w:cs="David"/>
      <w:noProof/>
      <w:sz w:val="24"/>
      <w:szCs w:val="24"/>
    </w:rPr>
  </w:style>
  <w:style w:type="paragraph" w:customStyle="1" w:styleId="B486AC440BF14F3BBBD42CAB0606FAF01">
    <w:name w:val="B486AC440BF14F3BBBD42CAB0606FAF01"/>
    <w:rsid w:val="009178E4"/>
    <w:pPr>
      <w:bidi/>
      <w:spacing w:after="0" w:line="240" w:lineRule="auto"/>
    </w:pPr>
    <w:rPr>
      <w:rFonts w:ascii="Times New Roman" w:eastAsia="Times New Roman" w:hAnsi="Times New Roman" w:cs="David"/>
      <w:noProof/>
      <w:sz w:val="24"/>
      <w:szCs w:val="24"/>
    </w:rPr>
  </w:style>
  <w:style w:type="paragraph" w:customStyle="1" w:styleId="D4BA11CE55FB47E4943078C6F3A24A5F1">
    <w:name w:val="D4BA11CE55FB47E4943078C6F3A24A5F1"/>
    <w:rsid w:val="009178E4"/>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9178E4"/>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9178E4"/>
    <w:pPr>
      <w:bidi/>
      <w:spacing w:after="0" w:line="240" w:lineRule="auto"/>
    </w:pPr>
    <w:rPr>
      <w:rFonts w:ascii="Times New Roman" w:eastAsia="Times New Roman" w:hAnsi="Times New Roman" w:cs="David"/>
      <w:noProof/>
      <w:sz w:val="24"/>
      <w:szCs w:val="24"/>
    </w:rPr>
  </w:style>
  <w:style w:type="paragraph" w:customStyle="1" w:styleId="BDEC6EF4A26446AEA2E1516382A0B8E32">
    <w:name w:val="BDEC6EF4A26446AEA2E1516382A0B8E32"/>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2">
    <w:name w:val="74FAC0D4100349AAB7CFF87C680380872"/>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2">
    <w:name w:val="E5D38D1255CA4A599DDADA0AE1A5590E2"/>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2">
    <w:name w:val="B486AC440BF14F3BBBD42CAB0606FAF02"/>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2">
    <w:name w:val="D4BA11CE55FB47E4943078C6F3A24A5F2"/>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0A4ACE"/>
    <w:pPr>
      <w:bidi/>
      <w:spacing w:after="0" w:line="240" w:lineRule="auto"/>
    </w:pPr>
    <w:rPr>
      <w:rFonts w:ascii="Times New Roman" w:eastAsia="Times New Roman" w:hAnsi="Times New Roman" w:cs="David"/>
      <w:noProof/>
      <w:sz w:val="24"/>
      <w:szCs w:val="24"/>
    </w:rPr>
  </w:style>
  <w:style w:type="paragraph" w:customStyle="1" w:styleId="BDEC6EF4A26446AEA2E1516382A0B8E33">
    <w:name w:val="BDEC6EF4A26446AEA2E1516382A0B8E33"/>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3">
    <w:name w:val="74FAC0D4100349AAB7CFF87C680380873"/>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3">
    <w:name w:val="E5D38D1255CA4A599DDADA0AE1A5590E3"/>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3">
    <w:name w:val="B486AC440BF14F3BBBD42CAB0606FAF03"/>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3">
    <w:name w:val="D4BA11CE55FB47E4943078C6F3A24A5F3"/>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0A4ACE"/>
    <w:pPr>
      <w:bidi/>
      <w:spacing w:after="0" w:line="240" w:lineRule="auto"/>
    </w:pPr>
    <w:rPr>
      <w:rFonts w:ascii="Times New Roman" w:eastAsia="Times New Roman" w:hAnsi="Times New Roman" w:cs="David"/>
      <w:noProof/>
      <w:sz w:val="24"/>
      <w:szCs w:val="24"/>
    </w:rPr>
  </w:style>
  <w:style w:type="paragraph" w:customStyle="1" w:styleId="4CB7196AAF294F94B2C6087C9BF06E84">
    <w:name w:val="4CB7196AAF294F94B2C6087C9BF06E84"/>
    <w:rsid w:val="00F04DC1"/>
    <w:pPr>
      <w:bidi/>
      <w:spacing w:after="160" w:line="259" w:lineRule="auto"/>
    </w:pPr>
  </w:style>
  <w:style w:type="paragraph" w:customStyle="1" w:styleId="116EBBD5A99E4E519EE4A5661D82C50E">
    <w:name w:val="116EBBD5A99E4E519EE4A5661D82C50E"/>
    <w:rsid w:val="00F04DC1"/>
    <w:pPr>
      <w:bidi/>
      <w:spacing w:after="160" w:line="259" w:lineRule="auto"/>
    </w:pPr>
  </w:style>
  <w:style w:type="paragraph" w:customStyle="1" w:styleId="E6E6A917CC5E4519A8F2E864C48E22F2">
    <w:name w:val="E6E6A917CC5E4519A8F2E864C48E22F2"/>
    <w:rsid w:val="00F04DC1"/>
    <w:pPr>
      <w:bidi/>
      <w:spacing w:after="160" w:line="259" w:lineRule="auto"/>
    </w:pPr>
  </w:style>
  <w:style w:type="paragraph" w:customStyle="1" w:styleId="9DC4FF55E52B4E209349FC40470DD418">
    <w:name w:val="9DC4FF55E52B4E209349FC40470DD418"/>
    <w:rsid w:val="00F04DC1"/>
    <w:pPr>
      <w:bidi/>
      <w:spacing w:after="160" w:line="259" w:lineRule="auto"/>
    </w:pPr>
  </w:style>
  <w:style w:type="paragraph" w:customStyle="1" w:styleId="112E7BE5CCF64A68A3D497F283A4D695">
    <w:name w:val="112E7BE5CCF64A68A3D497F283A4D695"/>
    <w:rsid w:val="00F04DC1"/>
    <w:pPr>
      <w:bidi/>
      <w:spacing w:after="160" w:line="259" w:lineRule="auto"/>
    </w:pPr>
  </w:style>
  <w:style w:type="paragraph" w:customStyle="1" w:styleId="F7AC192E75FB4DD1B3A20434CFD65B69">
    <w:name w:val="F7AC192E75FB4DD1B3A20434CFD65B69"/>
    <w:rsid w:val="00F04DC1"/>
    <w:pPr>
      <w:bidi/>
      <w:spacing w:after="160" w:line="259" w:lineRule="auto"/>
    </w:pPr>
  </w:style>
  <w:style w:type="paragraph" w:customStyle="1" w:styleId="116EBBD5A99E4E519EE4A5661D82C50E1">
    <w:name w:val="116EBBD5A99E4E519EE4A5661D82C50E1"/>
    <w:rsid w:val="007E254A"/>
    <w:pPr>
      <w:bidi/>
      <w:spacing w:after="0" w:line="240" w:lineRule="auto"/>
    </w:pPr>
    <w:rPr>
      <w:rFonts w:ascii="Times New Roman" w:eastAsia="Times New Roman" w:hAnsi="Times New Roman" w:cs="David"/>
      <w:noProof/>
      <w:sz w:val="24"/>
      <w:szCs w:val="24"/>
    </w:rPr>
  </w:style>
  <w:style w:type="paragraph" w:customStyle="1" w:styleId="E6E6A917CC5E4519A8F2E864C48E22F21">
    <w:name w:val="E6E6A917CC5E4519A8F2E864C48E22F21"/>
    <w:rsid w:val="007E254A"/>
    <w:pPr>
      <w:bidi/>
      <w:spacing w:after="0" w:line="240" w:lineRule="auto"/>
    </w:pPr>
    <w:rPr>
      <w:rFonts w:ascii="Times New Roman" w:eastAsia="Times New Roman" w:hAnsi="Times New Roman" w:cs="David"/>
      <w:noProof/>
      <w:sz w:val="24"/>
      <w:szCs w:val="24"/>
    </w:rPr>
  </w:style>
  <w:style w:type="paragraph" w:customStyle="1" w:styleId="9DC4FF55E52B4E209349FC40470DD4181">
    <w:name w:val="9DC4FF55E52B4E209349FC40470DD4181"/>
    <w:rsid w:val="007E254A"/>
    <w:pPr>
      <w:bidi/>
      <w:spacing w:after="0" w:line="240" w:lineRule="auto"/>
    </w:pPr>
    <w:rPr>
      <w:rFonts w:ascii="Times New Roman" w:eastAsia="Times New Roman" w:hAnsi="Times New Roman" w:cs="David"/>
      <w:noProof/>
      <w:sz w:val="24"/>
      <w:szCs w:val="24"/>
    </w:rPr>
  </w:style>
  <w:style w:type="paragraph" w:customStyle="1" w:styleId="112E7BE5CCF64A68A3D497F283A4D6951">
    <w:name w:val="112E7BE5CCF64A68A3D497F283A4D6951"/>
    <w:rsid w:val="007E254A"/>
    <w:pPr>
      <w:bidi/>
      <w:spacing w:after="0" w:line="240" w:lineRule="auto"/>
    </w:pPr>
    <w:rPr>
      <w:rFonts w:ascii="Times New Roman" w:eastAsia="Times New Roman" w:hAnsi="Times New Roman" w:cs="David"/>
      <w:noProof/>
      <w:sz w:val="24"/>
      <w:szCs w:val="24"/>
    </w:rPr>
  </w:style>
  <w:style w:type="paragraph" w:customStyle="1" w:styleId="F7AC192E75FB4DD1B3A20434CFD65B691">
    <w:name w:val="F7AC192E75FB4DD1B3A20434CFD65B691"/>
    <w:rsid w:val="007E254A"/>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7E254A"/>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7E254A"/>
    <w:pPr>
      <w:bidi/>
      <w:spacing w:after="0" w:line="240" w:lineRule="auto"/>
    </w:pPr>
    <w:rPr>
      <w:rFonts w:ascii="Times New Roman" w:eastAsia="Times New Roman" w:hAnsi="Times New Roman" w:cs="David"/>
      <w:noProof/>
      <w:sz w:val="24"/>
      <w:szCs w:val="24"/>
    </w:rPr>
  </w:style>
  <w:style w:type="paragraph" w:customStyle="1" w:styleId="116EBBD5A99E4E519EE4A5661D82C50E2">
    <w:name w:val="116EBBD5A99E4E519EE4A5661D82C50E2"/>
    <w:rsid w:val="00334638"/>
    <w:pPr>
      <w:bidi/>
      <w:spacing w:after="0" w:line="240" w:lineRule="auto"/>
    </w:pPr>
    <w:rPr>
      <w:rFonts w:ascii="Times New Roman" w:eastAsia="Times New Roman" w:hAnsi="Times New Roman" w:cs="David"/>
      <w:noProof/>
      <w:sz w:val="24"/>
      <w:szCs w:val="24"/>
    </w:rPr>
  </w:style>
  <w:style w:type="paragraph" w:customStyle="1" w:styleId="E6E6A917CC5E4519A8F2E864C48E22F22">
    <w:name w:val="E6E6A917CC5E4519A8F2E864C48E22F22"/>
    <w:rsid w:val="00334638"/>
    <w:pPr>
      <w:bidi/>
      <w:spacing w:after="0" w:line="240" w:lineRule="auto"/>
    </w:pPr>
    <w:rPr>
      <w:rFonts w:ascii="Times New Roman" w:eastAsia="Times New Roman" w:hAnsi="Times New Roman" w:cs="David"/>
      <w:noProof/>
      <w:sz w:val="24"/>
      <w:szCs w:val="24"/>
    </w:rPr>
  </w:style>
  <w:style w:type="paragraph" w:customStyle="1" w:styleId="9DC4FF55E52B4E209349FC40470DD4182">
    <w:name w:val="9DC4FF55E52B4E209349FC40470DD4182"/>
    <w:rsid w:val="00334638"/>
    <w:pPr>
      <w:bidi/>
      <w:spacing w:after="0" w:line="240" w:lineRule="auto"/>
    </w:pPr>
    <w:rPr>
      <w:rFonts w:ascii="Times New Roman" w:eastAsia="Times New Roman" w:hAnsi="Times New Roman" w:cs="David"/>
      <w:noProof/>
      <w:sz w:val="24"/>
      <w:szCs w:val="24"/>
    </w:rPr>
  </w:style>
  <w:style w:type="paragraph" w:customStyle="1" w:styleId="112E7BE5CCF64A68A3D497F283A4D6952">
    <w:name w:val="112E7BE5CCF64A68A3D497F283A4D6952"/>
    <w:rsid w:val="00334638"/>
    <w:pPr>
      <w:bidi/>
      <w:spacing w:after="0" w:line="240" w:lineRule="auto"/>
    </w:pPr>
    <w:rPr>
      <w:rFonts w:ascii="Times New Roman" w:eastAsia="Times New Roman" w:hAnsi="Times New Roman" w:cs="David"/>
      <w:noProof/>
      <w:sz w:val="24"/>
      <w:szCs w:val="24"/>
    </w:rPr>
  </w:style>
  <w:style w:type="paragraph" w:customStyle="1" w:styleId="ECC435E5782A4F3FB39457279E24BE88">
    <w:name w:val="ECC435E5782A4F3FB39457279E24BE88"/>
    <w:rsid w:val="00334638"/>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334638"/>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334638"/>
    <w:pPr>
      <w:bidi/>
      <w:spacing w:after="0" w:line="240" w:lineRule="auto"/>
    </w:pPr>
    <w:rPr>
      <w:rFonts w:ascii="Times New Roman" w:eastAsia="Times New Roman" w:hAnsi="Times New Roman" w:cs="David"/>
      <w:noProof/>
      <w:sz w:val="24"/>
      <w:szCs w:val="24"/>
    </w:rPr>
  </w:style>
  <w:style w:type="paragraph" w:customStyle="1" w:styleId="116EBBD5A99E4E519EE4A5661D82C50E3">
    <w:name w:val="116EBBD5A99E4E519EE4A5661D82C50E3"/>
    <w:rsid w:val="00F4674E"/>
    <w:pPr>
      <w:bidi/>
      <w:spacing w:after="0" w:line="240" w:lineRule="auto"/>
    </w:pPr>
    <w:rPr>
      <w:rFonts w:ascii="Times New Roman" w:eastAsia="Times New Roman" w:hAnsi="Times New Roman" w:cs="David"/>
      <w:noProof/>
      <w:sz w:val="24"/>
      <w:szCs w:val="24"/>
    </w:rPr>
  </w:style>
  <w:style w:type="paragraph" w:customStyle="1" w:styleId="E6E6A917CC5E4519A8F2E864C48E22F23">
    <w:name w:val="E6E6A917CC5E4519A8F2E864C48E22F23"/>
    <w:rsid w:val="00F4674E"/>
    <w:pPr>
      <w:bidi/>
      <w:spacing w:after="0" w:line="240" w:lineRule="auto"/>
    </w:pPr>
    <w:rPr>
      <w:rFonts w:ascii="Times New Roman" w:eastAsia="Times New Roman" w:hAnsi="Times New Roman" w:cs="David"/>
      <w:noProof/>
      <w:sz w:val="24"/>
      <w:szCs w:val="24"/>
    </w:rPr>
  </w:style>
  <w:style w:type="paragraph" w:customStyle="1" w:styleId="9DC4FF55E52B4E209349FC40470DD4183">
    <w:name w:val="9DC4FF55E52B4E209349FC40470DD4183"/>
    <w:rsid w:val="00F4674E"/>
    <w:pPr>
      <w:bidi/>
      <w:spacing w:after="0" w:line="240" w:lineRule="auto"/>
    </w:pPr>
    <w:rPr>
      <w:rFonts w:ascii="Times New Roman" w:eastAsia="Times New Roman" w:hAnsi="Times New Roman" w:cs="David"/>
      <w:noProof/>
      <w:sz w:val="24"/>
      <w:szCs w:val="24"/>
    </w:rPr>
  </w:style>
  <w:style w:type="paragraph" w:customStyle="1" w:styleId="112E7BE5CCF64A68A3D497F283A4D6953">
    <w:name w:val="112E7BE5CCF64A68A3D497F283A4D6953"/>
    <w:rsid w:val="00F4674E"/>
    <w:pPr>
      <w:bidi/>
      <w:spacing w:after="0" w:line="240" w:lineRule="auto"/>
    </w:pPr>
    <w:rPr>
      <w:rFonts w:ascii="Times New Roman" w:eastAsia="Times New Roman" w:hAnsi="Times New Roman" w:cs="David"/>
      <w:noProof/>
      <w:sz w:val="24"/>
      <w:szCs w:val="24"/>
    </w:rPr>
  </w:style>
  <w:style w:type="paragraph" w:customStyle="1" w:styleId="ECC435E5782A4F3FB39457279E24BE881">
    <w:name w:val="ECC435E5782A4F3FB39457279E24BE881"/>
    <w:rsid w:val="00F4674E"/>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F4674E"/>
    <w:pPr>
      <w:bidi/>
      <w:spacing w:after="0" w:line="240" w:lineRule="auto"/>
    </w:pPr>
    <w:rPr>
      <w:rFonts w:ascii="Times New Roman" w:eastAsia="Times New Roman" w:hAnsi="Times New Roman" w:cs="David"/>
      <w:noProof/>
      <w:sz w:val="24"/>
      <w:szCs w:val="24"/>
    </w:rPr>
  </w:style>
  <w:style w:type="paragraph" w:customStyle="1" w:styleId="D290653DA13E4E738B7E725F79D733298">
    <w:name w:val="D290653DA13E4E738B7E725F79D733298"/>
    <w:rsid w:val="00F4674E"/>
    <w:pPr>
      <w:bidi/>
      <w:spacing w:after="0" w:line="240" w:lineRule="auto"/>
    </w:pPr>
    <w:rPr>
      <w:rFonts w:ascii="Times New Roman" w:eastAsia="Times New Roman" w:hAnsi="Times New Roman" w:cs="David"/>
      <w:noProof/>
      <w:sz w:val="24"/>
      <w:szCs w:val="24"/>
    </w:rPr>
  </w:style>
  <w:style w:type="paragraph" w:customStyle="1" w:styleId="116EBBD5A99E4E519EE4A5661D82C50E4">
    <w:name w:val="116EBBD5A99E4E519EE4A5661D82C50E4"/>
    <w:rsid w:val="002E734C"/>
    <w:pPr>
      <w:bidi/>
      <w:spacing w:after="0" w:line="240" w:lineRule="auto"/>
    </w:pPr>
    <w:rPr>
      <w:rFonts w:ascii="Times New Roman" w:eastAsia="Times New Roman" w:hAnsi="Times New Roman" w:cs="David"/>
      <w:noProof/>
      <w:sz w:val="24"/>
      <w:szCs w:val="24"/>
    </w:rPr>
  </w:style>
  <w:style w:type="paragraph" w:customStyle="1" w:styleId="E6E6A917CC5E4519A8F2E864C48E22F24">
    <w:name w:val="E6E6A917CC5E4519A8F2E864C48E22F24"/>
    <w:rsid w:val="002E734C"/>
    <w:pPr>
      <w:bidi/>
      <w:spacing w:after="0" w:line="240" w:lineRule="auto"/>
    </w:pPr>
    <w:rPr>
      <w:rFonts w:ascii="Times New Roman" w:eastAsia="Times New Roman" w:hAnsi="Times New Roman" w:cs="David"/>
      <w:noProof/>
      <w:sz w:val="24"/>
      <w:szCs w:val="24"/>
    </w:rPr>
  </w:style>
  <w:style w:type="paragraph" w:customStyle="1" w:styleId="9DC4FF55E52B4E209349FC40470DD4184">
    <w:name w:val="9DC4FF55E52B4E209349FC40470DD4184"/>
    <w:rsid w:val="002E734C"/>
    <w:pPr>
      <w:bidi/>
      <w:spacing w:after="0" w:line="240" w:lineRule="auto"/>
    </w:pPr>
    <w:rPr>
      <w:rFonts w:ascii="Times New Roman" w:eastAsia="Times New Roman" w:hAnsi="Times New Roman" w:cs="David"/>
      <w:noProof/>
      <w:sz w:val="24"/>
      <w:szCs w:val="24"/>
    </w:rPr>
  </w:style>
  <w:style w:type="paragraph" w:customStyle="1" w:styleId="112E7BE5CCF64A68A3D497F283A4D6954">
    <w:name w:val="112E7BE5CCF64A68A3D497F283A4D6954"/>
    <w:rsid w:val="002E734C"/>
    <w:pPr>
      <w:bidi/>
      <w:spacing w:after="0" w:line="240" w:lineRule="auto"/>
    </w:pPr>
    <w:rPr>
      <w:rFonts w:ascii="Times New Roman" w:eastAsia="Times New Roman" w:hAnsi="Times New Roman" w:cs="David"/>
      <w:noProof/>
      <w:sz w:val="24"/>
      <w:szCs w:val="24"/>
    </w:rPr>
  </w:style>
  <w:style w:type="paragraph" w:customStyle="1" w:styleId="ECC435E5782A4F3FB39457279E24BE882">
    <w:name w:val="ECC435E5782A4F3FB39457279E24BE882"/>
    <w:rsid w:val="002E734C"/>
    <w:pPr>
      <w:bidi/>
      <w:spacing w:after="0" w:line="240" w:lineRule="auto"/>
    </w:pPr>
    <w:rPr>
      <w:rFonts w:ascii="Times New Roman" w:eastAsia="Times New Roman" w:hAnsi="Times New Roman" w:cs="David"/>
      <w:noProof/>
      <w:sz w:val="24"/>
      <w:szCs w:val="24"/>
    </w:rPr>
  </w:style>
  <w:style w:type="paragraph" w:customStyle="1" w:styleId="E460D38E05664FF79D4EFF282EF8EC9916">
    <w:name w:val="E460D38E05664FF79D4EFF282EF8EC9916"/>
    <w:rsid w:val="002E734C"/>
    <w:pPr>
      <w:bidi/>
      <w:spacing w:after="0" w:line="240" w:lineRule="auto"/>
    </w:pPr>
    <w:rPr>
      <w:rFonts w:ascii="Times New Roman" w:eastAsia="Times New Roman" w:hAnsi="Times New Roman" w:cs="David"/>
      <w:noProof/>
      <w:sz w:val="24"/>
      <w:szCs w:val="24"/>
    </w:rPr>
  </w:style>
  <w:style w:type="paragraph" w:customStyle="1" w:styleId="D290653DA13E4E738B7E725F79D733299">
    <w:name w:val="D290653DA13E4E738B7E725F79D733299"/>
    <w:rsid w:val="002E734C"/>
    <w:pPr>
      <w:bidi/>
      <w:spacing w:after="0" w:line="240" w:lineRule="auto"/>
    </w:pPr>
    <w:rPr>
      <w:rFonts w:ascii="Times New Roman" w:eastAsia="Times New Roman" w:hAnsi="Times New Roman" w:cs="David"/>
      <w:noProof/>
      <w:sz w:val="24"/>
      <w:szCs w:val="24"/>
    </w:rPr>
  </w:style>
  <w:style w:type="paragraph" w:customStyle="1" w:styleId="116EBBD5A99E4E519EE4A5661D82C50E5">
    <w:name w:val="116EBBD5A99E4E519EE4A5661D82C50E5"/>
    <w:rsid w:val="003E1A82"/>
    <w:pPr>
      <w:bidi/>
      <w:spacing w:after="0" w:line="240" w:lineRule="auto"/>
    </w:pPr>
    <w:rPr>
      <w:rFonts w:ascii="Times New Roman" w:eastAsia="Times New Roman" w:hAnsi="Times New Roman" w:cs="David"/>
      <w:noProof/>
      <w:sz w:val="24"/>
      <w:szCs w:val="24"/>
    </w:rPr>
  </w:style>
  <w:style w:type="paragraph" w:customStyle="1" w:styleId="E6E6A917CC5E4519A8F2E864C48E22F25">
    <w:name w:val="E6E6A917CC5E4519A8F2E864C48E22F25"/>
    <w:rsid w:val="003E1A82"/>
    <w:pPr>
      <w:bidi/>
      <w:spacing w:after="0" w:line="240" w:lineRule="auto"/>
    </w:pPr>
    <w:rPr>
      <w:rFonts w:ascii="Times New Roman" w:eastAsia="Times New Roman" w:hAnsi="Times New Roman" w:cs="David"/>
      <w:noProof/>
      <w:sz w:val="24"/>
      <w:szCs w:val="24"/>
    </w:rPr>
  </w:style>
  <w:style w:type="paragraph" w:customStyle="1" w:styleId="9DC4FF55E52B4E209349FC40470DD4185">
    <w:name w:val="9DC4FF55E52B4E209349FC40470DD4185"/>
    <w:rsid w:val="003E1A82"/>
    <w:pPr>
      <w:bidi/>
      <w:spacing w:after="0" w:line="240" w:lineRule="auto"/>
    </w:pPr>
    <w:rPr>
      <w:rFonts w:ascii="Times New Roman" w:eastAsia="Times New Roman" w:hAnsi="Times New Roman" w:cs="David"/>
      <w:noProof/>
      <w:sz w:val="24"/>
      <w:szCs w:val="24"/>
    </w:rPr>
  </w:style>
  <w:style w:type="paragraph" w:customStyle="1" w:styleId="112E7BE5CCF64A68A3D497F283A4D6955">
    <w:name w:val="112E7BE5CCF64A68A3D497F283A4D6955"/>
    <w:rsid w:val="003E1A82"/>
    <w:pPr>
      <w:bidi/>
      <w:spacing w:after="0" w:line="240" w:lineRule="auto"/>
    </w:pPr>
    <w:rPr>
      <w:rFonts w:ascii="Times New Roman" w:eastAsia="Times New Roman" w:hAnsi="Times New Roman" w:cs="David"/>
      <w:noProof/>
      <w:sz w:val="24"/>
      <w:szCs w:val="24"/>
    </w:rPr>
  </w:style>
  <w:style w:type="paragraph" w:customStyle="1" w:styleId="ECC435E5782A4F3FB39457279E24BE883">
    <w:name w:val="ECC435E5782A4F3FB39457279E24BE883"/>
    <w:rsid w:val="003E1A82"/>
    <w:pPr>
      <w:bidi/>
      <w:spacing w:after="0" w:line="240" w:lineRule="auto"/>
    </w:pPr>
    <w:rPr>
      <w:rFonts w:ascii="Times New Roman" w:eastAsia="Times New Roman" w:hAnsi="Times New Roman" w:cs="David"/>
      <w:noProof/>
      <w:sz w:val="24"/>
      <w:szCs w:val="24"/>
    </w:rPr>
  </w:style>
  <w:style w:type="paragraph" w:customStyle="1" w:styleId="E460D38E05664FF79D4EFF282EF8EC9917">
    <w:name w:val="E460D38E05664FF79D4EFF282EF8EC9917"/>
    <w:rsid w:val="003E1A82"/>
    <w:pPr>
      <w:bidi/>
      <w:spacing w:after="0" w:line="240" w:lineRule="auto"/>
    </w:pPr>
    <w:rPr>
      <w:rFonts w:ascii="Times New Roman" w:eastAsia="Times New Roman" w:hAnsi="Times New Roman" w:cs="David"/>
      <w:noProof/>
      <w:sz w:val="24"/>
      <w:szCs w:val="24"/>
    </w:rPr>
  </w:style>
  <w:style w:type="paragraph" w:customStyle="1" w:styleId="D290653DA13E4E738B7E725F79D7332910">
    <w:name w:val="D290653DA13E4E738B7E725F79D7332910"/>
    <w:rsid w:val="003E1A82"/>
    <w:pPr>
      <w:bidi/>
      <w:spacing w:after="0" w:line="240" w:lineRule="auto"/>
    </w:pPr>
    <w:rPr>
      <w:rFonts w:ascii="Times New Roman" w:eastAsia="Times New Roman" w:hAnsi="Times New Roman" w:cs="David"/>
      <w:noProof/>
      <w:sz w:val="24"/>
      <w:szCs w:val="24"/>
    </w:rPr>
  </w:style>
  <w:style w:type="paragraph" w:customStyle="1" w:styleId="116EBBD5A99E4E519EE4A5661D82C50E6">
    <w:name w:val="116EBBD5A99E4E519EE4A5661D82C50E6"/>
    <w:rsid w:val="003E1A82"/>
    <w:pPr>
      <w:bidi/>
      <w:spacing w:after="0" w:line="240" w:lineRule="auto"/>
    </w:pPr>
    <w:rPr>
      <w:rFonts w:ascii="Times New Roman" w:eastAsia="Times New Roman" w:hAnsi="Times New Roman" w:cs="David"/>
      <w:noProof/>
      <w:sz w:val="24"/>
      <w:szCs w:val="24"/>
    </w:rPr>
  </w:style>
  <w:style w:type="paragraph" w:customStyle="1" w:styleId="E6E6A917CC5E4519A8F2E864C48E22F26">
    <w:name w:val="E6E6A917CC5E4519A8F2E864C48E22F26"/>
    <w:rsid w:val="003E1A82"/>
    <w:pPr>
      <w:bidi/>
      <w:spacing w:after="0" w:line="240" w:lineRule="auto"/>
    </w:pPr>
    <w:rPr>
      <w:rFonts w:ascii="Times New Roman" w:eastAsia="Times New Roman" w:hAnsi="Times New Roman" w:cs="David"/>
      <w:noProof/>
      <w:sz w:val="24"/>
      <w:szCs w:val="24"/>
    </w:rPr>
  </w:style>
  <w:style w:type="paragraph" w:customStyle="1" w:styleId="9DC4FF55E52B4E209349FC40470DD4186">
    <w:name w:val="9DC4FF55E52B4E209349FC40470DD4186"/>
    <w:rsid w:val="003E1A82"/>
    <w:pPr>
      <w:bidi/>
      <w:spacing w:after="0" w:line="240" w:lineRule="auto"/>
    </w:pPr>
    <w:rPr>
      <w:rFonts w:ascii="Times New Roman" w:eastAsia="Times New Roman" w:hAnsi="Times New Roman" w:cs="David"/>
      <w:noProof/>
      <w:sz w:val="24"/>
      <w:szCs w:val="24"/>
    </w:rPr>
  </w:style>
  <w:style w:type="paragraph" w:customStyle="1" w:styleId="112E7BE5CCF64A68A3D497F283A4D6956">
    <w:name w:val="112E7BE5CCF64A68A3D497F283A4D6956"/>
    <w:rsid w:val="003E1A82"/>
    <w:pPr>
      <w:bidi/>
      <w:spacing w:after="0" w:line="240" w:lineRule="auto"/>
    </w:pPr>
    <w:rPr>
      <w:rFonts w:ascii="Times New Roman" w:eastAsia="Times New Roman" w:hAnsi="Times New Roman" w:cs="David"/>
      <w:noProof/>
      <w:sz w:val="24"/>
      <w:szCs w:val="24"/>
    </w:rPr>
  </w:style>
  <w:style w:type="paragraph" w:customStyle="1" w:styleId="ECC435E5782A4F3FB39457279E24BE884">
    <w:name w:val="ECC435E5782A4F3FB39457279E24BE884"/>
    <w:rsid w:val="003E1A82"/>
    <w:pPr>
      <w:bidi/>
      <w:spacing w:after="0" w:line="240" w:lineRule="auto"/>
    </w:pPr>
    <w:rPr>
      <w:rFonts w:ascii="Times New Roman" w:eastAsia="Times New Roman" w:hAnsi="Times New Roman" w:cs="David"/>
      <w:noProof/>
      <w:sz w:val="24"/>
      <w:szCs w:val="24"/>
    </w:rPr>
  </w:style>
  <w:style w:type="paragraph" w:customStyle="1" w:styleId="E460D38E05664FF79D4EFF282EF8EC9918">
    <w:name w:val="E460D38E05664FF79D4EFF282EF8EC9918"/>
    <w:rsid w:val="003E1A82"/>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3584</Words>
  <Characters>17920</Characters>
  <Application>Microsoft Office Word</Application>
  <DocSecurity>4</DocSecurity>
  <Lines>149</Lines>
  <Paragraphs>42</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21462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הדס לרנר</cp:lastModifiedBy>
  <cp:revision>2</cp:revision>
  <dcterms:created xsi:type="dcterms:W3CDTF">2022-10-19T16:42:00Z</dcterms:created>
  <dcterms:modified xsi:type="dcterms:W3CDTF">2022-10-19T16:42:00Z</dcterms:modified>
</cp:coreProperties>
</file>