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FA7" w:rsidRDefault="00F76FA7" w:rsidP="00F76FA7">
      <w:pPr>
        <w:pStyle w:val="a3"/>
        <w:jc w:val="center"/>
      </w:pPr>
      <w:bookmarkStart w:id="0" w:name="_GoBack"/>
      <w:bookmarkEnd w:id="0"/>
      <w:r>
        <w:rPr>
          <w:noProof/>
        </w:rPr>
        <w:drawing>
          <wp:inline distT="0" distB="0" distL="0" distR="0">
            <wp:extent cx="514350" cy="571500"/>
            <wp:effectExtent l="0" t="0" r="0" b="0"/>
            <wp:docPr id="1" name="תמונה 1" descr="Men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or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4350" cy="571500"/>
                    </a:xfrm>
                    <a:prstGeom prst="rect">
                      <a:avLst/>
                    </a:prstGeom>
                    <a:noFill/>
                    <a:ln>
                      <a:noFill/>
                    </a:ln>
                  </pic:spPr>
                </pic:pic>
              </a:graphicData>
            </a:graphic>
          </wp:inline>
        </w:drawing>
      </w:r>
    </w:p>
    <w:tbl>
      <w:tblPr>
        <w:bidiVisual/>
        <w:tblW w:w="0" w:type="auto"/>
        <w:jc w:val="center"/>
        <w:tblLook w:val="04A0" w:firstRow="1" w:lastRow="0" w:firstColumn="1" w:lastColumn="0" w:noHBand="0" w:noVBand="1"/>
      </w:tblPr>
      <w:tblGrid>
        <w:gridCol w:w="5303"/>
        <w:gridCol w:w="3003"/>
      </w:tblGrid>
      <w:tr w:rsidR="00F76FA7" w:rsidTr="00F76FA7">
        <w:trPr>
          <w:trHeight w:val="418"/>
          <w:jc w:val="center"/>
        </w:trPr>
        <w:sdt>
          <w:sdtPr>
            <w:rPr>
              <w:rtl/>
            </w:rPr>
            <w:alias w:val="162"/>
            <w:tag w:val="162"/>
            <w:id w:val="908115688"/>
            <w:text/>
          </w:sdtPr>
          <w:sdtEndPr/>
          <w:sdtContent>
            <w:tc>
              <w:tcPr>
                <w:tcW w:w="8501" w:type="dxa"/>
                <w:gridSpan w:val="2"/>
                <w:hideMark/>
              </w:tcPr>
              <w:p w:rsidR="00F76FA7" w:rsidRDefault="00F76FA7">
                <w:pPr>
                  <w:pStyle w:val="a3"/>
                  <w:jc w:val="center"/>
                  <w:rPr>
                    <w:rtl/>
                  </w:rPr>
                </w:pPr>
                <w:r>
                  <w:rPr>
                    <w:rFonts w:ascii="Tahoma" w:hAnsi="Tahoma" w:cs="Tahoma"/>
                    <w:b/>
                    <w:bCs/>
                    <w:color w:val="000080"/>
                    <w:sz w:val="20"/>
                    <w:szCs w:val="20"/>
                    <w:rtl/>
                  </w:rPr>
                  <w:t>בית המשפט המחוזי בחיפה</w:t>
                </w:r>
              </w:p>
            </w:tc>
          </w:sdtContent>
        </w:sdt>
      </w:tr>
      <w:tr w:rsidR="00F76FA7" w:rsidTr="00F76FA7">
        <w:trPr>
          <w:trHeight w:val="337"/>
          <w:jc w:val="center"/>
        </w:trPr>
        <w:tc>
          <w:tcPr>
            <w:tcW w:w="5431" w:type="dxa"/>
            <w:hideMark/>
          </w:tcPr>
          <w:p w:rsidR="00F76FA7" w:rsidRDefault="004D68EE" w:rsidP="00F76FA7">
            <w:pPr>
              <w:pStyle w:val="a3"/>
              <w:rPr>
                <w:b/>
                <w:bCs/>
                <w:sz w:val="26"/>
                <w:szCs w:val="26"/>
                <w:rtl/>
              </w:rPr>
            </w:pPr>
            <w:sdt>
              <w:sdtPr>
                <w:rPr>
                  <w:rFonts w:hint="cs"/>
                  <w:rtl/>
                </w:rPr>
                <w:alias w:val="849"/>
                <w:tag w:val="849"/>
                <w:id w:val="1059745331"/>
                <w:text w:multiLine="1"/>
              </w:sdtPr>
              <w:sdtEndPr/>
              <w:sdtContent>
                <w:r w:rsidR="00F76FA7">
                  <w:rPr>
                    <w:rFonts w:hint="cs"/>
                    <w:b/>
                    <w:bCs/>
                    <w:sz w:val="26"/>
                    <w:szCs w:val="26"/>
                    <w:rtl/>
                  </w:rPr>
                  <w:t>ת"פ</w:t>
                </w:r>
              </w:sdtContent>
            </w:sdt>
            <w:r w:rsidR="00F76FA7">
              <w:rPr>
                <w:rFonts w:hint="cs"/>
                <w:b/>
                <w:bCs/>
                <w:sz w:val="26"/>
                <w:szCs w:val="26"/>
                <w:rtl/>
              </w:rPr>
              <w:t xml:space="preserve"> </w:t>
            </w:r>
            <w:sdt>
              <w:sdtPr>
                <w:rPr>
                  <w:rFonts w:hint="cs"/>
                  <w:rtl/>
                </w:rPr>
                <w:alias w:val="158"/>
                <w:tag w:val="158"/>
                <w:id w:val="-417482202"/>
                <w:text w:multiLine="1"/>
              </w:sdtPr>
              <w:sdtEndPr/>
              <w:sdtContent>
                <w:r w:rsidR="00F76FA7">
                  <w:rPr>
                    <w:rFonts w:hint="cs"/>
                    <w:b/>
                    <w:bCs/>
                    <w:sz w:val="26"/>
                    <w:szCs w:val="26"/>
                    <w:rtl/>
                  </w:rPr>
                  <w:t>40823-03-22</w:t>
                </w:r>
              </w:sdtContent>
            </w:sdt>
            <w:r w:rsidR="00F76FA7">
              <w:rPr>
                <w:rFonts w:hint="cs"/>
                <w:b/>
                <w:bCs/>
                <w:sz w:val="26"/>
                <w:szCs w:val="26"/>
                <w:rtl/>
              </w:rPr>
              <w:t xml:space="preserve"> </w:t>
            </w:r>
            <w:sdt>
              <w:sdtPr>
                <w:rPr>
                  <w:rFonts w:hint="cs"/>
                  <w:rtl/>
                </w:rPr>
                <w:alias w:val="293"/>
                <w:tag w:val="293"/>
                <w:id w:val="-1609953983"/>
                <w:text w:multiLine="1"/>
              </w:sdtPr>
              <w:sdtEndPr/>
              <w:sdtContent>
                <w:r w:rsidR="00F76FA7">
                  <w:rPr>
                    <w:rFonts w:hint="cs"/>
                    <w:b/>
                    <w:bCs/>
                    <w:sz w:val="26"/>
                    <w:szCs w:val="26"/>
                    <w:rtl/>
                  </w:rPr>
                  <w:t>מדינת ישראל נ' שאמי</w:t>
                </w:r>
              </w:sdtContent>
            </w:sdt>
          </w:p>
        </w:tc>
        <w:sdt>
          <w:sdtPr>
            <w:rPr>
              <w:rFonts w:hint="cs"/>
              <w:rtl/>
            </w:rPr>
            <w:alias w:val="2042"/>
            <w:tag w:val="2042"/>
            <w:id w:val="-2098159596"/>
            <w:text/>
          </w:sdtPr>
          <w:sdtEndPr/>
          <w:sdtContent>
            <w:tc>
              <w:tcPr>
                <w:tcW w:w="3070" w:type="dxa"/>
                <w:hideMark/>
              </w:tcPr>
              <w:p w:rsidR="00F76FA7" w:rsidRDefault="00F76FA7" w:rsidP="00F76FA7">
                <w:pPr>
                  <w:pStyle w:val="a3"/>
                  <w:tabs>
                    <w:tab w:val="clear" w:pos="4153"/>
                  </w:tabs>
                  <w:jc w:val="right"/>
                  <w:rPr>
                    <w:rtl/>
                  </w:rPr>
                </w:pPr>
                <w:r>
                  <w:rPr>
                    <w:rFonts w:hint="cs"/>
                    <w:b/>
                    <w:bCs/>
                    <w:sz w:val="26"/>
                    <w:szCs w:val="26"/>
                    <w:rtl/>
                  </w:rPr>
                  <w:t>16 ינואר 2023</w:t>
                </w:r>
              </w:p>
            </w:tc>
          </w:sdtContent>
        </w:sdt>
      </w:tr>
    </w:tbl>
    <w:tbl>
      <w:tblPr>
        <w:tblStyle w:val="a5"/>
        <w:bidiVisual/>
        <w:tblW w:w="8218"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942"/>
        <w:gridCol w:w="5276"/>
      </w:tblGrid>
      <w:tr w:rsidR="00F76FA7" w:rsidTr="00F76FA7">
        <w:tc>
          <w:tcPr>
            <w:tcW w:w="8218" w:type="dxa"/>
            <w:gridSpan w:val="2"/>
            <w:hideMark/>
          </w:tcPr>
          <w:p w:rsidR="00F76FA7" w:rsidRDefault="00F76FA7">
            <w:pPr>
              <w:spacing w:line="360" w:lineRule="auto"/>
              <w:jc w:val="left"/>
              <w:rPr>
                <w:b/>
                <w:bCs/>
                <w:sz w:val="26"/>
                <w:szCs w:val="26"/>
                <w:rtl/>
              </w:rPr>
            </w:pPr>
          </w:p>
          <w:p w:rsidR="00F76FA7" w:rsidRDefault="00F76FA7">
            <w:pPr>
              <w:spacing w:line="360" w:lineRule="auto"/>
              <w:jc w:val="left"/>
              <w:rPr>
                <w:rFonts w:ascii="Times New Roman" w:eastAsia="Times New Roman" w:hAnsi="Times New Roman"/>
              </w:rPr>
            </w:pPr>
            <w:r>
              <w:rPr>
                <w:rFonts w:hint="cs"/>
                <w:b/>
                <w:bCs/>
                <w:sz w:val="26"/>
                <w:szCs w:val="26"/>
                <w:rtl/>
              </w:rPr>
              <w:t>לפני כבוד השופט אמיר טובי, שופט בכיר</w:t>
            </w:r>
          </w:p>
        </w:tc>
      </w:tr>
      <w:tr w:rsidR="00F76FA7" w:rsidTr="00F76FA7">
        <w:tc>
          <w:tcPr>
            <w:tcW w:w="2942" w:type="dxa"/>
          </w:tcPr>
          <w:p w:rsidR="00F76FA7" w:rsidRPr="00F76FA7" w:rsidRDefault="00F76FA7">
            <w:pPr>
              <w:ind w:left="26"/>
              <w:rPr>
                <w:b/>
                <w:bCs/>
                <w:sz w:val="26"/>
                <w:szCs w:val="26"/>
              </w:rPr>
            </w:pPr>
          </w:p>
          <w:p w:rsidR="00F76FA7" w:rsidRDefault="00F76FA7">
            <w:pPr>
              <w:ind w:left="26"/>
              <w:jc w:val="left"/>
              <w:rPr>
                <w:b/>
                <w:bCs/>
                <w:sz w:val="26"/>
                <w:szCs w:val="26"/>
                <w:rtl/>
              </w:rPr>
            </w:pPr>
            <w:r>
              <w:rPr>
                <w:rFonts w:hint="cs"/>
                <w:b/>
                <w:bCs/>
                <w:sz w:val="26"/>
                <w:szCs w:val="26"/>
                <w:rtl/>
              </w:rPr>
              <w:t>המאשימה</w:t>
            </w:r>
          </w:p>
        </w:tc>
        <w:tc>
          <w:tcPr>
            <w:tcW w:w="5276" w:type="dxa"/>
            <w:hideMark/>
          </w:tcPr>
          <w:p w:rsidR="00F76FA7" w:rsidRDefault="00F76FA7">
            <w:pPr>
              <w:jc w:val="left"/>
              <w:rPr>
                <w:b/>
                <w:bCs/>
                <w:sz w:val="26"/>
                <w:szCs w:val="26"/>
                <w:rtl/>
              </w:rPr>
            </w:pPr>
            <w:r>
              <w:rPr>
                <w:rtl/>
              </w:rPr>
              <w:br/>
            </w:r>
            <w:r>
              <w:rPr>
                <w:rFonts w:hint="cs"/>
                <w:b/>
                <w:bCs/>
                <w:sz w:val="26"/>
                <w:szCs w:val="26"/>
                <w:rtl/>
              </w:rPr>
              <w:t>מדינת ישראל</w:t>
            </w:r>
          </w:p>
        </w:tc>
      </w:tr>
      <w:tr w:rsidR="00F76FA7" w:rsidTr="00F76FA7">
        <w:tc>
          <w:tcPr>
            <w:tcW w:w="8218" w:type="dxa"/>
            <w:gridSpan w:val="2"/>
          </w:tcPr>
          <w:p w:rsidR="00F76FA7" w:rsidRDefault="00F76FA7">
            <w:pPr>
              <w:rPr>
                <w:rFonts w:ascii="Arial" w:hAnsi="Arial"/>
                <w:b/>
                <w:bCs/>
                <w:sz w:val="26"/>
                <w:szCs w:val="26"/>
                <w:rtl/>
              </w:rPr>
            </w:pPr>
          </w:p>
          <w:p w:rsidR="00F76FA7" w:rsidRDefault="00F76FA7">
            <w:pPr>
              <w:jc w:val="center"/>
              <w:rPr>
                <w:rFonts w:ascii="Arial" w:hAnsi="Arial"/>
                <w:b/>
                <w:bCs/>
                <w:sz w:val="26"/>
                <w:szCs w:val="26"/>
                <w:rtl/>
              </w:rPr>
            </w:pPr>
            <w:r>
              <w:rPr>
                <w:rFonts w:ascii="Arial" w:hAnsi="Arial" w:hint="cs"/>
                <w:b/>
                <w:bCs/>
                <w:sz w:val="26"/>
                <w:szCs w:val="26"/>
                <w:rtl/>
              </w:rPr>
              <w:t>נגד</w:t>
            </w:r>
          </w:p>
          <w:p w:rsidR="00F76FA7" w:rsidRDefault="00F76FA7">
            <w:pPr>
              <w:rPr>
                <w:rFonts w:ascii="Arial" w:hAnsi="Arial"/>
                <w:b/>
                <w:bCs/>
                <w:sz w:val="26"/>
                <w:szCs w:val="26"/>
                <w:rtl/>
              </w:rPr>
            </w:pPr>
          </w:p>
        </w:tc>
      </w:tr>
      <w:tr w:rsidR="00F76FA7" w:rsidTr="00F76FA7">
        <w:tc>
          <w:tcPr>
            <w:tcW w:w="2942" w:type="dxa"/>
            <w:hideMark/>
          </w:tcPr>
          <w:p w:rsidR="00F76FA7" w:rsidRDefault="00F76FA7" w:rsidP="00F76FA7">
            <w:pPr>
              <w:ind w:left="26"/>
              <w:jc w:val="left"/>
              <w:rPr>
                <w:rFonts w:ascii="Times New Roman" w:hAnsi="Times New Roman"/>
                <w:b/>
                <w:bCs/>
                <w:sz w:val="26"/>
                <w:szCs w:val="26"/>
                <w:rtl/>
              </w:rPr>
            </w:pPr>
            <w:r>
              <w:rPr>
                <w:rFonts w:hint="cs"/>
                <w:b/>
                <w:bCs/>
                <w:sz w:val="26"/>
                <w:szCs w:val="26"/>
                <w:rtl/>
              </w:rPr>
              <w:t>הנאשם</w:t>
            </w:r>
          </w:p>
        </w:tc>
        <w:tc>
          <w:tcPr>
            <w:tcW w:w="5276" w:type="dxa"/>
            <w:hideMark/>
          </w:tcPr>
          <w:p w:rsidR="00F76FA7" w:rsidRDefault="00F76FA7" w:rsidP="00F76FA7">
            <w:pPr>
              <w:jc w:val="left"/>
              <w:rPr>
                <w:b/>
                <w:bCs/>
                <w:sz w:val="26"/>
                <w:szCs w:val="26"/>
              </w:rPr>
            </w:pPr>
            <w:proofErr w:type="spellStart"/>
            <w:r>
              <w:rPr>
                <w:rFonts w:hint="cs"/>
                <w:b/>
                <w:bCs/>
                <w:sz w:val="26"/>
                <w:szCs w:val="26"/>
                <w:rtl/>
              </w:rPr>
              <w:t>ראמי</w:t>
            </w:r>
            <w:proofErr w:type="spellEnd"/>
            <w:r>
              <w:rPr>
                <w:rFonts w:hint="cs"/>
                <w:b/>
                <w:bCs/>
                <w:sz w:val="26"/>
                <w:szCs w:val="26"/>
                <w:rtl/>
              </w:rPr>
              <w:t xml:space="preserve"> שאמי  </w:t>
            </w:r>
          </w:p>
          <w:p w:rsidR="00F76FA7" w:rsidRDefault="00F76FA7" w:rsidP="00F76FA7">
            <w:pPr>
              <w:jc w:val="left"/>
              <w:rPr>
                <w:b/>
                <w:bCs/>
                <w:sz w:val="26"/>
                <w:szCs w:val="26"/>
                <w:rtl/>
              </w:rPr>
            </w:pPr>
          </w:p>
        </w:tc>
      </w:tr>
    </w:tbl>
    <w:p w:rsidR="00EA4029" w:rsidRDefault="00EA4029">
      <w:pPr>
        <w:rPr>
          <w:rFonts w:cstheme="minorBidi"/>
          <w:rtl/>
          <w:lang w:bidi="ar-LB"/>
        </w:rPr>
      </w:pPr>
    </w:p>
    <w:p w:rsidR="00EA4029" w:rsidRDefault="00EA4029" w:rsidP="00EA4029">
      <w:pPr>
        <w:jc w:val="center"/>
        <w:rPr>
          <w:b/>
          <w:bCs/>
          <w:sz w:val="32"/>
          <w:szCs w:val="32"/>
          <w:u w:val="single"/>
          <w:rtl/>
        </w:rPr>
      </w:pPr>
      <w:r w:rsidRPr="00EA4029">
        <w:rPr>
          <w:b/>
          <w:bCs/>
          <w:sz w:val="32"/>
          <w:szCs w:val="32"/>
          <w:u w:val="single"/>
          <w:rtl/>
        </w:rPr>
        <w:t>תקציר גזר דין</w:t>
      </w:r>
    </w:p>
    <w:p w:rsidR="00EA4029" w:rsidRDefault="00EA4029" w:rsidP="00EA4029">
      <w:pPr>
        <w:jc w:val="center"/>
        <w:rPr>
          <w:b/>
          <w:bCs/>
          <w:sz w:val="32"/>
          <w:szCs w:val="32"/>
          <w:u w:val="single"/>
          <w:rtl/>
        </w:rPr>
      </w:pPr>
    </w:p>
    <w:p w:rsidR="00EA4029" w:rsidRDefault="00EA4029" w:rsidP="00EA4029">
      <w:pPr>
        <w:tabs>
          <w:tab w:val="left" w:pos="567"/>
          <w:tab w:val="left" w:pos="1134"/>
          <w:tab w:val="left" w:pos="1701"/>
        </w:tabs>
        <w:spacing w:line="360" w:lineRule="auto"/>
        <w:ind w:left="567" w:hanging="567"/>
        <w:jc w:val="both"/>
        <w:rPr>
          <w:rFonts w:eastAsiaTheme="minorHAnsi"/>
          <w:rtl/>
        </w:rPr>
      </w:pPr>
      <w:r w:rsidRPr="00EA4029">
        <w:rPr>
          <w:rFonts w:eastAsiaTheme="minorHAnsi" w:hint="cs"/>
          <w:rtl/>
        </w:rPr>
        <w:t>1.</w:t>
      </w:r>
      <w:r w:rsidRPr="00EA4029">
        <w:rPr>
          <w:rFonts w:eastAsiaTheme="minorHAnsi"/>
          <w:rtl/>
        </w:rPr>
        <w:tab/>
      </w:r>
      <w:r w:rsidRPr="00EA4029">
        <w:rPr>
          <w:rFonts w:eastAsiaTheme="minorHAnsi" w:hint="cs"/>
          <w:rtl/>
        </w:rPr>
        <w:t xml:space="preserve">הנאשם הורשע על סמך הודאתו בעבירות </w:t>
      </w:r>
      <w:r>
        <w:rPr>
          <w:rFonts w:eastAsiaTheme="minorHAnsi" w:hint="cs"/>
          <w:rtl/>
        </w:rPr>
        <w:t>של מגע עם סוכן חוץ;</w:t>
      </w:r>
      <w:r w:rsidRPr="00EA4029">
        <w:rPr>
          <w:rFonts w:eastAsiaTheme="minorHAnsi" w:hint="cs"/>
          <w:rtl/>
        </w:rPr>
        <w:t xml:space="preserve"> מתן שירות או העמדת אמצעים לארגון טרור; קשירת קשר לפשע</w:t>
      </w:r>
      <w:r>
        <w:rPr>
          <w:rFonts w:eastAsiaTheme="minorHAnsi" w:hint="cs"/>
          <w:rtl/>
        </w:rPr>
        <w:t xml:space="preserve"> </w:t>
      </w:r>
      <w:r w:rsidRPr="00EA4029">
        <w:rPr>
          <w:rFonts w:eastAsiaTheme="minorHAnsi" w:hint="cs"/>
          <w:rtl/>
        </w:rPr>
        <w:t>ו</w:t>
      </w:r>
      <w:r>
        <w:rPr>
          <w:rFonts w:eastAsiaTheme="minorHAnsi" w:hint="cs"/>
          <w:rtl/>
        </w:rPr>
        <w:t xml:space="preserve">רכישה והחזקה של כלי נשק. </w:t>
      </w: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r w:rsidRPr="00EA4029">
        <w:rPr>
          <w:rFonts w:eastAsiaTheme="minorHAnsi" w:hint="cs"/>
          <w:rtl/>
        </w:rPr>
        <w:t>2.</w:t>
      </w:r>
      <w:r w:rsidRPr="00EA4029">
        <w:rPr>
          <w:rFonts w:eastAsiaTheme="minorHAnsi" w:hint="cs"/>
          <w:rtl/>
        </w:rPr>
        <w:tab/>
        <w:t>מעובדות כתב האישום עולה כי הנאשם גויס על ידי אחר לצורך ביצוע הברחות של סמים וכלי נשק שונים מלבנון לישראל כבר בחודש יוני 2021</w:t>
      </w:r>
      <w:r>
        <w:rPr>
          <w:rFonts w:eastAsiaTheme="minorHAnsi" w:hint="cs"/>
          <w:rtl/>
        </w:rPr>
        <w:t xml:space="preserve">. הנאשם קיבל מידי אותו אדם </w:t>
      </w:r>
      <w:r w:rsidRPr="00EA4029">
        <w:rPr>
          <w:rFonts w:eastAsiaTheme="minorHAnsi" w:hint="cs"/>
          <w:rtl/>
        </w:rPr>
        <w:t>טלפון מבצעי והחל לשוחח במישרין עם פעיל חיזבאללה בנוגע להברחות במספר רב של הזדמנויות, הן דרך אפליקציית "</w:t>
      </w:r>
      <w:proofErr w:type="spellStart"/>
      <w:r w:rsidRPr="00EA4029">
        <w:rPr>
          <w:rFonts w:eastAsiaTheme="minorHAnsi" w:hint="cs"/>
          <w:rtl/>
        </w:rPr>
        <w:t>טלגרם</w:t>
      </w:r>
      <w:proofErr w:type="spellEnd"/>
      <w:r w:rsidRPr="00EA4029">
        <w:rPr>
          <w:rFonts w:eastAsiaTheme="minorHAnsi" w:hint="cs"/>
          <w:rtl/>
        </w:rPr>
        <w:t>" והן באמצעות טלפון מבצעי נוסף, אותו השמיש במיוחד לצורך כך.</w:t>
      </w: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r w:rsidRPr="00EA4029">
        <w:rPr>
          <w:rFonts w:eastAsiaTheme="minorHAnsi"/>
          <w:rtl/>
        </w:rPr>
        <w:tab/>
      </w:r>
      <w:r w:rsidRPr="00EA4029">
        <w:rPr>
          <w:rFonts w:eastAsiaTheme="minorHAnsi" w:hint="cs"/>
          <w:rtl/>
        </w:rPr>
        <w:t>חשדו של הנאשם לגבי כך ש</w:t>
      </w:r>
      <w:r>
        <w:rPr>
          <w:rFonts w:eastAsiaTheme="minorHAnsi" w:hint="cs"/>
          <w:rtl/>
        </w:rPr>
        <w:t xml:space="preserve">אותו </w:t>
      </w:r>
      <w:r w:rsidRPr="00EA4029">
        <w:rPr>
          <w:rFonts w:eastAsiaTheme="minorHAnsi" w:hint="cs"/>
          <w:rtl/>
        </w:rPr>
        <w:t>פעיל פועל בשליחותו של ארגון חיזבא</w:t>
      </w:r>
      <w:r>
        <w:rPr>
          <w:rFonts w:eastAsiaTheme="minorHAnsi" w:hint="cs"/>
          <w:rtl/>
        </w:rPr>
        <w:t xml:space="preserve">ללה התעורר </w:t>
      </w:r>
      <w:r w:rsidRPr="00EA4029">
        <w:rPr>
          <w:rFonts w:eastAsiaTheme="minorHAnsi" w:hint="cs"/>
          <w:rtl/>
        </w:rPr>
        <w:t xml:space="preserve">חודש </w:t>
      </w:r>
      <w:r>
        <w:rPr>
          <w:rFonts w:eastAsiaTheme="minorHAnsi" w:hint="cs"/>
          <w:rtl/>
        </w:rPr>
        <w:t xml:space="preserve">לאחר שגויס לאחר שאותו פעיל אמר לו בשיחה שהתקיימה ביניהם </w:t>
      </w:r>
      <w:r w:rsidRPr="00EA4029">
        <w:rPr>
          <w:rFonts w:eastAsiaTheme="minorHAnsi" w:hint="cs"/>
          <w:rtl/>
        </w:rPr>
        <w:t>כי יש לו גישה חופשית לכל קו הגבול בין לבנון לישראל. על אף חשד זה, לא נמלך הנאשם בדעתו ולא נסוג מתכניתו</w:t>
      </w:r>
      <w:r>
        <w:rPr>
          <w:rFonts w:eastAsiaTheme="minorHAnsi" w:hint="cs"/>
          <w:rtl/>
        </w:rPr>
        <w:t>.</w:t>
      </w:r>
      <w:r w:rsidRPr="00EA4029">
        <w:rPr>
          <w:rFonts w:eastAsiaTheme="minorHAnsi" w:hint="cs"/>
          <w:rtl/>
        </w:rPr>
        <w:t xml:space="preserve"> במטרה לקדם תכנית זו </w:t>
      </w:r>
      <w:r>
        <w:rPr>
          <w:rFonts w:eastAsiaTheme="minorHAnsi" w:hint="cs"/>
          <w:rtl/>
        </w:rPr>
        <w:t xml:space="preserve">נסעו הנאשם והמעורב האחר במספר הזדמנויות אל אזור הגבול בין ישראל ולבנון, צילם את המקום והעביר את התצלומים לאותו פעיל חיזבאללה. בנוסף, </w:t>
      </w:r>
      <w:r w:rsidRPr="00EA4029">
        <w:rPr>
          <w:rFonts w:eastAsiaTheme="minorHAnsi" w:hint="cs"/>
          <w:rtl/>
        </w:rPr>
        <w:t xml:space="preserve">במטרה לייבא חמישה אקדחים מלבנון, העבירו </w:t>
      </w:r>
      <w:r>
        <w:rPr>
          <w:rFonts w:eastAsiaTheme="minorHAnsi" w:hint="cs"/>
          <w:rtl/>
        </w:rPr>
        <w:t>הנאשם והמעורב ה</w:t>
      </w:r>
      <w:r w:rsidRPr="00EA4029">
        <w:rPr>
          <w:rFonts w:eastAsiaTheme="minorHAnsi" w:hint="cs"/>
          <w:rtl/>
        </w:rPr>
        <w:t>אחר ל</w:t>
      </w:r>
      <w:r>
        <w:rPr>
          <w:rFonts w:eastAsiaTheme="minorHAnsi" w:hint="cs"/>
          <w:rtl/>
        </w:rPr>
        <w:t xml:space="preserve">אותו </w:t>
      </w:r>
      <w:r w:rsidRPr="00EA4029">
        <w:rPr>
          <w:rFonts w:eastAsiaTheme="minorHAnsi" w:hint="cs"/>
          <w:rtl/>
        </w:rPr>
        <w:t>פעיל סכום של 15,000</w:t>
      </w:r>
      <w:r w:rsidRPr="00EA4029">
        <w:rPr>
          <w:rFonts w:eastAsiaTheme="minorHAnsi"/>
        </w:rPr>
        <w:t>$</w:t>
      </w:r>
      <w:r w:rsidRPr="00EA4029">
        <w:rPr>
          <w:rFonts w:eastAsiaTheme="minorHAnsi" w:hint="cs"/>
          <w:rtl/>
        </w:rPr>
        <w:t>.</w:t>
      </w: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r w:rsidRPr="00EA4029">
        <w:rPr>
          <w:rFonts w:eastAsiaTheme="minorHAnsi" w:hint="cs"/>
          <w:rtl/>
        </w:rPr>
        <w:lastRenderedPageBreak/>
        <w:tab/>
        <w:t xml:space="preserve">בשני מועדים שונים במהלך חודש אוקטובר 2021 הטעין הנאשם לבקשת הפעיל שני כרטיסי </w:t>
      </w:r>
      <w:proofErr w:type="spellStart"/>
      <w:r w:rsidRPr="00EA4029">
        <w:rPr>
          <w:rFonts w:eastAsiaTheme="minorHAnsi" w:hint="cs"/>
          <w:rtl/>
        </w:rPr>
        <w:t>סים</w:t>
      </w:r>
      <w:proofErr w:type="spellEnd"/>
      <w:r w:rsidRPr="00EA4029">
        <w:rPr>
          <w:rFonts w:eastAsiaTheme="minorHAnsi" w:hint="cs"/>
          <w:rtl/>
        </w:rPr>
        <w:t xml:space="preserve"> ישראליים. </w:t>
      </w: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r w:rsidRPr="00EA4029">
        <w:rPr>
          <w:rFonts w:eastAsiaTheme="minorHAnsi"/>
          <w:rtl/>
        </w:rPr>
        <w:tab/>
      </w:r>
      <w:r w:rsidRPr="00EA4029">
        <w:rPr>
          <w:rFonts w:eastAsiaTheme="minorHAnsi" w:hint="cs"/>
          <w:rtl/>
        </w:rPr>
        <w:t xml:space="preserve">ביום 23.11.2021 טסו </w:t>
      </w:r>
      <w:r>
        <w:rPr>
          <w:rFonts w:eastAsiaTheme="minorHAnsi" w:hint="cs"/>
          <w:rtl/>
        </w:rPr>
        <w:t xml:space="preserve">הנאשם והמעורב </w:t>
      </w:r>
      <w:r w:rsidRPr="00EA4029">
        <w:rPr>
          <w:rFonts w:eastAsiaTheme="minorHAnsi" w:hint="cs"/>
          <w:rtl/>
        </w:rPr>
        <w:t xml:space="preserve">האחר לאיסטנבול שבטורקיה, בין היתר על מנת להיפגש עם הפעיל ולקדם את הקשר. במהלך נסיעה זו, </w:t>
      </w:r>
      <w:r>
        <w:rPr>
          <w:rFonts w:eastAsiaTheme="minorHAnsi" w:hint="cs"/>
          <w:rtl/>
        </w:rPr>
        <w:t xml:space="preserve">בקש אותו פעיל חיזבאללה מהנאשם להבריח נשק לישראל ולהעבירו לפעילי חיזבאללה בישראל. הנאשם הסכים להבריח סמים ונשק אך זאת על מנת לסחור בהם. </w:t>
      </w:r>
      <w:r w:rsidRPr="00EA4029">
        <w:rPr>
          <w:rFonts w:eastAsiaTheme="minorHAnsi" w:hint="cs"/>
          <w:rtl/>
        </w:rPr>
        <w:t xml:space="preserve">אין ספק כי בשלב זה ידע הנאשם בוודאות כי תכניתם של הפעילים אינה מתמצה בהברחת סמים וכלי נשק לצורך עסקאות ועשיית רווחים קלים, אלא נועדה לקדם אינטרסים של ארגון חיזבאללה, לרבות פעולות טרור אותן ביקש להוציא אל הפועל בשטחי מדינת ישראל. על אף זאת, </w:t>
      </w:r>
      <w:r>
        <w:rPr>
          <w:rFonts w:eastAsiaTheme="minorHAnsi" w:hint="cs"/>
          <w:rtl/>
        </w:rPr>
        <w:t xml:space="preserve">הוא </w:t>
      </w:r>
      <w:r w:rsidRPr="00EA4029">
        <w:rPr>
          <w:rFonts w:eastAsiaTheme="minorHAnsi" w:hint="cs"/>
          <w:rtl/>
        </w:rPr>
        <w:t xml:space="preserve">המשיך לפגוש את הפעילים יחד עם </w:t>
      </w:r>
      <w:r>
        <w:rPr>
          <w:rFonts w:eastAsiaTheme="minorHAnsi" w:hint="cs"/>
          <w:rtl/>
        </w:rPr>
        <w:t xml:space="preserve">המעורב </w:t>
      </w:r>
      <w:r w:rsidRPr="00EA4029">
        <w:rPr>
          <w:rFonts w:eastAsiaTheme="minorHAnsi" w:hint="cs"/>
          <w:rtl/>
        </w:rPr>
        <w:t>האחר ולבחון עמם דרכים שונות להברחת נשק וסמים לישראל.</w:t>
      </w: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r w:rsidRPr="00EA4029">
        <w:rPr>
          <w:rFonts w:eastAsiaTheme="minorHAnsi"/>
          <w:rtl/>
        </w:rPr>
        <w:tab/>
      </w:r>
      <w:r w:rsidRPr="00EA4029">
        <w:rPr>
          <w:rFonts w:eastAsiaTheme="minorHAnsi" w:hint="cs"/>
          <w:rtl/>
        </w:rPr>
        <w:t>גם לאחר ששב</w:t>
      </w:r>
      <w:r>
        <w:rPr>
          <w:rFonts w:eastAsiaTheme="minorHAnsi" w:hint="cs"/>
          <w:rtl/>
        </w:rPr>
        <w:t xml:space="preserve"> לישראל מתורכיה, נסע הנאשם יחד עם המעורב האחר לאזור הגבול סמוך ליישוב זרעית </w:t>
      </w:r>
      <w:r w:rsidRPr="00EA4029">
        <w:rPr>
          <w:rFonts w:eastAsiaTheme="minorHAnsi" w:hint="cs"/>
          <w:rtl/>
        </w:rPr>
        <w:t>על מנת לבחון אם ניתן לבצע שם את ההברחות. הנאשם ציל</w:t>
      </w:r>
      <w:r>
        <w:rPr>
          <w:rFonts w:eastAsiaTheme="minorHAnsi" w:hint="cs"/>
          <w:rtl/>
        </w:rPr>
        <w:t>ם</w:t>
      </w:r>
      <w:r w:rsidRPr="00EA4029">
        <w:rPr>
          <w:rFonts w:eastAsiaTheme="minorHAnsi" w:hint="cs"/>
          <w:rtl/>
        </w:rPr>
        <w:t xml:space="preserve"> את המקום והעביר</w:t>
      </w:r>
      <w:r>
        <w:rPr>
          <w:rFonts w:eastAsiaTheme="minorHAnsi" w:hint="cs"/>
          <w:rtl/>
        </w:rPr>
        <w:t xml:space="preserve"> את הצילומים </w:t>
      </w:r>
      <w:r w:rsidRPr="00EA4029">
        <w:rPr>
          <w:rFonts w:eastAsiaTheme="minorHAnsi" w:hint="cs"/>
          <w:rtl/>
        </w:rPr>
        <w:t>ואת התרשמות</w:t>
      </w:r>
      <w:r>
        <w:rPr>
          <w:rFonts w:eastAsiaTheme="minorHAnsi" w:hint="cs"/>
          <w:rtl/>
        </w:rPr>
        <w:t>ו</w:t>
      </w:r>
      <w:r w:rsidRPr="00EA4029">
        <w:rPr>
          <w:rFonts w:eastAsiaTheme="minorHAnsi" w:hint="cs"/>
          <w:rtl/>
        </w:rPr>
        <w:t xml:space="preserve"> מהמקום</w:t>
      </w:r>
      <w:r>
        <w:rPr>
          <w:rFonts w:eastAsiaTheme="minorHAnsi" w:hint="cs"/>
          <w:rtl/>
        </w:rPr>
        <w:t xml:space="preserve"> </w:t>
      </w:r>
      <w:r w:rsidRPr="00EA4029">
        <w:rPr>
          <w:rFonts w:eastAsiaTheme="minorHAnsi" w:hint="cs"/>
          <w:rtl/>
        </w:rPr>
        <w:t xml:space="preserve">לפעיל </w:t>
      </w:r>
      <w:r>
        <w:rPr>
          <w:rFonts w:eastAsiaTheme="minorHAnsi" w:hint="cs"/>
          <w:rtl/>
        </w:rPr>
        <w:t>חיזבאללה</w:t>
      </w:r>
      <w:r w:rsidRPr="00EA4029">
        <w:rPr>
          <w:rFonts w:eastAsiaTheme="minorHAnsi" w:hint="cs"/>
          <w:rtl/>
        </w:rPr>
        <w:t>.</w:t>
      </w: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r w:rsidRPr="00EA4029">
        <w:rPr>
          <w:rFonts w:eastAsiaTheme="minorHAnsi" w:hint="cs"/>
          <w:rtl/>
        </w:rPr>
        <w:t>3.</w:t>
      </w:r>
      <w:r w:rsidRPr="00EA4029">
        <w:rPr>
          <w:rFonts w:eastAsiaTheme="minorHAnsi" w:hint="cs"/>
          <w:rtl/>
        </w:rPr>
        <w:tab/>
        <w:t xml:space="preserve">עובדות האישום השני אף הן חמורות, שכן עולה מהן כי הנאשם רכש בחודש נובמבר 2021 תת-מקלע מדגם </w:t>
      </w:r>
      <w:r w:rsidRPr="00EA4029">
        <w:rPr>
          <w:rFonts w:eastAsiaTheme="minorHAnsi"/>
        </w:rPr>
        <w:t>MP5</w:t>
      </w:r>
      <w:r w:rsidRPr="00EA4029">
        <w:rPr>
          <w:rFonts w:eastAsiaTheme="minorHAnsi" w:hint="cs"/>
          <w:rtl/>
        </w:rPr>
        <w:t xml:space="preserve"> תמורת סך של 47,000 ש"ח, והחזיק בנשק יחד עם מחסנית וחמישה כדורים תואמים, בלא רשות על פי דין, עד ליום 28.2.2022.</w:t>
      </w: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r w:rsidRPr="00EA4029">
        <w:rPr>
          <w:rFonts w:eastAsiaTheme="minorHAnsi" w:hint="cs"/>
          <w:rtl/>
        </w:rPr>
        <w:t>4.</w:t>
      </w:r>
      <w:r w:rsidRPr="00EA4029">
        <w:rPr>
          <w:rFonts w:eastAsiaTheme="minorHAnsi" w:hint="cs"/>
          <w:rtl/>
        </w:rPr>
        <w:tab/>
        <w:t xml:space="preserve">בגזר הדין עמד בית המשפט על כך שמעשיו של הנאשם פגעו בערכים מוגנים חשובים ובראשם ביטחון המדינה, שלומם של אזרחיה וזכותם לחיות בשלום ובבטחה. בית המשפט עמד גם על חומרת העבירות, מסוכנותן והיותן מחייבות ענישה משמעותית. </w:t>
      </w:r>
      <w:r>
        <w:rPr>
          <w:rFonts w:eastAsiaTheme="minorHAnsi" w:hint="cs"/>
          <w:rtl/>
        </w:rPr>
        <w:t xml:space="preserve">מדובר בעבירות שהיו כרוכות בתכנון שנמשך לאורך חודשים, במהלכם ניהל הנאשם שיחות רבות עם פעיל חיזבאללה לגבי הברחת הנשק והסמים. </w:t>
      </w: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r w:rsidRPr="00EA4029">
        <w:rPr>
          <w:rFonts w:eastAsiaTheme="minorHAnsi"/>
          <w:rtl/>
        </w:rPr>
        <w:tab/>
      </w:r>
      <w:r w:rsidRPr="00EA4029">
        <w:rPr>
          <w:rFonts w:eastAsiaTheme="minorHAnsi" w:hint="cs"/>
          <w:rtl/>
        </w:rPr>
        <w:t>בית המשפט זקף לזכותו של הנאשם את העובדה שחדל מיוזמתו מכל מגע עם הפעיל וניתק עמו כל קשר. כמו כן נתן בית המשפט דעתו לעובדה שהנאשם סרב להצע</w:t>
      </w:r>
      <w:r>
        <w:rPr>
          <w:rFonts w:eastAsiaTheme="minorHAnsi" w:hint="cs"/>
          <w:rtl/>
        </w:rPr>
        <w:t>ה</w:t>
      </w:r>
      <w:r w:rsidRPr="00EA4029">
        <w:rPr>
          <w:rFonts w:eastAsiaTheme="minorHAnsi" w:hint="cs"/>
          <w:rtl/>
        </w:rPr>
        <w:t xml:space="preserve"> להעביר את הנשק לידי פעילי חיזבאללה בישראל. </w:t>
      </w:r>
      <w:r>
        <w:rPr>
          <w:rFonts w:eastAsiaTheme="minorHAnsi" w:hint="cs"/>
          <w:rtl/>
        </w:rPr>
        <w:t>הוא</w:t>
      </w:r>
      <w:r w:rsidRPr="00EA4029">
        <w:rPr>
          <w:rFonts w:eastAsiaTheme="minorHAnsi" w:hint="cs"/>
          <w:rtl/>
        </w:rPr>
        <w:t xml:space="preserve">  הסכים אמנם לבצע את הברחות הנשק והסמים, אולם זאת על מנת </w:t>
      </w:r>
      <w:r w:rsidRPr="00EA4029">
        <w:rPr>
          <w:rFonts w:eastAsiaTheme="minorHAnsi" w:hint="cs"/>
          <w:rtl/>
        </w:rPr>
        <w:lastRenderedPageBreak/>
        <w:t xml:space="preserve">לסחור בהם ולא על מנת להעבירם כאמור לידי אחרים בישראל. בעובדה זו, המקהה מעט מחומרת מעשיו של הנאשם במישור </w:t>
      </w:r>
      <w:proofErr w:type="spellStart"/>
      <w:r w:rsidRPr="00EA4029">
        <w:rPr>
          <w:rFonts w:eastAsiaTheme="minorHAnsi" w:hint="cs"/>
          <w:rtl/>
        </w:rPr>
        <w:t>הבטחוני</w:t>
      </w:r>
      <w:proofErr w:type="spellEnd"/>
      <w:r w:rsidRPr="00EA4029">
        <w:rPr>
          <w:rFonts w:eastAsiaTheme="minorHAnsi" w:hint="cs"/>
          <w:rtl/>
        </w:rPr>
        <w:t xml:space="preserve">, </w:t>
      </w:r>
      <w:r>
        <w:rPr>
          <w:rFonts w:eastAsiaTheme="minorHAnsi" w:hint="cs"/>
          <w:rtl/>
        </w:rPr>
        <w:t xml:space="preserve">אינה מקהה </w:t>
      </w:r>
      <w:r w:rsidRPr="00EA4029">
        <w:rPr>
          <w:rFonts w:eastAsiaTheme="minorHAnsi" w:hint="cs"/>
          <w:rtl/>
        </w:rPr>
        <w:t>מחומרת מעשיו הפליליים שנמשכו על פני חודשים רבים.</w:t>
      </w: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r w:rsidRPr="00EA4029">
        <w:rPr>
          <w:rFonts w:eastAsiaTheme="minorHAnsi"/>
          <w:rtl/>
        </w:rPr>
        <w:tab/>
      </w:r>
      <w:r w:rsidRPr="00EA4029">
        <w:rPr>
          <w:rFonts w:eastAsiaTheme="minorHAnsi" w:hint="cs"/>
          <w:rtl/>
        </w:rPr>
        <w:t>ביחס לאישום השני זקף בית המשפט לזכותו של הנאשם את העובדה שהנשק מושא אישום זה נתפס על ידי המשטרה לאחר שהנאשם מסר פרטים על אודות מיקומו.</w:t>
      </w: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p>
    <w:p w:rsidR="00EA4029" w:rsidRPr="00EA4029" w:rsidRDefault="00EA4029" w:rsidP="00EA4029">
      <w:pPr>
        <w:tabs>
          <w:tab w:val="left" w:pos="567"/>
          <w:tab w:val="left" w:pos="1134"/>
          <w:tab w:val="left" w:pos="1701"/>
        </w:tabs>
        <w:spacing w:line="360" w:lineRule="auto"/>
        <w:ind w:left="567" w:hanging="567"/>
        <w:jc w:val="both"/>
        <w:rPr>
          <w:rFonts w:eastAsiaTheme="minorHAnsi"/>
          <w:rtl/>
        </w:rPr>
      </w:pPr>
      <w:r>
        <w:rPr>
          <w:rFonts w:eastAsiaTheme="minorHAnsi" w:hint="cs"/>
          <w:rtl/>
        </w:rPr>
        <w:t>5</w:t>
      </w:r>
      <w:r w:rsidRPr="00EA4029">
        <w:rPr>
          <w:rFonts w:eastAsiaTheme="minorHAnsi" w:hint="cs"/>
          <w:rtl/>
        </w:rPr>
        <w:t>.</w:t>
      </w:r>
      <w:r w:rsidRPr="00EA4029">
        <w:rPr>
          <w:rFonts w:eastAsiaTheme="minorHAnsi" w:hint="cs"/>
          <w:rtl/>
        </w:rPr>
        <w:tab/>
        <w:t xml:space="preserve">בסופו של דבר, לאחר שהביא בחשבון את הודאתו של הנאשם המגלמת נטילת אחריות מצדו על מעשיו וכן את עברו שאינו מכביד, גזר עליו בית המשפט 42 חודשי מאסר לריצוי בפועל, 10 חודשי מאסר על תנאי וקנס בסך 15,000 ₪. </w:t>
      </w:r>
    </w:p>
    <w:p w:rsidR="00EA4029" w:rsidRPr="00EA4029" w:rsidRDefault="00EA4029" w:rsidP="00EA4029">
      <w:pPr>
        <w:tabs>
          <w:tab w:val="left" w:pos="567"/>
          <w:tab w:val="left" w:pos="1134"/>
          <w:tab w:val="left" w:pos="1701"/>
        </w:tabs>
        <w:spacing w:line="360" w:lineRule="auto"/>
        <w:jc w:val="both"/>
        <w:rPr>
          <w:rFonts w:eastAsiaTheme="minorHAnsi"/>
        </w:rPr>
      </w:pPr>
    </w:p>
    <w:p w:rsidR="00EA4029" w:rsidRPr="00EA4029" w:rsidRDefault="00EA4029" w:rsidP="00EA4029">
      <w:pPr>
        <w:rPr>
          <w:b/>
          <w:bCs/>
          <w:u w:val="single"/>
          <w:rtl/>
        </w:rPr>
      </w:pPr>
    </w:p>
    <w:sectPr w:rsidR="00EA4029" w:rsidRPr="00EA4029" w:rsidSect="00515E5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altName w:val="Malgun Gothic Semilight"/>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FA7"/>
    <w:rsid w:val="00326B57"/>
    <w:rsid w:val="004D68EE"/>
    <w:rsid w:val="00515E5E"/>
    <w:rsid w:val="00B22299"/>
    <w:rsid w:val="00EA4029"/>
    <w:rsid w:val="00F76FA7"/>
    <w:rsid w:val="00FD48C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48477D-511C-414B-85FE-17B4551B0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6FA7"/>
    <w:pPr>
      <w:bidi/>
      <w:spacing w:after="0" w:line="240" w:lineRule="auto"/>
    </w:pPr>
    <w:rPr>
      <w:rFonts w:ascii="David" w:eastAsia="David" w:hAnsi="David"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76FA7"/>
    <w:pPr>
      <w:tabs>
        <w:tab w:val="center" w:pos="4153"/>
        <w:tab w:val="right" w:pos="8306"/>
      </w:tabs>
    </w:pPr>
  </w:style>
  <w:style w:type="character" w:customStyle="1" w:styleId="a4">
    <w:name w:val="כותרת עליונה תו"/>
    <w:basedOn w:val="a0"/>
    <w:link w:val="a3"/>
    <w:rsid w:val="00F76FA7"/>
    <w:rPr>
      <w:rFonts w:ascii="David" w:eastAsia="David" w:hAnsi="David" w:cs="David"/>
      <w:sz w:val="24"/>
      <w:szCs w:val="24"/>
    </w:rPr>
  </w:style>
  <w:style w:type="table" w:styleId="a5">
    <w:name w:val="Table Grid"/>
    <w:basedOn w:val="a1"/>
    <w:rsid w:val="00F76FA7"/>
    <w:pPr>
      <w:spacing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9461908">
      <w:bodyDiv w:val="1"/>
      <w:marLeft w:val="0"/>
      <w:marRight w:val="0"/>
      <w:marTop w:val="0"/>
      <w:marBottom w:val="0"/>
      <w:divBdr>
        <w:top w:val="none" w:sz="0" w:space="0" w:color="auto"/>
        <w:left w:val="none" w:sz="0" w:space="0" w:color="auto"/>
        <w:bottom w:val="none" w:sz="0" w:space="0" w:color="auto"/>
        <w:right w:val="none" w:sz="0" w:space="0" w:color="auto"/>
      </w:divBdr>
    </w:div>
    <w:div w:id="150863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555</Words>
  <Characters>2775</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אמיר טובי</dc:creator>
  <cp:keywords/>
  <dc:description/>
  <cp:lastModifiedBy>אסתר טטרואשוילי</cp:lastModifiedBy>
  <cp:revision>2</cp:revision>
  <dcterms:created xsi:type="dcterms:W3CDTF">2023-01-18T10:00:00Z</dcterms:created>
  <dcterms:modified xsi:type="dcterms:W3CDTF">2023-01-18T10:00:00Z</dcterms:modified>
</cp:coreProperties>
</file>