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3150A7" w14:textId="6604AFC6" w:rsidR="00B22333" w:rsidRPr="00B22333" w:rsidRDefault="001D2572" w:rsidP="00B22333">
      <w:pPr>
        <w:rPr>
          <w:rtl/>
        </w:rPr>
      </w:pPr>
      <w:bookmarkStart w:id="0" w:name="_GoBack"/>
      <w:bookmarkEnd w:id="0"/>
      <w:r w:rsidRPr="00C501F0">
        <w:rPr>
          <w:rFonts w:ascii="David,Bold" w:hint="cs"/>
          <w:b/>
          <w:bCs/>
        </w:rPr>
        <w:drawing>
          <wp:inline distT="0" distB="0" distL="0" distR="0" wp14:anchorId="5CD82B93" wp14:editId="01A7E284">
            <wp:extent cx="264160" cy="264160"/>
            <wp:effectExtent l="0" t="0" r="2540" b="2540"/>
            <wp:docPr id="525065019" name="תמונה 1" descr="&#10;        This document is now being made accessible by AccessibleDocs.ai by Group107, according to PDF/UA-1 standards.&#10;        ">
              <a:hlinkClick xmlns:a="http://schemas.openxmlformats.org/drawingml/2006/main" r:id="rId8" tooltip="This document has been made accessible by AccessibleDocs.ai by Group107, according to PDF/UA-1 standard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a:hlinkClick r:id="rId9" tooltip="This document has been made accessible by AccessibleDocs.ai by Group107, according to PDF/UA-1 standards."/>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inline>
        </w:drawing>
      </w:r>
    </w:p>
    <w:p w14:paraId="742D2CC4" w14:textId="15F16160" w:rsidR="00C9340D" w:rsidRDefault="00C9340D" w:rsidP="00C9340D">
      <w:pPr>
        <w:pStyle w:val="a3"/>
        <w:jc w:val="center"/>
        <w:rPr>
          <w:rFonts w:cs="FrankRuehl"/>
          <w:noProof w:val="0"/>
          <w:sz w:val="28"/>
          <w:szCs w:val="28"/>
          <w:rtl/>
        </w:rPr>
      </w:pPr>
      <w:r>
        <w:rPr>
          <w:rFonts w:cs="FrankRuehl"/>
          <w:sz w:val="28"/>
          <w:szCs w:val="28"/>
        </w:rPr>
        <w:drawing>
          <wp:inline distT="0" distB="0" distL="0" distR="0" wp14:anchorId="393F4E36" wp14:editId="47DD54A6">
            <wp:extent cx="374015" cy="469265"/>
            <wp:effectExtent l="0" t="0" r="6985" b="6985"/>
            <wp:docPr id="2" name="Picture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סמל מדינת ישראל"/>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74015" cy="469265"/>
                    </a:xfrm>
                    <a:prstGeom prst="rect">
                      <a:avLst/>
                    </a:prstGeom>
                    <a:noFill/>
                    <a:ln>
                      <a:noFill/>
                    </a:ln>
                  </pic:spPr>
                </pic:pic>
              </a:graphicData>
            </a:graphic>
          </wp:inline>
        </w:drawing>
      </w:r>
    </w:p>
    <w:p w14:paraId="041B62AD" w14:textId="77777777" w:rsidR="00C9340D" w:rsidRPr="004F36A3" w:rsidRDefault="00C9340D" w:rsidP="00C9340D">
      <w:pPr>
        <w:pStyle w:val="a3"/>
        <w:jc w:val="center"/>
        <w:rPr>
          <w:rFonts w:ascii="Tahoma" w:hAnsi="Tahoma"/>
          <w:noProof w:val="0"/>
          <w:color w:val="000080"/>
          <w:sz w:val="32"/>
          <w:szCs w:val="32"/>
          <w:rtl/>
        </w:rPr>
      </w:pPr>
      <w:r w:rsidRPr="004F36A3">
        <w:rPr>
          <w:rFonts w:ascii="Tahoma" w:hAnsi="Tahoma"/>
          <w:b/>
          <w:bCs/>
          <w:color w:val="000080"/>
          <w:sz w:val="32"/>
          <w:szCs w:val="32"/>
          <w:rtl/>
        </w:rPr>
        <w:t>בית המשפט המחוזי בתל אביב -יפו</w:t>
      </w:r>
    </w:p>
    <w:p w14:paraId="7646B0F5" w14:textId="431962BC" w:rsidR="00C9340D" w:rsidRPr="00C9340D" w:rsidRDefault="0041064E" w:rsidP="00C9340D">
      <w:pPr>
        <w:rPr>
          <w:b/>
          <w:bCs/>
          <w:noProof w:val="0"/>
          <w:sz w:val="26"/>
          <w:szCs w:val="26"/>
          <w:rtl/>
        </w:rPr>
      </w:pPr>
      <w:sdt>
        <w:sdtPr>
          <w:rPr>
            <w:sz w:val="26"/>
            <w:szCs w:val="26"/>
            <w:rtl/>
          </w:rPr>
          <w:alias w:val="1170"/>
          <w:tag w:val="1170"/>
          <w:id w:val="884347031"/>
          <w:text w:multiLine="1"/>
        </w:sdtPr>
        <w:sdtEndPr/>
        <w:sdtContent>
          <w:r w:rsidR="00C9340D">
            <w:rPr>
              <w:b/>
              <w:bCs/>
              <w:noProof w:val="0"/>
              <w:sz w:val="26"/>
              <w:szCs w:val="26"/>
              <w:rtl/>
            </w:rPr>
            <w:t>ת"א</w:t>
          </w:r>
        </w:sdtContent>
      </w:sdt>
      <w:r w:rsidR="00C9340D" w:rsidRPr="004F36A3">
        <w:rPr>
          <w:b/>
          <w:bCs/>
          <w:noProof w:val="0"/>
          <w:sz w:val="26"/>
          <w:szCs w:val="26"/>
          <w:rtl/>
        </w:rPr>
        <w:t xml:space="preserve"> </w:t>
      </w:r>
      <w:sdt>
        <w:sdtPr>
          <w:rPr>
            <w:sz w:val="26"/>
            <w:szCs w:val="26"/>
            <w:rtl/>
          </w:rPr>
          <w:alias w:val="1171"/>
          <w:tag w:val="1171"/>
          <w:id w:val="1124123105"/>
          <w:text w:multiLine="1"/>
        </w:sdtPr>
        <w:sdtEndPr/>
        <w:sdtContent>
          <w:r w:rsidR="00C9340D">
            <w:rPr>
              <w:b/>
              <w:bCs/>
              <w:noProof w:val="0"/>
              <w:sz w:val="26"/>
              <w:szCs w:val="26"/>
              <w:rtl/>
            </w:rPr>
            <w:t>38909-02-25</w:t>
          </w:r>
        </w:sdtContent>
      </w:sdt>
    </w:p>
    <w:p w14:paraId="4E9F7168" w14:textId="7DEFDEE3" w:rsidR="00B465C8" w:rsidRPr="004F36A3" w:rsidRDefault="00B465C8" w:rsidP="003C3ED4">
      <w:pPr>
        <w:tabs>
          <w:tab w:val="left" w:pos="5239"/>
        </w:tabs>
        <w:spacing w:before="600"/>
        <w:ind w:left="108"/>
        <w:rPr>
          <w:rFonts w:ascii="Arial" w:hAnsi="Arial"/>
          <w:b/>
          <w:bCs/>
          <w:noProof w:val="0"/>
          <w:sz w:val="26"/>
          <w:szCs w:val="26"/>
          <w:rtl/>
        </w:rPr>
      </w:pPr>
      <w:r>
        <w:rPr>
          <w:rFonts w:cs="Times New Roman"/>
          <w:color w:val="FFFFFF"/>
          <w:rtl/>
        </w:rPr>
        <w:t>תיאור</w:t>
      </w:r>
      <w:r w:rsidRPr="004F36A3">
        <w:rPr>
          <w:rFonts w:ascii="Arial" w:hAnsi="Arial"/>
          <w:b/>
          <w:bCs/>
          <w:noProof w:val="0"/>
          <w:sz w:val="26"/>
          <w:szCs w:val="26"/>
          <w:rtl/>
        </w:rPr>
        <w:tab/>
        <w:t>מספר בקשה:</w:t>
      </w:r>
      <w:sdt>
        <w:sdtPr>
          <w:rPr>
            <w:sz w:val="26"/>
            <w:szCs w:val="26"/>
            <w:rtl/>
          </w:rPr>
          <w:alias w:val="1193"/>
          <w:tag w:val="1193"/>
          <w:id w:val="-636028727"/>
          <w:text w:multiLine="1"/>
        </w:sdtPr>
        <w:sdtEndPr/>
        <w:sdtContent>
          <w:r>
            <w:rPr>
              <w:rFonts w:ascii="Arial" w:hAnsi="Arial"/>
              <w:b/>
              <w:bCs/>
              <w:noProof w:val="0"/>
              <w:sz w:val="26"/>
              <w:szCs w:val="26"/>
              <w:rtl/>
            </w:rPr>
            <w:t>14</w:t>
          </w:r>
        </w:sdtContent>
      </w:sdt>
    </w:p>
    <w:p w14:paraId="6DD4AE54" w14:textId="73BC10FC" w:rsidR="00B465C8" w:rsidRPr="00BF7180" w:rsidRDefault="00B465C8" w:rsidP="00BF7180">
      <w:pPr>
        <w:rPr>
          <w:rFonts w:ascii="Arial" w:hAnsi="Arial"/>
          <w:b/>
          <w:bCs/>
          <w:sz w:val="26"/>
          <w:szCs w:val="26"/>
        </w:rPr>
      </w:pPr>
      <w:r>
        <w:rPr>
          <w:rFonts w:ascii="Arial" w:hAnsi="Arial" w:hint="cs"/>
          <w:b/>
          <w:bCs/>
          <w:sz w:val="26"/>
          <w:szCs w:val="26"/>
          <w:rtl/>
        </w:rPr>
        <w:t>ל</w:t>
      </w:r>
      <w:r w:rsidRPr="004F36A3">
        <w:rPr>
          <w:rFonts w:ascii="Arial" w:hAnsi="Arial"/>
          <w:b/>
          <w:bCs/>
          <w:sz w:val="26"/>
          <w:szCs w:val="26"/>
          <w:rtl/>
        </w:rPr>
        <w:t xml:space="preserve">פני </w:t>
      </w:r>
      <w:r w:rsidRPr="004F36A3">
        <w:rPr>
          <w:rFonts w:ascii="Arial" w:hAnsi="Arial"/>
          <w:b/>
          <w:bCs/>
          <w:sz w:val="26"/>
          <w:szCs w:val="26"/>
          <w:rtl/>
        </w:rPr>
        <w:tab/>
      </w:r>
      <w:r w:rsidRPr="004F36A3">
        <w:rPr>
          <w:rFonts w:ascii="Arial" w:hAnsi="Arial" w:hint="cs"/>
          <w:b/>
          <w:bCs/>
          <w:sz w:val="26"/>
          <w:szCs w:val="26"/>
          <w:rtl/>
        </w:rPr>
        <w:t>כבוד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Pr="004F36A3">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אירית קלמן ברום</w:t>
          </w:r>
        </w:sdtContent>
      </w:sdt>
    </w:p>
    <w:p w14:paraId="1330B618" w14:textId="42AEA00A" w:rsidR="00B465C8" w:rsidRPr="004F36A3" w:rsidRDefault="0041064E" w:rsidP="00BF7180">
      <w:pPr>
        <w:spacing w:before="240"/>
        <w:rPr>
          <w:rFonts w:ascii="Arial" w:hAnsi="Arial"/>
          <w:b/>
          <w:bCs/>
          <w:noProof w:val="0"/>
          <w:sz w:val="26"/>
          <w:szCs w:val="26"/>
          <w:rtl/>
        </w:rPr>
      </w:pPr>
      <w:sdt>
        <w:sdtPr>
          <w:rPr>
            <w:sz w:val="26"/>
            <w:szCs w:val="26"/>
            <w:rtl/>
          </w:rPr>
          <w:alias w:val="1180"/>
          <w:tag w:val="1180"/>
          <w:id w:val="637458750"/>
          <w:text w:multiLine="1"/>
        </w:sdtPr>
        <w:sdtEndPr/>
        <w:sdtContent>
          <w:r w:rsidR="00B465C8">
            <w:rPr>
              <w:rFonts w:ascii="Arial" w:hAnsi="Arial" w:hint="cs"/>
              <w:b/>
              <w:bCs/>
              <w:noProof w:val="0"/>
              <w:sz w:val="26"/>
              <w:szCs w:val="26"/>
              <w:rtl/>
            </w:rPr>
            <w:t>התובעת</w:t>
          </w:r>
        </w:sdtContent>
      </w:sdt>
      <w:r w:rsidR="00B465C8">
        <w:rPr>
          <w:rFonts w:ascii="Arial" w:hAnsi="Arial"/>
          <w:b/>
          <w:bCs/>
          <w:noProof w:val="0"/>
          <w:sz w:val="26"/>
          <w:szCs w:val="26"/>
          <w:rtl/>
        </w:rPr>
        <w:tab/>
      </w:r>
      <w:r w:rsidR="00ED3150">
        <w:rPr>
          <w:rFonts w:ascii="Arial" w:hAnsi="Arial"/>
          <w:b/>
          <w:bCs/>
          <w:noProof w:val="0"/>
          <w:sz w:val="26"/>
          <w:szCs w:val="26"/>
          <w:rtl/>
        </w:rPr>
        <w:tab/>
      </w:r>
      <w:r w:rsidR="00ED3150">
        <w:rPr>
          <w:rFonts w:ascii="Arial" w:hAnsi="Arial"/>
          <w:b/>
          <w:bCs/>
          <w:noProof w:val="0"/>
          <w:sz w:val="26"/>
          <w:szCs w:val="26"/>
          <w:rtl/>
        </w:rPr>
        <w:tab/>
      </w:r>
      <w:r w:rsidR="00B465C8" w:rsidRPr="004F36A3">
        <w:rPr>
          <w:rFonts w:ascii="Arial" w:hAnsi="Arial" w:hint="cs"/>
          <w:b/>
          <w:bCs/>
          <w:noProof w:val="0"/>
          <w:sz w:val="26"/>
          <w:szCs w:val="26"/>
          <w:rtl/>
        </w:rPr>
        <w:t>פלוני</w:t>
      </w:r>
      <w:r w:rsidR="00B465C8">
        <w:rPr>
          <w:rFonts w:ascii="Arial" w:hAnsi="Arial" w:hint="cs"/>
          <w:b/>
          <w:bCs/>
          <w:noProof w:val="0"/>
          <w:sz w:val="26"/>
          <w:szCs w:val="26"/>
          <w:rtl/>
        </w:rPr>
        <w:t>ת</w:t>
      </w:r>
    </w:p>
    <w:p w14:paraId="2C83163C" w14:textId="72A52A1E" w:rsidR="00B465C8" w:rsidRPr="00ED3150" w:rsidRDefault="00ED3150" w:rsidP="00ED3150">
      <w:pPr>
        <w:tabs>
          <w:tab w:val="left" w:pos="2827"/>
        </w:tabs>
        <w:ind w:left="108"/>
        <w:rPr>
          <w:noProof w:val="0"/>
          <w:sz w:val="26"/>
          <w:szCs w:val="26"/>
          <w:rtl/>
        </w:rPr>
      </w:pPr>
      <w:r>
        <w:rPr>
          <w:sz w:val="26"/>
          <w:szCs w:val="26"/>
          <w:rtl/>
        </w:rPr>
        <w:tab/>
      </w:r>
      <w:r>
        <w:rPr>
          <w:sz w:val="26"/>
          <w:szCs w:val="26"/>
          <w:rtl/>
        </w:rPr>
        <w:tab/>
      </w:r>
      <w:r w:rsidR="00B465C8">
        <w:rPr>
          <w:rFonts w:hint="cs"/>
          <w:sz w:val="26"/>
          <w:szCs w:val="26"/>
          <w:rtl/>
        </w:rPr>
        <w:t>ע"י ב"כ עו"ד</w:t>
      </w:r>
      <w:r w:rsidR="00B465C8">
        <w:rPr>
          <w:rFonts w:hint="cs"/>
          <w:b/>
          <w:bCs/>
          <w:noProof w:val="0"/>
          <w:sz w:val="26"/>
          <w:szCs w:val="26"/>
          <w:rtl/>
        </w:rPr>
        <w:t xml:space="preserve"> </w:t>
      </w:r>
      <w:r w:rsidR="00B465C8">
        <w:rPr>
          <w:rFonts w:hint="cs"/>
          <w:noProof w:val="0"/>
          <w:sz w:val="26"/>
          <w:szCs w:val="26"/>
          <w:rtl/>
        </w:rPr>
        <w:t>רוני אלוני סדובניק</w:t>
      </w:r>
    </w:p>
    <w:p w14:paraId="43701A7A" w14:textId="6E95FD26" w:rsidR="00B465C8" w:rsidRPr="004F36A3" w:rsidRDefault="00B465C8" w:rsidP="00BF7B56">
      <w:pPr>
        <w:spacing w:before="360"/>
        <w:jc w:val="center"/>
        <w:rPr>
          <w:rFonts w:ascii="Arial" w:hAnsi="Arial"/>
          <w:b/>
          <w:bCs/>
          <w:noProof w:val="0"/>
          <w:sz w:val="26"/>
          <w:szCs w:val="26"/>
        </w:rPr>
      </w:pPr>
      <w:r w:rsidRPr="004F36A3">
        <w:rPr>
          <w:rFonts w:ascii="Arial" w:hAnsi="Arial"/>
          <w:b/>
          <w:bCs/>
          <w:noProof w:val="0"/>
          <w:sz w:val="26"/>
          <w:szCs w:val="26"/>
          <w:rtl/>
        </w:rPr>
        <w:t>נגד</w:t>
      </w:r>
    </w:p>
    <w:p w14:paraId="3EB481E1" w14:textId="6FB1B4C3" w:rsidR="00B465C8" w:rsidRDefault="0041064E" w:rsidP="00BF7B56">
      <w:pPr>
        <w:spacing w:before="360"/>
        <w:rPr>
          <w:sz w:val="26"/>
          <w:szCs w:val="26"/>
          <w:rtl/>
        </w:rPr>
      </w:pPr>
      <w:sdt>
        <w:sdtPr>
          <w:rPr>
            <w:sz w:val="26"/>
            <w:szCs w:val="26"/>
            <w:rtl/>
          </w:rPr>
          <w:alias w:val="1184"/>
          <w:tag w:val="1184"/>
          <w:id w:val="-340621022"/>
          <w:text w:multiLine="1"/>
        </w:sdtPr>
        <w:sdtEndPr/>
        <w:sdtContent>
          <w:r w:rsidR="00B465C8">
            <w:rPr>
              <w:rFonts w:ascii="Arial" w:hAnsi="Arial" w:hint="cs"/>
              <w:b/>
              <w:bCs/>
              <w:noProof w:val="0"/>
              <w:sz w:val="26"/>
              <w:szCs w:val="26"/>
              <w:rtl/>
            </w:rPr>
            <w:t>הנתבעים</w:t>
          </w:r>
          <w:r w:rsidR="0006645B">
            <w:rPr>
              <w:sz w:val="26"/>
              <w:szCs w:val="26"/>
              <w:rtl/>
            </w:rPr>
            <w:tab/>
          </w:r>
          <w:r w:rsidR="0006645B">
            <w:rPr>
              <w:sz w:val="26"/>
              <w:szCs w:val="26"/>
              <w:rtl/>
            </w:rPr>
            <w:tab/>
          </w:r>
        </w:sdtContent>
      </w:sdt>
      <w:r w:rsidR="00B465C8" w:rsidRPr="004F36A3">
        <w:rPr>
          <w:rFonts w:ascii="Arial" w:hAnsi="Arial"/>
          <w:b/>
          <w:bCs/>
          <w:noProof w:val="0"/>
          <w:sz w:val="26"/>
          <w:szCs w:val="26"/>
        </w:rPr>
        <w:tab/>
      </w:r>
      <w:sdt>
        <w:sdtPr>
          <w:rPr>
            <w:rFonts w:hint="cs"/>
            <w:sz w:val="26"/>
            <w:szCs w:val="26"/>
            <w:rtl/>
          </w:rPr>
          <w:alias w:val="1571"/>
          <w:tag w:val="1571"/>
          <w:id w:val="1028836282"/>
          <w:text w:multiLine="1"/>
        </w:sdtPr>
        <w:sdtEndPr/>
        <w:sdtContent>
          <w:r w:rsidR="00B465C8">
            <w:rPr>
              <w:rFonts w:ascii="Arial" w:hAnsi="Arial" w:hint="cs"/>
              <w:b/>
              <w:bCs/>
              <w:noProof w:val="0"/>
              <w:sz w:val="26"/>
              <w:szCs w:val="26"/>
              <w:rtl/>
            </w:rPr>
            <w:t>1</w:t>
          </w:r>
        </w:sdtContent>
      </w:sdt>
      <w:r w:rsidR="00B465C8" w:rsidRPr="004F36A3">
        <w:rPr>
          <w:rFonts w:ascii="Arial" w:hAnsi="Arial" w:hint="cs"/>
          <w:b/>
          <w:bCs/>
          <w:noProof w:val="0"/>
          <w:sz w:val="26"/>
          <w:szCs w:val="26"/>
          <w:rtl/>
        </w:rPr>
        <w:t xml:space="preserve">. </w:t>
      </w:r>
      <w:sdt>
        <w:sdtPr>
          <w:rPr>
            <w:rFonts w:hint="cs"/>
            <w:sz w:val="26"/>
            <w:szCs w:val="26"/>
            <w:rtl/>
          </w:rPr>
          <w:alias w:val="1486"/>
          <w:tag w:val="1486"/>
          <w:id w:val="-309872140"/>
          <w:text w:multiLine="1"/>
        </w:sdtPr>
        <w:sdtEndPr/>
        <w:sdtContent>
          <w:r w:rsidR="00B465C8">
            <w:rPr>
              <w:rFonts w:ascii="Arial" w:hAnsi="Arial" w:hint="cs"/>
              <w:b/>
              <w:bCs/>
              <w:noProof w:val="0"/>
              <w:sz w:val="26"/>
              <w:szCs w:val="26"/>
              <w:rtl/>
            </w:rPr>
            <w:t>דמיטרי מינישין</w:t>
          </w:r>
        </w:sdtContent>
      </w:sdt>
    </w:p>
    <w:p w14:paraId="2DE75A20" w14:textId="77777777" w:rsidR="00B465C8" w:rsidRPr="004F36A3" w:rsidRDefault="00B465C8" w:rsidP="0006645B">
      <w:pPr>
        <w:ind w:left="2891"/>
        <w:rPr>
          <w:sz w:val="26"/>
          <w:szCs w:val="26"/>
          <w:rtl/>
        </w:rPr>
      </w:pPr>
      <w:r>
        <w:rPr>
          <w:rFonts w:hint="cs"/>
          <w:sz w:val="26"/>
          <w:szCs w:val="26"/>
          <w:rtl/>
        </w:rPr>
        <w:t>ע"י ב"כ עו"ד תומר שלום בן חמו, לירון מלכה</w:t>
      </w:r>
    </w:p>
    <w:p w14:paraId="1F7938BF" w14:textId="77777777" w:rsidR="00B465C8" w:rsidRDefault="0041064E" w:rsidP="0006645B">
      <w:pPr>
        <w:ind w:left="2891"/>
        <w:rPr>
          <w:sz w:val="26"/>
          <w:szCs w:val="26"/>
          <w:rtl/>
        </w:rPr>
      </w:pPr>
      <w:sdt>
        <w:sdtPr>
          <w:rPr>
            <w:rFonts w:hint="cs"/>
            <w:sz w:val="26"/>
            <w:szCs w:val="26"/>
            <w:rtl/>
          </w:rPr>
          <w:alias w:val="1571"/>
          <w:tag w:val="1571"/>
          <w:id w:val="-308247163"/>
          <w:text w:multiLine="1"/>
        </w:sdtPr>
        <w:sdtEndPr/>
        <w:sdtContent>
          <w:r w:rsidR="00B465C8">
            <w:rPr>
              <w:rFonts w:ascii="Arial" w:hAnsi="Arial" w:hint="cs"/>
              <w:b/>
              <w:bCs/>
              <w:noProof w:val="0"/>
              <w:sz w:val="26"/>
              <w:szCs w:val="26"/>
              <w:rtl/>
            </w:rPr>
            <w:t>2</w:t>
          </w:r>
        </w:sdtContent>
      </w:sdt>
      <w:r w:rsidR="00B465C8" w:rsidRPr="004F36A3">
        <w:rPr>
          <w:rFonts w:ascii="Arial" w:hAnsi="Arial" w:hint="cs"/>
          <w:b/>
          <w:bCs/>
          <w:noProof w:val="0"/>
          <w:sz w:val="26"/>
          <w:szCs w:val="26"/>
          <w:rtl/>
        </w:rPr>
        <w:t xml:space="preserve">. </w:t>
      </w:r>
      <w:sdt>
        <w:sdtPr>
          <w:rPr>
            <w:rFonts w:hint="cs"/>
            <w:sz w:val="26"/>
            <w:szCs w:val="26"/>
            <w:rtl/>
          </w:rPr>
          <w:alias w:val="1486"/>
          <w:tag w:val="1486"/>
          <w:id w:val="-1003420768"/>
          <w:text w:multiLine="1"/>
        </w:sdtPr>
        <w:sdtEndPr/>
        <w:sdtContent>
          <w:r w:rsidR="00B465C8">
            <w:rPr>
              <w:rFonts w:ascii="Arial" w:hAnsi="Arial" w:hint="cs"/>
              <w:b/>
              <w:bCs/>
              <w:noProof w:val="0"/>
              <w:sz w:val="26"/>
              <w:szCs w:val="26"/>
              <w:rtl/>
            </w:rPr>
            <w:t>משרד החינוך</w:t>
          </w:r>
        </w:sdtContent>
      </w:sdt>
    </w:p>
    <w:p w14:paraId="0882B6EE" w14:textId="77777777" w:rsidR="00B465C8" w:rsidRPr="004F36A3" w:rsidRDefault="00B465C8" w:rsidP="0006645B">
      <w:pPr>
        <w:ind w:left="2891"/>
        <w:rPr>
          <w:sz w:val="26"/>
          <w:szCs w:val="26"/>
          <w:rtl/>
        </w:rPr>
      </w:pPr>
      <w:r>
        <w:rPr>
          <w:rFonts w:hint="cs"/>
          <w:sz w:val="26"/>
          <w:szCs w:val="26"/>
          <w:rtl/>
        </w:rPr>
        <w:t>ע"י פרקליטות מחוז ת"א - אזרחי, עו"ד ליאת גור</w:t>
      </w:r>
    </w:p>
    <w:p w14:paraId="19B07D23" w14:textId="77777777" w:rsidR="00B465C8" w:rsidRPr="00C37CAF" w:rsidRDefault="0041064E" w:rsidP="0006645B">
      <w:pPr>
        <w:ind w:left="2891"/>
        <w:rPr>
          <w:b/>
          <w:bCs/>
          <w:sz w:val="26"/>
          <w:szCs w:val="26"/>
          <w:rtl/>
        </w:rPr>
      </w:pPr>
      <w:sdt>
        <w:sdtPr>
          <w:rPr>
            <w:rFonts w:hint="cs"/>
            <w:b/>
            <w:bCs/>
            <w:sz w:val="26"/>
            <w:szCs w:val="26"/>
            <w:rtl/>
          </w:rPr>
          <w:alias w:val="1571"/>
          <w:tag w:val="1571"/>
          <w:id w:val="-1458098485"/>
          <w:text w:multiLine="1"/>
        </w:sdtPr>
        <w:sdtEndPr/>
        <w:sdtContent>
          <w:r w:rsidR="00B465C8" w:rsidRPr="00C37CAF">
            <w:rPr>
              <w:rFonts w:ascii="Arial" w:hAnsi="Arial" w:hint="cs"/>
              <w:b/>
              <w:bCs/>
              <w:noProof w:val="0"/>
              <w:sz w:val="26"/>
              <w:szCs w:val="26"/>
              <w:rtl/>
            </w:rPr>
            <w:t>3</w:t>
          </w:r>
        </w:sdtContent>
      </w:sdt>
      <w:r w:rsidR="00B465C8" w:rsidRPr="00C37CAF">
        <w:rPr>
          <w:rFonts w:ascii="Arial" w:hAnsi="Arial" w:hint="cs"/>
          <w:b/>
          <w:bCs/>
          <w:noProof w:val="0"/>
          <w:sz w:val="26"/>
          <w:szCs w:val="26"/>
          <w:rtl/>
        </w:rPr>
        <w:t xml:space="preserve">. </w:t>
      </w:r>
      <w:sdt>
        <w:sdtPr>
          <w:rPr>
            <w:rFonts w:hint="cs"/>
            <w:b/>
            <w:bCs/>
            <w:sz w:val="26"/>
            <w:szCs w:val="26"/>
            <w:rtl/>
          </w:rPr>
          <w:alias w:val="1486"/>
          <w:tag w:val="1486"/>
          <w:id w:val="-544525090"/>
          <w:text w:multiLine="1"/>
        </w:sdtPr>
        <w:sdtEndPr/>
        <w:sdtContent>
          <w:r w:rsidR="00B465C8" w:rsidRPr="00C37CAF">
            <w:rPr>
              <w:b/>
              <w:bCs/>
              <w:sz w:val="26"/>
              <w:szCs w:val="26"/>
              <w:rtl/>
            </w:rPr>
            <w:t>מועצה מקומית כפר ורדים</w:t>
          </w:r>
        </w:sdtContent>
      </w:sdt>
    </w:p>
    <w:p w14:paraId="22BD75CB" w14:textId="77777777" w:rsidR="00B465C8" w:rsidRPr="004F36A3" w:rsidRDefault="00B465C8" w:rsidP="0006645B">
      <w:pPr>
        <w:ind w:left="2891"/>
        <w:rPr>
          <w:sz w:val="26"/>
          <w:szCs w:val="26"/>
          <w:rtl/>
        </w:rPr>
      </w:pPr>
      <w:r>
        <w:rPr>
          <w:rFonts w:hint="cs"/>
          <w:sz w:val="26"/>
          <w:szCs w:val="26"/>
          <w:rtl/>
        </w:rPr>
        <w:t>ע"י ב"כ עו"ד אליהו שטיינר</w:t>
      </w:r>
    </w:p>
    <w:p w14:paraId="595CAA90" w14:textId="77777777" w:rsidR="00B465C8" w:rsidRDefault="0041064E" w:rsidP="003C3ED4">
      <w:pPr>
        <w:ind w:left="2891" w:right="-284"/>
        <w:rPr>
          <w:sz w:val="26"/>
          <w:szCs w:val="26"/>
          <w:rtl/>
        </w:rPr>
      </w:pPr>
      <w:sdt>
        <w:sdtPr>
          <w:rPr>
            <w:rFonts w:hint="cs"/>
            <w:sz w:val="26"/>
            <w:szCs w:val="26"/>
            <w:rtl/>
          </w:rPr>
          <w:alias w:val="1571"/>
          <w:tag w:val="1571"/>
          <w:id w:val="1239740953"/>
          <w:text w:multiLine="1"/>
        </w:sdtPr>
        <w:sdtEndPr/>
        <w:sdtContent>
          <w:r w:rsidR="00B465C8">
            <w:rPr>
              <w:rFonts w:ascii="Arial" w:hAnsi="Arial" w:hint="cs"/>
              <w:b/>
              <w:bCs/>
              <w:noProof w:val="0"/>
              <w:sz w:val="26"/>
              <w:szCs w:val="26"/>
              <w:rtl/>
            </w:rPr>
            <w:t>4</w:t>
          </w:r>
        </w:sdtContent>
      </w:sdt>
      <w:r w:rsidR="00B465C8" w:rsidRPr="004F36A3">
        <w:rPr>
          <w:rFonts w:ascii="Arial" w:hAnsi="Arial" w:hint="cs"/>
          <w:b/>
          <w:bCs/>
          <w:noProof w:val="0"/>
          <w:sz w:val="26"/>
          <w:szCs w:val="26"/>
          <w:rtl/>
        </w:rPr>
        <w:t xml:space="preserve">. </w:t>
      </w:r>
      <w:sdt>
        <w:sdtPr>
          <w:rPr>
            <w:rFonts w:hint="cs"/>
            <w:sz w:val="26"/>
            <w:szCs w:val="26"/>
            <w:rtl/>
          </w:rPr>
          <w:alias w:val="1486"/>
          <w:tag w:val="1486"/>
          <w:id w:val="851457051"/>
          <w:text w:multiLine="1"/>
        </w:sdtPr>
        <w:sdtEndPr/>
        <w:sdtContent>
          <w:r w:rsidR="00B465C8">
            <w:rPr>
              <w:rFonts w:ascii="Arial" w:hAnsi="Arial" w:hint="cs"/>
              <w:b/>
              <w:bCs/>
              <w:noProof w:val="0"/>
              <w:sz w:val="26"/>
              <w:szCs w:val="26"/>
              <w:rtl/>
            </w:rPr>
            <w:t>העמותה למען בית-הספר הניסויי - מעלות והאזור (נמחקה)</w:t>
          </w:r>
        </w:sdtContent>
      </w:sdt>
    </w:p>
    <w:p w14:paraId="53082A88" w14:textId="77777777" w:rsidR="00B465C8" w:rsidRPr="004F36A3" w:rsidRDefault="00B465C8" w:rsidP="0006645B">
      <w:pPr>
        <w:tabs>
          <w:tab w:val="left" w:pos="2827"/>
        </w:tabs>
        <w:ind w:left="2891"/>
        <w:rPr>
          <w:sz w:val="26"/>
          <w:szCs w:val="26"/>
          <w:rtl/>
        </w:rPr>
      </w:pPr>
      <w:r>
        <w:rPr>
          <w:rFonts w:hint="cs"/>
          <w:sz w:val="26"/>
          <w:szCs w:val="26"/>
          <w:rtl/>
        </w:rPr>
        <w:t>ע"י ב"כ עו"ד קרן רז מורג</w:t>
      </w:r>
    </w:p>
    <w:p w14:paraId="6AE8A564" w14:textId="77777777" w:rsidR="0055100D" w:rsidRDefault="0041064E" w:rsidP="00A62946">
      <w:pPr>
        <w:spacing w:before="558"/>
        <w:jc w:val="center"/>
        <w:outlineLvl w:val="0"/>
        <w:rPr>
          <w:rFonts w:ascii="Arial" w:hAnsi="Arial"/>
          <w:b/>
          <w:bCs/>
          <w:noProof w:val="0"/>
          <w:sz w:val="28"/>
          <w:szCs w:val="28"/>
          <w:u w:val="single"/>
        </w:rPr>
        <w:sectPr w:rsidR="0055100D" w:rsidSect="00D31826">
          <w:headerReference w:type="default" r:id="rId12"/>
          <w:footerReference w:type="default" r:id="rId13"/>
          <w:pgSz w:w="11907" w:h="16840" w:code="9"/>
          <w:pgMar w:top="454" w:right="1701" w:bottom="1701" w:left="1701" w:header="720" w:footer="510" w:gutter="0"/>
          <w:cols w:space="720"/>
          <w:rtlGutter/>
          <w:docGrid w:linePitch="360"/>
        </w:sectPr>
      </w:pPr>
      <w:r>
        <w:rPr>
          <w:rFonts w:ascii="Arial" w:hAnsi="Arial" w:hint="cs"/>
          <w:b/>
          <w:bCs/>
          <w:noProof w:val="0"/>
          <w:sz w:val="28"/>
          <w:szCs w:val="28"/>
          <w:u w:val="single"/>
          <w:rtl/>
        </w:rPr>
        <w:t>החלטה</w:t>
      </w:r>
    </w:p>
    <w:p w14:paraId="5915E23B" w14:textId="77777777" w:rsidR="00476EED" w:rsidRPr="00D6024D" w:rsidRDefault="0041064E" w:rsidP="00C42082">
      <w:pPr>
        <w:spacing w:before="419" w:after="160" w:line="480" w:lineRule="auto"/>
        <w:jc w:val="both"/>
        <w:rPr>
          <w:rFonts w:ascii="David" w:hAnsi="David"/>
          <w:rtl/>
        </w:rPr>
      </w:pPr>
      <w:bookmarkStart w:id="1" w:name="NGCSBookmark"/>
      <w:bookmarkEnd w:id="1"/>
      <w:r w:rsidRPr="00D6024D">
        <w:rPr>
          <w:rFonts w:ascii="David" w:hAnsi="David"/>
          <w:rtl/>
        </w:rPr>
        <w:t>לפני בקשת הנתבעת</w:t>
      </w:r>
      <w:r>
        <w:rPr>
          <w:rFonts w:ascii="David" w:hAnsi="David" w:hint="cs"/>
          <w:rtl/>
        </w:rPr>
        <w:t xml:space="preserve"> מס'</w:t>
      </w:r>
      <w:r w:rsidRPr="00D6024D">
        <w:rPr>
          <w:rFonts w:ascii="David" w:hAnsi="David"/>
          <w:rtl/>
        </w:rPr>
        <w:t xml:space="preserve"> 2,  מדינת ישראל </w:t>
      </w:r>
      <w:r>
        <w:rPr>
          <w:rFonts w:ascii="David" w:hAnsi="David" w:hint="cs"/>
          <w:rtl/>
        </w:rPr>
        <w:t xml:space="preserve">- </w:t>
      </w:r>
      <w:r w:rsidRPr="00D6024D">
        <w:rPr>
          <w:rFonts w:ascii="David" w:hAnsi="David"/>
          <w:rtl/>
        </w:rPr>
        <w:t>משרד החינוך</w:t>
      </w:r>
      <w:r>
        <w:rPr>
          <w:rFonts w:ascii="David" w:hAnsi="David" w:hint="cs"/>
          <w:rtl/>
        </w:rPr>
        <w:t>,</w:t>
      </w:r>
      <w:r w:rsidRPr="00D6024D">
        <w:rPr>
          <w:rFonts w:ascii="David" w:hAnsi="David"/>
          <w:rtl/>
        </w:rPr>
        <w:t xml:space="preserve"> לסלק על הסף את התביעה שהוגשה </w:t>
      </w:r>
      <w:r>
        <w:rPr>
          <w:rFonts w:ascii="David" w:hAnsi="David" w:hint="cs"/>
          <w:rtl/>
        </w:rPr>
        <w:t>כ</w:t>
      </w:r>
      <w:r>
        <w:rPr>
          <w:rFonts w:ascii="David" w:hAnsi="David"/>
          <w:rtl/>
        </w:rPr>
        <w:t>נגד</w:t>
      </w:r>
      <w:r>
        <w:rPr>
          <w:rFonts w:ascii="David" w:hAnsi="David" w:hint="cs"/>
          <w:rtl/>
        </w:rPr>
        <w:t>ה</w:t>
      </w:r>
      <w:r w:rsidRPr="00D6024D">
        <w:rPr>
          <w:rFonts w:ascii="David" w:hAnsi="David"/>
          <w:rtl/>
        </w:rPr>
        <w:t>.</w:t>
      </w:r>
    </w:p>
    <w:p w14:paraId="3794D7B6" w14:textId="77777777" w:rsidR="00476EED" w:rsidRPr="00D6024D" w:rsidRDefault="0041064E" w:rsidP="000B7380">
      <w:pPr>
        <w:spacing w:after="160" w:line="480" w:lineRule="auto"/>
        <w:jc w:val="both"/>
        <w:outlineLvl w:val="1"/>
        <w:rPr>
          <w:rFonts w:ascii="David" w:hAnsi="David"/>
          <w:rtl/>
        </w:rPr>
      </w:pPr>
      <w:r w:rsidRPr="00EA51FA">
        <w:rPr>
          <w:rFonts w:ascii="David" w:hAnsi="David"/>
          <w:b/>
          <w:bCs/>
          <w:rtl/>
        </w:rPr>
        <w:t>העובדות  בקצרה</w:t>
      </w:r>
    </w:p>
    <w:p w14:paraId="642438A2" w14:textId="77777777" w:rsidR="00476EED" w:rsidRPr="00D6024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sz w:val="24"/>
          <w:szCs w:val="24"/>
          <w:rtl/>
        </w:rPr>
        <w:t xml:space="preserve">התובעת הגישה כתב תביעה נגד </w:t>
      </w:r>
      <w:r w:rsidRPr="00D6024D">
        <w:rPr>
          <w:rFonts w:ascii="David" w:hAnsi="David" w:cs="David"/>
          <w:sz w:val="24"/>
          <w:szCs w:val="24"/>
          <w:rtl/>
        </w:rPr>
        <w:t>נתבע</w:t>
      </w:r>
      <w:r>
        <w:rPr>
          <w:rFonts w:ascii="David" w:hAnsi="David" w:cs="David" w:hint="cs"/>
          <w:sz w:val="24"/>
          <w:szCs w:val="24"/>
          <w:rtl/>
        </w:rPr>
        <w:t xml:space="preserve"> מס'</w:t>
      </w:r>
      <w:r w:rsidRPr="00D6024D">
        <w:rPr>
          <w:rFonts w:ascii="David" w:hAnsi="David" w:cs="David"/>
          <w:sz w:val="24"/>
          <w:szCs w:val="24"/>
          <w:rtl/>
        </w:rPr>
        <w:t xml:space="preserve"> 1</w:t>
      </w:r>
      <w:r>
        <w:rPr>
          <w:rFonts w:ascii="David" w:hAnsi="David" w:cs="David" w:hint="cs"/>
          <w:sz w:val="24"/>
          <w:szCs w:val="24"/>
          <w:rtl/>
        </w:rPr>
        <w:t>,</w:t>
      </w:r>
      <w:r w:rsidRPr="00D6024D">
        <w:rPr>
          <w:rFonts w:ascii="David" w:hAnsi="David" w:cs="David"/>
          <w:sz w:val="24"/>
          <w:szCs w:val="24"/>
          <w:rtl/>
        </w:rPr>
        <w:t xml:space="preserve"> מורה למוסיקה</w:t>
      </w:r>
      <w:r>
        <w:rPr>
          <w:rFonts w:ascii="David" w:hAnsi="David" w:cs="David" w:hint="cs"/>
          <w:sz w:val="24"/>
          <w:szCs w:val="24"/>
          <w:rtl/>
        </w:rPr>
        <w:t>,</w:t>
      </w:r>
      <w:r w:rsidRPr="00D6024D">
        <w:rPr>
          <w:rFonts w:ascii="David" w:hAnsi="David" w:cs="David"/>
          <w:sz w:val="24"/>
          <w:szCs w:val="24"/>
          <w:rtl/>
        </w:rPr>
        <w:t xml:space="preserve"> בטענה כי במהלך שנות לימודיה במוסד החינוכי</w:t>
      </w:r>
      <w:r>
        <w:rPr>
          <w:rFonts w:ascii="David" w:hAnsi="David" w:cs="David" w:hint="cs"/>
          <w:sz w:val="24"/>
          <w:szCs w:val="24"/>
          <w:rtl/>
        </w:rPr>
        <w:t>,</w:t>
      </w:r>
      <w:r w:rsidRPr="00D6024D">
        <w:rPr>
          <w:rFonts w:ascii="David" w:hAnsi="David" w:cs="David"/>
          <w:sz w:val="24"/>
          <w:szCs w:val="24"/>
          <w:rtl/>
        </w:rPr>
        <w:t xml:space="preserve"> פגע בה </w:t>
      </w:r>
      <w:r>
        <w:rPr>
          <w:rFonts w:ascii="David" w:hAnsi="David" w:cs="David" w:hint="cs"/>
          <w:sz w:val="24"/>
          <w:szCs w:val="24"/>
          <w:rtl/>
        </w:rPr>
        <w:t xml:space="preserve">פגיעות </w:t>
      </w:r>
      <w:r w:rsidRPr="00D6024D">
        <w:rPr>
          <w:rFonts w:ascii="David" w:hAnsi="David" w:cs="David"/>
          <w:sz w:val="24"/>
          <w:szCs w:val="24"/>
          <w:rtl/>
        </w:rPr>
        <w:t>מיני</w:t>
      </w:r>
      <w:r>
        <w:rPr>
          <w:rFonts w:ascii="David" w:hAnsi="David" w:cs="David" w:hint="cs"/>
          <w:sz w:val="24"/>
          <w:szCs w:val="24"/>
          <w:rtl/>
        </w:rPr>
        <w:t>ו</w:t>
      </w:r>
      <w:r>
        <w:rPr>
          <w:rFonts w:ascii="David" w:hAnsi="David" w:cs="David"/>
          <w:sz w:val="24"/>
          <w:szCs w:val="24"/>
          <w:rtl/>
        </w:rPr>
        <w:t>ת בתוך ומחוץ לכ</w:t>
      </w:r>
      <w:r w:rsidRPr="00D6024D">
        <w:rPr>
          <w:rFonts w:ascii="David" w:hAnsi="David" w:cs="David"/>
          <w:sz w:val="24"/>
          <w:szCs w:val="24"/>
          <w:rtl/>
        </w:rPr>
        <w:t>תלי בית הספר.</w:t>
      </w:r>
    </w:p>
    <w:p w14:paraId="5C9D7EAF" w14:textId="77777777" w:rsidR="00476EED" w:rsidRPr="00D6024D" w:rsidRDefault="0041064E" w:rsidP="00C42082">
      <w:pPr>
        <w:pStyle w:val="ae"/>
        <w:numPr>
          <w:ilvl w:val="0"/>
          <w:numId w:val="1"/>
        </w:numPr>
        <w:spacing w:line="480" w:lineRule="auto"/>
        <w:contextualSpacing w:val="0"/>
        <w:jc w:val="both"/>
        <w:rPr>
          <w:rFonts w:ascii="David" w:hAnsi="David" w:cs="David"/>
          <w:sz w:val="24"/>
          <w:szCs w:val="24"/>
        </w:rPr>
      </w:pPr>
      <w:r w:rsidRPr="00D6024D">
        <w:rPr>
          <w:rFonts w:ascii="David" w:hAnsi="David" w:cs="David"/>
          <w:sz w:val="24"/>
          <w:szCs w:val="24"/>
          <w:rtl/>
        </w:rPr>
        <w:t>הנתבע</w:t>
      </w:r>
      <w:r>
        <w:rPr>
          <w:rFonts w:ascii="David" w:hAnsi="David" w:cs="David" w:hint="cs"/>
          <w:sz w:val="24"/>
          <w:szCs w:val="24"/>
          <w:rtl/>
        </w:rPr>
        <w:t xml:space="preserve"> מס'</w:t>
      </w:r>
      <w:r w:rsidRPr="00D6024D">
        <w:rPr>
          <w:rFonts w:ascii="David" w:hAnsi="David" w:cs="David"/>
          <w:sz w:val="24"/>
          <w:szCs w:val="24"/>
          <w:rtl/>
        </w:rPr>
        <w:t xml:space="preserve"> 1 עבד בתקופה הרלוונטית בבית הספר העל אזורי תפן. נטען כי הנתבעת</w:t>
      </w:r>
      <w:r>
        <w:rPr>
          <w:rFonts w:ascii="David" w:hAnsi="David" w:cs="David" w:hint="cs"/>
          <w:sz w:val="24"/>
          <w:szCs w:val="24"/>
          <w:rtl/>
        </w:rPr>
        <w:t xml:space="preserve"> מס'</w:t>
      </w:r>
      <w:r w:rsidRPr="00D6024D">
        <w:rPr>
          <w:rFonts w:ascii="David" w:hAnsi="David" w:cs="David"/>
          <w:sz w:val="24"/>
          <w:szCs w:val="24"/>
          <w:rtl/>
        </w:rPr>
        <w:t xml:space="preserve"> 3</w:t>
      </w:r>
      <w:r>
        <w:rPr>
          <w:rFonts w:ascii="David" w:hAnsi="David" w:cs="David" w:hint="cs"/>
          <w:sz w:val="24"/>
          <w:szCs w:val="24"/>
          <w:rtl/>
        </w:rPr>
        <w:t>,</w:t>
      </w:r>
      <w:r w:rsidRPr="00D6024D">
        <w:rPr>
          <w:rFonts w:ascii="David" w:hAnsi="David" w:cs="David"/>
          <w:sz w:val="24"/>
          <w:szCs w:val="24"/>
          <w:rtl/>
        </w:rPr>
        <w:t xml:space="preserve"> המועצה האזורית</w:t>
      </w:r>
      <w:r>
        <w:rPr>
          <w:rFonts w:ascii="David" w:hAnsi="David" w:cs="David" w:hint="cs"/>
          <w:sz w:val="24"/>
          <w:szCs w:val="24"/>
          <w:rtl/>
        </w:rPr>
        <w:t>,</w:t>
      </w:r>
      <w:r w:rsidRPr="00D6024D">
        <w:rPr>
          <w:rFonts w:ascii="David" w:hAnsi="David" w:cs="David"/>
          <w:sz w:val="24"/>
          <w:szCs w:val="24"/>
          <w:rtl/>
        </w:rPr>
        <w:t xml:space="preserve"> </w:t>
      </w:r>
      <w:r w:rsidRPr="00D6024D">
        <w:rPr>
          <w:rFonts w:ascii="David" w:hAnsi="David" w:cs="David" w:hint="cs"/>
          <w:sz w:val="24"/>
          <w:szCs w:val="24"/>
          <w:rtl/>
        </w:rPr>
        <w:t>הית</w:t>
      </w:r>
      <w:r w:rsidRPr="00D6024D">
        <w:rPr>
          <w:rFonts w:ascii="David" w:hAnsi="David" w:cs="David" w:hint="eastAsia"/>
          <w:sz w:val="24"/>
          <w:szCs w:val="24"/>
          <w:rtl/>
        </w:rPr>
        <w:t>ה</w:t>
      </w:r>
      <w:r w:rsidRPr="00D6024D">
        <w:rPr>
          <w:rFonts w:ascii="David" w:hAnsi="David" w:cs="David"/>
          <w:sz w:val="24"/>
          <w:szCs w:val="24"/>
          <w:rtl/>
        </w:rPr>
        <w:t xml:space="preserve"> מעסיקתו של הנתבע</w:t>
      </w:r>
      <w:r>
        <w:rPr>
          <w:rFonts w:ascii="David" w:hAnsi="David" w:cs="David" w:hint="cs"/>
          <w:sz w:val="24"/>
          <w:szCs w:val="24"/>
          <w:rtl/>
        </w:rPr>
        <w:t xml:space="preserve"> מס'</w:t>
      </w:r>
      <w:r w:rsidRPr="00D6024D">
        <w:rPr>
          <w:rFonts w:ascii="David" w:hAnsi="David" w:cs="David"/>
          <w:sz w:val="24"/>
          <w:szCs w:val="24"/>
          <w:rtl/>
        </w:rPr>
        <w:t xml:space="preserve"> 1.</w:t>
      </w:r>
    </w:p>
    <w:p w14:paraId="2111E5A1"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sidRPr="00D6024D">
        <w:rPr>
          <w:rFonts w:ascii="David" w:hAnsi="David" w:cs="David"/>
          <w:sz w:val="24"/>
          <w:szCs w:val="24"/>
          <w:rtl/>
        </w:rPr>
        <w:t>הנתבעת</w:t>
      </w:r>
      <w:r>
        <w:rPr>
          <w:rFonts w:ascii="David" w:hAnsi="David" w:cs="David" w:hint="cs"/>
          <w:sz w:val="24"/>
          <w:szCs w:val="24"/>
          <w:rtl/>
        </w:rPr>
        <w:t xml:space="preserve"> מס'</w:t>
      </w:r>
      <w:r w:rsidRPr="00D6024D">
        <w:rPr>
          <w:rFonts w:ascii="David" w:hAnsi="David" w:cs="David"/>
          <w:sz w:val="24"/>
          <w:szCs w:val="24"/>
          <w:rtl/>
        </w:rPr>
        <w:t xml:space="preserve"> 2</w:t>
      </w:r>
      <w:r>
        <w:rPr>
          <w:rFonts w:ascii="David" w:hAnsi="David" w:cs="David" w:hint="cs"/>
          <w:sz w:val="24"/>
          <w:szCs w:val="24"/>
          <w:rtl/>
        </w:rPr>
        <w:t>,</w:t>
      </w:r>
      <w:r>
        <w:rPr>
          <w:rFonts w:ascii="David" w:hAnsi="David" w:cs="David"/>
          <w:sz w:val="24"/>
          <w:szCs w:val="24"/>
          <w:rtl/>
        </w:rPr>
        <w:t xml:space="preserve"> מדינת ישראל</w:t>
      </w:r>
      <w:r>
        <w:rPr>
          <w:rFonts w:ascii="David" w:hAnsi="David" w:cs="David" w:hint="cs"/>
          <w:sz w:val="24"/>
          <w:szCs w:val="24"/>
          <w:rtl/>
        </w:rPr>
        <w:t xml:space="preserve"> -</w:t>
      </w:r>
      <w:r w:rsidRPr="00D6024D">
        <w:rPr>
          <w:rFonts w:ascii="David" w:hAnsi="David" w:cs="David"/>
          <w:sz w:val="24"/>
          <w:szCs w:val="24"/>
          <w:rtl/>
        </w:rPr>
        <w:t xml:space="preserve"> משרד החינוך (להלן:</w:t>
      </w:r>
      <w:r>
        <w:rPr>
          <w:rFonts w:ascii="David" w:hAnsi="David" w:cs="David" w:hint="cs"/>
          <w:sz w:val="24"/>
          <w:szCs w:val="24"/>
          <w:rtl/>
        </w:rPr>
        <w:t xml:space="preserve"> "</w:t>
      </w:r>
      <w:r w:rsidRPr="00187552">
        <w:rPr>
          <w:rFonts w:ascii="David" w:hAnsi="David" w:cs="David" w:hint="cs"/>
          <w:b/>
          <w:bCs/>
          <w:sz w:val="24"/>
          <w:szCs w:val="24"/>
          <w:rtl/>
        </w:rPr>
        <w:t>המדינה</w:t>
      </w:r>
      <w:r>
        <w:rPr>
          <w:rFonts w:ascii="David" w:hAnsi="David" w:cs="David" w:hint="cs"/>
          <w:sz w:val="24"/>
          <w:szCs w:val="24"/>
          <w:rtl/>
        </w:rPr>
        <w:t>"</w:t>
      </w:r>
      <w:r w:rsidRPr="00D6024D">
        <w:rPr>
          <w:rFonts w:ascii="David" w:hAnsi="David" w:cs="David"/>
          <w:sz w:val="24"/>
          <w:szCs w:val="24"/>
          <w:rtl/>
        </w:rPr>
        <w:t>)</w:t>
      </w:r>
      <w:r>
        <w:rPr>
          <w:rFonts w:ascii="David" w:hAnsi="David" w:cs="David" w:hint="cs"/>
          <w:sz w:val="24"/>
          <w:szCs w:val="24"/>
          <w:rtl/>
        </w:rPr>
        <w:t xml:space="preserve"> </w:t>
      </w:r>
      <w:r w:rsidRPr="00D6024D">
        <w:rPr>
          <w:rFonts w:ascii="David" w:hAnsi="David" w:cs="David"/>
          <w:sz w:val="24"/>
          <w:szCs w:val="24"/>
          <w:rtl/>
        </w:rPr>
        <w:t>נתבעת כ</w:t>
      </w:r>
      <w:r>
        <w:rPr>
          <w:rFonts w:ascii="David" w:hAnsi="David" w:cs="David" w:hint="cs"/>
          <w:sz w:val="24"/>
          <w:szCs w:val="24"/>
          <w:rtl/>
        </w:rPr>
        <w:t>רגולטור האחראי על מוסדות החינוך במדינה, אחראי להסדיר סטנדרטים להעסקת עובדים בבתי הספר בהעסקה ישירה ועקיפה.</w:t>
      </w:r>
      <w:r w:rsidRPr="00D6024D">
        <w:rPr>
          <w:rFonts w:ascii="David" w:hAnsi="David" w:cs="David"/>
          <w:sz w:val="24"/>
          <w:szCs w:val="24"/>
          <w:rtl/>
        </w:rPr>
        <w:t xml:space="preserve"> </w:t>
      </w:r>
    </w:p>
    <w:p w14:paraId="46A31419"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hint="cs"/>
          <w:sz w:val="24"/>
          <w:szCs w:val="24"/>
          <w:rtl/>
        </w:rPr>
        <w:t>כנגד הנתבע מס' 1 הוגש כתב אישום והוא הורשע לאחר שהודה במעשי</w:t>
      </w:r>
      <w:r>
        <w:rPr>
          <w:rFonts w:ascii="David" w:hAnsi="David" w:cs="David" w:hint="cs"/>
          <w:sz w:val="24"/>
          <w:szCs w:val="24"/>
          <w:rtl/>
        </w:rPr>
        <w:t>ם שיוסחו לו במסגרת הסדר טיעון ונגזרו עליו תשעה חודשי מאסר לריצוי בעבודות שירות.</w:t>
      </w:r>
    </w:p>
    <w:p w14:paraId="7946EF46" w14:textId="77777777" w:rsidR="00476EED" w:rsidRPr="003175C0" w:rsidRDefault="0041064E" w:rsidP="002B596E">
      <w:pPr>
        <w:spacing w:after="160" w:line="480" w:lineRule="auto"/>
        <w:jc w:val="both"/>
        <w:outlineLvl w:val="1"/>
        <w:rPr>
          <w:rFonts w:ascii="David" w:hAnsi="David"/>
          <w:rtl/>
        </w:rPr>
      </w:pPr>
      <w:r w:rsidRPr="003175C0">
        <w:rPr>
          <w:rFonts w:ascii="David" w:hAnsi="David" w:hint="cs"/>
          <w:b/>
          <w:bCs/>
          <w:rtl/>
        </w:rPr>
        <w:lastRenderedPageBreak/>
        <w:t>טענות המדינה</w:t>
      </w:r>
      <w:r>
        <w:rPr>
          <w:rFonts w:ascii="David" w:hAnsi="David" w:hint="cs"/>
          <w:b/>
          <w:bCs/>
          <w:rtl/>
        </w:rPr>
        <w:t xml:space="preserve"> </w:t>
      </w:r>
      <w:r w:rsidRPr="003175C0">
        <w:rPr>
          <w:rFonts w:ascii="David" w:hAnsi="David" w:hint="cs"/>
          <w:b/>
          <w:bCs/>
          <w:rtl/>
        </w:rPr>
        <w:t>- משרד החינוך</w:t>
      </w:r>
    </w:p>
    <w:p w14:paraId="31565BB9"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hint="cs"/>
          <w:sz w:val="24"/>
          <w:szCs w:val="24"/>
          <w:rtl/>
        </w:rPr>
        <w:t>המדינה טוענת כי יש לסלק את התביעה נגדה על הסף בשל העדר יריבות והיעדר עילה.</w:t>
      </w:r>
    </w:p>
    <w:p w14:paraId="59099575"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hint="cs"/>
          <w:sz w:val="24"/>
          <w:szCs w:val="24"/>
          <w:rtl/>
        </w:rPr>
        <w:t xml:space="preserve">נטען שבית הספר " ניסויי על איזורי תפן" שבו הועסק הנתבע מס' 1 הינו בית ספר </w:t>
      </w:r>
      <w:r>
        <w:rPr>
          <w:rFonts w:ascii="David" w:hAnsi="David" w:cs="David" w:hint="cs"/>
          <w:sz w:val="24"/>
          <w:szCs w:val="24"/>
          <w:rtl/>
        </w:rPr>
        <w:t xml:space="preserve">במעמד "מוכר שאינו רשמי". החטיבה העליונה של בית הספר הופעלה על ידי הנתבעת מס' 3, המועצה האזורית ולא על ידי משרד החינוך, בית הספר הוא בבעלות נתבעת מס' 3, המועצה המקומית כפר ורדים, או מי מטעמה. בתקופה הרלוונטית, מנהל החטיבה העליונה היה גם מנהל חטיבת הביניים. </w:t>
      </w:r>
      <w:r>
        <w:rPr>
          <w:rFonts w:ascii="David" w:hAnsi="David" w:cs="David" w:hint="cs"/>
          <w:sz w:val="24"/>
          <w:szCs w:val="24"/>
          <w:rtl/>
        </w:rPr>
        <w:t>המנהל והמורים אינם עובדי משרד החינוך.</w:t>
      </w:r>
    </w:p>
    <w:p w14:paraId="5FB78DC2" w14:textId="77777777" w:rsidR="00476EED" w:rsidRPr="003D663C" w:rsidRDefault="0041064E" w:rsidP="00C42082">
      <w:pPr>
        <w:pStyle w:val="ae"/>
        <w:numPr>
          <w:ilvl w:val="0"/>
          <w:numId w:val="1"/>
        </w:numPr>
        <w:spacing w:line="480" w:lineRule="auto"/>
        <w:contextualSpacing w:val="0"/>
        <w:jc w:val="both"/>
        <w:rPr>
          <w:rFonts w:ascii="David" w:hAnsi="David" w:cs="David"/>
          <w:sz w:val="24"/>
          <w:szCs w:val="24"/>
        </w:rPr>
      </w:pPr>
      <w:r w:rsidRPr="003D663C">
        <w:rPr>
          <w:rFonts w:ascii="David" w:hAnsi="David" w:cs="David" w:hint="cs"/>
          <w:sz w:val="24"/>
          <w:szCs w:val="24"/>
          <w:rtl/>
        </w:rPr>
        <w:t>משרד החינוך</w:t>
      </w:r>
      <w:r>
        <w:rPr>
          <w:rFonts w:ascii="David" w:hAnsi="David" w:cs="David" w:hint="cs"/>
          <w:sz w:val="24"/>
          <w:szCs w:val="24"/>
          <w:rtl/>
        </w:rPr>
        <w:t xml:space="preserve"> מחייב את בית הספר לקיים את נהלי משרד החינוך ביחס להפעלת אמצעי משמעת, התנהלות מוריו, הצעדים שיש לנקוט במקרה של חריגה מהנהלים ופגיעה בעובדי ההוראה ובתלמידים, אולם האחריות לקיום הנהלים מוטלת על כתפי הבעלים ומפ</w:t>
      </w:r>
      <w:r>
        <w:rPr>
          <w:rFonts w:ascii="David" w:hAnsi="David" w:cs="David" w:hint="cs"/>
          <w:sz w:val="24"/>
          <w:szCs w:val="24"/>
          <w:rtl/>
        </w:rPr>
        <w:t xml:space="preserve">עילת בית הספר, קרי המועצה האזורית. </w:t>
      </w:r>
    </w:p>
    <w:p w14:paraId="1FC626AB"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hint="cs"/>
          <w:sz w:val="24"/>
          <w:szCs w:val="24"/>
          <w:rtl/>
        </w:rPr>
        <w:t>אין המדינה אחראית באחריות שילוחית לעובדי בית הספר, המורים וההנהלה, שאינו בבעלותה והעובדים אינם עובדיה.</w:t>
      </w:r>
    </w:p>
    <w:p w14:paraId="0FC623C6" w14:textId="77777777" w:rsidR="00476EED" w:rsidRPr="00896EFC" w:rsidRDefault="0041064E" w:rsidP="00C42082">
      <w:pPr>
        <w:pStyle w:val="ae"/>
        <w:numPr>
          <w:ilvl w:val="0"/>
          <w:numId w:val="1"/>
        </w:numPr>
        <w:spacing w:line="480" w:lineRule="auto"/>
        <w:contextualSpacing w:val="0"/>
        <w:jc w:val="both"/>
        <w:rPr>
          <w:rFonts w:ascii="David" w:hAnsi="David" w:cs="David"/>
          <w:sz w:val="24"/>
          <w:szCs w:val="24"/>
        </w:rPr>
      </w:pPr>
      <w:r w:rsidRPr="00896EFC">
        <w:rPr>
          <w:rFonts w:ascii="David" w:hAnsi="David" w:cs="David" w:hint="cs"/>
          <w:sz w:val="24"/>
          <w:szCs w:val="24"/>
          <w:rtl/>
        </w:rPr>
        <w:t>המדינה הינה מפקחת על, פיקוח על קיום מדיניות, תכניות לימוד והנחיות נוספות, אין המשמעות שהמדינה תהווה תחליף להנהלת המוס</w:t>
      </w:r>
      <w:r w:rsidRPr="00896EFC">
        <w:rPr>
          <w:rFonts w:ascii="David" w:hAnsi="David" w:cs="David" w:hint="cs"/>
          <w:sz w:val="24"/>
          <w:szCs w:val="24"/>
          <w:rtl/>
        </w:rPr>
        <w:t>ד ואין לה שליטה על האירועי</w:t>
      </w:r>
      <w:r w:rsidRPr="00896EFC">
        <w:rPr>
          <w:rFonts w:ascii="David" w:hAnsi="David" w:cs="David" w:hint="eastAsia"/>
          <w:sz w:val="24"/>
          <w:szCs w:val="24"/>
          <w:rtl/>
        </w:rPr>
        <w:t>ם</w:t>
      </w:r>
      <w:r w:rsidRPr="00896EFC">
        <w:rPr>
          <w:rFonts w:ascii="David" w:hAnsi="David" w:cs="David" w:hint="cs"/>
          <w:sz w:val="24"/>
          <w:szCs w:val="24"/>
          <w:rtl/>
        </w:rPr>
        <w:t xml:space="preserve"> </w:t>
      </w:r>
      <w:r>
        <w:rPr>
          <w:rFonts w:ascii="David" w:hAnsi="David" w:cs="David" w:hint="cs"/>
          <w:sz w:val="24"/>
          <w:szCs w:val="24"/>
          <w:rtl/>
        </w:rPr>
        <w:t>ה</w:t>
      </w:r>
      <w:r w:rsidRPr="00896EFC">
        <w:rPr>
          <w:rFonts w:ascii="David" w:hAnsi="David" w:cs="David" w:hint="cs"/>
          <w:sz w:val="24"/>
          <w:szCs w:val="24"/>
          <w:rtl/>
        </w:rPr>
        <w:t xml:space="preserve">שוטפים. </w:t>
      </w:r>
    </w:p>
    <w:p w14:paraId="3F571881"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hint="cs"/>
          <w:sz w:val="24"/>
          <w:szCs w:val="24"/>
          <w:rtl/>
        </w:rPr>
        <w:t>גם אם תתקבלנה כל טענות התובעת כפי שפורטו בכתב התביעה, לא מתקיימת יריבות בין התובעת למדינה ולפיכך דין התביעה להידחות או להימחק על הסף.</w:t>
      </w:r>
    </w:p>
    <w:p w14:paraId="0B53E1D6"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hint="cs"/>
          <w:sz w:val="24"/>
          <w:szCs w:val="24"/>
          <w:rtl/>
        </w:rPr>
        <w:t>חיוב המדינה במקרה כזה יהפוך את המדינה למבטחת על, תוצאה שאינה רצויה.</w:t>
      </w:r>
    </w:p>
    <w:p w14:paraId="2C0B8178" w14:textId="77777777" w:rsidR="00476EED" w:rsidRDefault="0041064E" w:rsidP="008C5809">
      <w:pPr>
        <w:pStyle w:val="ae"/>
        <w:numPr>
          <w:ilvl w:val="0"/>
          <w:numId w:val="1"/>
        </w:numPr>
        <w:spacing w:after="1200" w:line="480" w:lineRule="auto"/>
        <w:contextualSpacing w:val="0"/>
        <w:jc w:val="both"/>
        <w:rPr>
          <w:rFonts w:ascii="David" w:hAnsi="David" w:cs="David"/>
          <w:sz w:val="24"/>
          <w:szCs w:val="24"/>
        </w:rPr>
      </w:pPr>
      <w:r>
        <w:rPr>
          <w:rFonts w:ascii="David" w:hAnsi="David" w:cs="David" w:hint="cs"/>
          <w:sz w:val="24"/>
          <w:szCs w:val="24"/>
          <w:rtl/>
        </w:rPr>
        <w:t xml:space="preserve">למדינה לא הייתה </w:t>
      </w:r>
      <w:r>
        <w:rPr>
          <w:rFonts w:ascii="David" w:hAnsi="David" w:cs="David" w:hint="cs"/>
          <w:sz w:val="24"/>
          <w:szCs w:val="24"/>
          <w:rtl/>
        </w:rPr>
        <w:t>שליטה על האירוע, לא היה באפשרותה למנוע את האירועי</w:t>
      </w:r>
      <w:r>
        <w:rPr>
          <w:rFonts w:ascii="David" w:hAnsi="David" w:cs="David" w:hint="eastAsia"/>
          <w:sz w:val="24"/>
          <w:szCs w:val="24"/>
          <w:rtl/>
        </w:rPr>
        <w:t>ם</w:t>
      </w:r>
      <w:r>
        <w:rPr>
          <w:rFonts w:ascii="David" w:hAnsi="David" w:cs="David" w:hint="cs"/>
          <w:sz w:val="24"/>
          <w:szCs w:val="24"/>
          <w:rtl/>
        </w:rPr>
        <w:t xml:space="preserve"> הנטענים. יתרה מכך, המדינה אף לא דווחה על קרות האירועים. התובעת שיתפה את המדינה רק כשנתיים לאחר סיום לימודיה.  </w:t>
      </w:r>
    </w:p>
    <w:p w14:paraId="5072B14F" w14:textId="77777777" w:rsidR="00476EED" w:rsidRDefault="0041064E" w:rsidP="008C5809">
      <w:pPr>
        <w:spacing w:before="719" w:after="160" w:line="480" w:lineRule="auto"/>
        <w:jc w:val="both"/>
        <w:outlineLvl w:val="1"/>
        <w:rPr>
          <w:rFonts w:ascii="David" w:hAnsi="David"/>
          <w:rtl/>
        </w:rPr>
      </w:pPr>
      <w:r w:rsidRPr="000460DC">
        <w:rPr>
          <w:rFonts w:ascii="David" w:hAnsi="David" w:hint="cs"/>
          <w:b/>
          <w:bCs/>
          <w:rtl/>
        </w:rPr>
        <w:lastRenderedPageBreak/>
        <w:t>טענות התובעת</w:t>
      </w:r>
    </w:p>
    <w:p w14:paraId="5B08FFEF"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hint="cs"/>
          <w:sz w:val="24"/>
          <w:szCs w:val="24"/>
          <w:rtl/>
        </w:rPr>
        <w:t xml:space="preserve">התובעת מתנגדת לבקשה. לטענת העדר יריבות משיבה כי  משרד החינוך אחראי על חינוך ילדי </w:t>
      </w:r>
      <w:r>
        <w:rPr>
          <w:rFonts w:ascii="David" w:hAnsi="David" w:cs="David" w:hint="cs"/>
          <w:sz w:val="24"/>
          <w:szCs w:val="24"/>
          <w:rtl/>
        </w:rPr>
        <w:t>ישראל, כך גם נתפס בעיני ההורים והילדים.</w:t>
      </w:r>
    </w:p>
    <w:p w14:paraId="034F64AC"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hint="cs"/>
          <w:sz w:val="24"/>
          <w:szCs w:val="24"/>
          <w:rtl/>
        </w:rPr>
        <w:t>חוק חינוך חובה מחייב את ההורים לשלוח את ילדיהם למסגרות חינוכיות, לצד החובה קיימת סנקציה ומכאן החובה של משרד החינוך לדאוג לילדים במוסדות החינוך השונים.</w:t>
      </w:r>
    </w:p>
    <w:p w14:paraId="17D5BCBB"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hint="cs"/>
          <w:sz w:val="24"/>
          <w:szCs w:val="24"/>
          <w:rtl/>
        </w:rPr>
        <w:t>המדינה לא פיקחה כראוי על אכיפת החוק למניעת הטרדה מינית בבית הספר,</w:t>
      </w:r>
      <w:r>
        <w:rPr>
          <w:rFonts w:ascii="David" w:hAnsi="David" w:cs="David" w:hint="cs"/>
          <w:sz w:val="24"/>
          <w:szCs w:val="24"/>
          <w:rtl/>
        </w:rPr>
        <w:t xml:space="preserve"> הנתבע מס' 3. לא וידאו שנערכות השתלמויות לכל באי המוסד על איסור מגע מיני וקשרים אינטימיים בין מורים לתלמידים.</w:t>
      </w:r>
    </w:p>
    <w:p w14:paraId="7DB605C8"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sidRPr="00DC67E3">
        <w:rPr>
          <w:rFonts w:ascii="David" w:hAnsi="David" w:cs="David" w:hint="cs"/>
          <w:sz w:val="24"/>
          <w:szCs w:val="24"/>
          <w:rtl/>
        </w:rPr>
        <w:t>בנוסף</w:t>
      </w:r>
      <w:r>
        <w:rPr>
          <w:rFonts w:ascii="David" w:hAnsi="David" w:cs="David" w:hint="cs"/>
          <w:sz w:val="24"/>
          <w:szCs w:val="24"/>
          <w:rtl/>
        </w:rPr>
        <w:t>,</w:t>
      </w:r>
      <w:r w:rsidRPr="00DC67E3">
        <w:rPr>
          <w:rFonts w:ascii="David" w:hAnsi="David" w:cs="David" w:hint="cs"/>
          <w:sz w:val="24"/>
          <w:szCs w:val="24"/>
          <w:rtl/>
        </w:rPr>
        <w:t xml:space="preserve"> משרד החינוך אחראי באחריות שילוחית מאחר </w:t>
      </w:r>
      <w:r>
        <w:rPr>
          <w:rFonts w:ascii="David" w:hAnsi="David" w:cs="David" w:hint="cs"/>
          <w:sz w:val="24"/>
          <w:szCs w:val="24"/>
          <w:rtl/>
        </w:rPr>
        <w:t>ש</w:t>
      </w:r>
      <w:r w:rsidRPr="00DC67E3">
        <w:rPr>
          <w:rFonts w:ascii="David" w:hAnsi="David" w:cs="David" w:hint="cs"/>
          <w:sz w:val="24"/>
          <w:szCs w:val="24"/>
          <w:rtl/>
        </w:rPr>
        <w:t>בית הספר הפרטי הינו שלוח של</w:t>
      </w:r>
      <w:r>
        <w:rPr>
          <w:rFonts w:ascii="David" w:hAnsi="David" w:cs="David" w:hint="cs"/>
          <w:sz w:val="24"/>
          <w:szCs w:val="24"/>
          <w:rtl/>
        </w:rPr>
        <w:t xml:space="preserve"> משרד החינוך.</w:t>
      </w:r>
    </w:p>
    <w:p w14:paraId="4B08D52C" w14:textId="77777777" w:rsidR="00476EED" w:rsidRPr="00C42082" w:rsidRDefault="0041064E" w:rsidP="008C5809">
      <w:pPr>
        <w:spacing w:after="160" w:line="480" w:lineRule="auto"/>
        <w:jc w:val="both"/>
        <w:outlineLvl w:val="1"/>
        <w:rPr>
          <w:rFonts w:ascii="David" w:hAnsi="David"/>
          <w:b/>
          <w:bCs/>
          <w:u w:val="single"/>
          <w:rtl/>
        </w:rPr>
      </w:pPr>
      <w:r w:rsidRPr="00C42082">
        <w:rPr>
          <w:rFonts w:ascii="David" w:hAnsi="David" w:hint="cs"/>
          <w:b/>
          <w:bCs/>
          <w:u w:val="single"/>
          <w:rtl/>
        </w:rPr>
        <w:t>דיון והכרעה</w:t>
      </w:r>
    </w:p>
    <w:p w14:paraId="2CE6DB38" w14:textId="77777777" w:rsidR="00476EED" w:rsidRDefault="0041064E" w:rsidP="00C42082">
      <w:pPr>
        <w:pStyle w:val="ae"/>
        <w:numPr>
          <w:ilvl w:val="0"/>
          <w:numId w:val="1"/>
        </w:numPr>
        <w:spacing w:line="480" w:lineRule="auto"/>
        <w:contextualSpacing w:val="0"/>
        <w:jc w:val="both"/>
        <w:rPr>
          <w:rFonts w:ascii="David" w:hAnsi="David" w:cs="David"/>
          <w:sz w:val="24"/>
          <w:szCs w:val="24"/>
          <w:rtl/>
        </w:rPr>
      </w:pPr>
      <w:r>
        <w:rPr>
          <w:rFonts w:ascii="David" w:hAnsi="David" w:cs="David"/>
          <w:sz w:val="24"/>
          <w:szCs w:val="24"/>
          <w:rtl/>
        </w:rPr>
        <w:t xml:space="preserve">סמכותו של בית המשפט לסלק תביעה על הסף קבועה </w:t>
      </w:r>
      <w:r>
        <w:rPr>
          <w:rFonts w:ascii="David" w:hAnsi="David" w:cs="David"/>
          <w:sz w:val="24"/>
          <w:szCs w:val="24"/>
          <w:rtl/>
        </w:rPr>
        <w:t>בתקנות 43-41 לתקנות סדר הדין האזרחי, תשע"ט 2018 (ר' ע"א 26857-03-25</w:t>
      </w:r>
      <w:r>
        <w:rPr>
          <w:rFonts w:ascii="David" w:hAnsi="David" w:cs="David"/>
          <w:b/>
          <w:bCs/>
          <w:sz w:val="24"/>
          <w:szCs w:val="24"/>
          <w:rtl/>
        </w:rPr>
        <w:t xml:space="preserve"> שרון דרור ו-213 אחרים נ' אלוני אבא מושב</w:t>
      </w:r>
      <w:r>
        <w:rPr>
          <w:rFonts w:ascii="David" w:hAnsi="David" w:cs="David"/>
          <w:sz w:val="24"/>
          <w:szCs w:val="24"/>
          <w:rtl/>
        </w:rPr>
        <w:t xml:space="preserve"> </w:t>
      </w:r>
      <w:r>
        <w:rPr>
          <w:rFonts w:ascii="David" w:hAnsi="David" w:cs="David"/>
          <w:b/>
          <w:bCs/>
          <w:sz w:val="24"/>
          <w:szCs w:val="24"/>
          <w:rtl/>
        </w:rPr>
        <w:t>שיתופי חקלאית בע"מ‏‏</w:t>
      </w:r>
      <w:r>
        <w:rPr>
          <w:rFonts w:ascii="David" w:hAnsi="David" w:cs="David"/>
          <w:sz w:val="24"/>
          <w:szCs w:val="24"/>
          <w:rtl/>
        </w:rPr>
        <w:t>, פסקה 13 (3.4.2025)).</w:t>
      </w:r>
      <w:r>
        <w:rPr>
          <w:rFonts w:ascii="David" w:hAnsi="David" w:cs="David"/>
          <w:b/>
          <w:bCs/>
          <w:sz w:val="24"/>
          <w:szCs w:val="24"/>
          <w:rtl/>
        </w:rPr>
        <w:t xml:space="preserve"> </w:t>
      </w:r>
      <w:r>
        <w:rPr>
          <w:rFonts w:ascii="David" w:hAnsi="David" w:cs="David"/>
          <w:sz w:val="24"/>
          <w:szCs w:val="24"/>
          <w:rtl/>
        </w:rPr>
        <w:t>סילוק על הסף הינו סעד דרסטי, על כן כידוע בית המשפט</w:t>
      </w:r>
      <w:r>
        <w:rPr>
          <w:rFonts w:ascii="David" w:hAnsi="David" w:cs="David"/>
          <w:b/>
          <w:bCs/>
          <w:sz w:val="24"/>
          <w:szCs w:val="24"/>
          <w:rtl/>
        </w:rPr>
        <w:t xml:space="preserve"> </w:t>
      </w:r>
      <w:r>
        <w:rPr>
          <w:rFonts w:ascii="David" w:hAnsi="David" w:cs="David"/>
          <w:sz w:val="24"/>
          <w:szCs w:val="24"/>
          <w:rtl/>
        </w:rPr>
        <w:t>מפעיל סמכות זו במשורה ורק במקרים קיצוניים לאור ההשלכות</w:t>
      </w:r>
      <w:r>
        <w:rPr>
          <w:rFonts w:ascii="David" w:hAnsi="David" w:cs="David"/>
          <w:sz w:val="24"/>
          <w:szCs w:val="24"/>
          <w:rtl/>
        </w:rPr>
        <w:t xml:space="preserve"> המרחיקות לכת הנובעות מתוצאה של מחיקה על הסף בטרם בירור התביעה לגופה (ר' ע"א 4627/22 </w:t>
      </w:r>
      <w:r>
        <w:rPr>
          <w:rFonts w:ascii="David" w:hAnsi="David" w:cs="David"/>
          <w:b/>
          <w:bCs/>
          <w:sz w:val="24"/>
          <w:szCs w:val="24"/>
          <w:rtl/>
        </w:rPr>
        <w:t>מפרקי חברת אגרקסקו, חברה לייצוא חקלאי בע"מ (בפירוק) נ' קוסט פורר גבאי את קסירר (שותפות רשומה)</w:t>
      </w:r>
      <w:r>
        <w:rPr>
          <w:rFonts w:ascii="David" w:hAnsi="David" w:cs="David"/>
          <w:sz w:val="24"/>
          <w:szCs w:val="24"/>
          <w:rtl/>
        </w:rPr>
        <w:t>, פסקה 39 (‏7.6.2023) (להלן: "</w:t>
      </w:r>
      <w:r>
        <w:rPr>
          <w:rFonts w:ascii="David" w:hAnsi="David" w:cs="David"/>
          <w:b/>
          <w:bCs/>
          <w:sz w:val="24"/>
          <w:szCs w:val="24"/>
          <w:rtl/>
        </w:rPr>
        <w:t>עניין אגרקסקו</w:t>
      </w:r>
      <w:r>
        <w:rPr>
          <w:rFonts w:ascii="David" w:hAnsi="David" w:cs="David"/>
          <w:sz w:val="24"/>
          <w:szCs w:val="24"/>
          <w:rtl/>
        </w:rPr>
        <w:t xml:space="preserve">"); רע"א 6938/19 </w:t>
      </w:r>
      <w:r>
        <w:rPr>
          <w:rFonts w:ascii="David" w:hAnsi="David" w:cs="David"/>
          <w:b/>
          <w:bCs/>
          <w:sz w:val="24"/>
          <w:szCs w:val="24"/>
          <w:rtl/>
        </w:rPr>
        <w:t>אילני נ' ברוך</w:t>
      </w:r>
      <w:r>
        <w:rPr>
          <w:rFonts w:ascii="David" w:hAnsi="David" w:cs="David"/>
          <w:sz w:val="24"/>
          <w:szCs w:val="24"/>
          <w:rtl/>
        </w:rPr>
        <w:t>, פסק</w:t>
      </w:r>
      <w:r>
        <w:rPr>
          <w:rFonts w:ascii="David" w:hAnsi="David" w:cs="David"/>
          <w:sz w:val="24"/>
          <w:szCs w:val="24"/>
          <w:rtl/>
        </w:rPr>
        <w:t>ה 22 (20.8.2020) (להלן: "</w:t>
      </w:r>
      <w:r>
        <w:rPr>
          <w:rFonts w:ascii="David" w:hAnsi="David" w:cs="David"/>
          <w:b/>
          <w:bCs/>
          <w:sz w:val="24"/>
          <w:szCs w:val="24"/>
          <w:rtl/>
        </w:rPr>
        <w:t>עניין אילני</w:t>
      </w:r>
      <w:r>
        <w:rPr>
          <w:rFonts w:ascii="David" w:hAnsi="David" w:cs="David"/>
          <w:sz w:val="24"/>
          <w:szCs w:val="24"/>
          <w:rtl/>
        </w:rPr>
        <w:t xml:space="preserve">"); ע"א 35/83 </w:t>
      </w:r>
      <w:r>
        <w:rPr>
          <w:rFonts w:ascii="David" w:hAnsi="David" w:cs="David"/>
          <w:b/>
          <w:bCs/>
          <w:sz w:val="24"/>
          <w:szCs w:val="24"/>
          <w:rtl/>
        </w:rPr>
        <w:t>חסין נ' פלדמן</w:t>
      </w:r>
      <w:r>
        <w:rPr>
          <w:rFonts w:ascii="David" w:hAnsi="David" w:cs="David"/>
          <w:sz w:val="24"/>
          <w:szCs w:val="24"/>
          <w:rtl/>
        </w:rPr>
        <w:t>, פסקה 5 (26.12.83)).</w:t>
      </w:r>
    </w:p>
    <w:p w14:paraId="2F74ABD7"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sz w:val="24"/>
          <w:szCs w:val="24"/>
          <w:rtl/>
        </w:rPr>
        <w:t>השימוש בסעד זה יעשה רק כאשר העובדות בכתב בתביעה אינן שנויות במחלוקת או שבית המשפט שוכנע כי התביעה תדחה גם אם יוכחו כל העובדות המפורטות בכתב התביעה. די בכך שקיימת אפשרות קל</w:t>
      </w:r>
      <w:r>
        <w:rPr>
          <w:rFonts w:ascii="David" w:hAnsi="David" w:cs="David"/>
          <w:sz w:val="24"/>
          <w:szCs w:val="24"/>
          <w:rtl/>
        </w:rPr>
        <w:t xml:space="preserve">ושה לקבלת התביעה על בסיס המפורט בכתב התביעה להוביל לכך  שהבקשה לסילוק על הסף תדחה (ר' למשל ענין </w:t>
      </w:r>
      <w:r>
        <w:rPr>
          <w:rFonts w:ascii="David" w:hAnsi="David" w:cs="David"/>
          <w:b/>
          <w:bCs/>
          <w:sz w:val="24"/>
          <w:szCs w:val="24"/>
          <w:rtl/>
        </w:rPr>
        <w:t>אגרקסקו</w:t>
      </w:r>
      <w:r>
        <w:rPr>
          <w:rFonts w:ascii="David" w:hAnsi="David" w:cs="David"/>
          <w:sz w:val="24"/>
          <w:szCs w:val="24"/>
          <w:rtl/>
        </w:rPr>
        <w:t xml:space="preserve">; כן ר' ע"א 5634/05 </w:t>
      </w:r>
      <w:r>
        <w:rPr>
          <w:rFonts w:ascii="David" w:hAnsi="David" w:cs="David"/>
          <w:b/>
          <w:bCs/>
          <w:sz w:val="24"/>
          <w:szCs w:val="24"/>
          <w:rtl/>
        </w:rPr>
        <w:t xml:space="preserve">צוקית הכרמל </w:t>
      </w:r>
      <w:r>
        <w:rPr>
          <w:rFonts w:ascii="David" w:hAnsi="David" w:cs="David"/>
          <w:b/>
          <w:bCs/>
          <w:sz w:val="24"/>
          <w:szCs w:val="24"/>
          <w:rtl/>
        </w:rPr>
        <w:lastRenderedPageBreak/>
        <w:t>פרוייקטים בע"מ נ' מיכה צח חברה לקבלנות כללית בע"מ</w:t>
      </w:r>
      <w:r>
        <w:rPr>
          <w:rFonts w:ascii="David" w:hAnsi="David" w:cs="David"/>
          <w:sz w:val="24"/>
          <w:szCs w:val="24"/>
          <w:rtl/>
        </w:rPr>
        <w:t xml:space="preserve"> (4.6.2007); ע"א 4683/16 </w:t>
      </w:r>
      <w:r>
        <w:rPr>
          <w:rFonts w:ascii="David" w:hAnsi="David" w:cs="David"/>
          <w:b/>
          <w:bCs/>
          <w:sz w:val="24"/>
          <w:szCs w:val="24"/>
          <w:rtl/>
        </w:rPr>
        <w:t>חברת החשמל לישראל בע"מ נ' עזבון כהן ז"ל</w:t>
      </w:r>
      <w:r>
        <w:rPr>
          <w:rFonts w:ascii="David" w:hAnsi="David" w:cs="David"/>
          <w:sz w:val="24"/>
          <w:szCs w:val="24"/>
          <w:rtl/>
        </w:rPr>
        <w:t>, פסקה 1</w:t>
      </w:r>
      <w:r>
        <w:rPr>
          <w:rFonts w:ascii="David" w:hAnsi="David" w:cs="David"/>
          <w:sz w:val="24"/>
          <w:szCs w:val="24"/>
          <w:rtl/>
        </w:rPr>
        <w:t xml:space="preserve">9 (23.1.2019); עניין </w:t>
      </w:r>
      <w:r>
        <w:rPr>
          <w:rFonts w:ascii="David" w:hAnsi="David" w:cs="David"/>
          <w:b/>
          <w:bCs/>
          <w:sz w:val="24"/>
          <w:szCs w:val="24"/>
          <w:rtl/>
        </w:rPr>
        <w:t>אילני</w:t>
      </w:r>
      <w:r>
        <w:rPr>
          <w:rFonts w:ascii="David" w:hAnsi="David" w:cs="David"/>
          <w:sz w:val="24"/>
          <w:szCs w:val="24"/>
          <w:rtl/>
        </w:rPr>
        <w:t xml:space="preserve">). </w:t>
      </w:r>
    </w:p>
    <w:p w14:paraId="29F12F4C" w14:textId="77777777" w:rsidR="00476EED" w:rsidRDefault="0041064E" w:rsidP="00C42082">
      <w:pPr>
        <w:pStyle w:val="ae"/>
        <w:spacing w:line="480" w:lineRule="auto"/>
        <w:ind w:left="360"/>
        <w:contextualSpacing w:val="0"/>
        <w:jc w:val="both"/>
        <w:rPr>
          <w:rFonts w:ascii="David" w:hAnsi="David" w:cs="David"/>
          <w:sz w:val="24"/>
          <w:szCs w:val="24"/>
          <w:rtl/>
        </w:rPr>
      </w:pPr>
      <w:r>
        <w:rPr>
          <w:rFonts w:ascii="David" w:hAnsi="David" w:cs="David"/>
          <w:sz w:val="24"/>
          <w:szCs w:val="24"/>
          <w:rtl/>
        </w:rPr>
        <w:t>במקרים בהם אין צורך בבירור עובדתי "</w:t>
      </w:r>
      <w:r>
        <w:rPr>
          <w:rFonts w:ascii="David" w:hAnsi="David" w:cs="David"/>
          <w:b/>
          <w:bCs/>
          <w:sz w:val="24"/>
          <w:szCs w:val="24"/>
          <w:rtl/>
        </w:rPr>
        <w:t>הדרך היעילה לניהול הדיון היא כי הערכאה הדיונית תבחן את טענת הסילוק עוד בטרם הדיון בתביעה לגופה</w:t>
      </w:r>
      <w:r>
        <w:rPr>
          <w:rFonts w:ascii="David" w:hAnsi="David" w:cs="David"/>
          <w:sz w:val="24"/>
          <w:szCs w:val="24"/>
          <w:rtl/>
        </w:rPr>
        <w:t xml:space="preserve">." (ר' פרשת </w:t>
      </w:r>
      <w:r>
        <w:rPr>
          <w:rFonts w:ascii="David" w:hAnsi="David" w:cs="David"/>
          <w:b/>
          <w:bCs/>
          <w:sz w:val="24"/>
          <w:szCs w:val="24"/>
          <w:rtl/>
        </w:rPr>
        <w:t>אגרקסקו</w:t>
      </w:r>
      <w:r>
        <w:rPr>
          <w:rFonts w:ascii="David" w:hAnsi="David" w:cs="David"/>
          <w:sz w:val="24"/>
          <w:szCs w:val="24"/>
          <w:rtl/>
        </w:rPr>
        <w:t xml:space="preserve">, בפסקה 40). בהקשר זה נפסק בגדרי ע"א 9063/12 </w:t>
      </w:r>
      <w:r>
        <w:rPr>
          <w:rFonts w:ascii="David" w:hAnsi="David" w:cs="David"/>
          <w:b/>
          <w:bCs/>
          <w:sz w:val="24"/>
          <w:szCs w:val="24"/>
          <w:rtl/>
        </w:rPr>
        <w:t xml:space="preserve">עזבון המנוח הוראס ריכטר ז"ל נ' </w:t>
      </w:r>
      <w:r>
        <w:rPr>
          <w:rFonts w:ascii="David" w:hAnsi="David" w:cs="David"/>
          <w:b/>
          <w:bCs/>
          <w:sz w:val="24"/>
          <w:szCs w:val="24"/>
        </w:rPr>
        <w:t>Delson</w:t>
      </w:r>
      <w:r>
        <w:rPr>
          <w:rFonts w:ascii="David" w:hAnsi="David" w:cs="David"/>
          <w:sz w:val="24"/>
          <w:szCs w:val="24"/>
          <w:rtl/>
        </w:rPr>
        <w:t>, בפסקה 23 (05.09.2017) כי:</w:t>
      </w:r>
    </w:p>
    <w:p w14:paraId="24B0486F" w14:textId="77777777" w:rsidR="00476EED" w:rsidRPr="00B63888" w:rsidRDefault="0041064E" w:rsidP="00C42082">
      <w:pPr>
        <w:spacing w:after="160" w:line="360" w:lineRule="auto"/>
        <w:ind w:left="1219" w:right="1134"/>
        <w:jc w:val="both"/>
        <w:rPr>
          <w:rFonts w:ascii="David" w:hAnsi="David"/>
          <w:b/>
          <w:bCs/>
          <w:rtl/>
        </w:rPr>
      </w:pPr>
      <w:r w:rsidRPr="00B63888">
        <w:rPr>
          <w:rFonts w:ascii="David" w:hAnsi="David"/>
          <w:rtl/>
        </w:rPr>
        <w:t>"</w:t>
      </w:r>
      <w:r w:rsidRPr="00B63888">
        <w:rPr>
          <w:rFonts w:ascii="David" w:hAnsi="David"/>
          <w:b/>
          <w:bCs/>
          <w:rtl/>
        </w:rPr>
        <w:t>ההכרה בעובדות התביעה כנכונות נועדה להקל על התובע, ולצמצם את השימוש בסעד של מחיקת התובענה (במקרה של טענה בדבר היעדר עילה, למשל), או בסעד של דחיית התובענה (במקרה של טענת התיישנות, למשל), על הסף. משמעות הדברים היא, איפוא, כי</w:t>
      </w:r>
      <w:r w:rsidRPr="00B63888">
        <w:rPr>
          <w:rFonts w:ascii="David" w:hAnsi="David"/>
          <w:b/>
          <w:bCs/>
          <w:rtl/>
        </w:rPr>
        <w:t xml:space="preserve"> סילוק על הסף – לרבות מחמת התיישנות – יכול שייעשה רק באותם מצבים שבהם גם אם בית המשפט יניח כי כל האמור בכתב התביעה נכון – דין התביעה להידחות."</w:t>
      </w:r>
    </w:p>
    <w:p w14:paraId="19D78B4A" w14:textId="77777777" w:rsidR="00476EED" w:rsidRDefault="0041064E" w:rsidP="00C42082">
      <w:pPr>
        <w:pStyle w:val="ae"/>
        <w:numPr>
          <w:ilvl w:val="0"/>
          <w:numId w:val="1"/>
        </w:numPr>
        <w:spacing w:before="559" w:line="480" w:lineRule="auto"/>
        <w:contextualSpacing w:val="0"/>
        <w:jc w:val="both"/>
        <w:rPr>
          <w:rFonts w:ascii="David" w:hAnsi="David" w:cs="David"/>
          <w:sz w:val="24"/>
          <w:szCs w:val="24"/>
          <w:rtl/>
        </w:rPr>
      </w:pPr>
      <w:r>
        <w:rPr>
          <w:rFonts w:ascii="David" w:hAnsi="David" w:cs="David"/>
          <w:sz w:val="24"/>
          <w:szCs w:val="24"/>
          <w:rtl/>
        </w:rPr>
        <w:t>לאחר שבחנתי את הבקשה לסילוק על הסף לאורם של כללים אלו, עיינתי בכתב התביעה ובתגובה לבקשה, נחה דעתי כי דין הבקשה לה</w:t>
      </w:r>
      <w:r>
        <w:rPr>
          <w:rFonts w:ascii="David" w:hAnsi="David" w:cs="David"/>
          <w:sz w:val="24"/>
          <w:szCs w:val="24"/>
          <w:rtl/>
        </w:rPr>
        <w:t>תקבל. ואסביר.</w:t>
      </w:r>
    </w:p>
    <w:p w14:paraId="7D075BDD"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sz w:val="24"/>
          <w:szCs w:val="24"/>
          <w:rtl/>
        </w:rPr>
        <w:t>הנתבע מס' 1 (להלן: "</w:t>
      </w:r>
      <w:r>
        <w:rPr>
          <w:rFonts w:ascii="David" w:hAnsi="David" w:cs="David"/>
          <w:b/>
          <w:bCs/>
          <w:sz w:val="24"/>
          <w:szCs w:val="24"/>
          <w:rtl/>
        </w:rPr>
        <w:t>הנתבע</w:t>
      </w:r>
      <w:r>
        <w:rPr>
          <w:rFonts w:ascii="David" w:hAnsi="David" w:cs="David"/>
          <w:sz w:val="24"/>
          <w:szCs w:val="24"/>
          <w:rtl/>
        </w:rPr>
        <w:t xml:space="preserve">") הורשע בפלילים בגין פגיעות מיניות בתובעת ובקורבן נוסף. הנתבע הודה בעובדות המפורטות בכתב האישום המתוקן והורשע בעבירות מין חמורות, מעשה מגונה, מעשה סדום ובעילה אסורה בהסכמה. הנתבע עבד בבית הספר של הנתבעת מס' 3, </w:t>
      </w:r>
      <w:r>
        <w:rPr>
          <w:rFonts w:ascii="David" w:hAnsi="David" w:cs="David" w:hint="cs"/>
          <w:sz w:val="24"/>
          <w:szCs w:val="24"/>
          <w:rtl/>
        </w:rPr>
        <w:t xml:space="preserve">אשר </w:t>
      </w:r>
      <w:r>
        <w:rPr>
          <w:rFonts w:ascii="David" w:hAnsi="David" w:cs="David"/>
          <w:sz w:val="24"/>
          <w:szCs w:val="24"/>
          <w:rtl/>
        </w:rPr>
        <w:t>אי</w:t>
      </w:r>
      <w:r>
        <w:rPr>
          <w:rFonts w:ascii="David" w:hAnsi="David" w:cs="David"/>
          <w:sz w:val="24"/>
          <w:szCs w:val="24"/>
          <w:rtl/>
        </w:rPr>
        <w:t xml:space="preserve">נו </w:t>
      </w:r>
      <w:r>
        <w:rPr>
          <w:rFonts w:ascii="David" w:hAnsi="David" w:cs="David" w:hint="cs"/>
          <w:sz w:val="24"/>
          <w:szCs w:val="24"/>
          <w:rtl/>
        </w:rPr>
        <w:t>שייך ל</w:t>
      </w:r>
      <w:r>
        <w:rPr>
          <w:rFonts w:ascii="David" w:hAnsi="David" w:cs="David"/>
          <w:sz w:val="24"/>
          <w:szCs w:val="24"/>
          <w:rtl/>
        </w:rPr>
        <w:t>משרד החינוך. הנתבע הועסק בתקופה הרלוונטית על ידי הנתבעת מס' 3 והוא אינו עובד מדינה.</w:t>
      </w:r>
    </w:p>
    <w:p w14:paraId="1E5C2027"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hint="cs"/>
          <w:sz w:val="24"/>
          <w:szCs w:val="24"/>
          <w:rtl/>
        </w:rPr>
        <w:t>משרד החינוך אכן מפקח על החינוך במדינת ישראל לרבות בבית הספר שבו נפגעה התובעת, אולם הפיקוח הינו פיקוח על</w:t>
      </w:r>
      <w:r w:rsidR="00DE75CA">
        <w:rPr>
          <w:rFonts w:ascii="David" w:hAnsi="David" w:cs="David" w:hint="cs"/>
          <w:sz w:val="24"/>
          <w:szCs w:val="24"/>
          <w:rtl/>
        </w:rPr>
        <w:t>,</w:t>
      </w:r>
      <w:r>
        <w:rPr>
          <w:rFonts w:ascii="David" w:hAnsi="David" w:cs="David" w:hint="cs"/>
          <w:sz w:val="24"/>
          <w:szCs w:val="24"/>
          <w:rtl/>
        </w:rPr>
        <w:t xml:space="preserve"> הכולל התווית מדיניות חינוכית, התנהלות הצוות החינוכי, בדרך </w:t>
      </w:r>
      <w:r>
        <w:rPr>
          <w:rFonts w:ascii="David" w:hAnsi="David" w:cs="David" w:hint="cs"/>
          <w:sz w:val="24"/>
          <w:szCs w:val="24"/>
          <w:rtl/>
        </w:rPr>
        <w:t>כלל הנחיות אלו מתבצעות באמצעות חוזר מנכ"ל. משרד החינוך אינו אחראי באחריות קונקרטית לעוולות שבוצעו בין כתלי בית הספר ומחוץ להם, בעיקר כשלא ידע עליהם ולא היה ביכולתו לדעת.</w:t>
      </w:r>
    </w:p>
    <w:p w14:paraId="4F4A3D2D"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sz w:val="24"/>
          <w:szCs w:val="24"/>
          <w:rtl/>
        </w:rPr>
        <w:lastRenderedPageBreak/>
        <w:t>משרד החינוך לא העסיק את הנתבע, לא גייס אותו ולא קיבל אותו לעבודה כמורה בבית הספר. בהקש</w:t>
      </w:r>
      <w:r>
        <w:rPr>
          <w:rFonts w:ascii="David" w:hAnsi="David" w:cs="David"/>
          <w:sz w:val="24"/>
          <w:szCs w:val="24"/>
          <w:rtl/>
        </w:rPr>
        <w:t xml:space="preserve">ר זה קבע כב' השופט י' עמית (כתוארו דאז) ב-ע"א 7008/09 </w:t>
      </w:r>
      <w:r>
        <w:rPr>
          <w:rFonts w:ascii="David" w:hAnsi="David" w:cs="David"/>
          <w:b/>
          <w:bCs/>
          <w:sz w:val="24"/>
          <w:szCs w:val="24"/>
          <w:rtl/>
        </w:rPr>
        <w:t>ג'אבר עדנאן עבד אל רחים נ'</w:t>
      </w:r>
      <w:r>
        <w:rPr>
          <w:b/>
          <w:bCs/>
          <w:szCs w:val="24"/>
          <w:rtl/>
        </w:rPr>
        <w:t xml:space="preserve"> </w:t>
      </w:r>
      <w:r>
        <w:rPr>
          <w:rFonts w:ascii="David" w:hAnsi="David" w:cs="David"/>
          <w:b/>
          <w:bCs/>
          <w:sz w:val="24"/>
          <w:szCs w:val="24"/>
          <w:rtl/>
        </w:rPr>
        <w:t>מוסבאח עבד אל קאדר</w:t>
      </w:r>
      <w:r>
        <w:rPr>
          <w:rFonts w:ascii="David" w:hAnsi="David" w:cs="David"/>
          <w:sz w:val="24"/>
          <w:szCs w:val="24"/>
          <w:rtl/>
        </w:rPr>
        <w:t>, פסקה 32 (7.9.2010) (להלן:</w:t>
      </w:r>
      <w:r>
        <w:rPr>
          <w:rFonts w:ascii="David" w:hAnsi="David" w:cs="David"/>
          <w:b/>
          <w:bCs/>
          <w:sz w:val="24"/>
          <w:szCs w:val="24"/>
          <w:rtl/>
        </w:rPr>
        <w:t xml:space="preserve"> </w:t>
      </w:r>
      <w:r>
        <w:rPr>
          <w:rFonts w:ascii="David" w:hAnsi="David" w:cs="David"/>
          <w:sz w:val="24"/>
          <w:szCs w:val="24"/>
          <w:rtl/>
        </w:rPr>
        <w:t>"</w:t>
      </w:r>
      <w:r>
        <w:rPr>
          <w:rFonts w:ascii="David" w:hAnsi="David" w:cs="David"/>
          <w:b/>
          <w:bCs/>
          <w:sz w:val="24"/>
          <w:szCs w:val="24"/>
          <w:rtl/>
        </w:rPr>
        <w:t>פרשת ג'אבר</w:t>
      </w:r>
      <w:r>
        <w:rPr>
          <w:rFonts w:ascii="David" w:hAnsi="David" w:cs="David"/>
          <w:sz w:val="24"/>
          <w:szCs w:val="24"/>
          <w:rtl/>
        </w:rPr>
        <w:t>"):</w:t>
      </w:r>
    </w:p>
    <w:p w14:paraId="6E19CC59" w14:textId="77777777" w:rsidR="00476EED" w:rsidRDefault="0041064E" w:rsidP="00856C19">
      <w:pPr>
        <w:spacing w:after="160" w:line="360" w:lineRule="auto"/>
        <w:ind w:left="1219" w:right="1134"/>
        <w:jc w:val="both"/>
        <w:rPr>
          <w:rFonts w:ascii="David" w:hAnsi="David"/>
          <w:b/>
          <w:bCs/>
          <w:rtl/>
        </w:rPr>
      </w:pPr>
      <w:r w:rsidRPr="00E93A1B">
        <w:rPr>
          <w:rFonts w:ascii="David" w:hAnsi="David"/>
          <w:b/>
          <w:bCs/>
          <w:rtl/>
        </w:rPr>
        <w:t>"איני רואה לקבל טענת העירייה כי יש לראות את משרד החינוך כמעסיק במשותף עמה ביחסיה מול המורה והמנהל. השניים הם עובדי</w:t>
      </w:r>
      <w:r w:rsidRPr="00E93A1B">
        <w:rPr>
          <w:rFonts w:ascii="David" w:hAnsi="David"/>
          <w:b/>
          <w:bCs/>
          <w:rtl/>
        </w:rPr>
        <w:t>ה של העירייה לכל דבר ועניין, והעובדה כי הם מונחים מקצועית על ידי משרד החינוך אינה הופכת את המדינה למעבידתם."</w:t>
      </w:r>
    </w:p>
    <w:p w14:paraId="6EC16CD6" w14:textId="77777777" w:rsidR="00476EED" w:rsidRDefault="0041064E" w:rsidP="00C42082">
      <w:pPr>
        <w:pStyle w:val="ae"/>
        <w:numPr>
          <w:ilvl w:val="0"/>
          <w:numId w:val="1"/>
        </w:numPr>
        <w:spacing w:before="559" w:line="480" w:lineRule="auto"/>
        <w:contextualSpacing w:val="0"/>
        <w:jc w:val="both"/>
        <w:rPr>
          <w:rFonts w:ascii="David" w:hAnsi="David" w:cs="David"/>
          <w:b/>
          <w:bCs/>
          <w:sz w:val="24"/>
          <w:szCs w:val="24"/>
        </w:rPr>
      </w:pPr>
      <w:r>
        <w:rPr>
          <w:rFonts w:ascii="David" w:hAnsi="David" w:cs="David"/>
          <w:sz w:val="24"/>
          <w:szCs w:val="24"/>
          <w:rtl/>
        </w:rPr>
        <w:t>התובעת טוענת כי יש לחייב את משרד החינוך מכח</w:t>
      </w:r>
      <w:r>
        <w:rPr>
          <w:rFonts w:ascii="David" w:hAnsi="David" w:cs="David"/>
          <w:sz w:val="24"/>
          <w:szCs w:val="24"/>
          <w:rtl/>
        </w:rPr>
        <w:t xml:space="preserve"> היותו מפקח, בהקשר זה מפנה לפרשת ג'אבר. שם אומנם הוטלה אחריות על משרד החינוך בגין ליקוי בטיחותי בבית ספר, אף שבית הספר אינו בבעלות משרד החינוך, אולם אחריות זאת הוטלה </w:t>
      </w:r>
      <w:r>
        <w:rPr>
          <w:rFonts w:ascii="David" w:hAnsi="David" w:cs="David" w:hint="cs"/>
          <w:sz w:val="24"/>
          <w:szCs w:val="24"/>
          <w:rtl/>
        </w:rPr>
        <w:t>מ</w:t>
      </w:r>
      <w:r>
        <w:rPr>
          <w:rFonts w:ascii="David" w:hAnsi="David" w:cs="David"/>
          <w:sz w:val="24"/>
          <w:szCs w:val="24"/>
          <w:rtl/>
        </w:rPr>
        <w:t xml:space="preserve">הטעם שנערכה בדיקה </w:t>
      </w:r>
      <w:r>
        <w:rPr>
          <w:rFonts w:ascii="David" w:hAnsi="David" w:cs="David" w:hint="cs"/>
          <w:sz w:val="24"/>
          <w:szCs w:val="24"/>
          <w:rtl/>
        </w:rPr>
        <w:t xml:space="preserve">על ידי </w:t>
      </w:r>
      <w:r>
        <w:rPr>
          <w:rFonts w:ascii="David" w:hAnsi="David" w:cs="David"/>
          <w:sz w:val="24"/>
          <w:szCs w:val="24"/>
          <w:rtl/>
        </w:rPr>
        <w:t>משרד החינוך, נמצאו ליקויים, ניתנה הוראה לתקן – ולא עקבו אחר התיק</w:t>
      </w:r>
      <w:r>
        <w:rPr>
          <w:rFonts w:ascii="David" w:hAnsi="David" w:cs="David"/>
          <w:sz w:val="24"/>
          <w:szCs w:val="24"/>
          <w:rtl/>
        </w:rPr>
        <w:t>ון. באשר לאחריות מכח חובת הפיקוח נקבע</w:t>
      </w:r>
      <w:r>
        <w:rPr>
          <w:rFonts w:ascii="David" w:hAnsi="David" w:cs="David"/>
          <w:sz w:val="24"/>
          <w:szCs w:val="24"/>
        </w:rPr>
        <w:t xml:space="preserve"> </w:t>
      </w:r>
      <w:r>
        <w:rPr>
          <w:rFonts w:ascii="David" w:hAnsi="David" w:cs="David"/>
          <w:sz w:val="24"/>
          <w:szCs w:val="24"/>
          <w:rtl/>
        </w:rPr>
        <w:t>(שם בפסקה 31):</w:t>
      </w:r>
    </w:p>
    <w:p w14:paraId="0D794D59" w14:textId="77777777" w:rsidR="00476EED" w:rsidRPr="008321D3" w:rsidRDefault="0041064E" w:rsidP="00856C19">
      <w:pPr>
        <w:spacing w:line="360" w:lineRule="auto"/>
        <w:ind w:left="1219" w:right="1134"/>
        <w:contextualSpacing/>
        <w:jc w:val="both"/>
        <w:rPr>
          <w:rFonts w:ascii="David" w:hAnsi="David"/>
          <w:b/>
          <w:bCs/>
          <w:rtl/>
        </w:rPr>
      </w:pPr>
      <w:r w:rsidRPr="008321D3">
        <w:rPr>
          <w:rFonts w:ascii="David" w:hAnsi="David"/>
          <w:b/>
          <w:bCs/>
          <w:rtl/>
        </w:rPr>
        <w:t>"אבהיר כי איני סבור שיש להרחיב את אחריות משרד החינוך לכל ליקוי בטיחותי בבתי הספר בארץ, באשר אין באפשרות משרד החינוך לפקח על מצב המתקנים בכל בתי הספר בכל רגע נתון. אך משקיימה הרשות הציבורית פיקוח ומצאה לי</w:t>
      </w:r>
      <w:r w:rsidRPr="008321D3">
        <w:rPr>
          <w:rFonts w:ascii="David" w:hAnsi="David"/>
          <w:b/>
          <w:bCs/>
          <w:rtl/>
        </w:rPr>
        <w:t>קויים ואף התריעה על הליקויים, שומה עליה לעקוב ולוודא כי הליקוי תוקן (השוו למקרה שנדון בע"א 8526/96  מדינת ישראל נ' פלוני ([פורסם בנבו], 2005) (להלן: פלוני)  שם הוטלה אחריות על המדינה לאחר שהוכח כי המדינה ביקרה במכון ונתעורר חשדה לגבי הפעילות במכון)."</w:t>
      </w:r>
    </w:p>
    <w:p w14:paraId="01990FB3" w14:textId="77777777" w:rsidR="00476EED" w:rsidRPr="008321D3" w:rsidRDefault="0041064E" w:rsidP="00C42082">
      <w:pPr>
        <w:pStyle w:val="ae"/>
        <w:numPr>
          <w:ilvl w:val="0"/>
          <w:numId w:val="1"/>
        </w:numPr>
        <w:spacing w:before="719" w:line="480" w:lineRule="auto"/>
        <w:contextualSpacing w:val="0"/>
        <w:jc w:val="both"/>
        <w:rPr>
          <w:rFonts w:ascii="David" w:hAnsi="David" w:cs="David"/>
          <w:sz w:val="24"/>
          <w:szCs w:val="24"/>
        </w:rPr>
      </w:pPr>
      <w:r w:rsidRPr="008321D3">
        <w:rPr>
          <w:rFonts w:ascii="David" w:hAnsi="David" w:cs="David" w:hint="cs"/>
          <w:sz w:val="24"/>
          <w:szCs w:val="24"/>
          <w:rtl/>
        </w:rPr>
        <w:t xml:space="preserve">אין </w:t>
      </w:r>
      <w:r w:rsidRPr="008321D3">
        <w:rPr>
          <w:rFonts w:ascii="David" w:hAnsi="David" w:cs="David" w:hint="cs"/>
          <w:sz w:val="24"/>
          <w:szCs w:val="24"/>
          <w:rtl/>
        </w:rPr>
        <w:t>הנסיבות שם דומות לענייננו, אין טענה בכתב התביעה כי הרשות ידעה על ההטרדות המיניות שבוצעו על ידי הנתבע עת בוצעו. נהפוך הוא</w:t>
      </w:r>
      <w:r>
        <w:rPr>
          <w:rFonts w:ascii="David" w:hAnsi="David" w:cs="David" w:hint="cs"/>
          <w:sz w:val="24"/>
          <w:szCs w:val="24"/>
          <w:rtl/>
        </w:rPr>
        <w:t>,</w:t>
      </w:r>
      <w:r w:rsidRPr="008321D3">
        <w:rPr>
          <w:rFonts w:ascii="David" w:hAnsi="David" w:cs="David" w:hint="cs"/>
          <w:sz w:val="24"/>
          <w:szCs w:val="24"/>
          <w:rtl/>
        </w:rPr>
        <w:t xml:space="preserve"> נטען שמעשים אלו דווחו בדיעבד ולא  בזמן  אמת. כל שנטען נגד משרד החינוך, שמחובתה של הרשות </w:t>
      </w:r>
      <w:r>
        <w:rPr>
          <w:rFonts w:ascii="David" w:hAnsi="David" w:cs="David" w:hint="cs"/>
          <w:sz w:val="24"/>
          <w:szCs w:val="24"/>
          <w:rtl/>
        </w:rPr>
        <w:t xml:space="preserve">היא </w:t>
      </w:r>
      <w:r w:rsidRPr="008321D3">
        <w:rPr>
          <w:rFonts w:ascii="David" w:hAnsi="David" w:cs="David" w:hint="cs"/>
          <w:sz w:val="24"/>
          <w:szCs w:val="24"/>
          <w:rtl/>
        </w:rPr>
        <w:t>להסדרת סטנדרטים ותנאי העסקה של מורים, לבצע</w:t>
      </w:r>
      <w:r w:rsidRPr="008321D3">
        <w:rPr>
          <w:rFonts w:ascii="David" w:hAnsi="David" w:cs="David" w:hint="cs"/>
          <w:sz w:val="24"/>
          <w:szCs w:val="24"/>
          <w:rtl/>
        </w:rPr>
        <w:t xml:space="preserve"> הסברה אינטנסיבית ולמנוע הסתננות פדופילים למערכת החינוך.</w:t>
      </w:r>
    </w:p>
    <w:p w14:paraId="67FBFAA0"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sidRPr="00A31FA0">
        <w:rPr>
          <w:rFonts w:ascii="David" w:hAnsi="David" w:cs="David" w:hint="cs"/>
          <w:sz w:val="24"/>
          <w:szCs w:val="24"/>
          <w:rtl/>
        </w:rPr>
        <w:lastRenderedPageBreak/>
        <w:t xml:space="preserve">אינני סבורה כי משרד החינוך צריך לדאוג לתנאי העסקתם של מורים שאינם בבית ספר שבבעלותו. משרד החינוך הוא הרגולטור, </w:t>
      </w:r>
      <w:r>
        <w:rPr>
          <w:rFonts w:ascii="David" w:hAnsi="David" w:cs="David" w:hint="cs"/>
          <w:sz w:val="24"/>
          <w:szCs w:val="24"/>
          <w:rtl/>
        </w:rPr>
        <w:t>נושא ב</w:t>
      </w:r>
      <w:r w:rsidRPr="00A31FA0">
        <w:rPr>
          <w:rFonts w:ascii="David" w:hAnsi="David" w:cs="David" w:hint="cs"/>
          <w:sz w:val="24"/>
          <w:szCs w:val="24"/>
          <w:rtl/>
        </w:rPr>
        <w:t xml:space="preserve">תפקיד פיקוח על, פיקוח על התכנים הנלמדים, מתן הנחיות לגבי העסקת מורים. גם אם אסכים </w:t>
      </w:r>
      <w:r w:rsidRPr="00A31FA0">
        <w:rPr>
          <w:rFonts w:ascii="David" w:hAnsi="David" w:cs="David" w:hint="cs"/>
          <w:sz w:val="24"/>
          <w:szCs w:val="24"/>
          <w:rtl/>
        </w:rPr>
        <w:t xml:space="preserve">עם התובעת כי תפקידו של משרד החינוך לדאוג </w:t>
      </w:r>
      <w:r>
        <w:rPr>
          <w:rFonts w:ascii="David" w:hAnsi="David" w:cs="David" w:hint="cs"/>
          <w:sz w:val="24"/>
          <w:szCs w:val="24"/>
          <w:rtl/>
        </w:rPr>
        <w:t xml:space="preserve">לכך </w:t>
      </w:r>
      <w:r w:rsidRPr="00A31FA0">
        <w:rPr>
          <w:rFonts w:ascii="David" w:hAnsi="David" w:cs="David" w:hint="cs"/>
          <w:sz w:val="24"/>
          <w:szCs w:val="24"/>
          <w:rtl/>
        </w:rPr>
        <w:t xml:space="preserve">שיועברו הנחיות למורים </w:t>
      </w:r>
      <w:r>
        <w:rPr>
          <w:rFonts w:ascii="David" w:hAnsi="David" w:cs="David" w:hint="cs"/>
          <w:sz w:val="24"/>
          <w:szCs w:val="24"/>
          <w:rtl/>
        </w:rPr>
        <w:t xml:space="preserve">לפיהן </w:t>
      </w:r>
      <w:r w:rsidRPr="00A31FA0">
        <w:rPr>
          <w:rFonts w:ascii="David" w:hAnsi="David" w:cs="David" w:hint="cs"/>
          <w:sz w:val="24"/>
          <w:szCs w:val="24"/>
          <w:rtl/>
        </w:rPr>
        <w:t xml:space="preserve">אסור ליצור יחסים אינטימיים עם תלמידים וגם אם חובה על משרד החינוך להעביר הנחיות להסדרת מניעה </w:t>
      </w:r>
      <w:r>
        <w:rPr>
          <w:rFonts w:ascii="David" w:hAnsi="David" w:cs="David" w:hint="cs"/>
          <w:sz w:val="24"/>
          <w:szCs w:val="24"/>
          <w:rtl/>
        </w:rPr>
        <w:t>ונ</w:t>
      </w:r>
      <w:r w:rsidRPr="00A31FA0">
        <w:rPr>
          <w:rFonts w:ascii="David" w:hAnsi="David" w:cs="David" w:hint="cs"/>
          <w:sz w:val="24"/>
          <w:szCs w:val="24"/>
          <w:rtl/>
        </w:rPr>
        <w:t>יצול מיני</w:t>
      </w:r>
      <w:r>
        <w:rPr>
          <w:rFonts w:ascii="David" w:hAnsi="David" w:cs="David" w:hint="cs"/>
          <w:sz w:val="24"/>
          <w:szCs w:val="24"/>
          <w:rtl/>
        </w:rPr>
        <w:t xml:space="preserve"> וגם אם אניח לשלב הזה של הדיון, שהנחיות כאלו לא הועברו,</w:t>
      </w:r>
      <w:r w:rsidRPr="00A31FA0">
        <w:rPr>
          <w:rFonts w:ascii="David" w:hAnsi="David" w:cs="David" w:hint="cs"/>
          <w:sz w:val="24"/>
          <w:szCs w:val="24"/>
          <w:rtl/>
        </w:rPr>
        <w:t xml:space="preserve"> הרי שלא נטען ולא עולה על</w:t>
      </w:r>
      <w:r w:rsidRPr="00A31FA0">
        <w:rPr>
          <w:rFonts w:ascii="David" w:hAnsi="David" w:cs="David" w:hint="cs"/>
          <w:sz w:val="24"/>
          <w:szCs w:val="24"/>
          <w:rtl/>
        </w:rPr>
        <w:t xml:space="preserve"> הדעת שהמורה אשר ביצע את העוולות הנטענות</w:t>
      </w:r>
      <w:r>
        <w:rPr>
          <w:rFonts w:ascii="David" w:hAnsi="David" w:cs="David" w:hint="cs"/>
          <w:sz w:val="24"/>
          <w:szCs w:val="24"/>
          <w:rtl/>
        </w:rPr>
        <w:t xml:space="preserve">, שהינן עבירות פליליות לכל דבר וענין, </w:t>
      </w:r>
      <w:r w:rsidRPr="00A31FA0">
        <w:rPr>
          <w:rFonts w:ascii="David" w:hAnsi="David" w:cs="David" w:hint="cs"/>
          <w:sz w:val="24"/>
          <w:szCs w:val="24"/>
          <w:rtl/>
        </w:rPr>
        <w:t xml:space="preserve">סבר </w:t>
      </w:r>
      <w:r>
        <w:rPr>
          <w:rFonts w:ascii="David" w:hAnsi="David" w:cs="David" w:hint="cs"/>
          <w:sz w:val="24"/>
          <w:szCs w:val="24"/>
          <w:rtl/>
        </w:rPr>
        <w:t xml:space="preserve">ולו </w:t>
      </w:r>
      <w:r w:rsidRPr="00A31FA0">
        <w:rPr>
          <w:rFonts w:ascii="David" w:hAnsi="David" w:cs="David" w:hint="cs"/>
          <w:sz w:val="24"/>
          <w:szCs w:val="24"/>
          <w:rtl/>
        </w:rPr>
        <w:t>לרגע</w:t>
      </w:r>
      <w:r>
        <w:rPr>
          <w:rFonts w:ascii="David" w:hAnsi="David" w:cs="David" w:hint="cs"/>
          <w:sz w:val="24"/>
          <w:szCs w:val="24"/>
          <w:rtl/>
        </w:rPr>
        <w:t>,</w:t>
      </w:r>
      <w:r w:rsidRPr="00A31FA0">
        <w:rPr>
          <w:rFonts w:ascii="David" w:hAnsi="David" w:cs="David" w:hint="cs"/>
          <w:sz w:val="24"/>
          <w:szCs w:val="24"/>
          <w:rtl/>
        </w:rPr>
        <w:t xml:space="preserve"> </w:t>
      </w:r>
      <w:r>
        <w:rPr>
          <w:rFonts w:ascii="David" w:hAnsi="David" w:cs="David" w:hint="cs"/>
          <w:sz w:val="24"/>
          <w:szCs w:val="24"/>
          <w:rtl/>
        </w:rPr>
        <w:t xml:space="preserve">בהיעדר הנחיות, </w:t>
      </w:r>
      <w:r w:rsidRPr="00A31FA0">
        <w:rPr>
          <w:rFonts w:ascii="David" w:hAnsi="David" w:cs="David" w:hint="cs"/>
          <w:sz w:val="24"/>
          <w:szCs w:val="24"/>
          <w:rtl/>
        </w:rPr>
        <w:t>כי הוא פועל כדין. גם אם אצא מנקודת הנחה שלא הועברו הדרכות מתאימות</w:t>
      </w:r>
      <w:r>
        <w:rPr>
          <w:rFonts w:ascii="David" w:hAnsi="David" w:cs="David" w:hint="cs"/>
          <w:sz w:val="24"/>
          <w:szCs w:val="24"/>
          <w:rtl/>
        </w:rPr>
        <w:t>,</w:t>
      </w:r>
      <w:r w:rsidRPr="00A31FA0">
        <w:rPr>
          <w:rFonts w:ascii="David" w:hAnsi="David" w:cs="David" w:hint="cs"/>
          <w:sz w:val="24"/>
          <w:szCs w:val="24"/>
          <w:rtl/>
        </w:rPr>
        <w:t xml:space="preserve"> או שמשרד החינוך כשל ב</w:t>
      </w:r>
      <w:r>
        <w:rPr>
          <w:rFonts w:ascii="David" w:hAnsi="David" w:cs="David" w:hint="cs"/>
          <w:sz w:val="24"/>
          <w:szCs w:val="24"/>
          <w:rtl/>
        </w:rPr>
        <w:t>פיקוח בכך שלא ו</w:t>
      </w:r>
      <w:r w:rsidRPr="00A31FA0">
        <w:rPr>
          <w:rFonts w:ascii="David" w:hAnsi="David" w:cs="David" w:hint="cs"/>
          <w:sz w:val="24"/>
          <w:szCs w:val="24"/>
          <w:rtl/>
        </w:rPr>
        <w:t>ידא שמועברות בבית הספר הנחיות מתאימות, אין לכך</w:t>
      </w:r>
      <w:r w:rsidRPr="00A31FA0">
        <w:rPr>
          <w:rFonts w:ascii="David" w:hAnsi="David" w:cs="David" w:hint="cs"/>
          <w:sz w:val="24"/>
          <w:szCs w:val="24"/>
          <w:rtl/>
        </w:rPr>
        <w:t xml:space="preserve"> כל השפעה על התנהגותו העבריינית של הנתבע</w:t>
      </w:r>
      <w:r>
        <w:rPr>
          <w:rFonts w:ascii="David" w:hAnsi="David" w:cs="David" w:hint="cs"/>
          <w:sz w:val="24"/>
          <w:szCs w:val="24"/>
          <w:rtl/>
        </w:rPr>
        <w:t xml:space="preserve">. לפי המתואר בעובדות כתב האישום המתוקן בהן הודה הנתבע, הוא </w:t>
      </w:r>
      <w:r w:rsidRPr="00A31FA0">
        <w:rPr>
          <w:rFonts w:ascii="David" w:hAnsi="David" w:cs="David" w:hint="cs"/>
          <w:sz w:val="24"/>
          <w:szCs w:val="24"/>
          <w:rtl/>
        </w:rPr>
        <w:t>ניצל את עובדת היותו מורה ל</w:t>
      </w:r>
      <w:r>
        <w:rPr>
          <w:rFonts w:ascii="David" w:hAnsi="David" w:cs="David" w:hint="cs"/>
          <w:sz w:val="24"/>
          <w:szCs w:val="24"/>
          <w:rtl/>
        </w:rPr>
        <w:t xml:space="preserve">שם </w:t>
      </w:r>
      <w:r w:rsidRPr="00A31FA0">
        <w:rPr>
          <w:rFonts w:ascii="David" w:hAnsi="David" w:cs="David" w:hint="cs"/>
          <w:sz w:val="24"/>
          <w:szCs w:val="24"/>
          <w:rtl/>
        </w:rPr>
        <w:t xml:space="preserve">ביצוע </w:t>
      </w:r>
      <w:r>
        <w:rPr>
          <w:rFonts w:ascii="David" w:hAnsi="David" w:cs="David" w:hint="cs"/>
          <w:sz w:val="24"/>
          <w:szCs w:val="24"/>
          <w:rtl/>
        </w:rPr>
        <w:t>ה</w:t>
      </w:r>
      <w:r w:rsidRPr="00A31FA0">
        <w:rPr>
          <w:rFonts w:ascii="David" w:hAnsi="David" w:cs="David" w:hint="cs"/>
          <w:sz w:val="24"/>
          <w:szCs w:val="24"/>
          <w:rtl/>
        </w:rPr>
        <w:t xml:space="preserve">מעשים </w:t>
      </w:r>
      <w:r>
        <w:rPr>
          <w:rFonts w:ascii="David" w:hAnsi="David" w:cs="David" w:hint="cs"/>
          <w:sz w:val="24"/>
          <w:szCs w:val="24"/>
          <w:rtl/>
        </w:rPr>
        <w:t>ה</w:t>
      </w:r>
      <w:r w:rsidRPr="00A31FA0">
        <w:rPr>
          <w:rFonts w:ascii="David" w:hAnsi="David" w:cs="David" w:hint="cs"/>
          <w:sz w:val="24"/>
          <w:szCs w:val="24"/>
          <w:rtl/>
        </w:rPr>
        <w:t xml:space="preserve">מיניים </w:t>
      </w:r>
      <w:r>
        <w:rPr>
          <w:rFonts w:ascii="David" w:hAnsi="David" w:cs="David" w:hint="cs"/>
          <w:sz w:val="24"/>
          <w:szCs w:val="24"/>
          <w:rtl/>
        </w:rPr>
        <w:t>בתובעת, תלמידתו. יתרה מכך, נטען בכתב התביעה כי הנתבעים לא פעלו בהתאם להנחיות חוזר מנכ"ל שהוצא על ידי משרד ה</w:t>
      </w:r>
      <w:r>
        <w:rPr>
          <w:rFonts w:ascii="David" w:hAnsi="David" w:cs="David" w:hint="cs"/>
          <w:sz w:val="24"/>
          <w:szCs w:val="24"/>
          <w:rtl/>
        </w:rPr>
        <w:t>חינוך, משמע כי אין טענה שלא הוצאו הנחיות מתאימות (ר' בסעיף 46 לכתב התביעה).</w:t>
      </w:r>
    </w:p>
    <w:p w14:paraId="48CAB999" w14:textId="77777777" w:rsidR="00476EED" w:rsidRDefault="0041064E" w:rsidP="00804CDF">
      <w:pPr>
        <w:pStyle w:val="ae"/>
        <w:numPr>
          <w:ilvl w:val="0"/>
          <w:numId w:val="1"/>
        </w:numPr>
        <w:spacing w:before="240" w:line="480" w:lineRule="auto"/>
        <w:contextualSpacing w:val="0"/>
        <w:jc w:val="both"/>
        <w:rPr>
          <w:rFonts w:ascii="David" w:hAnsi="David" w:cs="David"/>
          <w:sz w:val="24"/>
          <w:szCs w:val="24"/>
        </w:rPr>
      </w:pPr>
      <w:r>
        <w:rPr>
          <w:rFonts w:ascii="David" w:hAnsi="David" w:cs="David" w:hint="cs"/>
          <w:sz w:val="24"/>
          <w:szCs w:val="24"/>
          <w:rtl/>
        </w:rPr>
        <w:t>אין  להטיל על המדינה לשאת באחריות למעשים פליליים של מורה בבית ספר פרטי, כשהיא אינה יודעת על מעשים אלו. הנתבע לא היה בעל עבר פלילי, לא נטען שהיו אינדיקציות קודמות אשר היו אמורות להע</w:t>
      </w:r>
      <w:r>
        <w:rPr>
          <w:rFonts w:ascii="David" w:hAnsi="David" w:cs="David" w:hint="cs"/>
          <w:sz w:val="24"/>
          <w:szCs w:val="24"/>
          <w:rtl/>
        </w:rPr>
        <w:t>לות חשד להתנהגות עבריינית שכזו.</w:t>
      </w:r>
    </w:p>
    <w:p w14:paraId="243EEFFC" w14:textId="77777777" w:rsidR="00476EED" w:rsidRDefault="0041064E" w:rsidP="00804CDF">
      <w:pPr>
        <w:pStyle w:val="ae"/>
        <w:numPr>
          <w:ilvl w:val="0"/>
          <w:numId w:val="1"/>
        </w:numPr>
        <w:spacing w:before="240" w:line="480" w:lineRule="auto"/>
        <w:contextualSpacing w:val="0"/>
        <w:jc w:val="both"/>
        <w:rPr>
          <w:rFonts w:ascii="David" w:hAnsi="David" w:cs="David"/>
          <w:sz w:val="24"/>
          <w:szCs w:val="24"/>
        </w:rPr>
      </w:pPr>
      <w:r>
        <w:rPr>
          <w:rFonts w:ascii="David" w:hAnsi="David" w:cs="David" w:hint="cs"/>
          <w:sz w:val="24"/>
          <w:szCs w:val="24"/>
          <w:rtl/>
        </w:rPr>
        <w:t>הקשר שיצר הנתבע עם התובעת היווה עבירה פלילית לכל דבר וענין. אין להניח שהנתבע לא היה מודע לאיסור שבהתנהגות מינית שכזו והוא אף לא טען כך, מכאן שלא היה בכוחן של הנחיות כאלו או אחרות למנוע את העבירות הפליליות שביצע. מדובר בהתנהג</w:t>
      </w:r>
      <w:r>
        <w:rPr>
          <w:rFonts w:ascii="David" w:hAnsi="David" w:cs="David" w:hint="cs"/>
          <w:sz w:val="24"/>
          <w:szCs w:val="24"/>
          <w:rtl/>
        </w:rPr>
        <w:t>ות החורגת מהתנהגות נורמטיבית בסיסית של כל אדם ובפרט של מורה.</w:t>
      </w:r>
    </w:p>
    <w:p w14:paraId="1D896260" w14:textId="77777777" w:rsidR="00476EED" w:rsidRDefault="0041064E" w:rsidP="00804CDF">
      <w:pPr>
        <w:pStyle w:val="ae"/>
        <w:numPr>
          <w:ilvl w:val="0"/>
          <w:numId w:val="1"/>
        </w:numPr>
        <w:spacing w:before="360" w:line="480" w:lineRule="auto"/>
        <w:contextualSpacing w:val="0"/>
        <w:jc w:val="both"/>
        <w:rPr>
          <w:rFonts w:ascii="David" w:hAnsi="David" w:cs="David"/>
          <w:sz w:val="24"/>
          <w:szCs w:val="24"/>
        </w:rPr>
      </w:pPr>
      <w:r w:rsidRPr="00093FD7">
        <w:rPr>
          <w:rFonts w:ascii="David" w:hAnsi="David" w:cs="David" w:hint="cs"/>
          <w:sz w:val="24"/>
          <w:szCs w:val="24"/>
          <w:rtl/>
        </w:rPr>
        <w:t>הנתבע הינו מורה למוסיקה, אדם בוגר, מצופה ממורה לדעת להבחין בין אסור למותר וככל שבחר לסטות מדרך הישר, החלטה זו אינה נובעת מחוסר ידע. אשר על כן, גם אם יוכח שהמדינה לא העבירה הנחיות בנושא זה, לא מתק</w:t>
      </w:r>
      <w:r w:rsidRPr="00093FD7">
        <w:rPr>
          <w:rFonts w:ascii="David" w:hAnsi="David" w:cs="David" w:hint="cs"/>
          <w:sz w:val="24"/>
          <w:szCs w:val="24"/>
          <w:rtl/>
        </w:rPr>
        <w:t xml:space="preserve">יים קשר סיבתי בין העדר הנחיות וביצוע העבירות. </w:t>
      </w:r>
      <w:r>
        <w:rPr>
          <w:rFonts w:ascii="David" w:hAnsi="David" w:cs="David" w:hint="cs"/>
          <w:sz w:val="24"/>
          <w:szCs w:val="24"/>
          <w:rtl/>
        </w:rPr>
        <w:t xml:space="preserve">בהקשר </w:t>
      </w:r>
      <w:r>
        <w:rPr>
          <w:rFonts w:ascii="David" w:hAnsi="David" w:cs="David" w:hint="cs"/>
          <w:sz w:val="24"/>
          <w:szCs w:val="24"/>
          <w:rtl/>
        </w:rPr>
        <w:lastRenderedPageBreak/>
        <w:t xml:space="preserve">זה </w:t>
      </w:r>
      <w:r>
        <w:rPr>
          <w:rFonts w:ascii="David" w:hAnsi="David" w:cs="David"/>
          <w:sz w:val="24"/>
          <w:szCs w:val="24"/>
          <w:rtl/>
        </w:rPr>
        <w:t xml:space="preserve">ר' דברי כב' השופטת י' וילנר במסגרת ע"א 1751/18 </w:t>
      </w:r>
      <w:r>
        <w:rPr>
          <w:rFonts w:ascii="David" w:hAnsi="David" w:cs="David"/>
          <w:b/>
          <w:bCs/>
          <w:sz w:val="24"/>
          <w:szCs w:val="24"/>
          <w:rtl/>
        </w:rPr>
        <w:t>עירית אשקלון נ' פלוני</w:t>
      </w:r>
      <w:r>
        <w:rPr>
          <w:rFonts w:ascii="David" w:hAnsi="David" w:cs="David"/>
          <w:sz w:val="24"/>
          <w:szCs w:val="24"/>
          <w:rtl/>
        </w:rPr>
        <w:t>, בפסקה 19 (‏2.10.2019) (להלן: "</w:t>
      </w:r>
      <w:r>
        <w:rPr>
          <w:rFonts w:ascii="David" w:hAnsi="David" w:cs="David"/>
          <w:b/>
          <w:bCs/>
          <w:sz w:val="24"/>
          <w:szCs w:val="24"/>
          <w:rtl/>
        </w:rPr>
        <w:t>פרשת עיריית אשקלון</w:t>
      </w:r>
      <w:r>
        <w:rPr>
          <w:rFonts w:ascii="David" w:hAnsi="David" w:cs="David"/>
          <w:sz w:val="24"/>
          <w:szCs w:val="24"/>
          <w:rtl/>
        </w:rPr>
        <w:t>"):</w:t>
      </w:r>
    </w:p>
    <w:p w14:paraId="3A8FCFD2" w14:textId="77777777" w:rsidR="00476EED" w:rsidRDefault="0041064E" w:rsidP="00856C19">
      <w:pPr>
        <w:spacing w:line="360" w:lineRule="auto"/>
        <w:ind w:left="1219" w:right="1134"/>
        <w:contextualSpacing/>
        <w:jc w:val="both"/>
        <w:rPr>
          <w:rFonts w:ascii="David" w:hAnsi="David"/>
          <w:b/>
          <w:bCs/>
          <w:rtl/>
        </w:rPr>
      </w:pPr>
      <w:r w:rsidRPr="00093FD7">
        <w:rPr>
          <w:rFonts w:ascii="David" w:hAnsi="David"/>
          <w:b/>
          <w:bCs/>
          <w:rtl/>
        </w:rPr>
        <w:t>"כידוע, לא די בהתרשלות כשלעצמה על מנת לחייב את הגורם המתרשל בנזיקין, אלא יש להו</w:t>
      </w:r>
      <w:r w:rsidRPr="00093FD7">
        <w:rPr>
          <w:rFonts w:ascii="David" w:hAnsi="David"/>
          <w:b/>
          <w:bCs/>
          <w:rtl/>
        </w:rPr>
        <w:t xml:space="preserve">סיף ולהוכיח, בין היתר, קשר סיבתי משפטי בין ההתנהגות הרשלנית לבין נזקי התובע. בתוך כך, על התובע להוכיח כי המתרשל צריך היה לצפות שמעשיו יגרמו לנזק העומד על הפרק (ראו: רע"א 4394/09 לנדרמן נ' סגיב הנדסה ושות' (1993) בע"מ, [פורסם בנבו] פסקאות 8-7 (30.12.2010); </w:t>
      </w:r>
      <w:r w:rsidRPr="00093FD7">
        <w:rPr>
          <w:rFonts w:ascii="David" w:hAnsi="David"/>
          <w:b/>
          <w:bCs/>
          <w:rtl/>
        </w:rPr>
        <w:t>ע"א 4486/11 פלוני נ' פלוני, [פורסם בנבו] פסקה 10 (15.7.2013); ישראל גלעד דיני נזיקין – גבולות האחריות 575-574 (2012) (להלן: גלעד דיני נזיקין))."</w:t>
      </w:r>
    </w:p>
    <w:p w14:paraId="3A24880D" w14:textId="77777777" w:rsidR="00476EED" w:rsidRPr="00093FD7" w:rsidRDefault="0041064E" w:rsidP="00C42082">
      <w:pPr>
        <w:pStyle w:val="ae"/>
        <w:numPr>
          <w:ilvl w:val="0"/>
          <w:numId w:val="1"/>
        </w:numPr>
        <w:spacing w:before="719" w:line="480" w:lineRule="auto"/>
        <w:contextualSpacing w:val="0"/>
        <w:jc w:val="both"/>
        <w:rPr>
          <w:rFonts w:ascii="David" w:hAnsi="David" w:cs="David"/>
          <w:sz w:val="24"/>
          <w:szCs w:val="24"/>
        </w:rPr>
      </w:pPr>
      <w:r w:rsidRPr="00093FD7">
        <w:rPr>
          <w:rFonts w:ascii="David" w:hAnsi="David" w:cs="David" w:hint="cs"/>
          <w:sz w:val="24"/>
          <w:szCs w:val="24"/>
          <w:rtl/>
        </w:rPr>
        <w:t>חוק פיקוח על בתי ספר</w:t>
      </w:r>
      <w:r>
        <w:rPr>
          <w:rFonts w:ascii="David" w:hAnsi="David" w:cs="David" w:hint="cs"/>
          <w:sz w:val="24"/>
          <w:szCs w:val="24"/>
          <w:rtl/>
        </w:rPr>
        <w:t>,</w:t>
      </w:r>
      <w:r w:rsidRPr="00093FD7">
        <w:rPr>
          <w:rFonts w:ascii="David" w:hAnsi="David" w:cs="David" w:hint="cs"/>
          <w:sz w:val="24"/>
          <w:szCs w:val="24"/>
          <w:rtl/>
        </w:rPr>
        <w:t xml:space="preserve"> תשכ"ט-1969 מסדיר את אחריותו של משרד החינוך והפיקוח על מוסדות חינוך. האישור מותנה בכך שהמו</w:t>
      </w:r>
      <w:r w:rsidRPr="00093FD7">
        <w:rPr>
          <w:rFonts w:ascii="David" w:hAnsi="David" w:cs="David" w:hint="cs"/>
          <w:sz w:val="24"/>
          <w:szCs w:val="24"/>
          <w:rtl/>
        </w:rPr>
        <w:t>סד החינוכי עונה על דרישות הבטיחות ורמת הלימודים ותכני הלימודים, ובכלל זה הסדרת העסקת עובדי חינוך. סעיף 27(א) קובע כי עובד חינוך צריך להמציא אישור בריאות. לא נטען בכתב התביעה כי הנתבע הועסק בניגוד למצב בריאותי ידוע וכי יש קשר בין מצבו ה</w:t>
      </w:r>
      <w:r>
        <w:rPr>
          <w:rFonts w:ascii="David" w:hAnsi="David" w:cs="David" w:hint="cs"/>
          <w:sz w:val="24"/>
          <w:szCs w:val="24"/>
          <w:rtl/>
        </w:rPr>
        <w:t>בריאותי והעוולות שביצ</w:t>
      </w:r>
      <w:r>
        <w:rPr>
          <w:rFonts w:ascii="David" w:hAnsi="David" w:cs="David" w:hint="cs"/>
          <w:sz w:val="24"/>
          <w:szCs w:val="24"/>
          <w:rtl/>
        </w:rPr>
        <w:t>ע.</w:t>
      </w:r>
    </w:p>
    <w:p w14:paraId="26842F9E"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Pr>
          <w:rFonts w:ascii="David" w:hAnsi="David" w:cs="David" w:hint="cs"/>
          <w:sz w:val="24"/>
          <w:szCs w:val="24"/>
          <w:rtl/>
        </w:rPr>
        <w:t>הפיקוח הקונקרטי על התנהלות המורים בבית הספר חל על מנהל בית הספר ויתכן שעל המעסיק של המורה, המועצה המקומית (בכפוף להוכחת מעורבות הרשות). משרד החינוך אחראי לכל היותר באחריות מושגית. כתב התביעה אינו מפרט עילה המחייבת את משרד החינוך באחריות מושגית.</w:t>
      </w:r>
    </w:p>
    <w:p w14:paraId="38239285" w14:textId="77777777" w:rsidR="00476EED" w:rsidRDefault="0041064E" w:rsidP="009B33F1">
      <w:pPr>
        <w:pStyle w:val="ae"/>
        <w:numPr>
          <w:ilvl w:val="0"/>
          <w:numId w:val="1"/>
        </w:numPr>
        <w:spacing w:after="480" w:line="480" w:lineRule="auto"/>
        <w:contextualSpacing w:val="0"/>
        <w:jc w:val="both"/>
        <w:rPr>
          <w:rFonts w:ascii="David" w:hAnsi="David" w:cs="David"/>
          <w:sz w:val="24"/>
          <w:szCs w:val="24"/>
        </w:rPr>
      </w:pPr>
      <w:r w:rsidRPr="00931B99">
        <w:rPr>
          <w:rFonts w:ascii="David" w:hAnsi="David" w:cs="David" w:hint="cs"/>
          <w:sz w:val="24"/>
          <w:szCs w:val="24"/>
          <w:rtl/>
        </w:rPr>
        <w:t xml:space="preserve">המדינה, </w:t>
      </w:r>
      <w:r w:rsidRPr="00931B99">
        <w:rPr>
          <w:rFonts w:ascii="David" w:hAnsi="David" w:cs="David" w:hint="cs"/>
          <w:sz w:val="24"/>
          <w:szCs w:val="24"/>
          <w:rtl/>
        </w:rPr>
        <w:t>במקרה זה, פעלה כמפקח בלבד, אין להטיל עליה אחריות פיקוח קונקרטית כשלא נטען למעורבות כלשהי של המדינה, לא בבחירת המורה ולא בהעסקתו, שאם לא נאמר כך, תמצא המדינה חייבת בכל עוולה שבוצעה בתחומה כמעין "מבטח על" הנושא באחריות, קל וחומר כשלא ימצא חייב אחר בעל "כיס ע</w:t>
      </w:r>
      <w:r w:rsidRPr="00931B99">
        <w:rPr>
          <w:rFonts w:ascii="David" w:hAnsi="David" w:cs="David" w:hint="cs"/>
          <w:sz w:val="24"/>
          <w:szCs w:val="24"/>
          <w:rtl/>
        </w:rPr>
        <w:t xml:space="preserve">מוק" שבכוחו לפצות על עוולות שבוצעו. יפים לענין זה דבריה של כב' השופטת וילנר </w:t>
      </w:r>
      <w:r w:rsidRPr="00931B99">
        <w:rPr>
          <w:rFonts w:ascii="David" w:hAnsi="David" w:cs="David" w:hint="cs"/>
          <w:b/>
          <w:bCs/>
          <w:sz w:val="24"/>
          <w:szCs w:val="24"/>
          <w:rtl/>
        </w:rPr>
        <w:t xml:space="preserve"> </w:t>
      </w:r>
      <w:r>
        <w:rPr>
          <w:rFonts w:ascii="David" w:hAnsi="David" w:cs="David"/>
          <w:sz w:val="24"/>
          <w:szCs w:val="24"/>
          <w:rtl/>
        </w:rPr>
        <w:t>בפרשת</w:t>
      </w:r>
      <w:r>
        <w:rPr>
          <w:rFonts w:ascii="David" w:hAnsi="David" w:cs="David"/>
          <w:b/>
          <w:bCs/>
          <w:sz w:val="24"/>
          <w:szCs w:val="24"/>
          <w:rtl/>
        </w:rPr>
        <w:t xml:space="preserve"> עיריית  אשקלון</w:t>
      </w:r>
      <w:r>
        <w:rPr>
          <w:rFonts w:ascii="David" w:hAnsi="David" w:cs="David"/>
          <w:sz w:val="24"/>
          <w:szCs w:val="24"/>
          <w:rtl/>
        </w:rPr>
        <w:t>:</w:t>
      </w:r>
    </w:p>
    <w:p w14:paraId="47B8D527" w14:textId="77777777" w:rsidR="00476EED" w:rsidRPr="00931B99" w:rsidRDefault="0041064E" w:rsidP="00B06564">
      <w:pPr>
        <w:spacing w:line="360" w:lineRule="auto"/>
        <w:ind w:left="1219" w:right="1134"/>
        <w:contextualSpacing/>
        <w:jc w:val="both"/>
        <w:rPr>
          <w:rFonts w:ascii="David" w:hAnsi="David"/>
          <w:b/>
          <w:bCs/>
        </w:rPr>
      </w:pPr>
      <w:r w:rsidRPr="00931B99">
        <w:rPr>
          <w:rFonts w:ascii="David" w:hAnsi="David"/>
          <w:b/>
          <w:bCs/>
          <w:rtl/>
        </w:rPr>
        <w:lastRenderedPageBreak/>
        <w:t xml:space="preserve">"בהקשר זה, אעיר כי יש להישמר מפני הרחבה יתרה של האחריות המוטלת על רשויות המדינה בגין נזקים הנובעים מהפעלת סמכויות שלטוניות הנתונות בידיהן, כדוגמת רישוי </w:t>
      </w:r>
      <w:r w:rsidRPr="00931B99">
        <w:rPr>
          <w:rFonts w:ascii="David" w:hAnsi="David"/>
          <w:b/>
          <w:bCs/>
          <w:rtl/>
        </w:rPr>
        <w:t>ופיקוח. זאת, נוכח העובדה שככלל, אחריות המדינה בכל הנוגע לנזקים מעין אלה – היא אך עקיפה, ובוודאי שאינה עולה, ככלל, על האחריות והאשם הטמונים במעשי המעוולים הישירים וה"קרובים" יותר לנזק הנתבע. ונסיבות המקרה דנן יעידו.</w:t>
      </w:r>
    </w:p>
    <w:p w14:paraId="18D61508" w14:textId="77777777" w:rsidR="00476EED" w:rsidRPr="00931B99" w:rsidRDefault="0041064E" w:rsidP="00B06564">
      <w:pPr>
        <w:spacing w:line="360" w:lineRule="auto"/>
        <w:ind w:left="1219" w:right="1134"/>
        <w:contextualSpacing/>
        <w:jc w:val="both"/>
        <w:rPr>
          <w:rFonts w:ascii="David" w:hAnsi="David"/>
          <w:rtl/>
        </w:rPr>
      </w:pPr>
      <w:r w:rsidRPr="00931B99">
        <w:rPr>
          <w:rFonts w:ascii="David" w:hAnsi="David"/>
          <w:b/>
          <w:bCs/>
          <w:rtl/>
        </w:rPr>
        <w:t>הרחבה יתרה של האחריות המוטלת על המדינה בג</w:t>
      </w:r>
      <w:r w:rsidRPr="00931B99">
        <w:rPr>
          <w:rFonts w:ascii="David" w:hAnsi="David"/>
          <w:b/>
          <w:bCs/>
          <w:rtl/>
        </w:rPr>
        <w:t>ין הפעלת סמכויות שלטוניות כאמור, עלולה להפוך את המדינה "למעין 'מבטח על' של כל הפעילות במשק בכל תחומי החיים שלגביה יש למדינה סמכויות פיקוח, רישוי והסדרה"..."</w:t>
      </w:r>
    </w:p>
    <w:p w14:paraId="67F1A1E8" w14:textId="77777777" w:rsidR="00476EED" w:rsidRPr="00F3215F" w:rsidRDefault="0041064E" w:rsidP="009B33F1">
      <w:pPr>
        <w:spacing w:before="559" w:after="160" w:line="480" w:lineRule="auto"/>
        <w:jc w:val="both"/>
        <w:outlineLvl w:val="1"/>
        <w:rPr>
          <w:rFonts w:ascii="David" w:hAnsi="David"/>
        </w:rPr>
      </w:pPr>
      <w:r w:rsidRPr="00F3215F">
        <w:rPr>
          <w:rFonts w:ascii="David" w:hAnsi="David" w:hint="cs"/>
          <w:b/>
          <w:bCs/>
          <w:rtl/>
        </w:rPr>
        <w:t>סוף דבר</w:t>
      </w:r>
    </w:p>
    <w:p w14:paraId="3BDD1E7E" w14:textId="77777777" w:rsidR="00476EED" w:rsidRDefault="0041064E" w:rsidP="00C42082">
      <w:pPr>
        <w:pStyle w:val="ae"/>
        <w:numPr>
          <w:ilvl w:val="0"/>
          <w:numId w:val="1"/>
        </w:numPr>
        <w:spacing w:line="480" w:lineRule="auto"/>
        <w:contextualSpacing w:val="0"/>
        <w:jc w:val="both"/>
        <w:rPr>
          <w:rFonts w:ascii="David" w:hAnsi="David" w:cs="David"/>
          <w:sz w:val="24"/>
          <w:szCs w:val="24"/>
        </w:rPr>
      </w:pPr>
      <w:r w:rsidRPr="003D56A2">
        <w:rPr>
          <w:rFonts w:ascii="David" w:hAnsi="David" w:cs="David" w:hint="cs"/>
          <w:sz w:val="24"/>
          <w:szCs w:val="24"/>
          <w:rtl/>
        </w:rPr>
        <w:t xml:space="preserve">כתב התביעה אינו מגלה עילה נגד משרד החינוך, לפיכך התביעה נגד </w:t>
      </w:r>
      <w:r>
        <w:rPr>
          <w:rFonts w:ascii="David" w:hAnsi="David" w:cs="David" w:hint="cs"/>
          <w:sz w:val="24"/>
          <w:szCs w:val="24"/>
          <w:rtl/>
        </w:rPr>
        <w:t xml:space="preserve">מדינת ישראל - </w:t>
      </w:r>
      <w:r w:rsidRPr="003D56A2">
        <w:rPr>
          <w:rFonts w:ascii="David" w:hAnsi="David" w:cs="David" w:hint="cs"/>
          <w:sz w:val="24"/>
          <w:szCs w:val="24"/>
          <w:rtl/>
        </w:rPr>
        <w:t>משרד החינוך</w:t>
      </w:r>
      <w:r>
        <w:rPr>
          <w:rFonts w:ascii="David" w:hAnsi="David" w:cs="David" w:hint="cs"/>
          <w:sz w:val="24"/>
          <w:szCs w:val="24"/>
          <w:rtl/>
        </w:rPr>
        <w:t xml:space="preserve">, הנתבעת מס' 2, </w:t>
      </w:r>
      <w:r w:rsidRPr="003D56A2">
        <w:rPr>
          <w:rFonts w:ascii="David" w:hAnsi="David" w:cs="David" w:hint="cs"/>
          <w:sz w:val="24"/>
          <w:szCs w:val="24"/>
          <w:rtl/>
        </w:rPr>
        <w:t xml:space="preserve">נמחקת על </w:t>
      </w:r>
      <w:r>
        <w:rPr>
          <w:rFonts w:ascii="David" w:hAnsi="David" w:cs="David" w:hint="cs"/>
          <w:sz w:val="24"/>
          <w:szCs w:val="24"/>
          <w:rtl/>
        </w:rPr>
        <w:t>הסף.</w:t>
      </w:r>
    </w:p>
    <w:p w14:paraId="2CE7A01E" w14:textId="77777777" w:rsidR="00476EED" w:rsidRPr="009443D5" w:rsidRDefault="0041064E" w:rsidP="00C42082">
      <w:pPr>
        <w:pStyle w:val="ae"/>
        <w:spacing w:line="480" w:lineRule="auto"/>
        <w:ind w:left="360"/>
        <w:contextualSpacing w:val="0"/>
        <w:jc w:val="both"/>
        <w:rPr>
          <w:rFonts w:ascii="David" w:hAnsi="David" w:cs="David"/>
          <w:sz w:val="24"/>
          <w:szCs w:val="24"/>
        </w:rPr>
      </w:pPr>
      <w:r>
        <w:rPr>
          <w:rFonts w:ascii="David" w:hAnsi="David" w:cs="David" w:hint="cs"/>
          <w:sz w:val="24"/>
          <w:szCs w:val="24"/>
          <w:rtl/>
        </w:rPr>
        <w:t>התובעת תישא בהוצאות הנתבעת מס' 2 בסך 5,000 ₪.</w:t>
      </w:r>
    </w:p>
    <w:p w14:paraId="4CF6584B" w14:textId="77777777" w:rsidR="00694556" w:rsidRDefault="0041064E" w:rsidP="009825DB">
      <w:pPr>
        <w:spacing w:before="2760"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כ"ה אלול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18 ספטמבר 2025</w:t>
          </w:r>
        </w:sdtContent>
      </w:sdt>
      <w:r w:rsidR="00005C8B">
        <w:rPr>
          <w:rFonts w:ascii="Arial" w:hAnsi="Arial"/>
          <w:noProof w:val="0"/>
          <w:rtl/>
        </w:rPr>
        <w:t>, בהעדר הצדדים.</w:t>
      </w:r>
    </w:p>
    <w:p w14:paraId="21A61455" w14:textId="36D33FA4" w:rsidR="00694556" w:rsidRDefault="0041064E" w:rsidP="00BD6531">
      <w:pPr>
        <w:tabs>
          <w:tab w:val="left" w:pos="2553"/>
        </w:tabs>
        <w:spacing w:before="279" w:after="279"/>
      </w:pPr>
      <w:r>
        <w:rPr>
          <w:rFonts w:hint="cs"/>
          <w:rtl/>
        </w:rPr>
        <w:tab/>
      </w:r>
      <w:r>
        <w:rPr>
          <w:rFonts w:hint="cs"/>
          <w:rtl/>
        </w:rPr>
        <w:tab/>
      </w:r>
      <w:r>
        <w:rPr>
          <w:rFonts w:hint="cs"/>
          <w:rtl/>
        </w:rPr>
        <w:tab/>
      </w:r>
      <w:r>
        <w:rPr>
          <w:rFonts w:hint="cs"/>
          <w:rtl/>
        </w:rPr>
        <w:tab/>
      </w:r>
      <w:r w:rsidR="009825DB">
        <w:rPr>
          <w:rtl/>
        </w:rPr>
        <w:tab/>
      </w:r>
      <w:sdt>
        <w:sdtPr>
          <w:rPr>
            <w:rtl/>
          </w:rPr>
          <w:alias w:val="MergeField"/>
          <w:tag w:val="1237"/>
          <w:id w:val="-351113093"/>
        </w:sdtPr>
        <w:sdtEndPr/>
        <w:sdtContent>
          <w:r w:rsidR="00A42834">
            <w:drawing>
              <wp:inline distT="0" distB="0" distL="0" distR="0" wp14:anchorId="7B66C79C" wp14:editId="543E2FD2">
                <wp:extent cx="1638300" cy="419100"/>
                <wp:effectExtent l="0" t="0" r="0" b="0"/>
                <wp:docPr id="1" name="Picture 1" descr="חתימת אירית קלמן, ברום, שופט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חתימת אירית קלמן, ברום, שופטת"/>
                        <pic:cNvPicPr/>
                      </pic:nvPicPr>
                      <pic:blipFill>
                        <a:blip r:embed="rId14" cstate="print"/>
                        <a:stretch>
                          <a:fillRect/>
                        </a:stretch>
                      </pic:blipFill>
                      <pic:spPr>
                        <a:xfrm>
                          <a:off x="0" y="0"/>
                          <a:ext cx="1638300" cy="419100"/>
                        </a:xfrm>
                        <a:prstGeom prst="rect">
                          <a:avLst/>
                        </a:prstGeom>
                      </pic:spPr>
                    </pic:pic>
                  </a:graphicData>
                </a:graphic>
              </wp:inline>
            </w:drawing>
          </w:r>
        </w:sdtContent>
      </w:sdt>
    </w:p>
    <w:sectPr w:rsidR="00694556" w:rsidSect="0055100D">
      <w:headerReference w:type="default" r:id="rId15"/>
      <w:type w:val="continuous"/>
      <w:pgSz w:w="11907" w:h="16840" w:code="9"/>
      <w:pgMar w:top="454" w:right="1701" w:bottom="1701" w:left="1701"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28791" w14:textId="77777777" w:rsidR="00070D4B" w:rsidRDefault="00070D4B">
      <w:r>
        <w:separator/>
      </w:r>
    </w:p>
  </w:endnote>
  <w:endnote w:type="continuationSeparator" w:id="0">
    <w:p w14:paraId="5F1B3761" w14:textId="77777777" w:rsidR="00070D4B" w:rsidRDefault="00070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04F54" w14:textId="2DDB61E1" w:rsidR="00694556" w:rsidRPr="004E6E3C" w:rsidRDefault="0041064E">
    <w:pPr>
      <w:pStyle w:val="a5"/>
      <w:jc w:val="center"/>
      <w:rPr>
        <w:rStyle w:val="ac"/>
      </w:rPr>
    </w:pPr>
    <w:r w:rsidRPr="004E6E3C">
      <w:rPr>
        <w:rStyle w:val="ac"/>
        <w:rFonts w:cs="Times New Roman"/>
      </w:rPr>
      <w:fldChar w:fldCharType="begin"/>
    </w:r>
    <w:r w:rsidR="00005C8B" w:rsidRPr="004E6E3C">
      <w:rPr>
        <w:rStyle w:val="ac"/>
        <w:rFonts w:cs="Times New Roman"/>
      </w:rPr>
      <w:instrText xml:space="preserve"> PAGE </w:instrText>
    </w:r>
    <w:r w:rsidRPr="004E6E3C">
      <w:rPr>
        <w:rStyle w:val="ac"/>
        <w:rFonts w:cs="Times New Roman"/>
      </w:rPr>
      <w:fldChar w:fldCharType="separate"/>
    </w:r>
    <w:r>
      <w:rPr>
        <w:rStyle w:val="ac"/>
        <w:rFonts w:cs="Times New Roman"/>
        <w:rtl/>
      </w:rPr>
      <w:t>1</w:t>
    </w:r>
    <w:r w:rsidRPr="004E6E3C">
      <w:rPr>
        <w:rStyle w:val="ac"/>
        <w:rFonts w:cs="Times New Roman"/>
      </w:rPr>
      <w:fldChar w:fldCharType="end"/>
    </w:r>
    <w:r w:rsidR="00005C8B" w:rsidRPr="004E6E3C">
      <w:rPr>
        <w:rStyle w:val="ac"/>
        <w:rFonts w:hint="cs"/>
        <w:rtl/>
      </w:rPr>
      <w:t xml:space="preserve"> מתוך </w:t>
    </w:r>
    <w:r w:rsidRPr="004E6E3C">
      <w:rPr>
        <w:rStyle w:val="ac"/>
      </w:rPr>
      <w:fldChar w:fldCharType="begin"/>
    </w:r>
    <w:r w:rsidR="00005C8B" w:rsidRPr="004E6E3C">
      <w:rPr>
        <w:rStyle w:val="ac"/>
      </w:rPr>
      <w:instrText xml:space="preserve"> NUMPAGES </w:instrText>
    </w:r>
    <w:r w:rsidRPr="004E6E3C">
      <w:rPr>
        <w:rStyle w:val="ac"/>
      </w:rPr>
      <w:fldChar w:fldCharType="separate"/>
    </w:r>
    <w:r>
      <w:rPr>
        <w:rStyle w:val="ac"/>
        <w:rtl/>
      </w:rPr>
      <w:t>8</w:t>
    </w:r>
    <w:r w:rsidRPr="004E6E3C">
      <w:rPr>
        <w:rStyle w:val="a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F02F58" w14:textId="77777777" w:rsidR="00070D4B" w:rsidRDefault="00070D4B">
      <w:r>
        <w:separator/>
      </w:r>
    </w:p>
  </w:footnote>
  <w:footnote w:type="continuationSeparator" w:id="0">
    <w:p w14:paraId="3142E7CE" w14:textId="77777777" w:rsidR="00070D4B" w:rsidRDefault="00070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80E54" w14:textId="77777777" w:rsidR="00694556" w:rsidRPr="00C9340D" w:rsidRDefault="0041064E" w:rsidP="00C9340D">
    <w:pPr>
      <w:pStyle w:val="a3"/>
      <w:rPr>
        <w:rtl/>
      </w:rPr>
    </w:pPr>
    <w:r w:rsidRPr="00C9340D">
      <w:rPr>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E5B60" w14:textId="77777777" w:rsidR="00C9340D" w:rsidRDefault="00C9340D">
    <w:pPr>
      <w:pStyle w:val="a3"/>
      <w:jc w:val="center"/>
      <w:rPr>
        <w:rFonts w:cs="FrankRuehl"/>
        <w:noProof w:val="0"/>
        <w:sz w:val="28"/>
        <w:szCs w:val="28"/>
        <w:rtl/>
      </w:rPr>
    </w:pPr>
    <w:r>
      <w:rPr>
        <w:rFonts w:cs="FrankRuehl"/>
        <w:sz w:val="28"/>
        <w:szCs w:val="28"/>
      </w:rPr>
      <w:drawing>
        <wp:inline distT="0" distB="0" distL="0" distR="0" wp14:anchorId="16C5374C" wp14:editId="26E71A08">
          <wp:extent cx="374015" cy="469265"/>
          <wp:effectExtent l="0" t="0" r="6985" b="6985"/>
          <wp:docPr id="1967168265"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74015" cy="469265"/>
                  </a:xfrm>
                  <a:prstGeom prst="rect">
                    <a:avLst/>
                  </a:prstGeom>
                  <a:noFill/>
                  <a:ln>
                    <a:noFill/>
                  </a:ln>
                </pic:spPr>
              </pic:pic>
            </a:graphicData>
          </a:graphic>
        </wp:inline>
      </w:drawing>
    </w:r>
  </w:p>
  <w:p w14:paraId="4C344A37" w14:textId="77777777" w:rsidR="00C9340D" w:rsidRPr="004F36A3" w:rsidRDefault="00C9340D" w:rsidP="003230C7">
    <w:pPr>
      <w:pStyle w:val="a3"/>
      <w:jc w:val="center"/>
      <w:rPr>
        <w:rFonts w:ascii="Tahoma" w:hAnsi="Tahoma"/>
        <w:noProof w:val="0"/>
        <w:color w:val="000080"/>
        <w:sz w:val="32"/>
        <w:szCs w:val="32"/>
        <w:rtl/>
      </w:rPr>
    </w:pPr>
    <w:r w:rsidRPr="004F36A3">
      <w:rPr>
        <w:rFonts w:ascii="Tahoma" w:hAnsi="Tahoma"/>
        <w:b/>
        <w:bCs/>
        <w:color w:val="000080"/>
        <w:sz w:val="32"/>
        <w:szCs w:val="32"/>
        <w:rtl/>
      </w:rPr>
      <w:t>בית המשפט המחוזי בתל אביב -יפו</w:t>
    </w:r>
  </w:p>
  <w:p w14:paraId="0D0FFFBE" w14:textId="77777777" w:rsidR="00C9340D" w:rsidRPr="004F36A3" w:rsidRDefault="0041064E" w:rsidP="00563203">
    <w:pPr>
      <w:rPr>
        <w:b/>
        <w:bCs/>
        <w:noProof w:val="0"/>
        <w:sz w:val="26"/>
        <w:szCs w:val="26"/>
        <w:rtl/>
      </w:rPr>
    </w:pPr>
    <w:sdt>
      <w:sdtPr>
        <w:rPr>
          <w:sz w:val="26"/>
          <w:szCs w:val="26"/>
          <w:rtl/>
        </w:rPr>
        <w:alias w:val="1170"/>
        <w:tag w:val="1170"/>
        <w:id w:val="1957904138"/>
        <w:text w:multiLine="1"/>
      </w:sdtPr>
      <w:sdtEndPr/>
      <w:sdtContent>
        <w:r w:rsidR="00C9340D">
          <w:rPr>
            <w:b/>
            <w:bCs/>
            <w:noProof w:val="0"/>
            <w:sz w:val="26"/>
            <w:szCs w:val="26"/>
            <w:rtl/>
          </w:rPr>
          <w:t>ת"א</w:t>
        </w:r>
      </w:sdtContent>
    </w:sdt>
    <w:r w:rsidR="00C9340D" w:rsidRPr="004F36A3">
      <w:rPr>
        <w:b/>
        <w:bCs/>
        <w:noProof w:val="0"/>
        <w:sz w:val="26"/>
        <w:szCs w:val="26"/>
        <w:rtl/>
      </w:rPr>
      <w:t xml:space="preserve"> </w:t>
    </w:r>
    <w:sdt>
      <w:sdtPr>
        <w:rPr>
          <w:sz w:val="26"/>
          <w:szCs w:val="26"/>
          <w:rtl/>
        </w:rPr>
        <w:alias w:val="1171"/>
        <w:tag w:val="1171"/>
        <w:id w:val="-937445053"/>
        <w:text w:multiLine="1"/>
      </w:sdtPr>
      <w:sdtEndPr/>
      <w:sdtContent>
        <w:r w:rsidR="00C9340D">
          <w:rPr>
            <w:b/>
            <w:bCs/>
            <w:noProof w:val="0"/>
            <w:sz w:val="26"/>
            <w:szCs w:val="26"/>
            <w:rtl/>
          </w:rPr>
          <w:t>38909-02-25</w:t>
        </w:r>
      </w:sdtContent>
    </w:sdt>
  </w:p>
  <w:p w14:paraId="39D2D4BF" w14:textId="77777777" w:rsidR="00C9340D" w:rsidRPr="004F36A3" w:rsidRDefault="00C9340D" w:rsidP="007D45E3">
    <w:pPr>
      <w:rPr>
        <w:b/>
        <w:bCs/>
        <w:noProof w:val="0"/>
        <w:sz w:val="26"/>
        <w:szCs w:val="26"/>
        <w:rtl/>
      </w:rPr>
    </w:pPr>
  </w:p>
  <w:p w14:paraId="68386A1E" w14:textId="77777777" w:rsidR="00C9340D" w:rsidRPr="00066C79" w:rsidRDefault="00C9340D" w:rsidP="00066C79">
    <w:pPr>
      <w:rPr>
        <w:sz w:val="26"/>
        <w:szCs w:val="26"/>
        <w:rtl/>
      </w:rPr>
    </w:pPr>
    <w:r w:rsidRPr="004F36A3">
      <w:rPr>
        <w:rFonts w:hint="cs"/>
        <w:sz w:val="26"/>
        <w:szCs w:val="26"/>
        <w:rtl/>
      </w:rPr>
      <w:t xml:space="preserve">                                                                  </w:t>
    </w:r>
  </w:p>
  <w:p w14:paraId="574BECB8" w14:textId="77777777" w:rsidR="00C9340D" w:rsidRDefault="00C9340D">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70BAC"/>
    <w:multiLevelType w:val="hybridMultilevel"/>
    <w:tmpl w:val="3CD0457C"/>
    <w:lvl w:ilvl="0" w:tplc="DE1EB282">
      <w:start w:val="1"/>
      <w:numFmt w:val="decimal"/>
      <w:lvlText w:val="%1."/>
      <w:lvlJc w:val="left"/>
      <w:pPr>
        <w:ind w:left="360" w:hanging="360"/>
      </w:pPr>
      <w:rPr>
        <w:rFonts w:hint="default"/>
        <w:b w:val="0"/>
        <w:bCs w:val="0"/>
      </w:rPr>
    </w:lvl>
    <w:lvl w:ilvl="1" w:tplc="AD90E7A8" w:tentative="1">
      <w:start w:val="1"/>
      <w:numFmt w:val="lowerLetter"/>
      <w:lvlText w:val="%2."/>
      <w:lvlJc w:val="left"/>
      <w:pPr>
        <w:ind w:left="1440" w:hanging="360"/>
      </w:pPr>
    </w:lvl>
    <w:lvl w:ilvl="2" w:tplc="D474F43C" w:tentative="1">
      <w:start w:val="1"/>
      <w:numFmt w:val="lowerRoman"/>
      <w:lvlText w:val="%3."/>
      <w:lvlJc w:val="right"/>
      <w:pPr>
        <w:ind w:left="2160" w:hanging="180"/>
      </w:pPr>
    </w:lvl>
    <w:lvl w:ilvl="3" w:tplc="65865EDE" w:tentative="1">
      <w:start w:val="1"/>
      <w:numFmt w:val="decimal"/>
      <w:lvlText w:val="%4."/>
      <w:lvlJc w:val="left"/>
      <w:pPr>
        <w:ind w:left="2880" w:hanging="360"/>
      </w:pPr>
    </w:lvl>
    <w:lvl w:ilvl="4" w:tplc="E6FE5966" w:tentative="1">
      <w:start w:val="1"/>
      <w:numFmt w:val="lowerLetter"/>
      <w:lvlText w:val="%5."/>
      <w:lvlJc w:val="left"/>
      <w:pPr>
        <w:ind w:left="3600" w:hanging="360"/>
      </w:pPr>
    </w:lvl>
    <w:lvl w:ilvl="5" w:tplc="39889DDA" w:tentative="1">
      <w:start w:val="1"/>
      <w:numFmt w:val="lowerRoman"/>
      <w:lvlText w:val="%6."/>
      <w:lvlJc w:val="right"/>
      <w:pPr>
        <w:ind w:left="4320" w:hanging="180"/>
      </w:pPr>
    </w:lvl>
    <w:lvl w:ilvl="6" w:tplc="385EFDE0" w:tentative="1">
      <w:start w:val="1"/>
      <w:numFmt w:val="decimal"/>
      <w:lvlText w:val="%7."/>
      <w:lvlJc w:val="left"/>
      <w:pPr>
        <w:ind w:left="5040" w:hanging="360"/>
      </w:pPr>
    </w:lvl>
    <w:lvl w:ilvl="7" w:tplc="0E7C2E3C" w:tentative="1">
      <w:start w:val="1"/>
      <w:numFmt w:val="lowerLetter"/>
      <w:lvlText w:val="%8."/>
      <w:lvlJc w:val="left"/>
      <w:pPr>
        <w:ind w:left="5760" w:hanging="360"/>
      </w:pPr>
    </w:lvl>
    <w:lvl w:ilvl="8" w:tplc="FB56C12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32473"/>
    <w:rsid w:val="000460DC"/>
    <w:rsid w:val="00050CC8"/>
    <w:rsid w:val="000529D2"/>
    <w:rsid w:val="000564AB"/>
    <w:rsid w:val="00064FBD"/>
    <w:rsid w:val="0006645B"/>
    <w:rsid w:val="00066C79"/>
    <w:rsid w:val="00070D4B"/>
    <w:rsid w:val="00082AB2"/>
    <w:rsid w:val="000906FE"/>
    <w:rsid w:val="00093D85"/>
    <w:rsid w:val="00093FD7"/>
    <w:rsid w:val="00096AF7"/>
    <w:rsid w:val="000B344B"/>
    <w:rsid w:val="000B4E2A"/>
    <w:rsid w:val="000B7380"/>
    <w:rsid w:val="000C3B0F"/>
    <w:rsid w:val="000C3B60"/>
    <w:rsid w:val="000C5165"/>
    <w:rsid w:val="000E0DD2"/>
    <w:rsid w:val="000E3AF1"/>
    <w:rsid w:val="000F0BC8"/>
    <w:rsid w:val="000F0DD6"/>
    <w:rsid w:val="00107E6D"/>
    <w:rsid w:val="0011194C"/>
    <w:rsid w:val="0011424C"/>
    <w:rsid w:val="001173C6"/>
    <w:rsid w:val="001367BC"/>
    <w:rsid w:val="00144D2A"/>
    <w:rsid w:val="0014653E"/>
    <w:rsid w:val="00180519"/>
    <w:rsid w:val="00187552"/>
    <w:rsid w:val="00191C82"/>
    <w:rsid w:val="001C1D3F"/>
    <w:rsid w:val="001C4003"/>
    <w:rsid w:val="001C75BD"/>
    <w:rsid w:val="001D2572"/>
    <w:rsid w:val="001D4DBF"/>
    <w:rsid w:val="001E75CA"/>
    <w:rsid w:val="002265FF"/>
    <w:rsid w:val="002379A1"/>
    <w:rsid w:val="00260A71"/>
    <w:rsid w:val="00271B56"/>
    <w:rsid w:val="002B596E"/>
    <w:rsid w:val="002C344E"/>
    <w:rsid w:val="002E05D1"/>
    <w:rsid w:val="002E75E9"/>
    <w:rsid w:val="003000CC"/>
    <w:rsid w:val="00303FEC"/>
    <w:rsid w:val="00307A6A"/>
    <w:rsid w:val="00307C40"/>
    <w:rsid w:val="003175C0"/>
    <w:rsid w:val="00320433"/>
    <w:rsid w:val="003230C7"/>
    <w:rsid w:val="00327E50"/>
    <w:rsid w:val="0033597A"/>
    <w:rsid w:val="00345C9D"/>
    <w:rsid w:val="00353C94"/>
    <w:rsid w:val="00360B68"/>
    <w:rsid w:val="00362612"/>
    <w:rsid w:val="0036743F"/>
    <w:rsid w:val="003715DD"/>
    <w:rsid w:val="00376D5B"/>
    <w:rsid w:val="003823E0"/>
    <w:rsid w:val="003A4521"/>
    <w:rsid w:val="003C3ED4"/>
    <w:rsid w:val="003D1C8C"/>
    <w:rsid w:val="003D56A2"/>
    <w:rsid w:val="003D663C"/>
    <w:rsid w:val="003E09EA"/>
    <w:rsid w:val="0040096C"/>
    <w:rsid w:val="0041064E"/>
    <w:rsid w:val="00414F1F"/>
    <w:rsid w:val="0041526E"/>
    <w:rsid w:val="0043125D"/>
    <w:rsid w:val="0043502B"/>
    <w:rsid w:val="004443AC"/>
    <w:rsid w:val="00451E28"/>
    <w:rsid w:val="00462C62"/>
    <w:rsid w:val="00465D36"/>
    <w:rsid w:val="00473B61"/>
    <w:rsid w:val="00476EED"/>
    <w:rsid w:val="004C4BDF"/>
    <w:rsid w:val="004C52EF"/>
    <w:rsid w:val="004D1187"/>
    <w:rsid w:val="004D3AA0"/>
    <w:rsid w:val="004E1987"/>
    <w:rsid w:val="004E2E15"/>
    <w:rsid w:val="004E6E3C"/>
    <w:rsid w:val="004F36A3"/>
    <w:rsid w:val="00520898"/>
    <w:rsid w:val="00523621"/>
    <w:rsid w:val="00524986"/>
    <w:rsid w:val="005268F6"/>
    <w:rsid w:val="00531490"/>
    <w:rsid w:val="00534284"/>
    <w:rsid w:val="00546472"/>
    <w:rsid w:val="00547DB7"/>
    <w:rsid w:val="0055100D"/>
    <w:rsid w:val="00563203"/>
    <w:rsid w:val="005879F4"/>
    <w:rsid w:val="005E3C42"/>
    <w:rsid w:val="005F4F09"/>
    <w:rsid w:val="005F5E5D"/>
    <w:rsid w:val="0061431B"/>
    <w:rsid w:val="00622BAA"/>
    <w:rsid w:val="006306CF"/>
    <w:rsid w:val="00644E9A"/>
    <w:rsid w:val="00671BD5"/>
    <w:rsid w:val="006805C1"/>
    <w:rsid w:val="00686C21"/>
    <w:rsid w:val="006931C1"/>
    <w:rsid w:val="00694556"/>
    <w:rsid w:val="006C30C5"/>
    <w:rsid w:val="006D3B31"/>
    <w:rsid w:val="006E0D96"/>
    <w:rsid w:val="006E1A53"/>
    <w:rsid w:val="00704EDA"/>
    <w:rsid w:val="00721122"/>
    <w:rsid w:val="007502AB"/>
    <w:rsid w:val="00753019"/>
    <w:rsid w:val="00754801"/>
    <w:rsid w:val="007850F5"/>
    <w:rsid w:val="00785242"/>
    <w:rsid w:val="00787F14"/>
    <w:rsid w:val="00795365"/>
    <w:rsid w:val="007A351D"/>
    <w:rsid w:val="007B7765"/>
    <w:rsid w:val="007D12A2"/>
    <w:rsid w:val="007D45E3"/>
    <w:rsid w:val="007E6115"/>
    <w:rsid w:val="007F4609"/>
    <w:rsid w:val="00804CDF"/>
    <w:rsid w:val="008176A1"/>
    <w:rsid w:val="00820005"/>
    <w:rsid w:val="008321D3"/>
    <w:rsid w:val="00840AFE"/>
    <w:rsid w:val="00844318"/>
    <w:rsid w:val="00856C19"/>
    <w:rsid w:val="00870890"/>
    <w:rsid w:val="00873602"/>
    <w:rsid w:val="00875D12"/>
    <w:rsid w:val="0088479D"/>
    <w:rsid w:val="00896889"/>
    <w:rsid w:val="00896EFC"/>
    <w:rsid w:val="008C5714"/>
    <w:rsid w:val="008C5809"/>
    <w:rsid w:val="008D10B2"/>
    <w:rsid w:val="00903896"/>
    <w:rsid w:val="00906F3D"/>
    <w:rsid w:val="009127A0"/>
    <w:rsid w:val="00931B99"/>
    <w:rsid w:val="0094424E"/>
    <w:rsid w:val="009443D5"/>
    <w:rsid w:val="009622DF"/>
    <w:rsid w:val="00967875"/>
    <w:rsid w:val="00967DFF"/>
    <w:rsid w:val="009825DB"/>
    <w:rsid w:val="00994341"/>
    <w:rsid w:val="009B33F1"/>
    <w:rsid w:val="009D1A48"/>
    <w:rsid w:val="009E1CE7"/>
    <w:rsid w:val="009E4EA5"/>
    <w:rsid w:val="009F164B"/>
    <w:rsid w:val="009F323C"/>
    <w:rsid w:val="00A31FA0"/>
    <w:rsid w:val="00A3392B"/>
    <w:rsid w:val="00A42834"/>
    <w:rsid w:val="00A62946"/>
    <w:rsid w:val="00A66F34"/>
    <w:rsid w:val="00A94B64"/>
    <w:rsid w:val="00AA3229"/>
    <w:rsid w:val="00AA7596"/>
    <w:rsid w:val="00AB5E52"/>
    <w:rsid w:val="00AC3B02"/>
    <w:rsid w:val="00AC3B7B"/>
    <w:rsid w:val="00AC5209"/>
    <w:rsid w:val="00AE729E"/>
    <w:rsid w:val="00AE7752"/>
    <w:rsid w:val="00AF7FDA"/>
    <w:rsid w:val="00B06564"/>
    <w:rsid w:val="00B22333"/>
    <w:rsid w:val="00B465C8"/>
    <w:rsid w:val="00B5356E"/>
    <w:rsid w:val="00B63888"/>
    <w:rsid w:val="00B809AD"/>
    <w:rsid w:val="00B80CBD"/>
    <w:rsid w:val="00B85837"/>
    <w:rsid w:val="00B86096"/>
    <w:rsid w:val="00BA0A7C"/>
    <w:rsid w:val="00BA517C"/>
    <w:rsid w:val="00BB3D05"/>
    <w:rsid w:val="00BB73BE"/>
    <w:rsid w:val="00BC2D89"/>
    <w:rsid w:val="00BD6531"/>
    <w:rsid w:val="00BE05B2"/>
    <w:rsid w:val="00BF1908"/>
    <w:rsid w:val="00BF7180"/>
    <w:rsid w:val="00BF7B56"/>
    <w:rsid w:val="00C22D93"/>
    <w:rsid w:val="00C31120"/>
    <w:rsid w:val="00C34482"/>
    <w:rsid w:val="00C37CAF"/>
    <w:rsid w:val="00C42082"/>
    <w:rsid w:val="00C43648"/>
    <w:rsid w:val="00C4558C"/>
    <w:rsid w:val="00C50A9F"/>
    <w:rsid w:val="00C642FA"/>
    <w:rsid w:val="00C9340D"/>
    <w:rsid w:val="00CA685B"/>
    <w:rsid w:val="00CC7622"/>
    <w:rsid w:val="00CF4AD5"/>
    <w:rsid w:val="00D27982"/>
    <w:rsid w:val="00D31826"/>
    <w:rsid w:val="00D33B86"/>
    <w:rsid w:val="00D53924"/>
    <w:rsid w:val="00D55D0C"/>
    <w:rsid w:val="00D6024D"/>
    <w:rsid w:val="00D82D88"/>
    <w:rsid w:val="00D96D8C"/>
    <w:rsid w:val="00DA6649"/>
    <w:rsid w:val="00DC1259"/>
    <w:rsid w:val="00DC1BD2"/>
    <w:rsid w:val="00DC2571"/>
    <w:rsid w:val="00DC487C"/>
    <w:rsid w:val="00DC67E3"/>
    <w:rsid w:val="00DE6BF6"/>
    <w:rsid w:val="00DE75CA"/>
    <w:rsid w:val="00E1068A"/>
    <w:rsid w:val="00E12292"/>
    <w:rsid w:val="00E25884"/>
    <w:rsid w:val="00E31C2B"/>
    <w:rsid w:val="00E44DE6"/>
    <w:rsid w:val="00E5426A"/>
    <w:rsid w:val="00E54642"/>
    <w:rsid w:val="00E80CBE"/>
    <w:rsid w:val="00E93A1B"/>
    <w:rsid w:val="00E962E3"/>
    <w:rsid w:val="00EA51FA"/>
    <w:rsid w:val="00EB22C9"/>
    <w:rsid w:val="00EB5E4D"/>
    <w:rsid w:val="00EB6C79"/>
    <w:rsid w:val="00EC37E9"/>
    <w:rsid w:val="00ED3150"/>
    <w:rsid w:val="00F06995"/>
    <w:rsid w:val="00F13623"/>
    <w:rsid w:val="00F25323"/>
    <w:rsid w:val="00F3215F"/>
    <w:rsid w:val="00F44D1D"/>
    <w:rsid w:val="00F83036"/>
    <w:rsid w:val="00F84B6D"/>
    <w:rsid w:val="00F852D0"/>
    <w:rsid w:val="00F9690E"/>
    <w:rsid w:val="00FA5FDA"/>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3255C"/>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4423"/>
    <w:pPr>
      <w:tabs>
        <w:tab w:val="center" w:pos="4153"/>
        <w:tab w:val="right" w:pos="8306"/>
      </w:tabs>
    </w:pPr>
  </w:style>
  <w:style w:type="paragraph" w:styleId="a5">
    <w:name w:val="footer"/>
    <w:basedOn w:val="a"/>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3230C7"/>
    <w:rPr>
      <w:color w:val="808080"/>
    </w:rPr>
  </w:style>
  <w:style w:type="paragraph" w:styleId="ae">
    <w:name w:val="List Paragraph"/>
    <w:basedOn w:val="a"/>
    <w:uiPriority w:val="34"/>
    <w:qFormat/>
    <w:rsid w:val="00476EED"/>
    <w:pPr>
      <w:spacing w:after="160" w:line="259" w:lineRule="auto"/>
      <w:ind w:left="720"/>
      <w:contextualSpacing/>
    </w:pPr>
    <w:rPr>
      <w:rFonts w:asciiTheme="minorHAnsi" w:eastAsiaTheme="minorHAnsi" w:hAnsiTheme="minorHAnsi" w:cstheme="minorBidi"/>
      <w:noProof w:val="0"/>
      <w:sz w:val="22"/>
      <w:szCs w:val="22"/>
    </w:rPr>
  </w:style>
  <w:style w:type="paragraph" w:customStyle="1" w:styleId="HiddenCell">
    <w:name w:val="__Hidden_Cell"/>
    <w:basedOn w:val="a"/>
    <w:rPr>
      <w:sz w:val="2"/>
      <w:szCs w:val="2"/>
    </w:rPr>
  </w:style>
  <w:style w:type="character" w:customStyle="1" w:styleId="a4">
    <w:name w:val="כותרת עליונה תו"/>
    <w:basedOn w:val="a0"/>
    <w:link w:val="a3"/>
    <w:rsid w:val="00C9340D"/>
    <w:rPr>
      <w:rFonts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file:///\\hbm-storage\Sherut\&#1502;&#1512;&#1499;&#1494;%20&#1502;&#1497;&#1491;&#1506;\&#1506;&#1491;&#1499;&#1493;&#1503;%20&#1488;&#1514;&#1512;\&#1504;&#1490;&#1497;&#1513;&#1493;&#1514;%202025\&#1502;&#1505;&#1502;&#1499;&#1497;&#1501;%20&#1513;&#1492;&#1493;&#1506;&#1489;&#1512;&#1493;%20&#1500;&#1492;&#1504;&#1490;&#1513;&#1492;%20&#1495;&#1489;&#1512;%20&#1514;&#1512;&#1490;&#1493;&#1502;&#1497;&#1501;%2021\&#1511;&#1489;&#1510;&#1497;&#1501;%20&#1502;&#1495;&#1489;&#1512;%20&#1495;&#1500;&#1511;%201\accessibledocs.ai\%3futm_source=document_icon&amp;utm_medium=file_embedded&amp;utm_campaign=template_processing&amp;utm_content=icon_top_right&amp;document_id=99f9285c-20d3-4f34-85cd-885d92c38ad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accessibledocs.ai/?utm_source=document_icon&amp;utm_medium=file_embedded&amp;utm_campaign=template_processing&amp;utm_content=icon_top_right&amp;document_id=99f9285c-20d3-4f34-85cd-885d92c38ada" TargetMode="Externa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1887</Words>
  <Characters>9440</Characters>
  <Application>Microsoft Office Word</Application>
  <DocSecurity>0</DocSecurity>
  <Lines>78</Lines>
  <Paragraphs>22</Paragraphs>
  <ScaleCrop>false</ScaleCrop>
  <HeadingPairs>
    <vt:vector size="2" baseType="variant">
      <vt:variant>
        <vt:lpstr>שם</vt:lpstr>
      </vt:variant>
      <vt:variant>
        <vt:i4>1</vt:i4>
      </vt:variant>
    </vt:vector>
  </HeadingPairs>
  <TitlesOfParts>
    <vt:vector size="1" baseType="lpstr">
      <vt:lpstr>בית המשפט המחוזי בתל אביב -יפו</vt:lpstr>
    </vt:vector>
  </TitlesOfParts>
  <Company>Microsoft Corporation</Company>
  <LinksUpToDate>false</LinksUpToDate>
  <CharactersWithSpaces>11305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בית המשפט המחוזי בתל אביב -יפו</dc:title>
  <dc:creator>anatk</dc:creator>
  <cp:lastModifiedBy>איסרא אקעיק</cp:lastModifiedBy>
  <cp:revision>2</cp:revision>
  <cp:lastPrinted>2026-02-23T13:29:00Z</cp:lastPrinted>
  <dcterms:created xsi:type="dcterms:W3CDTF">2026-03-09T13:40:00Z</dcterms:created>
  <dcterms:modified xsi:type="dcterms:W3CDTF">2026-03-09T13:40:00Z</dcterms:modified>
</cp:coreProperties>
</file>