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D5B45" w14:textId="5BDA66CC" w:rsidR="00AC590E" w:rsidRDefault="00C6455C" w:rsidP="00C6455C">
      <w:pPr>
        <w:tabs>
          <w:tab w:val="center" w:pos="4153"/>
          <w:tab w:val="right" w:pos="8306"/>
        </w:tabs>
        <w:overflowPunct w:val="0"/>
        <w:autoSpaceDE w:val="0"/>
        <w:autoSpaceDN w:val="0"/>
        <w:adjustRightInd w:val="0"/>
        <w:spacing w:after="0" w:line="240" w:lineRule="auto"/>
        <w:ind w:left="-1475"/>
        <w:rPr>
          <w:rFonts w:ascii="Times New Roman" w:eastAsia="Times New Roman" w:hAnsi="Times New Roman" w:cs="David"/>
          <w:sz w:val="20"/>
          <w:szCs w:val="24"/>
          <w:rtl/>
          <w:lang w:eastAsia="he-IL"/>
        </w:rPr>
      </w:pPr>
      <w:bookmarkStart w:id="0" w:name="_GoBack"/>
      <w:bookmarkEnd w:id="0"/>
      <w:r w:rsidRPr="00C501F0">
        <w:rPr>
          <w:rFonts w:ascii="David,Bold" w:hint="cs"/>
          <w:b/>
          <w:bCs/>
          <w:noProof/>
        </w:rPr>
        <w:drawing>
          <wp:inline distT="0" distB="0" distL="0" distR="0" wp14:anchorId="64A687CF" wp14:editId="45296A97">
            <wp:extent cx="264160" cy="264160"/>
            <wp:effectExtent l="0" t="0" r="2540" b="2540"/>
            <wp:docPr id="525065019" name="תמונה 1" descr="&#10;        This document is now being made accessible by AccessibleDocs.ai by Group107, according to PDF/UA-1 standards.&#10;        ">
              <a:hlinkClick xmlns:a="http://schemas.openxmlformats.org/drawingml/2006/main" r:id="rId8"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64A96574" w14:textId="47195D4E" w:rsidR="00AC590E" w:rsidRPr="005253B2" w:rsidRDefault="00AC590E" w:rsidP="00AC590E">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rtl/>
          <w:lang w:eastAsia="he-IL"/>
        </w:rPr>
      </w:pPr>
      <w:r w:rsidRPr="005253B2">
        <w:rPr>
          <w:rFonts w:ascii="Times New Roman" w:eastAsia="Times New Roman" w:hAnsi="Times New Roman" w:cs="David"/>
          <w:noProof/>
          <w:sz w:val="20"/>
          <w:szCs w:val="24"/>
        </w:rPr>
        <w:drawing>
          <wp:inline distT="0" distB="0" distL="0" distR="0" wp14:anchorId="366DF05A" wp14:editId="3F26B9FD">
            <wp:extent cx="523875" cy="619125"/>
            <wp:effectExtent l="0" t="0" r="9525" b="9525"/>
            <wp:docPr id="1" name="תמונה 2"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2" descr="סמל מדינת ישראל"/>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23875" cy="619125"/>
                    </a:xfrm>
                    <a:prstGeom prst="rect">
                      <a:avLst/>
                    </a:prstGeom>
                    <a:noFill/>
                    <a:ln>
                      <a:noFill/>
                    </a:ln>
                  </pic:spPr>
                </pic:pic>
              </a:graphicData>
            </a:graphic>
          </wp:inline>
        </w:drawing>
      </w:r>
    </w:p>
    <w:p w14:paraId="51A6076E" w14:textId="77777777" w:rsidR="00AC590E" w:rsidRPr="005253B2" w:rsidRDefault="00AC590E" w:rsidP="00AC590E">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sidRPr="005253B2">
        <w:rPr>
          <w:rFonts w:ascii="Times New Roman" w:eastAsia="Times New Roman" w:hAnsi="Times New Roman" w:cs="FrankRuehl" w:hint="cs"/>
          <w:b/>
          <w:bCs/>
          <w:color w:val="000080"/>
          <w:spacing w:val="6"/>
          <w:sz w:val="28"/>
          <w:szCs w:val="28"/>
          <w:rtl/>
          <w:lang w:eastAsia="he-IL"/>
        </w:rPr>
        <w:t>מערכת בתי המשפט</w:t>
      </w:r>
    </w:p>
    <w:p w14:paraId="2905F58A" w14:textId="20B93047" w:rsidR="00AC590E" w:rsidRPr="00C6455C" w:rsidRDefault="00AC590E" w:rsidP="00C6455C">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sidRPr="005253B2">
        <w:rPr>
          <w:rFonts w:ascii="Times New Roman" w:eastAsia="Times New Roman" w:hAnsi="Times New Roman" w:cs="FrankRuehl" w:hint="cs"/>
          <w:b/>
          <w:bCs/>
          <w:color w:val="000080"/>
          <w:spacing w:val="6"/>
          <w:sz w:val="28"/>
          <w:szCs w:val="28"/>
          <w:rtl/>
          <w:lang w:eastAsia="he-IL"/>
        </w:rPr>
        <w:t>דוברות והסברה</w:t>
      </w:r>
    </w:p>
    <w:p w14:paraId="4DA71016" w14:textId="2AD78494" w:rsidR="00983123" w:rsidRPr="008D09C7" w:rsidRDefault="008F5C8E" w:rsidP="00571109">
      <w:pPr>
        <w:spacing w:after="0" w:line="240" w:lineRule="auto"/>
        <w:jc w:val="right"/>
        <w:rPr>
          <w:rFonts w:ascii="Arial TUR" w:eastAsia="Times New Roman" w:hAnsi="Arial TUR" w:cs="FrankRuehl"/>
          <w:spacing w:val="10"/>
          <w:sz w:val="24"/>
          <w:szCs w:val="24"/>
        </w:rPr>
      </w:pPr>
      <w:r w:rsidRPr="008D09C7">
        <w:rPr>
          <w:rFonts w:ascii="Arial TUR" w:eastAsia="Times New Roman" w:hAnsi="Arial TUR" w:cs="FrankRuehl" w:hint="cs"/>
          <w:spacing w:val="10"/>
          <w:sz w:val="24"/>
          <w:szCs w:val="24"/>
          <w:rtl/>
        </w:rPr>
        <w:fldChar w:fldCharType="begin"/>
      </w:r>
      <w:r w:rsidRPr="008D09C7">
        <w:rPr>
          <w:rFonts w:ascii="Arial TUR" w:eastAsia="Times New Roman" w:hAnsi="Arial TUR" w:cs="FrankRuehl" w:hint="cs"/>
          <w:spacing w:val="10"/>
          <w:sz w:val="24"/>
          <w:szCs w:val="24"/>
          <w:rtl/>
        </w:rPr>
        <w:instrText xml:space="preserve"> </w:instrText>
      </w:r>
      <w:r w:rsidRPr="008D09C7">
        <w:rPr>
          <w:rFonts w:ascii="Arial TUR" w:eastAsia="Times New Roman" w:hAnsi="Arial TUR" w:cs="FrankRuehl"/>
          <w:spacing w:val="10"/>
          <w:sz w:val="24"/>
          <w:szCs w:val="24"/>
        </w:rPr>
        <w:instrText>DOCPROPERTY  DocDateEng  \* MERGEFORMAT</w:instrText>
      </w:r>
      <w:r w:rsidRPr="008D09C7">
        <w:rPr>
          <w:rFonts w:ascii="Arial TUR" w:eastAsia="Times New Roman" w:hAnsi="Arial TUR" w:cs="FrankRuehl" w:hint="cs"/>
          <w:spacing w:val="10"/>
          <w:sz w:val="24"/>
          <w:szCs w:val="24"/>
          <w:rtl/>
        </w:rPr>
        <w:instrText xml:space="preserve"> </w:instrText>
      </w:r>
      <w:r w:rsidRPr="008D09C7">
        <w:rPr>
          <w:rFonts w:ascii="Arial TUR" w:eastAsia="Times New Roman" w:hAnsi="Arial TUR" w:cs="FrankRuehl" w:hint="cs"/>
          <w:spacing w:val="10"/>
          <w:sz w:val="24"/>
          <w:szCs w:val="24"/>
          <w:rtl/>
        </w:rPr>
        <w:fldChar w:fldCharType="separate"/>
      </w:r>
      <w:r w:rsidRPr="008D09C7">
        <w:rPr>
          <w:rFonts w:ascii="Arial TUR" w:eastAsia="Times New Roman" w:hAnsi="Arial TUR" w:cs="FrankRuehl" w:hint="cs"/>
          <w:spacing w:val="10"/>
          <w:sz w:val="24"/>
          <w:szCs w:val="24"/>
          <w:rtl/>
        </w:rPr>
        <w:t>16 בנובמבר 2025</w:t>
      </w:r>
      <w:r w:rsidRPr="008D09C7">
        <w:rPr>
          <w:rFonts w:ascii="Arial TUR" w:eastAsia="Times New Roman" w:hAnsi="Arial TUR" w:cs="FrankRuehl" w:hint="cs"/>
          <w:spacing w:val="10"/>
          <w:sz w:val="24"/>
          <w:szCs w:val="24"/>
          <w:rtl/>
        </w:rPr>
        <w:fldChar w:fldCharType="end"/>
      </w:r>
    </w:p>
    <w:p w14:paraId="1D20F23D" w14:textId="015F6946" w:rsidR="00983123" w:rsidRPr="008D09C7" w:rsidRDefault="008F5C8E" w:rsidP="00832AD7">
      <w:pPr>
        <w:spacing w:after="0" w:line="240" w:lineRule="auto"/>
        <w:jc w:val="right"/>
        <w:rPr>
          <w:rFonts w:ascii="Arial TUR" w:eastAsia="Times New Roman" w:hAnsi="Arial TUR" w:cs="FrankRuehl"/>
          <w:spacing w:val="10"/>
          <w:sz w:val="24"/>
          <w:szCs w:val="24"/>
          <w:rtl/>
        </w:rPr>
      </w:pPr>
      <w:r w:rsidRPr="008D09C7">
        <w:rPr>
          <w:rFonts w:ascii="Arial TUR" w:eastAsia="Times New Roman" w:hAnsi="Arial TUR" w:cs="FrankRuehl" w:hint="cs"/>
          <w:spacing w:val="10"/>
          <w:sz w:val="24"/>
          <w:szCs w:val="24"/>
          <w:rtl/>
        </w:rPr>
        <w:fldChar w:fldCharType="begin"/>
      </w:r>
      <w:r w:rsidRPr="008D09C7">
        <w:rPr>
          <w:rFonts w:ascii="Arial TUR" w:eastAsia="Times New Roman" w:hAnsi="Arial TUR" w:cs="FrankRuehl" w:hint="cs"/>
          <w:spacing w:val="10"/>
          <w:sz w:val="24"/>
          <w:szCs w:val="24"/>
          <w:rtl/>
        </w:rPr>
        <w:instrText xml:space="preserve"> </w:instrText>
      </w:r>
      <w:r w:rsidRPr="008D09C7">
        <w:rPr>
          <w:rFonts w:ascii="Arial TUR" w:eastAsia="Times New Roman" w:hAnsi="Arial TUR" w:cs="FrankRuehl"/>
          <w:spacing w:val="10"/>
          <w:sz w:val="24"/>
          <w:szCs w:val="24"/>
        </w:rPr>
        <w:instrText>DOCPROPERTY  DocDateHeb  \* MERGEFORMAT</w:instrText>
      </w:r>
      <w:r w:rsidRPr="008D09C7">
        <w:rPr>
          <w:rFonts w:ascii="Arial TUR" w:eastAsia="Times New Roman" w:hAnsi="Arial TUR" w:cs="FrankRuehl" w:hint="cs"/>
          <w:spacing w:val="10"/>
          <w:sz w:val="24"/>
          <w:szCs w:val="24"/>
          <w:rtl/>
        </w:rPr>
        <w:instrText xml:space="preserve"> </w:instrText>
      </w:r>
      <w:r w:rsidRPr="008D09C7">
        <w:rPr>
          <w:rFonts w:ascii="Arial TUR" w:eastAsia="Times New Roman" w:hAnsi="Arial TUR" w:cs="FrankRuehl" w:hint="cs"/>
          <w:spacing w:val="10"/>
          <w:sz w:val="24"/>
          <w:szCs w:val="24"/>
          <w:rtl/>
        </w:rPr>
        <w:fldChar w:fldCharType="separate"/>
      </w:r>
      <w:r w:rsidRPr="008D09C7">
        <w:rPr>
          <w:rFonts w:ascii="Arial TUR" w:eastAsia="Times New Roman" w:hAnsi="Arial TUR" w:cs="FrankRuehl" w:hint="cs"/>
          <w:spacing w:val="10"/>
          <w:sz w:val="24"/>
          <w:szCs w:val="24"/>
          <w:rtl/>
        </w:rPr>
        <w:t>כ"ה בחשוון תשפ"ו</w:t>
      </w:r>
      <w:r w:rsidRPr="008D09C7">
        <w:rPr>
          <w:rFonts w:ascii="Arial TUR" w:eastAsia="Times New Roman" w:hAnsi="Arial TUR" w:cs="FrankRuehl" w:hint="cs"/>
          <w:spacing w:val="10"/>
          <w:sz w:val="24"/>
          <w:szCs w:val="24"/>
          <w:rtl/>
        </w:rPr>
        <w:fldChar w:fldCharType="end"/>
      </w:r>
    </w:p>
    <w:p w14:paraId="13F9C443" w14:textId="77777777" w:rsidR="00983123" w:rsidRPr="008D09C7" w:rsidRDefault="008F5C8E" w:rsidP="00832AD7">
      <w:pPr>
        <w:spacing w:after="0" w:line="240" w:lineRule="auto"/>
        <w:jc w:val="right"/>
        <w:rPr>
          <w:rFonts w:ascii="Arial TUR" w:eastAsia="Times New Roman" w:hAnsi="Arial TUR" w:cs="FrankRuehl"/>
          <w:spacing w:val="10"/>
          <w:sz w:val="24"/>
          <w:szCs w:val="24"/>
          <w:rtl/>
        </w:rPr>
      </w:pPr>
      <w:r w:rsidRPr="008D09C7">
        <w:rPr>
          <w:rFonts w:ascii="Arial TUR" w:eastAsia="Times New Roman" w:hAnsi="Arial TUR" w:cs="FrankRuehl" w:hint="cs"/>
          <w:spacing w:val="10"/>
          <w:sz w:val="24"/>
          <w:szCs w:val="24"/>
          <w:rtl/>
        </w:rPr>
        <w:fldChar w:fldCharType="begin"/>
      </w:r>
      <w:r w:rsidRPr="008D09C7">
        <w:rPr>
          <w:rFonts w:ascii="Arial TUR" w:eastAsia="Times New Roman" w:hAnsi="Arial TUR" w:cs="FrankRuehl" w:hint="cs"/>
          <w:spacing w:val="10"/>
          <w:sz w:val="24"/>
          <w:szCs w:val="24"/>
          <w:rtl/>
        </w:rPr>
        <w:instrText xml:space="preserve"> </w:instrText>
      </w:r>
      <w:r w:rsidRPr="008D09C7">
        <w:rPr>
          <w:rFonts w:ascii="Arial TUR" w:eastAsia="Times New Roman" w:hAnsi="Arial TUR" w:cs="FrankRuehl"/>
          <w:spacing w:val="10"/>
          <w:sz w:val="24"/>
          <w:szCs w:val="24"/>
        </w:rPr>
        <w:instrText xml:space="preserve">DOCPROPERTY  DocNumber  \* </w:instrText>
      </w:r>
      <w:r w:rsidRPr="008D09C7">
        <w:rPr>
          <w:rFonts w:ascii="Arial TUR" w:eastAsia="Times New Roman" w:hAnsi="Arial TUR" w:cs="FrankRuehl"/>
          <w:spacing w:val="10"/>
          <w:sz w:val="24"/>
          <w:szCs w:val="24"/>
        </w:rPr>
        <w:instrText>MERGEFORMAT</w:instrText>
      </w:r>
      <w:r w:rsidRPr="008D09C7">
        <w:rPr>
          <w:rFonts w:ascii="Arial TUR" w:eastAsia="Times New Roman" w:hAnsi="Arial TUR" w:cs="FrankRuehl" w:hint="cs"/>
          <w:spacing w:val="10"/>
          <w:sz w:val="24"/>
          <w:szCs w:val="24"/>
          <w:rtl/>
        </w:rPr>
        <w:instrText xml:space="preserve"> </w:instrText>
      </w:r>
      <w:r w:rsidRPr="008D09C7">
        <w:rPr>
          <w:rFonts w:ascii="Arial TUR" w:eastAsia="Times New Roman" w:hAnsi="Arial TUR" w:cs="FrankRuehl" w:hint="cs"/>
          <w:spacing w:val="10"/>
          <w:sz w:val="24"/>
          <w:szCs w:val="24"/>
          <w:rtl/>
        </w:rPr>
        <w:fldChar w:fldCharType="separate"/>
      </w:r>
      <w:r w:rsidRPr="008D09C7">
        <w:rPr>
          <w:rFonts w:ascii="Arial TUR" w:eastAsia="Times New Roman" w:hAnsi="Arial TUR" w:cs="FrankRuehl" w:hint="cs"/>
          <w:spacing w:val="10"/>
          <w:sz w:val="24"/>
          <w:szCs w:val="24"/>
          <w:rtl/>
        </w:rPr>
        <w:t>4700-1039-2025-006872</w:t>
      </w:r>
      <w:r w:rsidRPr="008D09C7">
        <w:rPr>
          <w:rFonts w:ascii="Arial TUR" w:eastAsia="Times New Roman" w:hAnsi="Arial TUR" w:cs="FrankRuehl" w:hint="cs"/>
          <w:spacing w:val="10"/>
          <w:sz w:val="24"/>
          <w:szCs w:val="24"/>
          <w:rtl/>
        </w:rPr>
        <w:fldChar w:fldCharType="end"/>
      </w:r>
    </w:p>
    <w:p w14:paraId="6FEAF75C" w14:textId="77777777" w:rsidR="00742CDF" w:rsidRDefault="008F5C8E" w:rsidP="00571109">
      <w:pPr>
        <w:spacing w:before="240" w:after="120" w:line="240" w:lineRule="auto"/>
        <w:jc w:val="center"/>
        <w:outlineLvl w:val="0"/>
        <w:rPr>
          <w:rFonts w:ascii="FrankRuehl" w:hAnsi="FrankRuehl" w:cs="FrankRuehl"/>
          <w:b/>
          <w:bCs/>
          <w:color w:val="002060"/>
          <w:sz w:val="32"/>
          <w:szCs w:val="32"/>
          <w:u w:val="single"/>
          <w:rtl/>
        </w:rPr>
      </w:pPr>
      <w:r w:rsidRPr="00742CDF">
        <w:rPr>
          <w:rFonts w:ascii="FrankRuehl" w:hAnsi="FrankRuehl" w:cs="FrankRuehl"/>
          <w:b/>
          <w:bCs/>
          <w:color w:val="002060"/>
          <w:sz w:val="32"/>
          <w:szCs w:val="32"/>
          <w:u w:val="single"/>
          <w:rtl/>
        </w:rPr>
        <w:t>תקציר פסק</w:t>
      </w:r>
      <w:r w:rsidRPr="00742CDF">
        <w:rPr>
          <w:rFonts w:ascii="FrankRuehl" w:hAnsi="FrankRuehl" w:cs="FrankRuehl" w:hint="cs"/>
          <w:b/>
          <w:bCs/>
          <w:color w:val="002060"/>
          <w:sz w:val="32"/>
          <w:szCs w:val="32"/>
          <w:u w:val="single"/>
          <w:rtl/>
        </w:rPr>
        <w:t>-</w:t>
      </w:r>
      <w:r w:rsidRPr="00742CDF">
        <w:rPr>
          <w:rFonts w:ascii="FrankRuehl" w:hAnsi="FrankRuehl" w:cs="FrankRuehl"/>
          <w:b/>
          <w:bCs/>
          <w:color w:val="002060"/>
          <w:sz w:val="32"/>
          <w:szCs w:val="32"/>
          <w:u w:val="single"/>
          <w:rtl/>
        </w:rPr>
        <w:t>דין</w:t>
      </w:r>
      <w:r>
        <w:rPr>
          <w:rFonts w:ascii="FrankRuehl" w:hAnsi="FrankRuehl" w:cs="FrankRuehl" w:hint="cs"/>
          <w:b/>
          <w:bCs/>
          <w:color w:val="002060"/>
          <w:sz w:val="32"/>
          <w:szCs w:val="32"/>
          <w:u w:val="single"/>
          <w:rtl/>
        </w:rPr>
        <w:t>:</w:t>
      </w:r>
    </w:p>
    <w:p w14:paraId="24206708" w14:textId="77777777" w:rsidR="00742CDF" w:rsidRPr="00742CDF" w:rsidRDefault="008F5C8E" w:rsidP="00742CDF">
      <w:pPr>
        <w:spacing w:after="120" w:line="240" w:lineRule="auto"/>
        <w:jc w:val="center"/>
        <w:rPr>
          <w:rFonts w:ascii="FrankRuehl" w:hAnsi="FrankRuehl" w:cs="FrankRuehl"/>
          <w:b/>
          <w:bCs/>
          <w:color w:val="002060"/>
          <w:sz w:val="32"/>
          <w:szCs w:val="32"/>
          <w:u w:val="single"/>
          <w:rtl/>
        </w:rPr>
      </w:pPr>
      <w:r w:rsidRPr="00742CDF">
        <w:rPr>
          <w:rFonts w:ascii="FrankRuehl" w:hAnsi="FrankRuehl" w:cs="FrankRuehl" w:hint="cs"/>
          <w:b/>
          <w:bCs/>
          <w:color w:val="002060"/>
          <w:sz w:val="32"/>
          <w:szCs w:val="32"/>
          <w:u w:val="single"/>
          <w:rtl/>
        </w:rPr>
        <w:t>בג"ץ 3545-11-25 ובג"ץ 18615-11-25</w:t>
      </w:r>
    </w:p>
    <w:p w14:paraId="0A1D52E2" w14:textId="77777777" w:rsidR="00742CDF" w:rsidRPr="00803D4B" w:rsidRDefault="008F5C8E" w:rsidP="00742CDF">
      <w:pPr>
        <w:spacing w:after="120" w:line="240" w:lineRule="auto"/>
        <w:jc w:val="center"/>
        <w:rPr>
          <w:rFonts w:ascii="FrankRuehl" w:hAnsi="FrankRuehl" w:cs="FrankRuehl"/>
          <w:b/>
          <w:bCs/>
          <w:color w:val="002060"/>
          <w:sz w:val="30"/>
          <w:szCs w:val="30"/>
          <w:u w:val="single"/>
          <w:rtl/>
        </w:rPr>
      </w:pPr>
      <w:r w:rsidRPr="00803D4B">
        <w:rPr>
          <w:rFonts w:ascii="FrankRuehl" w:hAnsi="FrankRuehl" w:cs="FrankRuehl" w:hint="cs"/>
          <w:b/>
          <w:bCs/>
          <w:color w:val="002060"/>
          <w:sz w:val="30"/>
          <w:szCs w:val="30"/>
          <w:u w:val="single"/>
          <w:rtl/>
        </w:rPr>
        <w:t xml:space="preserve">הרכב </w:t>
      </w:r>
      <w:r w:rsidR="00803D4B" w:rsidRPr="00803D4B">
        <w:rPr>
          <w:rFonts w:ascii="FrankRuehl" w:hAnsi="FrankRuehl" w:cs="FrankRuehl" w:hint="cs"/>
          <w:b/>
          <w:bCs/>
          <w:color w:val="002060"/>
          <w:sz w:val="30"/>
          <w:szCs w:val="30"/>
          <w:u w:val="single"/>
          <w:rtl/>
        </w:rPr>
        <w:t>ה</w:t>
      </w:r>
      <w:r w:rsidRPr="00803D4B">
        <w:rPr>
          <w:rFonts w:ascii="FrankRuehl" w:hAnsi="FrankRuehl" w:cs="FrankRuehl" w:hint="cs"/>
          <w:b/>
          <w:bCs/>
          <w:color w:val="002060"/>
          <w:sz w:val="30"/>
          <w:szCs w:val="30"/>
          <w:u w:val="single"/>
          <w:rtl/>
        </w:rPr>
        <w:t>שופטים: השופטת יעל וילנר, השופט אלכס שטיין, השופטת גילה כנפי-שטייניץ</w:t>
      </w:r>
    </w:p>
    <w:p w14:paraId="22016BB0" w14:textId="77777777" w:rsidR="00742CDF" w:rsidRPr="007E0684" w:rsidRDefault="008F5C8E" w:rsidP="00571109">
      <w:pPr>
        <w:pStyle w:val="Ruller4"/>
        <w:spacing w:before="120" w:after="120" w:line="240" w:lineRule="auto"/>
        <w:rPr>
          <w:sz w:val="26"/>
          <w:szCs w:val="26"/>
          <w:rtl/>
        </w:rPr>
      </w:pPr>
      <w:r w:rsidRPr="007E0684">
        <w:rPr>
          <w:rFonts w:hint="cs"/>
          <w:sz w:val="26"/>
          <w:szCs w:val="26"/>
          <w:rtl/>
        </w:rPr>
        <w:t xml:space="preserve">לבית המשפט העליון הוגשו </w:t>
      </w:r>
      <w:r>
        <w:rPr>
          <w:rFonts w:hint="cs"/>
          <w:sz w:val="26"/>
          <w:szCs w:val="26"/>
          <w:rtl/>
        </w:rPr>
        <w:t>שתי</w:t>
      </w:r>
      <w:r w:rsidRPr="007E0684">
        <w:rPr>
          <w:rFonts w:hint="cs"/>
          <w:sz w:val="26"/>
          <w:szCs w:val="26"/>
          <w:rtl/>
        </w:rPr>
        <w:t xml:space="preserve"> עתירות, שעוסקות בשאלת זהות הגורם אשר ילווה ויפקח על חקירת המשטרה, בנוגע להדלפת הסרטון ולשיבוש הליכי משפט במסגרת פרשה המוכרת בציבור כ"פרשת שדה תימן". החשודים במעשים האמורים הם בכירים בפרקליטות הצבאית, ובתוכם גם הפרקליטה הצבאית הראשית.</w:t>
      </w:r>
    </w:p>
    <w:p w14:paraId="2B8D12A2" w14:textId="77777777" w:rsidR="00742CDF" w:rsidRPr="007E0684" w:rsidRDefault="008F5C8E" w:rsidP="00742CDF">
      <w:pPr>
        <w:pStyle w:val="Ruller4"/>
        <w:spacing w:after="120" w:line="240" w:lineRule="auto"/>
        <w:rPr>
          <w:sz w:val="26"/>
          <w:szCs w:val="26"/>
          <w:rtl/>
        </w:rPr>
      </w:pPr>
      <w:r>
        <w:rPr>
          <w:rFonts w:hint="cs"/>
          <w:sz w:val="26"/>
          <w:szCs w:val="26"/>
          <w:rtl/>
        </w:rPr>
        <w:t>חוות הדעת העיקרית נכת</w:t>
      </w:r>
      <w:r>
        <w:rPr>
          <w:rFonts w:hint="cs"/>
          <w:sz w:val="26"/>
          <w:szCs w:val="26"/>
          <w:rtl/>
        </w:rPr>
        <w:t xml:space="preserve">בה על-ידי </w:t>
      </w:r>
      <w:r w:rsidRPr="007E0684">
        <w:rPr>
          <w:sz w:val="26"/>
          <w:szCs w:val="26"/>
          <w:rtl/>
        </w:rPr>
        <w:t xml:space="preserve">השופטת </w:t>
      </w:r>
      <w:r w:rsidRPr="00750058">
        <w:rPr>
          <w:rFonts w:ascii="Century" w:hAnsi="Century" w:cs="Miriam"/>
          <w:b/>
          <w:spacing w:val="0"/>
          <w:szCs w:val="24"/>
          <w:rtl/>
        </w:rPr>
        <w:t>י' וילנר</w:t>
      </w:r>
      <w:r w:rsidRPr="007E0684">
        <w:rPr>
          <w:sz w:val="26"/>
          <w:szCs w:val="26"/>
          <w:rtl/>
        </w:rPr>
        <w:t xml:space="preserve">, </w:t>
      </w:r>
      <w:r>
        <w:rPr>
          <w:rFonts w:hint="cs"/>
          <w:sz w:val="26"/>
          <w:szCs w:val="26"/>
          <w:rtl/>
        </w:rPr>
        <w:t>ש</w:t>
      </w:r>
      <w:r w:rsidRPr="007E0684">
        <w:rPr>
          <w:sz w:val="26"/>
          <w:szCs w:val="26"/>
          <w:rtl/>
        </w:rPr>
        <w:t>קבע</w:t>
      </w:r>
      <w:r>
        <w:rPr>
          <w:rFonts w:hint="cs"/>
          <w:sz w:val="26"/>
          <w:szCs w:val="26"/>
          <w:rtl/>
        </w:rPr>
        <w:t xml:space="preserve">ה כי בנסיבות החריגות והקיצוניות של הפרשה דנן, החלטת שר המשפטים </w:t>
      </w:r>
      <w:r>
        <w:rPr>
          <w:sz w:val="26"/>
          <w:szCs w:val="26"/>
          <w:rtl/>
        </w:rPr>
        <w:t>–</w:t>
      </w:r>
      <w:r>
        <w:rPr>
          <w:rFonts w:hint="cs"/>
          <w:sz w:val="26"/>
          <w:szCs w:val="26"/>
          <w:rtl/>
        </w:rPr>
        <w:t xml:space="preserve"> להטיל את תפקיד היועמ"שית לפקח על חקירת הפרשה, על</w:t>
      </w:r>
      <w:r w:rsidRPr="00D643FC">
        <w:rPr>
          <w:rFonts w:hint="cs"/>
          <w:sz w:val="26"/>
          <w:szCs w:val="26"/>
          <w:rtl/>
        </w:rPr>
        <w:t xml:space="preserve"> </w:t>
      </w:r>
      <w:r>
        <w:rPr>
          <w:rFonts w:hint="cs"/>
          <w:sz w:val="26"/>
          <w:szCs w:val="26"/>
          <w:rtl/>
        </w:rPr>
        <w:t xml:space="preserve">גורם מחוץ לייעוץ המשפטי לממשלה או פרקליטות המדינה </w:t>
      </w:r>
      <w:r>
        <w:rPr>
          <w:sz w:val="26"/>
          <w:szCs w:val="26"/>
          <w:rtl/>
        </w:rPr>
        <w:t>–</w:t>
      </w:r>
      <w:r>
        <w:rPr>
          <w:rFonts w:hint="cs"/>
          <w:sz w:val="26"/>
          <w:szCs w:val="26"/>
          <w:rtl/>
        </w:rPr>
        <w:t xml:space="preserve"> ניתנה בסמכות</w:t>
      </w:r>
      <w:r w:rsidRPr="007E0684">
        <w:rPr>
          <w:sz w:val="26"/>
          <w:szCs w:val="26"/>
          <w:rtl/>
        </w:rPr>
        <w:t>.</w:t>
      </w:r>
      <w:r>
        <w:rPr>
          <w:rFonts w:hint="cs"/>
          <w:sz w:val="26"/>
          <w:szCs w:val="26"/>
          <w:rtl/>
        </w:rPr>
        <w:t xml:space="preserve"> עם זאת, נקבע כי לא ניתן להטיל את התפקיד האמור על נציב תלונות הציבור על שופטים, לנוכח הוראות החוק המסדירות את תפקידו.</w:t>
      </w:r>
      <w:r w:rsidRPr="007E0684">
        <w:rPr>
          <w:sz w:val="26"/>
          <w:szCs w:val="26"/>
          <w:rtl/>
        </w:rPr>
        <w:t xml:space="preserve"> לתוצאת פסק הדין הצטרפו השופטים </w:t>
      </w:r>
      <w:r w:rsidRPr="00750058">
        <w:rPr>
          <w:rFonts w:ascii="Century" w:hAnsi="Century" w:cs="Miriam" w:hint="cs"/>
          <w:b/>
          <w:spacing w:val="0"/>
          <w:szCs w:val="24"/>
          <w:rtl/>
        </w:rPr>
        <w:t>א' שטיין</w:t>
      </w:r>
      <w:r w:rsidRPr="00750058">
        <w:rPr>
          <w:rFonts w:ascii="Century" w:hAnsi="Century" w:cs="Miriam"/>
          <w:b/>
          <w:spacing w:val="0"/>
          <w:szCs w:val="24"/>
          <w:rtl/>
        </w:rPr>
        <w:t xml:space="preserve"> ו-</w:t>
      </w:r>
      <w:r w:rsidRPr="00750058">
        <w:rPr>
          <w:rFonts w:ascii="Century" w:hAnsi="Century" w:cs="Miriam" w:hint="cs"/>
          <w:b/>
          <w:spacing w:val="0"/>
          <w:szCs w:val="24"/>
          <w:rtl/>
        </w:rPr>
        <w:t>ג</w:t>
      </w:r>
      <w:r w:rsidRPr="00750058">
        <w:rPr>
          <w:rFonts w:ascii="Century" w:hAnsi="Century" w:cs="Miriam"/>
          <w:b/>
          <w:spacing w:val="0"/>
          <w:szCs w:val="24"/>
          <w:rtl/>
        </w:rPr>
        <w:t>' כ</w:t>
      </w:r>
      <w:r w:rsidRPr="00750058">
        <w:rPr>
          <w:rFonts w:ascii="Century" w:hAnsi="Century" w:cs="Miriam" w:hint="cs"/>
          <w:b/>
          <w:spacing w:val="0"/>
          <w:szCs w:val="24"/>
          <w:rtl/>
        </w:rPr>
        <w:t>נפי-שטייניץ</w:t>
      </w:r>
      <w:r>
        <w:rPr>
          <w:rFonts w:hint="cs"/>
          <w:sz w:val="26"/>
          <w:szCs w:val="26"/>
          <w:rtl/>
        </w:rPr>
        <w:t>, ונקבע פה-אחד כי החלטת השר מושא העתירה מבוטלת; ו</w:t>
      </w:r>
      <w:r w:rsidRPr="007D270B">
        <w:rPr>
          <w:sz w:val="26"/>
          <w:szCs w:val="26"/>
          <w:rtl/>
        </w:rPr>
        <w:t>כי ככל שהשר יקבל החלטה חדשה מכוח</w:t>
      </w:r>
      <w:r w:rsidRPr="007D270B">
        <w:rPr>
          <w:sz w:val="26"/>
          <w:szCs w:val="26"/>
          <w:rtl/>
        </w:rPr>
        <w:t xml:space="preserve"> סמכותו </w:t>
      </w:r>
      <w:r>
        <w:rPr>
          <w:rFonts w:hint="cs"/>
          <w:sz w:val="26"/>
          <w:szCs w:val="26"/>
          <w:rtl/>
        </w:rPr>
        <w:t>הנדונה</w:t>
      </w:r>
      <w:r w:rsidRPr="007D270B">
        <w:rPr>
          <w:sz w:val="26"/>
          <w:szCs w:val="26"/>
          <w:rtl/>
        </w:rPr>
        <w:t>, על ההחלטה לעמוד באמות המידה והמגבלות המפורטות בפסק הדין</w:t>
      </w:r>
      <w:r>
        <w:rPr>
          <w:rFonts w:hint="cs"/>
          <w:sz w:val="26"/>
          <w:szCs w:val="26"/>
          <w:rtl/>
        </w:rPr>
        <w:t>.</w:t>
      </w:r>
    </w:p>
    <w:p w14:paraId="5E10A691" w14:textId="77777777" w:rsidR="00742CDF" w:rsidRPr="007E0684" w:rsidRDefault="008F5C8E" w:rsidP="00571109">
      <w:pPr>
        <w:pStyle w:val="Ruller4"/>
        <w:spacing w:after="120" w:line="240" w:lineRule="auto"/>
        <w:outlineLvl w:val="1"/>
        <w:rPr>
          <w:rFonts w:ascii="FrankRuehl" w:hAnsi="FrankRuehl"/>
          <w:sz w:val="26"/>
          <w:szCs w:val="26"/>
          <w:rtl/>
        </w:rPr>
      </w:pPr>
      <w:r w:rsidRPr="007E0684">
        <w:rPr>
          <w:rFonts w:ascii="FrankRuehl" w:hAnsi="FrankRuehl"/>
          <w:sz w:val="26"/>
          <w:szCs w:val="26"/>
          <w:u w:val="single"/>
          <w:rtl/>
        </w:rPr>
        <w:t>העובדות</w:t>
      </w:r>
      <w:r w:rsidRPr="007E0684">
        <w:rPr>
          <w:rFonts w:ascii="FrankRuehl" w:hAnsi="FrankRuehl"/>
          <w:sz w:val="26"/>
          <w:szCs w:val="26"/>
          <w:rtl/>
        </w:rPr>
        <w:t>:</w:t>
      </w:r>
    </w:p>
    <w:p w14:paraId="3FD30116" w14:textId="77777777" w:rsidR="00742CDF" w:rsidRDefault="008F5C8E" w:rsidP="00742CDF">
      <w:pPr>
        <w:pStyle w:val="Ruller4"/>
        <w:spacing w:after="120" w:line="240" w:lineRule="auto"/>
        <w:rPr>
          <w:rFonts w:ascii="FrankRuehl" w:hAnsi="FrankRuehl"/>
          <w:sz w:val="26"/>
          <w:szCs w:val="26"/>
          <w:rtl/>
        </w:rPr>
      </w:pPr>
      <w:r w:rsidRPr="007E0684">
        <w:rPr>
          <w:rFonts w:ascii="FrankRuehl" w:hAnsi="FrankRuehl"/>
          <w:sz w:val="26"/>
          <w:szCs w:val="26"/>
          <w:rtl/>
        </w:rPr>
        <w:t>ראשית הפרשה בחקירה פלילית שנפתחה על-ידי רשויות האכיפה בצה"ל, בשל חשד לביצוע עבירות מצד חיילים כלפי כלואים בבסיס "שדה תימן"; בהמשך לכך, הודלפו לאמצעי התקשורת סרטונים ממצלמות ה</w:t>
      </w:r>
      <w:r w:rsidRPr="007E0684">
        <w:rPr>
          <w:rFonts w:ascii="FrankRuehl" w:hAnsi="FrankRuehl"/>
          <w:sz w:val="26"/>
          <w:szCs w:val="26"/>
          <w:rtl/>
        </w:rPr>
        <w:t>אבטחה של הבסיס, אשר הוצגו בתקשורת כתיעוד לביצוע עבירות אלו.</w:t>
      </w:r>
      <w:r>
        <w:rPr>
          <w:rFonts w:ascii="FrankRuehl" w:hAnsi="FrankRuehl" w:hint="cs"/>
          <w:sz w:val="26"/>
          <w:szCs w:val="26"/>
          <w:rtl/>
        </w:rPr>
        <w:t xml:space="preserve"> בתגובה לעתירות שהוגשו לבית משפט זה, בשאלת זהות הגורם שיחקור את המקור להדלפה, מסרו משיבי המדינה לעתירות כי נערכה פגישה בהשתתפות בכירים בייעוץ המשפטי לממשלה ופרקליטות המדינה, לרבות היועמ"שית ופרקליט</w:t>
      </w:r>
      <w:r>
        <w:rPr>
          <w:rFonts w:ascii="FrankRuehl" w:hAnsi="FrankRuehl" w:hint="cs"/>
          <w:sz w:val="26"/>
          <w:szCs w:val="26"/>
          <w:rtl/>
        </w:rPr>
        <w:t xml:space="preserve"> המדינה, יחד עם הגורמים בצה"ל האמונים על בדיקת המקור להדלפה; וכי הנוכחים בפגישה היו תמימי דעים שהבדיקה בצה"ל נערכת כראוי; וכי "למעלה מן הדרוש", היא תפוקח על-ידי המשנה לפרקליט המדינה (תפקידים מיוחדים). בהמשך לעתירה נוספת שהוגשה בנושא, עדכנו גורמי הייעוץ המש</w:t>
      </w:r>
      <w:r>
        <w:rPr>
          <w:rFonts w:ascii="FrankRuehl" w:hAnsi="FrankRuehl" w:hint="cs"/>
          <w:sz w:val="26"/>
          <w:szCs w:val="26"/>
          <w:rtl/>
        </w:rPr>
        <w:t xml:space="preserve">פטי לממשלה והצבא כי </w:t>
      </w:r>
      <w:r w:rsidRPr="007E0684">
        <w:rPr>
          <w:rFonts w:ascii="FrankRuehl" w:hAnsi="FrankRuehl"/>
          <w:sz w:val="26"/>
          <w:szCs w:val="26"/>
          <w:rtl/>
        </w:rPr>
        <w:t>פעולות החקירה שנערכו הגיעו למיצוי</w:t>
      </w:r>
      <w:r>
        <w:rPr>
          <w:rFonts w:ascii="FrankRuehl" w:hAnsi="FrankRuehl" w:hint="cs"/>
          <w:sz w:val="26"/>
          <w:szCs w:val="26"/>
          <w:rtl/>
        </w:rPr>
        <w:t>,</w:t>
      </w:r>
      <w:r w:rsidRPr="007E0684">
        <w:rPr>
          <w:rFonts w:ascii="FrankRuehl" w:hAnsi="FrankRuehl"/>
          <w:sz w:val="26"/>
          <w:szCs w:val="26"/>
          <w:rtl/>
        </w:rPr>
        <w:t xml:space="preserve"> וכי לא נמצאה </w:t>
      </w:r>
      <w:r>
        <w:rPr>
          <w:rFonts w:ascii="FrankRuehl" w:hAnsi="FrankRuehl" w:hint="cs"/>
          <w:sz w:val="26"/>
          <w:szCs w:val="26"/>
          <w:rtl/>
        </w:rPr>
        <w:t xml:space="preserve">"ולו </w:t>
      </w:r>
      <w:r w:rsidRPr="007E0684">
        <w:rPr>
          <w:rFonts w:ascii="FrankRuehl" w:hAnsi="FrankRuehl"/>
          <w:sz w:val="26"/>
          <w:szCs w:val="26"/>
          <w:rtl/>
        </w:rPr>
        <w:t>אינדיקציה ראשונית</w:t>
      </w:r>
      <w:r>
        <w:rPr>
          <w:rFonts w:ascii="FrankRuehl" w:hAnsi="FrankRuehl" w:hint="cs"/>
          <w:sz w:val="26"/>
          <w:szCs w:val="26"/>
          <w:rtl/>
        </w:rPr>
        <w:t>"</w:t>
      </w:r>
      <w:r w:rsidRPr="007E0684">
        <w:rPr>
          <w:rFonts w:ascii="FrankRuehl" w:hAnsi="FrankRuehl"/>
          <w:sz w:val="26"/>
          <w:szCs w:val="26"/>
          <w:rtl/>
        </w:rPr>
        <w:t xml:space="preserve"> המצביעה על מקור </w:t>
      </w:r>
      <w:r>
        <w:rPr>
          <w:rFonts w:ascii="FrankRuehl" w:hAnsi="FrankRuehl" w:hint="cs"/>
          <w:sz w:val="26"/>
          <w:szCs w:val="26"/>
          <w:rtl/>
        </w:rPr>
        <w:t>ההדלפה</w:t>
      </w:r>
      <w:r w:rsidRPr="007E0684">
        <w:rPr>
          <w:rFonts w:ascii="FrankRuehl" w:hAnsi="FrankRuehl"/>
          <w:sz w:val="26"/>
          <w:szCs w:val="26"/>
          <w:rtl/>
        </w:rPr>
        <w:t>. ביום 31.10.2025 שלחה הפרקליטה הצבאית הראשית מכתב</w:t>
      </w:r>
      <w:r>
        <w:rPr>
          <w:rFonts w:ascii="FrankRuehl" w:hAnsi="FrankRuehl" w:hint="cs"/>
          <w:sz w:val="26"/>
          <w:szCs w:val="26"/>
          <w:rtl/>
        </w:rPr>
        <w:t xml:space="preserve"> התפטרות</w:t>
      </w:r>
      <w:r w:rsidRPr="007E0684">
        <w:rPr>
          <w:rFonts w:ascii="FrankRuehl" w:hAnsi="FrankRuehl"/>
          <w:sz w:val="26"/>
          <w:szCs w:val="26"/>
          <w:rtl/>
        </w:rPr>
        <w:t xml:space="preserve"> לרמטכ"ל, ובו הודיעה כי היא אישרה את הדלפת הסרטון לתקשורת</w:t>
      </w:r>
      <w:r>
        <w:rPr>
          <w:rFonts w:ascii="FrankRuehl" w:hAnsi="FrankRuehl" w:hint="cs"/>
          <w:sz w:val="26"/>
          <w:szCs w:val="26"/>
          <w:rtl/>
        </w:rPr>
        <w:t>. בהמשך לכך</w:t>
      </w:r>
      <w:r w:rsidRPr="007E0684">
        <w:rPr>
          <w:rFonts w:ascii="FrankRuehl" w:hAnsi="FrankRuehl"/>
          <w:sz w:val="26"/>
          <w:szCs w:val="26"/>
          <w:rtl/>
        </w:rPr>
        <w:t xml:space="preserve"> שלח שר המשפטים </w:t>
      </w:r>
      <w:r w:rsidRPr="007E0684">
        <w:rPr>
          <w:rFonts w:ascii="FrankRuehl" w:hAnsi="FrankRuehl"/>
          <w:sz w:val="26"/>
          <w:szCs w:val="26"/>
          <w:rtl/>
        </w:rPr>
        <w:t>מכתב ליוע</w:t>
      </w:r>
      <w:r>
        <w:rPr>
          <w:rFonts w:ascii="FrankRuehl" w:hAnsi="FrankRuehl" w:hint="cs"/>
          <w:sz w:val="26"/>
          <w:szCs w:val="26"/>
          <w:rtl/>
        </w:rPr>
        <w:t>מ"שית</w:t>
      </w:r>
      <w:r w:rsidRPr="007E0684">
        <w:rPr>
          <w:rFonts w:ascii="FrankRuehl" w:hAnsi="FrankRuehl"/>
          <w:sz w:val="26"/>
          <w:szCs w:val="26"/>
          <w:rtl/>
        </w:rPr>
        <w:t>, ובו צ</w:t>
      </w:r>
      <w:r>
        <w:rPr>
          <w:rFonts w:ascii="FrankRuehl" w:hAnsi="FrankRuehl" w:hint="cs"/>
          <w:sz w:val="26"/>
          <w:szCs w:val="26"/>
          <w:rtl/>
        </w:rPr>
        <w:t>י</w:t>
      </w:r>
      <w:r w:rsidRPr="007E0684">
        <w:rPr>
          <w:rFonts w:ascii="FrankRuehl" w:hAnsi="FrankRuehl"/>
          <w:sz w:val="26"/>
          <w:szCs w:val="26"/>
          <w:rtl/>
        </w:rPr>
        <w:t xml:space="preserve">ין כי היא והכפופים לה מנועים מלעסוק בפרשה דנן. </w:t>
      </w:r>
      <w:r>
        <w:rPr>
          <w:rFonts w:ascii="FrankRuehl" w:hAnsi="FrankRuehl" w:hint="cs"/>
          <w:sz w:val="26"/>
          <w:szCs w:val="26"/>
          <w:rtl/>
        </w:rPr>
        <w:t xml:space="preserve">בהמשך </w:t>
      </w:r>
      <w:r w:rsidRPr="007E0684">
        <w:rPr>
          <w:rFonts w:ascii="FrankRuehl" w:hAnsi="FrankRuehl"/>
          <w:sz w:val="26"/>
          <w:szCs w:val="26"/>
          <w:rtl/>
        </w:rPr>
        <w:t xml:space="preserve">ניתנה חוות דעת של יועמ"שית משרד המשפטים, </w:t>
      </w:r>
      <w:r>
        <w:rPr>
          <w:rFonts w:ascii="FrankRuehl" w:hAnsi="FrankRuehl" w:hint="cs"/>
          <w:sz w:val="26"/>
          <w:szCs w:val="26"/>
          <w:rtl/>
        </w:rPr>
        <w:t>שבגדרה נקבע</w:t>
      </w:r>
      <w:r w:rsidRPr="007E0684">
        <w:rPr>
          <w:rFonts w:ascii="FrankRuehl" w:hAnsi="FrankRuehl"/>
          <w:sz w:val="26"/>
          <w:szCs w:val="26"/>
          <w:rtl/>
        </w:rPr>
        <w:t xml:space="preserve"> כי היועצת המשפטית לממשלה מנועה מליווי ופיקוח על חקירת הפרשה האמורה, משום שהיא עצמה עשויה להידרש למסור עדות במסגרתה</w:t>
      </w:r>
      <w:r>
        <w:rPr>
          <w:rFonts w:ascii="FrankRuehl" w:hAnsi="FrankRuehl" w:hint="cs"/>
          <w:sz w:val="26"/>
          <w:szCs w:val="26"/>
          <w:rtl/>
        </w:rPr>
        <w:t>;</w:t>
      </w:r>
      <w:r w:rsidRPr="007E0684">
        <w:rPr>
          <w:rFonts w:ascii="FrankRuehl" w:hAnsi="FrankRuehl"/>
          <w:sz w:val="26"/>
          <w:szCs w:val="26"/>
          <w:rtl/>
        </w:rPr>
        <w:t xml:space="preserve"> </w:t>
      </w:r>
      <w:r>
        <w:rPr>
          <w:rFonts w:ascii="FrankRuehl" w:hAnsi="FrankRuehl" w:hint="cs"/>
          <w:sz w:val="26"/>
          <w:szCs w:val="26"/>
          <w:rtl/>
        </w:rPr>
        <w:t>ו</w:t>
      </w:r>
      <w:r w:rsidRPr="007E0684">
        <w:rPr>
          <w:rFonts w:ascii="FrankRuehl" w:hAnsi="FrankRuehl"/>
          <w:sz w:val="26"/>
          <w:szCs w:val="26"/>
          <w:rtl/>
        </w:rPr>
        <w:t xml:space="preserve">כי חובת </w:t>
      </w:r>
      <w:r w:rsidRPr="007E0684">
        <w:rPr>
          <w:rFonts w:ascii="FrankRuehl" w:hAnsi="FrankRuehl"/>
          <w:sz w:val="26"/>
          <w:szCs w:val="26"/>
          <w:rtl/>
        </w:rPr>
        <w:t>ההימנ</w:t>
      </w:r>
      <w:r w:rsidRPr="007E0684">
        <w:rPr>
          <w:rFonts w:ascii="FrankRuehl" w:hAnsi="FrankRuehl" w:hint="cs"/>
          <w:sz w:val="26"/>
          <w:szCs w:val="26"/>
          <w:rtl/>
        </w:rPr>
        <w:t>ע</w:t>
      </w:r>
      <w:r w:rsidRPr="007E0684">
        <w:rPr>
          <w:rFonts w:ascii="FrankRuehl" w:hAnsi="FrankRuehl"/>
          <w:sz w:val="26"/>
          <w:szCs w:val="26"/>
          <w:rtl/>
        </w:rPr>
        <w:t>ות מופנית גם כלפי המשנה לפרקליט המדינה (תפקידים מיוחדים),</w:t>
      </w:r>
      <w:r>
        <w:rPr>
          <w:rFonts w:ascii="FrankRuehl" w:hAnsi="FrankRuehl" w:hint="cs"/>
          <w:sz w:val="26"/>
          <w:szCs w:val="26"/>
          <w:rtl/>
        </w:rPr>
        <w:t xml:space="preserve"> שפיקח במישרין על צוות הבדיקה בצה"ל, וכן כלפי</w:t>
      </w:r>
      <w:r w:rsidRPr="007E0684">
        <w:rPr>
          <w:rFonts w:ascii="FrankRuehl" w:hAnsi="FrankRuehl"/>
          <w:sz w:val="26"/>
          <w:szCs w:val="26"/>
          <w:rtl/>
        </w:rPr>
        <w:t xml:space="preserve"> כל מי שהיה מעורב</w:t>
      </w:r>
      <w:r>
        <w:rPr>
          <w:rFonts w:ascii="FrankRuehl" w:hAnsi="FrankRuehl" w:hint="cs"/>
          <w:sz w:val="26"/>
          <w:szCs w:val="26"/>
          <w:rtl/>
        </w:rPr>
        <w:t xml:space="preserve"> בפרשה</w:t>
      </w:r>
      <w:r w:rsidRPr="007E0684">
        <w:rPr>
          <w:rFonts w:ascii="FrankRuehl" w:hAnsi="FrankRuehl"/>
          <w:sz w:val="26"/>
          <w:szCs w:val="26"/>
          <w:rtl/>
        </w:rPr>
        <w:t xml:space="preserve"> מטע</w:t>
      </w:r>
      <w:r>
        <w:rPr>
          <w:rFonts w:ascii="FrankRuehl" w:hAnsi="FrankRuehl" w:hint="cs"/>
          <w:sz w:val="26"/>
          <w:szCs w:val="26"/>
          <w:rtl/>
        </w:rPr>
        <w:t>מו ומטעם</w:t>
      </w:r>
      <w:r w:rsidRPr="007E0684">
        <w:rPr>
          <w:rFonts w:ascii="FrankRuehl" w:hAnsi="FrankRuehl"/>
          <w:sz w:val="26"/>
          <w:szCs w:val="26"/>
          <w:rtl/>
        </w:rPr>
        <w:t xml:space="preserve"> היועמ"שית.</w:t>
      </w:r>
      <w:r>
        <w:rPr>
          <w:rFonts w:ascii="FrankRuehl" w:hAnsi="FrankRuehl" w:hint="cs"/>
          <w:sz w:val="26"/>
          <w:szCs w:val="26"/>
          <w:rtl/>
        </w:rPr>
        <w:t xml:space="preserve"> בעקבות זאת,</w:t>
      </w:r>
      <w:r w:rsidRPr="007E0684">
        <w:rPr>
          <w:rFonts w:ascii="FrankRuehl" w:hAnsi="FrankRuehl"/>
          <w:sz w:val="26"/>
          <w:szCs w:val="26"/>
          <w:rtl/>
        </w:rPr>
        <w:t xml:space="preserve"> </w:t>
      </w:r>
      <w:r>
        <w:rPr>
          <w:rFonts w:ascii="FrankRuehl" w:hAnsi="FrankRuehl" w:hint="cs"/>
          <w:sz w:val="26"/>
          <w:szCs w:val="26"/>
          <w:rtl/>
        </w:rPr>
        <w:t>החליט</w:t>
      </w:r>
      <w:r w:rsidRPr="007E0684">
        <w:rPr>
          <w:rFonts w:ascii="FrankRuehl" w:hAnsi="FrankRuehl"/>
          <w:sz w:val="26"/>
          <w:szCs w:val="26"/>
          <w:rtl/>
        </w:rPr>
        <w:t xml:space="preserve"> שר המשפטים</w:t>
      </w:r>
      <w:r>
        <w:rPr>
          <w:rFonts w:ascii="FrankRuehl" w:hAnsi="FrankRuehl" w:hint="cs"/>
          <w:sz w:val="26"/>
          <w:szCs w:val="26"/>
          <w:rtl/>
        </w:rPr>
        <w:t>, מכוח סמכותו לפי סעיף 23א(ד) לחוק שירות המדינה (מינויים), התשי"ט-1959, כ</w:t>
      </w:r>
      <w:r>
        <w:rPr>
          <w:rFonts w:ascii="FrankRuehl" w:hAnsi="FrankRuehl" w:hint="cs"/>
          <w:sz w:val="26"/>
          <w:szCs w:val="26"/>
          <w:rtl/>
        </w:rPr>
        <w:t>י תפקיד היועמ"שית ביחס</w:t>
      </w:r>
      <w:r w:rsidRPr="007E0684">
        <w:rPr>
          <w:rFonts w:ascii="FrankRuehl" w:hAnsi="FrankRuehl"/>
          <w:sz w:val="26"/>
          <w:szCs w:val="26"/>
          <w:rtl/>
        </w:rPr>
        <w:t xml:space="preserve"> ל</w:t>
      </w:r>
      <w:r>
        <w:rPr>
          <w:rFonts w:ascii="FrankRuehl" w:hAnsi="FrankRuehl" w:hint="cs"/>
          <w:sz w:val="26"/>
          <w:szCs w:val="26"/>
          <w:rtl/>
        </w:rPr>
        <w:t>פרשה דנן יוטל על נציב תלונות הציבור על שופטים,</w:t>
      </w:r>
      <w:r w:rsidRPr="007E0684">
        <w:rPr>
          <w:rFonts w:ascii="FrankRuehl" w:hAnsi="FrankRuehl"/>
          <w:sz w:val="26"/>
          <w:szCs w:val="26"/>
          <w:rtl/>
        </w:rPr>
        <w:t xml:space="preserve"> וזאת עד שתוסר מניע</w:t>
      </w:r>
      <w:r>
        <w:rPr>
          <w:rFonts w:ascii="FrankRuehl" w:hAnsi="FrankRuehl" w:hint="cs"/>
          <w:sz w:val="26"/>
          <w:szCs w:val="26"/>
          <w:rtl/>
        </w:rPr>
        <w:t>ת</w:t>
      </w:r>
      <w:r w:rsidRPr="007E0684">
        <w:rPr>
          <w:rFonts w:ascii="FrankRuehl" w:hAnsi="FrankRuehl"/>
          <w:sz w:val="26"/>
          <w:szCs w:val="26"/>
          <w:rtl/>
        </w:rPr>
        <w:t>ה</w:t>
      </w:r>
      <w:r>
        <w:rPr>
          <w:rFonts w:ascii="FrankRuehl" w:hAnsi="FrankRuehl" w:hint="cs"/>
          <w:sz w:val="26"/>
          <w:szCs w:val="26"/>
          <w:rtl/>
        </w:rPr>
        <w:t xml:space="preserve"> בנושא.</w:t>
      </w:r>
    </w:p>
    <w:p w14:paraId="246F2BB9" w14:textId="77777777" w:rsidR="00AC590E" w:rsidRDefault="008F5C8E" w:rsidP="004A113D">
      <w:pPr>
        <w:pStyle w:val="Ruller4"/>
        <w:spacing w:before="120" w:after="120" w:line="240" w:lineRule="auto"/>
        <w:rPr>
          <w:rFonts w:ascii="FrankRuehl" w:hAnsi="FrankRuehl"/>
          <w:sz w:val="26"/>
          <w:szCs w:val="26"/>
          <w:rtl/>
        </w:rPr>
        <w:sectPr w:rsidR="00AC590E" w:rsidSect="00C6455C">
          <w:footerReference w:type="default" r:id="rId12"/>
          <w:pgSz w:w="11906" w:h="16838"/>
          <w:pgMar w:top="284" w:right="1800" w:bottom="1440" w:left="1800" w:header="708" w:footer="708" w:gutter="0"/>
          <w:cols w:space="708"/>
          <w:bidi/>
          <w:rtlGutter/>
          <w:docGrid w:linePitch="360"/>
        </w:sectPr>
      </w:pPr>
      <w:r>
        <w:rPr>
          <w:rFonts w:ascii="FrankRuehl" w:hAnsi="FrankRuehl" w:hint="cs"/>
          <w:sz w:val="26"/>
          <w:szCs w:val="26"/>
          <w:rtl/>
        </w:rPr>
        <w:t>בעיקרו של דבר, המחלוקת שנדונה בפסק הדין נוגעת לזהות הגורם שיפקח וילווה את החקירה המשטרתית בעניין</w:t>
      </w:r>
      <w:r>
        <w:rPr>
          <w:rFonts w:ascii="FrankRuehl" w:hAnsi="FrankRuehl" w:hint="cs"/>
          <w:sz w:val="26"/>
          <w:szCs w:val="26"/>
          <w:rtl/>
        </w:rPr>
        <w:t xml:space="preserve"> הפרשה הנדונה, בשים לב למניעות היועמ"שית לעסוק בה. מצד אחד,</w:t>
      </w:r>
      <w:r w:rsidRPr="00683D32">
        <w:rPr>
          <w:rFonts w:ascii="FrankRuehl" w:hAnsi="FrankRuehl" w:hint="cs"/>
          <w:sz w:val="26"/>
          <w:szCs w:val="26"/>
          <w:rtl/>
        </w:rPr>
        <w:t xml:space="preserve"> </w:t>
      </w:r>
      <w:r>
        <w:rPr>
          <w:rFonts w:ascii="FrankRuehl" w:hAnsi="FrankRuehl" w:hint="cs"/>
          <w:sz w:val="26"/>
          <w:szCs w:val="26"/>
          <w:rtl/>
        </w:rPr>
        <w:t>פרקליטות המדינה והעותרת בבג"צ 18615-11-25 טוענות כי החלטת השר ניתנה בחוסר סמכות; וכי</w:t>
      </w:r>
      <w:r w:rsidRPr="00425EDA">
        <w:rPr>
          <w:rFonts w:ascii="FrankRuehl" w:hAnsi="FrankRuehl" w:hint="cs"/>
          <w:sz w:val="26"/>
          <w:szCs w:val="26"/>
          <w:rtl/>
        </w:rPr>
        <w:t xml:space="preserve"> </w:t>
      </w:r>
      <w:r>
        <w:rPr>
          <w:rFonts w:ascii="FrankRuehl" w:hAnsi="FrankRuehl" w:hint="cs"/>
          <w:sz w:val="26"/>
          <w:szCs w:val="26"/>
          <w:rtl/>
        </w:rPr>
        <w:t xml:space="preserve">יש להפקיד את הפיקוח על החקירה בידי גורמים מהייעוץ המשפטי לממשלה או </w:t>
      </w:r>
    </w:p>
    <w:p w14:paraId="1CDD7EDD" w14:textId="77777777" w:rsidR="00742CDF" w:rsidRPr="007E0684" w:rsidRDefault="008F5C8E" w:rsidP="004A113D">
      <w:pPr>
        <w:pStyle w:val="Ruller4"/>
        <w:spacing w:before="120" w:after="120" w:line="240" w:lineRule="auto"/>
        <w:rPr>
          <w:rFonts w:ascii="FrankRuehl" w:hAnsi="FrankRuehl"/>
          <w:sz w:val="26"/>
          <w:szCs w:val="26"/>
          <w:rtl/>
        </w:rPr>
      </w:pPr>
      <w:r>
        <w:rPr>
          <w:rFonts w:ascii="FrankRuehl" w:hAnsi="FrankRuehl" w:hint="cs"/>
          <w:sz w:val="26"/>
          <w:szCs w:val="26"/>
          <w:rtl/>
        </w:rPr>
        <w:lastRenderedPageBreak/>
        <w:t>פרקליטות המדינה, לנוכח הכלל שלפיו אסור לגור</w:t>
      </w:r>
      <w:r>
        <w:rPr>
          <w:rFonts w:ascii="FrankRuehl" w:hAnsi="FrankRuehl" w:hint="cs"/>
          <w:sz w:val="26"/>
          <w:szCs w:val="26"/>
          <w:rtl/>
        </w:rPr>
        <w:t xml:space="preserve">מים פוליטיים להתערב בחקירות משטרה. מנגד, שר המשפטים והעותרת </w:t>
      </w:r>
      <w:r w:rsidRPr="006F26C8">
        <w:rPr>
          <w:rFonts w:ascii="FrankRuehl" w:hAnsi="FrankRuehl" w:hint="eastAsia"/>
          <w:sz w:val="26"/>
          <w:szCs w:val="26"/>
          <w:rtl/>
        </w:rPr>
        <w:t>בבג</w:t>
      </w:r>
      <w:r w:rsidRPr="006F26C8">
        <w:rPr>
          <w:rFonts w:ascii="FrankRuehl" w:hAnsi="FrankRuehl"/>
          <w:sz w:val="26"/>
          <w:szCs w:val="26"/>
          <w:rtl/>
        </w:rPr>
        <w:t>"ץ 3545-11-25</w:t>
      </w:r>
      <w:r>
        <w:rPr>
          <w:rFonts w:ascii="FrankRuehl" w:hAnsi="FrankRuehl" w:hint="cs"/>
          <w:sz w:val="26"/>
          <w:szCs w:val="26"/>
          <w:rtl/>
        </w:rPr>
        <w:t xml:space="preserve"> טוענים כי החלטת השר ניתנה בסמכות, ואף מחויבת המציאות, לנוכח מעורבות בכירי הייעוץ המשפטי לממשלה ופרקליטות המדינה במסכת העובדתית הנחקרת.</w:t>
      </w:r>
    </w:p>
    <w:p w14:paraId="78589DE7" w14:textId="77777777" w:rsidR="00742CDF" w:rsidRPr="00722BD1" w:rsidRDefault="008F5C8E" w:rsidP="004A113D">
      <w:pPr>
        <w:spacing w:after="120" w:line="240" w:lineRule="auto"/>
        <w:jc w:val="both"/>
        <w:outlineLvl w:val="1"/>
        <w:rPr>
          <w:rFonts w:ascii="FrankRuehl" w:hAnsi="FrankRuehl" w:cs="FrankRuehl"/>
          <w:b/>
          <w:bCs/>
          <w:color w:val="002060"/>
          <w:sz w:val="30"/>
          <w:szCs w:val="30"/>
          <w:u w:val="single"/>
          <w:rtl/>
        </w:rPr>
      </w:pPr>
      <w:r w:rsidRPr="00722BD1">
        <w:rPr>
          <w:rFonts w:ascii="FrankRuehl" w:hAnsi="FrankRuehl" w:cs="FrankRuehl"/>
          <w:b/>
          <w:bCs/>
          <w:color w:val="002060"/>
          <w:sz w:val="30"/>
          <w:szCs w:val="30"/>
          <w:u w:val="single"/>
          <w:rtl/>
        </w:rPr>
        <w:t>עיקרי פסק הדין:</w:t>
      </w:r>
    </w:p>
    <w:p w14:paraId="7AAE9AE7" w14:textId="77777777" w:rsidR="00742CDF" w:rsidRPr="00722BD1" w:rsidRDefault="008F5C8E" w:rsidP="004A113D">
      <w:pPr>
        <w:pStyle w:val="Ruller4"/>
        <w:spacing w:after="120" w:line="240" w:lineRule="auto"/>
        <w:outlineLvl w:val="2"/>
        <w:rPr>
          <w:rFonts w:ascii="FrankRuehl" w:hAnsi="FrankRuehl"/>
          <w:color w:val="002060"/>
          <w:sz w:val="26"/>
          <w:szCs w:val="26"/>
          <w:u w:val="single"/>
          <w:rtl/>
        </w:rPr>
      </w:pPr>
      <w:r w:rsidRPr="00722BD1">
        <w:rPr>
          <w:rFonts w:ascii="FrankRuehl" w:hAnsi="FrankRuehl"/>
          <w:color w:val="002060"/>
          <w:sz w:val="26"/>
          <w:szCs w:val="26"/>
          <w:u w:val="single"/>
          <w:rtl/>
        </w:rPr>
        <w:t xml:space="preserve">השופטת </w:t>
      </w:r>
      <w:r w:rsidRPr="00722BD1">
        <w:rPr>
          <w:rFonts w:ascii="FrankRuehl" w:hAnsi="FrankRuehl" w:hint="cs"/>
          <w:color w:val="002060"/>
          <w:sz w:val="26"/>
          <w:szCs w:val="26"/>
          <w:u w:val="single"/>
          <w:rtl/>
        </w:rPr>
        <w:t xml:space="preserve">י' </w:t>
      </w:r>
      <w:r w:rsidRPr="00722BD1">
        <w:rPr>
          <w:rFonts w:ascii="FrankRuehl" w:hAnsi="FrankRuehl"/>
          <w:color w:val="002060"/>
          <w:sz w:val="26"/>
          <w:szCs w:val="26"/>
          <w:u w:val="single"/>
          <w:rtl/>
        </w:rPr>
        <w:t>וילנר</w:t>
      </w:r>
      <w:r w:rsidRPr="00722BD1">
        <w:rPr>
          <w:rFonts w:ascii="FrankRuehl" w:hAnsi="FrankRuehl" w:hint="cs"/>
          <w:color w:val="002060"/>
          <w:sz w:val="26"/>
          <w:szCs w:val="26"/>
          <w:u w:val="single"/>
          <w:rtl/>
        </w:rPr>
        <w:t>:</w:t>
      </w:r>
    </w:p>
    <w:p w14:paraId="17799704" w14:textId="77777777" w:rsidR="00742CDF" w:rsidRDefault="008F5C8E" w:rsidP="00742CDF">
      <w:pPr>
        <w:pStyle w:val="Ruller4"/>
        <w:spacing w:after="120" w:line="240" w:lineRule="auto"/>
        <w:rPr>
          <w:sz w:val="26"/>
          <w:szCs w:val="26"/>
          <w:rtl/>
        </w:rPr>
      </w:pPr>
      <w:r w:rsidRPr="007E0684">
        <w:rPr>
          <w:rFonts w:hint="cs"/>
          <w:sz w:val="26"/>
          <w:szCs w:val="26"/>
          <w:rtl/>
        </w:rPr>
        <w:t xml:space="preserve">השופטת </w:t>
      </w:r>
      <w:r w:rsidRPr="006F26C8">
        <w:rPr>
          <w:rFonts w:ascii="Century" w:hAnsi="Century" w:cs="Miriam" w:hint="cs"/>
          <w:b/>
          <w:spacing w:val="0"/>
          <w:szCs w:val="24"/>
          <w:rtl/>
        </w:rPr>
        <w:t>וילנר</w:t>
      </w:r>
      <w:r w:rsidRPr="007E0684">
        <w:rPr>
          <w:rFonts w:ascii="Century" w:hAnsi="Century" w:hint="cs"/>
          <w:sz w:val="26"/>
          <w:szCs w:val="26"/>
          <w:rtl/>
        </w:rPr>
        <w:t xml:space="preserve">, שכתבה את </w:t>
      </w:r>
      <w:r w:rsidRPr="007E0684">
        <w:rPr>
          <w:rFonts w:hint="cs"/>
          <w:sz w:val="26"/>
          <w:szCs w:val="26"/>
          <w:rtl/>
        </w:rPr>
        <w:t>חוות הדעת העיקרית, ציינה בפתח דבריה</w:t>
      </w:r>
      <w:r>
        <w:rPr>
          <w:rFonts w:hint="cs"/>
          <w:sz w:val="26"/>
          <w:szCs w:val="26"/>
          <w:rtl/>
        </w:rPr>
        <w:t xml:space="preserve"> </w:t>
      </w:r>
      <w:r w:rsidRPr="006F26C8">
        <w:rPr>
          <w:rFonts w:hint="eastAsia"/>
          <w:sz w:val="26"/>
          <w:szCs w:val="26"/>
          <w:rtl/>
        </w:rPr>
        <w:t>כי</w:t>
      </w:r>
      <w:r w:rsidRPr="006F26C8">
        <w:rPr>
          <w:sz w:val="26"/>
          <w:szCs w:val="26"/>
          <w:rtl/>
        </w:rPr>
        <w:t xml:space="preserve"> </w:t>
      </w:r>
      <w:r w:rsidRPr="006F26C8">
        <w:rPr>
          <w:rFonts w:hint="eastAsia"/>
          <w:sz w:val="26"/>
          <w:szCs w:val="26"/>
          <w:rtl/>
        </w:rPr>
        <w:t>מדובר</w:t>
      </w:r>
      <w:r w:rsidRPr="006F26C8">
        <w:rPr>
          <w:sz w:val="26"/>
          <w:szCs w:val="26"/>
          <w:rtl/>
        </w:rPr>
        <w:t xml:space="preserve"> </w:t>
      </w:r>
      <w:r w:rsidRPr="006F26C8">
        <w:rPr>
          <w:rFonts w:hint="eastAsia"/>
          <w:sz w:val="26"/>
          <w:szCs w:val="26"/>
          <w:rtl/>
        </w:rPr>
        <w:t>בפרשה</w:t>
      </w:r>
      <w:r w:rsidRPr="006F26C8">
        <w:rPr>
          <w:sz w:val="26"/>
          <w:szCs w:val="26"/>
          <w:rtl/>
        </w:rPr>
        <w:t xml:space="preserve"> </w:t>
      </w:r>
      <w:r w:rsidRPr="006F26C8">
        <w:rPr>
          <w:rFonts w:hint="eastAsia"/>
          <w:sz w:val="26"/>
          <w:szCs w:val="26"/>
          <w:rtl/>
        </w:rPr>
        <w:t>חמורה</w:t>
      </w:r>
      <w:r w:rsidRPr="006F26C8">
        <w:rPr>
          <w:sz w:val="26"/>
          <w:szCs w:val="26"/>
          <w:rtl/>
        </w:rPr>
        <w:t xml:space="preserve"> </w:t>
      </w:r>
      <w:r w:rsidRPr="006F26C8">
        <w:rPr>
          <w:rFonts w:hint="eastAsia"/>
          <w:sz w:val="26"/>
          <w:szCs w:val="26"/>
          <w:rtl/>
        </w:rPr>
        <w:t>ורגישה</w:t>
      </w:r>
      <w:r w:rsidRPr="006F26C8">
        <w:rPr>
          <w:sz w:val="26"/>
          <w:szCs w:val="26"/>
          <w:rtl/>
        </w:rPr>
        <w:t xml:space="preserve"> </w:t>
      </w:r>
      <w:r w:rsidRPr="006F26C8">
        <w:rPr>
          <w:rFonts w:hint="eastAsia"/>
          <w:sz w:val="26"/>
          <w:szCs w:val="26"/>
          <w:rtl/>
        </w:rPr>
        <w:t>מעין</w:t>
      </w:r>
      <w:r w:rsidRPr="006F26C8">
        <w:rPr>
          <w:sz w:val="26"/>
          <w:szCs w:val="26"/>
          <w:rtl/>
        </w:rPr>
        <w:t xml:space="preserve"> </w:t>
      </w:r>
      <w:r w:rsidRPr="006F26C8">
        <w:rPr>
          <w:rFonts w:hint="eastAsia"/>
          <w:sz w:val="26"/>
          <w:szCs w:val="26"/>
          <w:rtl/>
        </w:rPr>
        <w:t>כמוה</w:t>
      </w:r>
      <w:r w:rsidRPr="006F26C8">
        <w:rPr>
          <w:sz w:val="26"/>
          <w:szCs w:val="26"/>
          <w:rtl/>
        </w:rPr>
        <w:t>.</w:t>
      </w:r>
      <w:r>
        <w:rPr>
          <w:rFonts w:hint="cs"/>
          <w:sz w:val="26"/>
          <w:szCs w:val="26"/>
          <w:rtl/>
        </w:rPr>
        <w:t xml:space="preserve"> צוין כי </w:t>
      </w:r>
      <w:r w:rsidRPr="007E0684">
        <w:rPr>
          <w:rFonts w:hint="cs"/>
          <w:sz w:val="26"/>
          <w:szCs w:val="26"/>
          <w:rtl/>
        </w:rPr>
        <w:t xml:space="preserve">הסתעפויות הפרשה, הובילו לסיטואציה חריגה ביותר, שבה היועצת המשפטית לממשלה מנועה מליווי ופיקוח על חקירת הפרשה האמורה. בנסיבות אלו, התעורר הצורך במילוי תפקיד הליווי והפיקוח על החקירה המשטרתית, שנתון ליועמ"שית מכוח החוק. </w:t>
      </w:r>
      <w:r>
        <w:rPr>
          <w:rFonts w:hint="cs"/>
          <w:sz w:val="26"/>
          <w:szCs w:val="26"/>
          <w:rtl/>
        </w:rPr>
        <w:t xml:space="preserve">השופטת </w:t>
      </w:r>
      <w:r w:rsidRPr="006F26C8">
        <w:rPr>
          <w:rFonts w:ascii="Century" w:hAnsi="Century" w:cs="Miriam" w:hint="cs"/>
          <w:b/>
          <w:spacing w:val="0"/>
          <w:szCs w:val="24"/>
          <w:rtl/>
        </w:rPr>
        <w:t>וילנר</w:t>
      </w:r>
      <w:r>
        <w:rPr>
          <w:rFonts w:hint="cs"/>
          <w:sz w:val="26"/>
          <w:szCs w:val="26"/>
          <w:rtl/>
        </w:rPr>
        <w:t xml:space="preserve"> ציינה כי החלטת</w:t>
      </w:r>
      <w:r w:rsidRPr="007E0684">
        <w:rPr>
          <w:rFonts w:hint="cs"/>
          <w:sz w:val="26"/>
          <w:szCs w:val="26"/>
          <w:rtl/>
        </w:rPr>
        <w:t xml:space="preserve"> שר המשפטים </w:t>
      </w:r>
      <w:r w:rsidRPr="007E0684">
        <w:rPr>
          <w:rFonts w:hint="cs"/>
          <w:sz w:val="26"/>
          <w:szCs w:val="26"/>
          <w:rtl/>
        </w:rPr>
        <w:t>להעביר את סמכות היועמ"שית לפקח על חקירת הפרשה לידי גורם מחוץ למערך הייעוץ המשפטי לממשלה ולפרקליטות המדינה</w:t>
      </w:r>
      <w:r>
        <w:rPr>
          <w:rFonts w:hint="cs"/>
          <w:sz w:val="26"/>
          <w:szCs w:val="26"/>
          <w:rtl/>
        </w:rPr>
        <w:t xml:space="preserve"> היא </w:t>
      </w:r>
      <w:r w:rsidRPr="007E0684">
        <w:rPr>
          <w:rFonts w:hint="cs"/>
          <w:sz w:val="26"/>
          <w:szCs w:val="26"/>
          <w:rtl/>
        </w:rPr>
        <w:t xml:space="preserve">החלטה דרמטית, אשר מעוררת קושי רב, בהיותה ניצבת במתח עם עיקרון עצמאות מערך התביעה הפלילית, שהוא עיקרון </w:t>
      </w:r>
      <w:r>
        <w:rPr>
          <w:rFonts w:hint="cs"/>
          <w:sz w:val="26"/>
          <w:szCs w:val="26"/>
          <w:rtl/>
        </w:rPr>
        <w:t>על</w:t>
      </w:r>
      <w:r w:rsidRPr="007E0684">
        <w:rPr>
          <w:rFonts w:hint="cs"/>
          <w:sz w:val="26"/>
          <w:szCs w:val="26"/>
          <w:rtl/>
        </w:rPr>
        <w:t xml:space="preserve"> בשיטתנו המשפטית; ועם הכלל הנובע מעיקרון ז</w:t>
      </w:r>
      <w:r w:rsidRPr="007E0684">
        <w:rPr>
          <w:rFonts w:hint="cs"/>
          <w:sz w:val="26"/>
          <w:szCs w:val="26"/>
          <w:rtl/>
        </w:rPr>
        <w:t xml:space="preserve">ה, שלפיו אין מקום להתערבות גורמים פוליטיים בחקירות פליליות קונקרטיות. </w:t>
      </w:r>
      <w:r>
        <w:rPr>
          <w:rFonts w:ascii="Century" w:hAnsi="Century" w:hint="cs"/>
          <w:sz w:val="26"/>
          <w:szCs w:val="26"/>
          <w:rtl/>
        </w:rPr>
        <w:t xml:space="preserve">השופטת </w:t>
      </w:r>
      <w:r w:rsidRPr="006F26C8">
        <w:rPr>
          <w:rFonts w:ascii="Century" w:hAnsi="Century" w:cs="Miriam" w:hint="cs"/>
          <w:b/>
          <w:spacing w:val="0"/>
          <w:szCs w:val="24"/>
          <w:rtl/>
        </w:rPr>
        <w:t>וילנר</w:t>
      </w:r>
      <w:r>
        <w:rPr>
          <w:rFonts w:ascii="Century" w:hAnsi="Century" w:hint="cs"/>
          <w:sz w:val="26"/>
          <w:szCs w:val="26"/>
          <w:rtl/>
        </w:rPr>
        <w:t xml:space="preserve"> קבעה, כי משעה ש</w:t>
      </w:r>
      <w:r w:rsidRPr="007E0684">
        <w:rPr>
          <w:rFonts w:ascii="Century" w:hAnsi="Century" w:hint="cs"/>
          <w:sz w:val="26"/>
          <w:szCs w:val="26"/>
          <w:rtl/>
        </w:rPr>
        <w:t>גורמים בכירים ביותר בייעוץ המשפ</w:t>
      </w:r>
      <w:r>
        <w:rPr>
          <w:rFonts w:ascii="Century" w:hAnsi="Century" w:hint="cs"/>
          <w:sz w:val="26"/>
          <w:szCs w:val="26"/>
          <w:rtl/>
        </w:rPr>
        <w:t xml:space="preserve">טי לממשלה ובפרקליטות המדינה, לרבות היועמ"שית ופרקליט המדינה, היו מעורבים באירועים הנחקרים, ומשכך עשויים להידרש </w:t>
      </w:r>
      <w:r w:rsidRPr="007E0684">
        <w:rPr>
          <w:rFonts w:ascii="Century" w:hAnsi="Century" w:hint="cs"/>
          <w:sz w:val="26"/>
          <w:szCs w:val="26"/>
          <w:rtl/>
        </w:rPr>
        <w:t xml:space="preserve">למסור </w:t>
      </w:r>
      <w:r w:rsidRPr="006F26C8">
        <w:rPr>
          <w:rFonts w:hint="eastAsia"/>
          <w:sz w:val="26"/>
          <w:szCs w:val="26"/>
          <w:rtl/>
        </w:rPr>
        <w:t>עדות</w:t>
      </w:r>
      <w:r w:rsidRPr="006F26C8">
        <w:rPr>
          <w:sz w:val="26"/>
          <w:szCs w:val="26"/>
          <w:rtl/>
        </w:rPr>
        <w:t xml:space="preserve"> </w:t>
      </w:r>
      <w:r w:rsidRPr="006F26C8">
        <w:rPr>
          <w:rFonts w:hint="eastAsia"/>
          <w:sz w:val="26"/>
          <w:szCs w:val="26"/>
          <w:rtl/>
        </w:rPr>
        <w:t>בפרשה</w:t>
      </w:r>
      <w:r w:rsidRPr="006F26C8">
        <w:rPr>
          <w:sz w:val="26"/>
          <w:szCs w:val="26"/>
          <w:rtl/>
        </w:rPr>
        <w:t xml:space="preserve"> </w:t>
      </w:r>
      <w:r w:rsidRPr="006F26C8">
        <w:rPr>
          <w:rFonts w:hint="eastAsia"/>
          <w:sz w:val="26"/>
          <w:szCs w:val="26"/>
          <w:rtl/>
        </w:rPr>
        <w:t>דנן</w:t>
      </w:r>
      <w:r w:rsidRPr="006F26C8">
        <w:rPr>
          <w:sz w:val="26"/>
          <w:szCs w:val="26"/>
          <w:rtl/>
        </w:rPr>
        <w:t xml:space="preserve">; </w:t>
      </w:r>
      <w:r w:rsidRPr="006F26C8">
        <w:rPr>
          <w:rFonts w:hint="eastAsia"/>
          <w:sz w:val="26"/>
          <w:szCs w:val="26"/>
          <w:rtl/>
        </w:rPr>
        <w:t>וכן</w:t>
      </w:r>
      <w:r w:rsidRPr="006F26C8">
        <w:rPr>
          <w:sz w:val="26"/>
          <w:szCs w:val="26"/>
          <w:rtl/>
        </w:rPr>
        <w:t xml:space="preserve"> </w:t>
      </w:r>
      <w:r w:rsidRPr="006F26C8">
        <w:rPr>
          <w:rFonts w:hint="eastAsia"/>
          <w:sz w:val="26"/>
          <w:szCs w:val="26"/>
          <w:rtl/>
        </w:rPr>
        <w:t>בהינתן</w:t>
      </w:r>
      <w:r w:rsidRPr="006F26C8">
        <w:rPr>
          <w:sz w:val="26"/>
          <w:szCs w:val="26"/>
          <w:rtl/>
        </w:rPr>
        <w:t xml:space="preserve"> </w:t>
      </w:r>
      <w:r w:rsidRPr="006F26C8">
        <w:rPr>
          <w:rFonts w:hint="eastAsia"/>
          <w:sz w:val="26"/>
          <w:szCs w:val="26"/>
          <w:rtl/>
        </w:rPr>
        <w:t>יחסי</w:t>
      </w:r>
      <w:r w:rsidRPr="006F26C8">
        <w:rPr>
          <w:sz w:val="26"/>
          <w:szCs w:val="26"/>
          <w:rtl/>
        </w:rPr>
        <w:t xml:space="preserve"> </w:t>
      </w:r>
      <w:r w:rsidRPr="006F26C8">
        <w:rPr>
          <w:rFonts w:hint="eastAsia"/>
          <w:sz w:val="26"/>
          <w:szCs w:val="26"/>
          <w:rtl/>
        </w:rPr>
        <w:t>הכפיפות</w:t>
      </w:r>
      <w:r w:rsidRPr="006F26C8">
        <w:rPr>
          <w:sz w:val="26"/>
          <w:szCs w:val="26"/>
          <w:rtl/>
        </w:rPr>
        <w:t xml:space="preserve"> </w:t>
      </w:r>
      <w:r w:rsidRPr="006F26C8">
        <w:rPr>
          <w:rFonts w:hint="eastAsia"/>
          <w:sz w:val="26"/>
          <w:szCs w:val="26"/>
          <w:rtl/>
        </w:rPr>
        <w:t>בין</w:t>
      </w:r>
      <w:r w:rsidRPr="006F26C8">
        <w:rPr>
          <w:sz w:val="26"/>
          <w:szCs w:val="26"/>
          <w:rtl/>
        </w:rPr>
        <w:t xml:space="preserve"> </w:t>
      </w:r>
      <w:r w:rsidRPr="006F26C8">
        <w:rPr>
          <w:rFonts w:hint="eastAsia"/>
          <w:sz w:val="26"/>
          <w:szCs w:val="26"/>
          <w:rtl/>
        </w:rPr>
        <w:t>יתר</w:t>
      </w:r>
      <w:r w:rsidRPr="006F26C8">
        <w:rPr>
          <w:sz w:val="26"/>
          <w:szCs w:val="26"/>
          <w:rtl/>
        </w:rPr>
        <w:t xml:space="preserve"> </w:t>
      </w:r>
      <w:r w:rsidRPr="006F26C8">
        <w:rPr>
          <w:rFonts w:hint="eastAsia"/>
          <w:sz w:val="26"/>
          <w:szCs w:val="26"/>
          <w:rtl/>
        </w:rPr>
        <w:t>בכירי</w:t>
      </w:r>
      <w:r w:rsidRPr="006F26C8">
        <w:rPr>
          <w:sz w:val="26"/>
          <w:szCs w:val="26"/>
          <w:rtl/>
        </w:rPr>
        <w:t xml:space="preserve"> </w:t>
      </w:r>
      <w:r w:rsidRPr="006F26C8">
        <w:rPr>
          <w:rFonts w:hint="eastAsia"/>
          <w:sz w:val="26"/>
          <w:szCs w:val="26"/>
          <w:rtl/>
        </w:rPr>
        <w:t>הייעוץ</w:t>
      </w:r>
      <w:r w:rsidRPr="006F26C8">
        <w:rPr>
          <w:sz w:val="26"/>
          <w:szCs w:val="26"/>
          <w:rtl/>
        </w:rPr>
        <w:t xml:space="preserve"> </w:t>
      </w:r>
      <w:r w:rsidRPr="006F26C8">
        <w:rPr>
          <w:rFonts w:hint="eastAsia"/>
          <w:sz w:val="26"/>
          <w:szCs w:val="26"/>
          <w:rtl/>
        </w:rPr>
        <w:t>המשפטי</w:t>
      </w:r>
      <w:r w:rsidRPr="006F26C8">
        <w:rPr>
          <w:sz w:val="26"/>
          <w:szCs w:val="26"/>
          <w:rtl/>
        </w:rPr>
        <w:t xml:space="preserve"> </w:t>
      </w:r>
      <w:r w:rsidRPr="006F26C8">
        <w:rPr>
          <w:rFonts w:hint="eastAsia"/>
          <w:sz w:val="26"/>
          <w:szCs w:val="26"/>
          <w:rtl/>
        </w:rPr>
        <w:t>לממשלה</w:t>
      </w:r>
      <w:r w:rsidRPr="006F26C8">
        <w:rPr>
          <w:sz w:val="26"/>
          <w:szCs w:val="26"/>
          <w:rtl/>
        </w:rPr>
        <w:t xml:space="preserve"> </w:t>
      </w:r>
      <w:r w:rsidRPr="006F26C8">
        <w:rPr>
          <w:rFonts w:hint="eastAsia"/>
          <w:sz w:val="26"/>
          <w:szCs w:val="26"/>
          <w:rtl/>
        </w:rPr>
        <w:t>ופרקליטות</w:t>
      </w:r>
      <w:r w:rsidRPr="006F26C8">
        <w:rPr>
          <w:sz w:val="26"/>
          <w:szCs w:val="26"/>
          <w:rtl/>
        </w:rPr>
        <w:t xml:space="preserve"> </w:t>
      </w:r>
      <w:r w:rsidRPr="006F26C8">
        <w:rPr>
          <w:rFonts w:hint="eastAsia"/>
          <w:sz w:val="26"/>
          <w:szCs w:val="26"/>
          <w:rtl/>
        </w:rPr>
        <w:t>המדינה</w:t>
      </w:r>
      <w:r w:rsidRPr="006F26C8">
        <w:rPr>
          <w:sz w:val="26"/>
          <w:szCs w:val="26"/>
          <w:rtl/>
        </w:rPr>
        <w:t xml:space="preserve"> </w:t>
      </w:r>
      <w:r w:rsidRPr="006F26C8">
        <w:rPr>
          <w:rFonts w:hint="eastAsia"/>
          <w:sz w:val="26"/>
          <w:szCs w:val="26"/>
          <w:rtl/>
        </w:rPr>
        <w:t>לבין</w:t>
      </w:r>
      <w:r w:rsidRPr="006F26C8">
        <w:rPr>
          <w:sz w:val="26"/>
          <w:szCs w:val="26"/>
          <w:rtl/>
        </w:rPr>
        <w:t xml:space="preserve"> </w:t>
      </w:r>
      <w:r w:rsidRPr="006F26C8">
        <w:rPr>
          <w:rFonts w:hint="eastAsia"/>
          <w:sz w:val="26"/>
          <w:szCs w:val="26"/>
          <w:rtl/>
        </w:rPr>
        <w:t>ראשי</w:t>
      </w:r>
      <w:r w:rsidRPr="006F26C8">
        <w:rPr>
          <w:sz w:val="26"/>
          <w:szCs w:val="26"/>
          <w:rtl/>
        </w:rPr>
        <w:t xml:space="preserve"> </w:t>
      </w:r>
      <w:r w:rsidRPr="006F26C8">
        <w:rPr>
          <w:rFonts w:hint="eastAsia"/>
          <w:sz w:val="26"/>
          <w:szCs w:val="26"/>
          <w:rtl/>
        </w:rPr>
        <w:t>מערכות</w:t>
      </w:r>
      <w:r w:rsidRPr="006F26C8">
        <w:rPr>
          <w:sz w:val="26"/>
          <w:szCs w:val="26"/>
          <w:rtl/>
        </w:rPr>
        <w:t xml:space="preserve"> </w:t>
      </w:r>
      <w:r w:rsidRPr="006F26C8">
        <w:rPr>
          <w:rFonts w:hint="eastAsia"/>
          <w:sz w:val="26"/>
          <w:szCs w:val="26"/>
          <w:rtl/>
        </w:rPr>
        <w:t>אלו</w:t>
      </w:r>
      <w:r w:rsidRPr="006F26C8">
        <w:rPr>
          <w:sz w:val="26"/>
          <w:szCs w:val="26"/>
          <w:rtl/>
        </w:rPr>
        <w:t xml:space="preserve"> </w:t>
      </w:r>
      <w:r>
        <w:rPr>
          <w:sz w:val="26"/>
          <w:szCs w:val="26"/>
          <w:rtl/>
        </w:rPr>
        <w:t>–</w:t>
      </w:r>
      <w:r w:rsidRPr="006F26C8">
        <w:rPr>
          <w:sz w:val="26"/>
          <w:szCs w:val="26"/>
          <w:rtl/>
        </w:rPr>
        <w:t xml:space="preserve"> </w:t>
      </w:r>
      <w:r w:rsidRPr="006F26C8">
        <w:rPr>
          <w:rFonts w:hint="eastAsia"/>
          <w:sz w:val="26"/>
          <w:szCs w:val="26"/>
          <w:rtl/>
        </w:rPr>
        <w:t>הרי</w:t>
      </w:r>
      <w:r w:rsidRPr="006F26C8">
        <w:rPr>
          <w:sz w:val="26"/>
          <w:szCs w:val="26"/>
          <w:rtl/>
        </w:rPr>
        <w:t xml:space="preserve"> </w:t>
      </w:r>
      <w:r w:rsidRPr="006F26C8">
        <w:rPr>
          <w:rFonts w:hint="eastAsia"/>
          <w:sz w:val="26"/>
          <w:szCs w:val="26"/>
          <w:rtl/>
        </w:rPr>
        <w:t>שבנסיבות</w:t>
      </w:r>
      <w:r w:rsidRPr="006F26C8">
        <w:rPr>
          <w:sz w:val="26"/>
          <w:szCs w:val="26"/>
          <w:rtl/>
        </w:rPr>
        <w:t xml:space="preserve"> </w:t>
      </w:r>
      <w:r w:rsidRPr="006F26C8">
        <w:rPr>
          <w:rFonts w:hint="eastAsia"/>
          <w:sz w:val="26"/>
          <w:szCs w:val="26"/>
          <w:rtl/>
        </w:rPr>
        <w:t>החריגות</w:t>
      </w:r>
      <w:r w:rsidRPr="006F26C8">
        <w:rPr>
          <w:sz w:val="26"/>
          <w:szCs w:val="26"/>
          <w:rtl/>
        </w:rPr>
        <w:t xml:space="preserve"> </w:t>
      </w:r>
      <w:r w:rsidRPr="006F26C8">
        <w:rPr>
          <w:rFonts w:hint="eastAsia"/>
          <w:sz w:val="26"/>
          <w:szCs w:val="26"/>
          <w:rtl/>
        </w:rPr>
        <w:t>והקיצוניות</w:t>
      </w:r>
      <w:r w:rsidRPr="006F26C8">
        <w:rPr>
          <w:sz w:val="26"/>
          <w:szCs w:val="26"/>
          <w:rtl/>
        </w:rPr>
        <w:t xml:space="preserve"> </w:t>
      </w:r>
      <w:r w:rsidRPr="006F26C8">
        <w:rPr>
          <w:rFonts w:hint="eastAsia"/>
          <w:sz w:val="26"/>
          <w:szCs w:val="26"/>
          <w:rtl/>
        </w:rPr>
        <w:t>דנן</w:t>
      </w:r>
      <w:r w:rsidRPr="006F26C8">
        <w:rPr>
          <w:sz w:val="26"/>
          <w:szCs w:val="26"/>
          <w:rtl/>
        </w:rPr>
        <w:t xml:space="preserve">, </w:t>
      </w:r>
      <w:r w:rsidRPr="007E0684">
        <w:rPr>
          <w:rFonts w:hint="cs"/>
          <w:sz w:val="26"/>
          <w:szCs w:val="26"/>
          <w:rtl/>
        </w:rPr>
        <w:t xml:space="preserve">אין מנוס מן המסקנה </w:t>
      </w:r>
      <w:r>
        <w:rPr>
          <w:rFonts w:hint="cs"/>
          <w:sz w:val="26"/>
          <w:szCs w:val="26"/>
          <w:rtl/>
        </w:rPr>
        <w:t xml:space="preserve">כי </w:t>
      </w:r>
      <w:r w:rsidRPr="007E0684">
        <w:rPr>
          <w:rFonts w:hint="cs"/>
          <w:sz w:val="26"/>
          <w:szCs w:val="26"/>
          <w:rtl/>
        </w:rPr>
        <w:t>קמה</w:t>
      </w:r>
      <w:r>
        <w:rPr>
          <w:rFonts w:hint="cs"/>
          <w:sz w:val="26"/>
          <w:szCs w:val="26"/>
          <w:rtl/>
        </w:rPr>
        <w:t xml:space="preserve"> </w:t>
      </w:r>
      <w:r w:rsidRPr="007E0684">
        <w:rPr>
          <w:rFonts w:hint="cs"/>
          <w:sz w:val="26"/>
          <w:szCs w:val="26"/>
          <w:rtl/>
        </w:rPr>
        <w:t xml:space="preserve">הצדקה לחרוג באורח </w:t>
      </w:r>
      <w:r w:rsidRPr="006F26C8">
        <w:rPr>
          <w:rFonts w:ascii="Century" w:hAnsi="Century" w:cs="Miriam" w:hint="cs"/>
          <w:b/>
          <w:spacing w:val="0"/>
          <w:szCs w:val="24"/>
          <w:rtl/>
        </w:rPr>
        <w:t>מוגבל ומתוחם</w:t>
      </w:r>
      <w:r w:rsidRPr="006F26C8">
        <w:rPr>
          <w:rFonts w:hint="cs"/>
          <w:sz w:val="26"/>
          <w:szCs w:val="26"/>
          <w:rtl/>
        </w:rPr>
        <w:t xml:space="preserve"> </w:t>
      </w:r>
      <w:r w:rsidRPr="007E0684">
        <w:rPr>
          <w:rFonts w:hint="cs"/>
          <w:sz w:val="26"/>
          <w:szCs w:val="26"/>
          <w:rtl/>
        </w:rPr>
        <w:t xml:space="preserve">מהכלל, שלפיו אין מקום להתערבות גורמים פוליטיים בחקירות </w:t>
      </w:r>
      <w:r w:rsidRPr="007E0684">
        <w:rPr>
          <w:rFonts w:hint="cs"/>
          <w:sz w:val="26"/>
          <w:szCs w:val="26"/>
          <w:rtl/>
        </w:rPr>
        <w:t>פליליות</w:t>
      </w:r>
      <w:r w:rsidRPr="006F26C8">
        <w:rPr>
          <w:sz w:val="26"/>
          <w:szCs w:val="26"/>
          <w:rtl/>
        </w:rPr>
        <w:t xml:space="preserve">, </w:t>
      </w:r>
      <w:r w:rsidRPr="006F26C8">
        <w:rPr>
          <w:rFonts w:hint="eastAsia"/>
          <w:sz w:val="26"/>
          <w:szCs w:val="26"/>
          <w:rtl/>
        </w:rPr>
        <w:t>למרות</w:t>
      </w:r>
      <w:r w:rsidRPr="006F26C8">
        <w:rPr>
          <w:sz w:val="26"/>
          <w:szCs w:val="26"/>
          <w:rtl/>
        </w:rPr>
        <w:t xml:space="preserve"> </w:t>
      </w:r>
      <w:r w:rsidRPr="006F26C8">
        <w:rPr>
          <w:rFonts w:hint="eastAsia"/>
          <w:sz w:val="26"/>
          <w:szCs w:val="26"/>
          <w:rtl/>
        </w:rPr>
        <w:t>הקשיים</w:t>
      </w:r>
      <w:r w:rsidRPr="006F26C8">
        <w:rPr>
          <w:sz w:val="26"/>
          <w:szCs w:val="26"/>
          <w:rtl/>
        </w:rPr>
        <w:t xml:space="preserve"> </w:t>
      </w:r>
      <w:r w:rsidRPr="006F26C8">
        <w:rPr>
          <w:rFonts w:hint="eastAsia"/>
          <w:sz w:val="26"/>
          <w:szCs w:val="26"/>
          <w:rtl/>
        </w:rPr>
        <w:t>כבדי</w:t>
      </w:r>
      <w:r w:rsidRPr="006F26C8">
        <w:rPr>
          <w:sz w:val="26"/>
          <w:szCs w:val="26"/>
          <w:rtl/>
        </w:rPr>
        <w:t xml:space="preserve">-המשקל </w:t>
      </w:r>
      <w:r w:rsidRPr="006F26C8">
        <w:rPr>
          <w:rFonts w:hint="eastAsia"/>
          <w:sz w:val="26"/>
          <w:szCs w:val="26"/>
          <w:rtl/>
        </w:rPr>
        <w:t>הכרוכים</w:t>
      </w:r>
      <w:r w:rsidRPr="006F26C8">
        <w:rPr>
          <w:sz w:val="26"/>
          <w:szCs w:val="26"/>
          <w:rtl/>
        </w:rPr>
        <w:t xml:space="preserve"> </w:t>
      </w:r>
      <w:r w:rsidRPr="006F26C8">
        <w:rPr>
          <w:rFonts w:hint="eastAsia"/>
          <w:sz w:val="26"/>
          <w:szCs w:val="26"/>
          <w:rtl/>
        </w:rPr>
        <w:t>בכך</w:t>
      </w:r>
      <w:r>
        <w:rPr>
          <w:rFonts w:hint="cs"/>
          <w:sz w:val="26"/>
          <w:szCs w:val="26"/>
          <w:rtl/>
        </w:rPr>
        <w:t>.</w:t>
      </w:r>
      <w:r>
        <w:rPr>
          <w:rFonts w:ascii="Century" w:hAnsi="Century" w:hint="cs"/>
          <w:sz w:val="26"/>
          <w:szCs w:val="26"/>
          <w:rtl/>
        </w:rPr>
        <w:t xml:space="preserve"> </w:t>
      </w:r>
      <w:r w:rsidRPr="007E0684">
        <w:rPr>
          <w:rFonts w:hint="cs"/>
          <w:sz w:val="26"/>
          <w:szCs w:val="26"/>
          <w:rtl/>
        </w:rPr>
        <w:t>לעמדתה, מסקנה זו נסמכת, בין היתר, על כך שהחלטת השר לא מהווה התערבות ישירה בחקירה פלילית קונקרטית, אלא התערבות עקיפה בלבד, שמתמצית בבחירת זהות עובד המדינה שאליו תועברנה סמכויות הפיקוח על החקירה, תוך ניתוק הקשר ב</w:t>
      </w:r>
      <w:r w:rsidRPr="007E0684">
        <w:rPr>
          <w:rFonts w:hint="cs"/>
          <w:sz w:val="26"/>
          <w:szCs w:val="26"/>
          <w:rtl/>
        </w:rPr>
        <w:t xml:space="preserve">ין השר לבין אותו עובד מדינה לאחר העברת הסמכויות. כמו כן, השופטת </w:t>
      </w:r>
      <w:r w:rsidRPr="006F26C8">
        <w:rPr>
          <w:rFonts w:ascii="Century" w:hAnsi="Century" w:cs="Miriam" w:hint="cs"/>
          <w:b/>
          <w:spacing w:val="0"/>
          <w:szCs w:val="24"/>
          <w:rtl/>
        </w:rPr>
        <w:t>וילנר</w:t>
      </w:r>
      <w:r w:rsidRPr="007E0684">
        <w:rPr>
          <w:rFonts w:hint="cs"/>
          <w:sz w:val="26"/>
          <w:szCs w:val="26"/>
          <w:rtl/>
        </w:rPr>
        <w:t xml:space="preserve"> ציינה כי מסקנתה מביאה בחשבון את העובדה כי אין בהחלטת השר כדי להטיל דופי במוסד הפרקליטות כרשות התביעה של מערכת אכיפת החוק בישראל; וכי הגורם שאליו מועברת סמכות הפיקוח של היועמ"שית רשאי להס</w:t>
      </w:r>
      <w:r w:rsidRPr="007E0684">
        <w:rPr>
          <w:rFonts w:hint="cs"/>
          <w:sz w:val="26"/>
          <w:szCs w:val="26"/>
          <w:rtl/>
        </w:rPr>
        <w:t xml:space="preserve">תייע לפי שיקול דעתו, בגורמים מסוימים בפרקליטות על מנת לממש את הסמכות שהועברה אליו כאמור. השופטת </w:t>
      </w:r>
      <w:r w:rsidRPr="006F26C8">
        <w:rPr>
          <w:rFonts w:ascii="Century" w:hAnsi="Century" w:cs="Miriam" w:hint="cs"/>
          <w:b/>
          <w:spacing w:val="0"/>
          <w:szCs w:val="24"/>
          <w:rtl/>
        </w:rPr>
        <w:t>וילנר</w:t>
      </w:r>
      <w:r w:rsidRPr="007E0684">
        <w:rPr>
          <w:rFonts w:hint="cs"/>
          <w:sz w:val="26"/>
          <w:szCs w:val="26"/>
          <w:rtl/>
        </w:rPr>
        <w:t xml:space="preserve"> קבעה</w:t>
      </w:r>
      <w:r>
        <w:rPr>
          <w:rFonts w:hint="cs"/>
          <w:sz w:val="26"/>
          <w:szCs w:val="26"/>
          <w:rtl/>
        </w:rPr>
        <w:t xml:space="preserve"> עוד</w:t>
      </w:r>
      <w:r w:rsidRPr="007E0684">
        <w:rPr>
          <w:rFonts w:ascii="Century" w:hAnsi="Century" w:hint="cs"/>
          <w:sz w:val="26"/>
          <w:szCs w:val="26"/>
          <w:rtl/>
        </w:rPr>
        <w:t xml:space="preserve">, כי </w:t>
      </w:r>
      <w:r w:rsidRPr="007E0684">
        <w:rPr>
          <w:rFonts w:hint="cs"/>
          <w:sz w:val="26"/>
          <w:szCs w:val="26"/>
          <w:rtl/>
        </w:rPr>
        <w:t>מעבר להיבטים אלו, שיש בהם כדי להקהות את הפגיעה בעיקרון עצמאות התביעה הפלילית, הפעלת סמכות השר במקרים כבענייננו כפופה למספר מגבלות, שיש בהן כד</w:t>
      </w:r>
      <w:r w:rsidRPr="007E0684">
        <w:rPr>
          <w:rFonts w:hint="cs"/>
          <w:sz w:val="26"/>
          <w:szCs w:val="26"/>
          <w:rtl/>
        </w:rPr>
        <w:t>י להוסיף ולמתן את הפגיעה בעיקרון האמור, ולהבטיח כי סמכותו הנדונה של השר תופעל באופן ענייני בלבד. ראשית, הגורם המוסמך לקבוע את מניעות נושא המשרה לפי סעיף 23א(ד) לחוק המינויים אינו השר הרלוונטי, אלא ככלל היועץ המשפטי של משרדו. בהקשר זה, הודגש כי מניעות היועמ</w:t>
      </w:r>
      <w:r w:rsidRPr="007E0684">
        <w:rPr>
          <w:rFonts w:hint="cs"/>
          <w:sz w:val="26"/>
          <w:szCs w:val="26"/>
          <w:rtl/>
        </w:rPr>
        <w:t>"שית</w:t>
      </w:r>
      <w:r>
        <w:rPr>
          <w:rFonts w:hint="cs"/>
          <w:sz w:val="26"/>
          <w:szCs w:val="26"/>
          <w:rtl/>
        </w:rPr>
        <w:t xml:space="preserve"> בענייננו</w:t>
      </w:r>
      <w:r w:rsidRPr="007E0684">
        <w:rPr>
          <w:rFonts w:hint="cs"/>
          <w:sz w:val="26"/>
          <w:szCs w:val="26"/>
          <w:rtl/>
        </w:rPr>
        <w:t xml:space="preserve"> נקבעה רק ביחס לשלב הליווי והפיקוח על הליך החקירה; וכי תוקפה של החלטת השר הוא עד שתוסר המניעה. שנית, ככלל, העברת</w:t>
      </w:r>
      <w:r w:rsidRPr="007E0684">
        <w:rPr>
          <w:rFonts w:ascii="Century" w:hAnsi="Century" w:hint="cs"/>
          <w:sz w:val="26"/>
          <w:szCs w:val="26"/>
          <w:rtl/>
        </w:rPr>
        <w:t xml:space="preserve"> סמכות של היועמ"שית תיעשה לגורם מהייעוץ המשפטי לממשלה או מפרקליטות המדינה, בהיותם הגורמים בעלי המקצועיות, המומחיות </w:t>
      </w:r>
      <w:r>
        <w:rPr>
          <w:rFonts w:ascii="Century" w:hAnsi="Century" w:hint="cs"/>
          <w:sz w:val="26"/>
          <w:szCs w:val="26"/>
          <w:rtl/>
        </w:rPr>
        <w:t>והסמכות על פי חו</w:t>
      </w:r>
      <w:r>
        <w:rPr>
          <w:rFonts w:ascii="Century" w:hAnsi="Century" w:hint="cs"/>
          <w:sz w:val="26"/>
          <w:szCs w:val="26"/>
          <w:rtl/>
        </w:rPr>
        <w:t>ק לעסוק</w:t>
      </w:r>
      <w:r w:rsidRPr="007E0684">
        <w:rPr>
          <w:rFonts w:ascii="Century" w:hAnsi="Century" w:hint="cs"/>
          <w:sz w:val="26"/>
          <w:szCs w:val="26"/>
          <w:rtl/>
        </w:rPr>
        <w:t xml:space="preserve"> בנושא; אולם, נסיבות ענייננו הקיצוניות והנדירות </w:t>
      </w:r>
      <w:r>
        <w:rPr>
          <w:rFonts w:ascii="Century" w:hAnsi="Century" w:hint="cs"/>
          <w:sz w:val="26"/>
          <w:szCs w:val="26"/>
          <w:rtl/>
        </w:rPr>
        <w:t>מצדיקות חריגה מהכלל הזה</w:t>
      </w:r>
      <w:r w:rsidRPr="007E0684">
        <w:rPr>
          <w:rFonts w:ascii="Century" w:hAnsi="Century" w:hint="cs"/>
          <w:sz w:val="26"/>
          <w:szCs w:val="26"/>
          <w:rtl/>
        </w:rPr>
        <w:t>. שלישית</w:t>
      </w:r>
      <w:r w:rsidRPr="007E0684">
        <w:rPr>
          <w:rFonts w:hint="cs"/>
          <w:sz w:val="26"/>
          <w:szCs w:val="26"/>
          <w:rtl/>
        </w:rPr>
        <w:t xml:space="preserve">, </w:t>
      </w:r>
      <w:r w:rsidRPr="007E0684">
        <w:rPr>
          <w:rFonts w:ascii="Century" w:hAnsi="Century" w:hint="cs"/>
          <w:sz w:val="26"/>
          <w:szCs w:val="26"/>
          <w:rtl/>
        </w:rPr>
        <w:t>העברת סמכות כבענייננו צריכה להיעשות לעובד מדינה בכיר, משפטן מובהק, שתחום עיסוקו, בעבר או בהווה, כרוך בהפעלת שיקול דעת בתחום התביעה או החקירה הפלילית. רביעית, לא ניתן לה</w:t>
      </w:r>
      <w:r w:rsidRPr="007E0684">
        <w:rPr>
          <w:rFonts w:ascii="Century" w:hAnsi="Century" w:hint="cs"/>
          <w:sz w:val="26"/>
          <w:szCs w:val="26"/>
          <w:rtl/>
        </w:rPr>
        <w:t>עביר סמכות הנוגעת לחקירה קונקרטית, כבענייננו, לעובד מדינה בעל שיוך פוליטי, בעבר או בהווה. כמו כן, לא תופעל סמכות</w:t>
      </w:r>
      <w:r>
        <w:rPr>
          <w:rFonts w:ascii="Century" w:hAnsi="Century" w:hint="cs"/>
          <w:sz w:val="26"/>
          <w:szCs w:val="26"/>
          <w:rtl/>
        </w:rPr>
        <w:t>ו הנדונה של השר</w:t>
      </w:r>
      <w:r w:rsidRPr="007E0684">
        <w:rPr>
          <w:rFonts w:ascii="Century" w:hAnsi="Century" w:hint="cs"/>
          <w:sz w:val="26"/>
          <w:szCs w:val="26"/>
          <w:rtl/>
        </w:rPr>
        <w:t>, כאשר מושא החקירה הוא גורם פוליטי.</w:t>
      </w:r>
      <w:r>
        <w:rPr>
          <w:rFonts w:hint="cs"/>
          <w:sz w:val="26"/>
          <w:szCs w:val="26"/>
          <w:rtl/>
        </w:rPr>
        <w:t xml:space="preserve"> השופטת </w:t>
      </w:r>
      <w:r w:rsidRPr="006F26C8">
        <w:rPr>
          <w:rFonts w:ascii="Century" w:hAnsi="Century" w:cs="Miriam" w:hint="cs"/>
          <w:b/>
          <w:spacing w:val="0"/>
          <w:szCs w:val="24"/>
          <w:rtl/>
        </w:rPr>
        <w:t>וילנר</w:t>
      </w:r>
      <w:r>
        <w:rPr>
          <w:rFonts w:hint="cs"/>
          <w:sz w:val="26"/>
          <w:szCs w:val="26"/>
          <w:rtl/>
        </w:rPr>
        <w:t xml:space="preserve"> קבעה כי למרות</w:t>
      </w:r>
      <w:r w:rsidRPr="007E0684">
        <w:rPr>
          <w:rFonts w:hint="cs"/>
          <w:sz w:val="26"/>
          <w:szCs w:val="26"/>
          <w:rtl/>
        </w:rPr>
        <w:t xml:space="preserve"> </w:t>
      </w:r>
      <w:r>
        <w:rPr>
          <w:rFonts w:hint="cs"/>
          <w:sz w:val="26"/>
          <w:szCs w:val="26"/>
          <w:rtl/>
        </w:rPr>
        <w:t>ש</w:t>
      </w:r>
      <w:r w:rsidRPr="007E0684">
        <w:rPr>
          <w:rFonts w:hint="cs"/>
          <w:sz w:val="26"/>
          <w:szCs w:val="26"/>
          <w:rtl/>
        </w:rPr>
        <w:t>מתקיימות</w:t>
      </w:r>
      <w:r>
        <w:rPr>
          <w:rFonts w:hint="cs"/>
          <w:sz w:val="26"/>
          <w:szCs w:val="26"/>
          <w:rtl/>
        </w:rPr>
        <w:t xml:space="preserve"> בענייננו</w:t>
      </w:r>
      <w:r w:rsidRPr="007E0684">
        <w:rPr>
          <w:rFonts w:hint="cs"/>
          <w:sz w:val="26"/>
          <w:szCs w:val="26"/>
          <w:rtl/>
        </w:rPr>
        <w:t xml:space="preserve"> אותן נסיבות נדירות, שעשויות להצדיק את החלטת השר</w:t>
      </w:r>
      <w:r w:rsidRPr="007E0684">
        <w:rPr>
          <w:rFonts w:hint="cs"/>
          <w:sz w:val="26"/>
          <w:szCs w:val="26"/>
          <w:rtl/>
        </w:rPr>
        <w:t xml:space="preserve"> להעביר את סמכות היועמ"שית לפקח על חקירה</w:t>
      </w:r>
      <w:r>
        <w:rPr>
          <w:rFonts w:hint="cs"/>
          <w:sz w:val="26"/>
          <w:szCs w:val="26"/>
          <w:rtl/>
        </w:rPr>
        <w:t xml:space="preserve"> כאמור; ואף על פי</w:t>
      </w:r>
      <w:r w:rsidRPr="007E0684">
        <w:rPr>
          <w:rFonts w:hint="cs"/>
          <w:sz w:val="26"/>
          <w:szCs w:val="26"/>
          <w:rtl/>
        </w:rPr>
        <w:t xml:space="preserve"> </w:t>
      </w:r>
      <w:r>
        <w:rPr>
          <w:rFonts w:hint="cs"/>
          <w:sz w:val="26"/>
          <w:szCs w:val="26"/>
          <w:rtl/>
        </w:rPr>
        <w:t>ש</w:t>
      </w:r>
      <w:r w:rsidRPr="007E0684">
        <w:rPr>
          <w:rFonts w:hint="cs"/>
          <w:sz w:val="26"/>
          <w:szCs w:val="26"/>
          <w:rtl/>
        </w:rPr>
        <w:t>אין ספק כי נציב תלונות הציבור על שופטים, השופט (בדימוס) אשר קולה, עומד בתבחינים הרלוונטיים</w:t>
      </w:r>
      <w:r>
        <w:rPr>
          <w:rFonts w:hint="cs"/>
          <w:sz w:val="26"/>
          <w:szCs w:val="26"/>
          <w:rtl/>
        </w:rPr>
        <w:t xml:space="preserve"> </w:t>
      </w:r>
      <w:r>
        <w:rPr>
          <w:sz w:val="26"/>
          <w:szCs w:val="26"/>
          <w:rtl/>
        </w:rPr>
        <w:t>–</w:t>
      </w:r>
      <w:r>
        <w:rPr>
          <w:rFonts w:hint="cs"/>
          <w:sz w:val="26"/>
          <w:szCs w:val="26"/>
          <w:rtl/>
        </w:rPr>
        <w:t xml:space="preserve"> הרי ש</w:t>
      </w:r>
      <w:r w:rsidRPr="007E0684">
        <w:rPr>
          <w:rFonts w:hint="cs"/>
          <w:sz w:val="26"/>
          <w:szCs w:val="26"/>
          <w:rtl/>
        </w:rPr>
        <w:t>דין החלטת השר להתבטל, משסעיף 11(א)(1) לחוק נציב התלונות על שופטים, התשס"ב-2002, קובע הוראה גורפת בי</w:t>
      </w:r>
      <w:r w:rsidRPr="007E0684">
        <w:rPr>
          <w:rFonts w:hint="cs"/>
          <w:sz w:val="26"/>
          <w:szCs w:val="26"/>
          <w:rtl/>
        </w:rPr>
        <w:t xml:space="preserve">חס לנציב, שלפיה חל לגביו איסור עיסוק בכל משרה או עיסוק אחר; ולפיכך הנציב לא יכול לקבל על עצמו את תפקיד </w:t>
      </w:r>
      <w:r w:rsidRPr="007E0684">
        <w:rPr>
          <w:rFonts w:hint="cs"/>
          <w:sz w:val="26"/>
          <w:szCs w:val="26"/>
          <w:rtl/>
        </w:rPr>
        <w:lastRenderedPageBreak/>
        <w:t xml:space="preserve">הפיקוח על החקירה הנדונה. </w:t>
      </w:r>
      <w:r w:rsidRPr="006F26C8">
        <w:rPr>
          <w:rFonts w:ascii="Century" w:hAnsi="Century" w:cs="Miriam" w:hint="cs"/>
          <w:b/>
          <w:spacing w:val="0"/>
          <w:szCs w:val="24"/>
          <w:rtl/>
        </w:rPr>
        <w:t>השופטת וילנר</w:t>
      </w:r>
      <w:r w:rsidRPr="006F26C8">
        <w:rPr>
          <w:rFonts w:hint="cs"/>
          <w:sz w:val="26"/>
          <w:szCs w:val="26"/>
          <w:rtl/>
        </w:rPr>
        <w:t xml:space="preserve"> </w:t>
      </w:r>
      <w:r w:rsidRPr="007E0684">
        <w:rPr>
          <w:rFonts w:hint="cs"/>
          <w:sz w:val="26"/>
          <w:szCs w:val="26"/>
          <w:rtl/>
        </w:rPr>
        <w:t xml:space="preserve">הדגישה, כי </w:t>
      </w:r>
      <w:r w:rsidRPr="007E0684">
        <w:rPr>
          <w:rFonts w:ascii="FrankRuehl" w:hAnsi="FrankRuehl" w:hint="cs"/>
          <w:color w:val="000000"/>
          <w:sz w:val="26"/>
          <w:szCs w:val="26"/>
          <w:rtl/>
        </w:rPr>
        <w:t xml:space="preserve">ככל שהשר יקבל החלטה חדשה מכוח סמכותו </w:t>
      </w:r>
      <w:r w:rsidRPr="007E0684">
        <w:rPr>
          <w:rFonts w:hint="cs"/>
          <w:sz w:val="26"/>
          <w:szCs w:val="26"/>
          <w:rtl/>
        </w:rPr>
        <w:t>לפי סעיף 23א(ד) לחוק המינויים</w:t>
      </w:r>
      <w:r w:rsidRPr="007E0684">
        <w:rPr>
          <w:rFonts w:ascii="FrankRuehl" w:hAnsi="FrankRuehl" w:hint="cs"/>
          <w:color w:val="000000"/>
          <w:sz w:val="26"/>
          <w:szCs w:val="26"/>
          <w:rtl/>
        </w:rPr>
        <w:t>, על ההחלטה לעמוד באמות המידה והמגבלות</w:t>
      </w:r>
      <w:r w:rsidRPr="007E0684">
        <w:rPr>
          <w:rFonts w:ascii="FrankRuehl" w:hAnsi="FrankRuehl" w:hint="cs"/>
          <w:color w:val="000000"/>
          <w:sz w:val="26"/>
          <w:szCs w:val="26"/>
          <w:rtl/>
        </w:rPr>
        <w:t xml:space="preserve"> המפורטות בפסק הדין.</w:t>
      </w:r>
      <w:r>
        <w:rPr>
          <w:rFonts w:hint="cs"/>
          <w:sz w:val="26"/>
          <w:szCs w:val="26"/>
          <w:rtl/>
        </w:rPr>
        <w:t xml:space="preserve"> </w:t>
      </w:r>
      <w:r w:rsidRPr="007E0684">
        <w:rPr>
          <w:rFonts w:ascii="Century" w:hAnsi="Century" w:hint="cs"/>
          <w:sz w:val="26"/>
          <w:szCs w:val="26"/>
          <w:rtl/>
        </w:rPr>
        <w:t xml:space="preserve">השופטת </w:t>
      </w:r>
      <w:r w:rsidRPr="006F26C8">
        <w:rPr>
          <w:rFonts w:ascii="Century" w:hAnsi="Century" w:cs="Miriam" w:hint="cs"/>
          <w:b/>
          <w:spacing w:val="0"/>
          <w:szCs w:val="24"/>
          <w:rtl/>
        </w:rPr>
        <w:t>וילנר</w:t>
      </w:r>
      <w:r w:rsidRPr="007E0684">
        <w:rPr>
          <w:rFonts w:ascii="Century" w:hAnsi="Century" w:hint="cs"/>
          <w:sz w:val="26"/>
          <w:szCs w:val="26"/>
          <w:rtl/>
        </w:rPr>
        <w:t xml:space="preserve"> שבה</w:t>
      </w:r>
      <w:r w:rsidRPr="007E0684">
        <w:rPr>
          <w:rFonts w:hint="cs"/>
          <w:sz w:val="26"/>
          <w:szCs w:val="26"/>
          <w:rtl/>
        </w:rPr>
        <w:t xml:space="preserve"> והדגישה בסוף דבריה, את החשיבות הרבה שבפתרון הסוגיה המורכבת והקשה שבבסיס העתירות בדרך של הסכמה, והביעה צער על כך שהצדדים לא הגיעו להסכמות, כך שבית המשפט נאלץ להכריע בעצמו בסוגיה</w:t>
      </w:r>
      <w:r>
        <w:rPr>
          <w:rFonts w:hint="cs"/>
          <w:sz w:val="26"/>
          <w:szCs w:val="26"/>
          <w:rtl/>
        </w:rPr>
        <w:t xml:space="preserve"> (והוסיפה כי לא מאוחר לשוב ולהזכיר את ההצע</w:t>
      </w:r>
      <w:r>
        <w:rPr>
          <w:rFonts w:hint="cs"/>
          <w:sz w:val="26"/>
          <w:szCs w:val="26"/>
          <w:rtl/>
        </w:rPr>
        <w:t>ה שניתנה במהלך הדיון כי ימונה שופט מחוזי מכהן או שופט עליון בדימוס)</w:t>
      </w:r>
      <w:r w:rsidRPr="007E0684">
        <w:rPr>
          <w:rFonts w:hint="cs"/>
          <w:sz w:val="26"/>
          <w:szCs w:val="26"/>
          <w:rtl/>
        </w:rPr>
        <w:t xml:space="preserve">. השופטת </w:t>
      </w:r>
      <w:r w:rsidRPr="006F26C8">
        <w:rPr>
          <w:rFonts w:ascii="Century" w:hAnsi="Century" w:cs="Miriam" w:hint="cs"/>
          <w:b/>
          <w:spacing w:val="0"/>
          <w:szCs w:val="24"/>
          <w:rtl/>
        </w:rPr>
        <w:t>וילנר</w:t>
      </w:r>
      <w:r w:rsidRPr="007E0684">
        <w:rPr>
          <w:rFonts w:hint="cs"/>
          <w:sz w:val="26"/>
          <w:szCs w:val="26"/>
          <w:rtl/>
        </w:rPr>
        <w:t xml:space="preserve"> הדגישה כי תם ולא נשלם</w:t>
      </w:r>
      <w:r>
        <w:rPr>
          <w:rFonts w:hint="cs"/>
          <w:sz w:val="26"/>
          <w:szCs w:val="26"/>
          <w:rtl/>
        </w:rPr>
        <w:t xml:space="preserve"> </w:t>
      </w:r>
      <w:r>
        <w:rPr>
          <w:sz w:val="26"/>
          <w:szCs w:val="26"/>
          <w:rtl/>
        </w:rPr>
        <w:t>–</w:t>
      </w:r>
      <w:r>
        <w:rPr>
          <w:rFonts w:hint="cs"/>
          <w:sz w:val="26"/>
          <w:szCs w:val="26"/>
          <w:rtl/>
        </w:rPr>
        <w:t xml:space="preserve"> אין </w:t>
      </w:r>
      <w:r w:rsidRPr="007E0684">
        <w:rPr>
          <w:rFonts w:hint="cs"/>
          <w:sz w:val="26"/>
          <w:szCs w:val="26"/>
          <w:rtl/>
        </w:rPr>
        <w:t>בפסק הדין כדי להביא להכרעה בשאלת זהות האדם שיבוא בנעליה של היועמש"ית</w:t>
      </w:r>
      <w:r>
        <w:rPr>
          <w:rFonts w:hint="cs"/>
          <w:sz w:val="26"/>
          <w:szCs w:val="26"/>
          <w:rtl/>
        </w:rPr>
        <w:t xml:space="preserve">. לפיכך, </w:t>
      </w:r>
      <w:r w:rsidRPr="007E0684">
        <w:rPr>
          <w:rFonts w:hint="cs"/>
          <w:sz w:val="26"/>
          <w:szCs w:val="26"/>
          <w:rtl/>
        </w:rPr>
        <w:t>לא ננעל השער להגעה לפתרון מוסכם, אשר ייהנה מהכשר ציבורי רחב וינמיך את</w:t>
      </w:r>
      <w:r w:rsidRPr="007E0684">
        <w:rPr>
          <w:rFonts w:hint="cs"/>
          <w:sz w:val="26"/>
          <w:szCs w:val="26"/>
          <w:rtl/>
        </w:rPr>
        <w:t xml:space="preserve"> גובה הלהבות בשיח הציבורי;</w:t>
      </w:r>
      <w:r w:rsidRPr="007E0684">
        <w:rPr>
          <w:rFonts w:hint="eastAsia"/>
          <w:sz w:val="26"/>
          <w:szCs w:val="26"/>
          <w:rtl/>
        </w:rPr>
        <w:t xml:space="preserve"> ויפה</w:t>
      </w:r>
      <w:r w:rsidRPr="007E0684">
        <w:rPr>
          <w:sz w:val="26"/>
          <w:szCs w:val="26"/>
          <w:rtl/>
        </w:rPr>
        <w:t xml:space="preserve"> </w:t>
      </w:r>
      <w:r w:rsidRPr="007E0684">
        <w:rPr>
          <w:rFonts w:hint="eastAsia"/>
          <w:sz w:val="26"/>
          <w:szCs w:val="26"/>
          <w:rtl/>
        </w:rPr>
        <w:t>שעה</w:t>
      </w:r>
      <w:r w:rsidRPr="007E0684">
        <w:rPr>
          <w:sz w:val="26"/>
          <w:szCs w:val="26"/>
          <w:rtl/>
        </w:rPr>
        <w:t xml:space="preserve"> אחת קודם.</w:t>
      </w:r>
    </w:p>
    <w:p w14:paraId="2EA33B1D" w14:textId="77777777" w:rsidR="00742CDF" w:rsidRDefault="008F5C8E" w:rsidP="004A113D">
      <w:pPr>
        <w:pStyle w:val="Ruller4"/>
        <w:spacing w:before="423" w:after="120" w:line="240" w:lineRule="auto"/>
        <w:outlineLvl w:val="2"/>
        <w:rPr>
          <w:rFonts w:ascii="FrankRuehl" w:hAnsi="FrankRuehl"/>
          <w:sz w:val="26"/>
          <w:szCs w:val="26"/>
          <w:rtl/>
        </w:rPr>
      </w:pPr>
      <w:r w:rsidRPr="00DE5D6D">
        <w:rPr>
          <w:rFonts w:ascii="FrankRuehl" w:hAnsi="FrankRuehl"/>
          <w:color w:val="002060"/>
          <w:sz w:val="26"/>
          <w:szCs w:val="26"/>
          <w:u w:val="single"/>
          <w:rtl/>
        </w:rPr>
        <w:t xml:space="preserve">השופט </w:t>
      </w:r>
      <w:r w:rsidRPr="00DE5D6D">
        <w:rPr>
          <w:rFonts w:ascii="FrankRuehl" w:hAnsi="FrankRuehl"/>
          <w:b/>
          <w:color w:val="002060"/>
          <w:spacing w:val="0"/>
          <w:sz w:val="26"/>
          <w:szCs w:val="26"/>
          <w:u w:val="single"/>
          <w:rtl/>
        </w:rPr>
        <w:t xml:space="preserve">א' </w:t>
      </w:r>
      <w:r w:rsidRPr="001414FC">
        <w:rPr>
          <w:rFonts w:ascii="FrankRuehl" w:hAnsi="FrankRuehl"/>
          <w:b/>
          <w:color w:val="002060"/>
          <w:spacing w:val="0"/>
          <w:sz w:val="26"/>
          <w:szCs w:val="26"/>
          <w:u w:val="single"/>
          <w:rtl/>
        </w:rPr>
        <w:t>שטיין</w:t>
      </w:r>
      <w:r w:rsidRPr="00DE5D6D">
        <w:rPr>
          <w:rFonts w:ascii="FrankRuehl" w:hAnsi="FrankRuehl"/>
          <w:sz w:val="26"/>
          <w:szCs w:val="26"/>
          <w:rtl/>
        </w:rPr>
        <w:t>:</w:t>
      </w:r>
    </w:p>
    <w:p w14:paraId="471F8606" w14:textId="77777777" w:rsidR="00742CDF" w:rsidRPr="00DE5D6D" w:rsidRDefault="008F5C8E" w:rsidP="00742CDF">
      <w:pPr>
        <w:pStyle w:val="Ruller4"/>
        <w:spacing w:after="120" w:line="240" w:lineRule="auto"/>
        <w:rPr>
          <w:rFonts w:ascii="FrankRuehl" w:hAnsi="FrankRuehl"/>
          <w:sz w:val="26"/>
          <w:szCs w:val="26"/>
          <w:rtl/>
        </w:rPr>
      </w:pPr>
      <w:r w:rsidRPr="00DE5D6D">
        <w:rPr>
          <w:rFonts w:ascii="FrankRuehl" w:hAnsi="FrankRuehl"/>
          <w:sz w:val="26"/>
          <w:szCs w:val="26"/>
          <w:rtl/>
        </w:rPr>
        <w:t xml:space="preserve">השופט </w:t>
      </w:r>
      <w:r w:rsidRPr="00722BD1">
        <w:rPr>
          <w:rFonts w:ascii="Century" w:hAnsi="Century" w:cs="Miriam"/>
          <w:b/>
          <w:spacing w:val="0"/>
          <w:szCs w:val="24"/>
          <w:rtl/>
        </w:rPr>
        <w:t>אלכס שטיין</w:t>
      </w:r>
      <w:r w:rsidRPr="00DE5D6D">
        <w:rPr>
          <w:rFonts w:ascii="FrankRuehl" w:hAnsi="FrankRuehl"/>
          <w:sz w:val="26"/>
          <w:szCs w:val="26"/>
          <w:rtl/>
        </w:rPr>
        <w:t xml:space="preserve"> קבע כי חוק המינויים, שמסמיך את שר המשפטים למנות עובד מדינה לפי בחירתו במקום היועצת המשפטית לממשלה לליווי החקירה נושא העתירה, מפנה ל״עניין״ ול״תפקיד״ המוסדרים בחוק סדר הדין הפלילי, אשר מפקיד את ביצוע התפקיד בידי פרקליט בכיר מפרקליטות המדינה. במצב המיוחד שנ</w:t>
      </w:r>
      <w:r w:rsidRPr="00DE5D6D">
        <w:rPr>
          <w:rFonts w:ascii="FrankRuehl" w:hAnsi="FrankRuehl"/>
          <w:sz w:val="26"/>
          <w:szCs w:val="26"/>
          <w:rtl/>
        </w:rPr>
        <w:t xml:space="preserve">וצר, שיקולים של נראות ציבורית ומראית פני-הצדק יוצרים, לדעת השופט שטיין, מניעות מוסדית שאינה מאפשרת העברת התפקיד לפרקליט/ה מפרקליטות המדינה. כפועל יוצא מכך, וכפי שמתחייב מהאמור בחוק סדר הדין הפלילי, השר חייב למנות לתפקיד, לפי בחירתו, משפטן בכיר בעל מומחיות </w:t>
      </w:r>
      <w:r w:rsidRPr="00DE5D6D">
        <w:rPr>
          <w:rFonts w:ascii="FrankRuehl" w:hAnsi="FrankRuehl"/>
          <w:sz w:val="26"/>
          <w:szCs w:val="26"/>
          <w:rtl/>
        </w:rPr>
        <w:t>בתחום המשפט הפלילי, נקי מאינטרסים אישיים ומהשפעות פוליטיות – דהיינו: אדם שמכלול נתוניו מקרבים אותו, ככל שניתן, לפרקליט בכיר מפרקליטות המדינה. מטעמים אלה, השופט שטיין הסכים לתוצאה אליה הגיעה השופטת וילנר בפסק דינה, תוך שהוא מזהיר מפני פוליטיזציה של המשפט הפ</w:t>
      </w:r>
      <w:r w:rsidRPr="00DE5D6D">
        <w:rPr>
          <w:rFonts w:ascii="FrankRuehl" w:hAnsi="FrankRuehl"/>
          <w:sz w:val="26"/>
          <w:szCs w:val="26"/>
          <w:rtl/>
        </w:rPr>
        <w:t xml:space="preserve">לילי. </w:t>
      </w:r>
    </w:p>
    <w:p w14:paraId="1F6580C1" w14:textId="77777777" w:rsidR="00742CDF" w:rsidRPr="00722BD1" w:rsidRDefault="008F5C8E" w:rsidP="004A113D">
      <w:pPr>
        <w:pStyle w:val="Ruller4"/>
        <w:spacing w:before="423" w:after="120" w:line="240" w:lineRule="auto"/>
        <w:outlineLvl w:val="2"/>
        <w:rPr>
          <w:rFonts w:ascii="FrankRuehl" w:hAnsi="FrankRuehl"/>
          <w:color w:val="002060"/>
          <w:sz w:val="26"/>
          <w:szCs w:val="26"/>
          <w:u w:val="single"/>
          <w:rtl/>
        </w:rPr>
      </w:pPr>
      <w:r w:rsidRPr="00DE5D6D">
        <w:rPr>
          <w:rFonts w:ascii="FrankRuehl" w:hAnsi="FrankRuehl"/>
          <w:color w:val="002060"/>
          <w:sz w:val="26"/>
          <w:szCs w:val="26"/>
          <w:u w:val="single"/>
          <w:rtl/>
        </w:rPr>
        <w:t xml:space="preserve">השופטת </w:t>
      </w:r>
      <w:r w:rsidRPr="00722BD1">
        <w:rPr>
          <w:rFonts w:ascii="FrankRuehl" w:hAnsi="FrankRuehl"/>
          <w:color w:val="002060"/>
          <w:sz w:val="26"/>
          <w:szCs w:val="26"/>
          <w:u w:val="single"/>
          <w:rtl/>
        </w:rPr>
        <w:t>ג' כנפי שטייניץ:</w:t>
      </w:r>
    </w:p>
    <w:p w14:paraId="14092729" w14:textId="77777777" w:rsidR="00742CDF" w:rsidRPr="00DE5D6D" w:rsidRDefault="008F5C8E" w:rsidP="00742CDF">
      <w:pPr>
        <w:pStyle w:val="Ruller4"/>
        <w:spacing w:line="240" w:lineRule="auto"/>
        <w:rPr>
          <w:rFonts w:ascii="FrankRuehl" w:hAnsi="FrankRuehl"/>
          <w:sz w:val="26"/>
          <w:szCs w:val="26"/>
          <w:rtl/>
        </w:rPr>
      </w:pPr>
      <w:r w:rsidRPr="00DE5D6D">
        <w:rPr>
          <w:rFonts w:ascii="FrankRuehl" w:hAnsi="FrankRuehl"/>
          <w:sz w:val="26"/>
          <w:szCs w:val="26"/>
          <w:rtl/>
        </w:rPr>
        <w:t xml:space="preserve">בחוות דעתה, עמדה השופטת </w:t>
      </w:r>
      <w:r w:rsidRPr="00722BD1">
        <w:rPr>
          <w:rFonts w:ascii="Century" w:hAnsi="Century" w:cs="Miriam"/>
          <w:b/>
          <w:spacing w:val="0"/>
          <w:szCs w:val="24"/>
          <w:rtl/>
        </w:rPr>
        <w:t>ג' כנפי שטייניץ</w:t>
      </w:r>
      <w:r w:rsidRPr="00DE5D6D">
        <w:rPr>
          <w:rFonts w:ascii="FrankRuehl" w:hAnsi="FrankRuehl"/>
          <w:sz w:val="26"/>
          <w:szCs w:val="26"/>
          <w:rtl/>
        </w:rPr>
        <w:t xml:space="preserve"> על המתח בין הערך של עצמאות רשויות האכיפה, ערך יסודי בהגנה על שלטון החוק והמשטר הדמוקרטי, לבין החשיבות שבניהול חקירה עצמאית ואמינה שתנוהל על-ידי גורם שאינו נגוע בחשש לניגוד עניינים, באופ</w:t>
      </w:r>
      <w:r w:rsidRPr="00DE5D6D">
        <w:rPr>
          <w:rFonts w:ascii="FrankRuehl" w:hAnsi="FrankRuehl"/>
          <w:sz w:val="26"/>
          <w:szCs w:val="26"/>
          <w:rtl/>
        </w:rPr>
        <w:t>ן שישמור על אמון הציבור בטוהר ההליך. לגישתה, כלל היסוד הוא יצירת חיץ ברור בין הדרג המיניסטריאלי לבין חקירה פרטנית מתנהלת. עם זאת,  בנסיבות החריגות שבענייננו – בהן מתקיימת מניעות רחבה של הגורמים הבכירים ביותר במערכת האכיפה, משלא נערכה בחינה יסודית של ניגודי</w:t>
      </w:r>
      <w:r w:rsidRPr="00DE5D6D">
        <w:rPr>
          <w:rFonts w:ascii="FrankRuehl" w:hAnsi="FrankRuehl"/>
          <w:sz w:val="26"/>
          <w:szCs w:val="26"/>
          <w:rtl/>
        </w:rPr>
        <w:t xml:space="preserve"> העניינים באופן המאפשר ליווי החקירה על ידי מי מבכירי הפרקליטות, ולנוכח החשיבות בקיומה של חקירה עצמאית שתזכה לאמון הציבור – יש לאפשר לשר להפעיל את סמכותו בהתאם לסעיף 23א(ד) לחוק, ולהטיל על עובד מדינה אחר את תפקיד ליווי החקירה עד שהמניעות תוסר. </w:t>
      </w:r>
    </w:p>
    <w:p w14:paraId="3E300877" w14:textId="77777777" w:rsidR="00E13F6E" w:rsidRDefault="008F5C8E" w:rsidP="00742CDF">
      <w:pPr>
        <w:spacing w:before="739" w:after="120" w:line="360" w:lineRule="auto"/>
        <w:jc w:val="center"/>
        <w:rPr>
          <w:rFonts w:ascii="FrankRuehl" w:hAnsi="FrankRuehl" w:cs="FrankRuehl"/>
          <w:b/>
          <w:bCs/>
          <w:color w:val="002060"/>
          <w:sz w:val="26"/>
          <w:szCs w:val="26"/>
          <w:rtl/>
        </w:rPr>
      </w:pPr>
      <w:r w:rsidRPr="000071E5">
        <w:rPr>
          <w:rFonts w:ascii="FrankRuehl" w:hAnsi="FrankRuehl" w:cs="FrankRuehl" w:hint="cs"/>
          <w:b/>
          <w:bCs/>
          <w:color w:val="002060"/>
          <w:sz w:val="26"/>
          <w:szCs w:val="26"/>
          <w:rtl/>
        </w:rPr>
        <w:t xml:space="preserve">*** </w:t>
      </w:r>
      <w:r>
        <w:rPr>
          <w:rFonts w:ascii="FrankRuehl" w:hAnsi="FrankRuehl" w:cs="FrankRuehl"/>
          <w:b/>
          <w:bCs/>
          <w:color w:val="002060"/>
          <w:sz w:val="26"/>
          <w:szCs w:val="26"/>
          <w:rtl/>
        </w:rPr>
        <w:t>הנוסח המ</w:t>
      </w:r>
      <w:r>
        <w:rPr>
          <w:rFonts w:ascii="FrankRuehl" w:hAnsi="FrankRuehl" w:cs="FrankRuehl"/>
          <w:b/>
          <w:bCs/>
          <w:color w:val="002060"/>
          <w:sz w:val="26"/>
          <w:szCs w:val="26"/>
          <w:rtl/>
        </w:rPr>
        <w:t xml:space="preserve">חייב הוא </w:t>
      </w:r>
      <w:r w:rsidRPr="000071E5">
        <w:rPr>
          <w:rFonts w:ascii="FrankRuehl" w:hAnsi="FrankRuehl" w:cs="FrankRuehl"/>
          <w:b/>
          <w:bCs/>
          <w:color w:val="002060"/>
          <w:sz w:val="26"/>
          <w:szCs w:val="26"/>
          <w:rtl/>
        </w:rPr>
        <w:t>של פסק</w:t>
      </w:r>
      <w:r>
        <w:rPr>
          <w:rFonts w:ascii="FrankRuehl" w:hAnsi="FrankRuehl" w:cs="FrankRuehl" w:hint="cs"/>
          <w:b/>
          <w:bCs/>
          <w:color w:val="002060"/>
          <w:sz w:val="26"/>
          <w:szCs w:val="26"/>
          <w:rtl/>
        </w:rPr>
        <w:t xml:space="preserve"> </w:t>
      </w:r>
      <w:r w:rsidRPr="000071E5">
        <w:rPr>
          <w:rFonts w:ascii="FrankRuehl" w:hAnsi="FrankRuehl" w:cs="FrankRuehl"/>
          <w:b/>
          <w:bCs/>
          <w:color w:val="002060"/>
          <w:sz w:val="26"/>
          <w:szCs w:val="26"/>
          <w:rtl/>
        </w:rPr>
        <w:t>הדין המלא</w:t>
      </w:r>
      <w:r w:rsidRPr="000071E5">
        <w:rPr>
          <w:rFonts w:ascii="FrankRuehl" w:hAnsi="FrankRuehl" w:cs="FrankRuehl" w:hint="cs"/>
          <w:b/>
          <w:bCs/>
          <w:color w:val="002060"/>
          <w:sz w:val="26"/>
          <w:szCs w:val="26"/>
          <w:rtl/>
        </w:rPr>
        <w:t xml:space="preserve"> ***</w:t>
      </w:r>
    </w:p>
    <w:p w14:paraId="18FBABEB" w14:textId="77777777" w:rsidR="00304607" w:rsidRPr="009B737E" w:rsidRDefault="00304607" w:rsidP="00304607">
      <w:pPr>
        <w:spacing w:before="1200"/>
        <w:rPr>
          <w:color w:val="FFFFFF" w:themeColor="background1"/>
          <w:sz w:val="12"/>
          <w:szCs w:val="12"/>
          <w:rtl/>
        </w:rPr>
      </w:pPr>
      <w:r w:rsidRPr="009B737E">
        <w:rPr>
          <w:rFonts w:hint="cs"/>
          <w:color w:val="FFFFFF" w:themeColor="background1"/>
          <w:sz w:val="12"/>
          <w:szCs w:val="12"/>
          <w:rtl/>
        </w:rPr>
        <w:t>בית משפט העליון | דרך השופט מאיר שמגר 1 | קרית בן גוריון | ירושלים</w:t>
      </w:r>
    </w:p>
    <w:p w14:paraId="61E3A0E1" w14:textId="1F3D47E2" w:rsidR="00ED35D4" w:rsidRPr="009B737E" w:rsidRDefault="00304607" w:rsidP="00304607">
      <w:pPr>
        <w:rPr>
          <w:color w:val="FFFFFF" w:themeColor="background1"/>
          <w:sz w:val="12"/>
          <w:szCs w:val="12"/>
        </w:rPr>
      </w:pPr>
      <w:r w:rsidRPr="009B737E">
        <w:rPr>
          <w:rFonts w:hint="cs"/>
          <w:color w:val="FFFFFF" w:themeColor="background1"/>
          <w:sz w:val="12"/>
          <w:szCs w:val="12"/>
          <w:rtl/>
        </w:rPr>
        <w:t xml:space="preserve">טל: </w:t>
      </w:r>
      <w:r w:rsidRPr="009B737E">
        <w:rPr>
          <w:color w:val="FFFFFF" w:themeColor="background1"/>
          <w:sz w:val="12"/>
          <w:szCs w:val="12"/>
        </w:rPr>
        <w:t>074-7480412</w:t>
      </w:r>
      <w:r w:rsidRPr="009B737E">
        <w:rPr>
          <w:rFonts w:hint="cs"/>
          <w:color w:val="FFFFFF" w:themeColor="background1"/>
          <w:sz w:val="12"/>
          <w:szCs w:val="12"/>
          <w:rtl/>
        </w:rPr>
        <w:t xml:space="preserve">  דוא"ל</w:t>
      </w:r>
      <w:r w:rsidRPr="009B737E">
        <w:rPr>
          <w:color w:val="FFFFFF" w:themeColor="background1"/>
          <w:sz w:val="12"/>
          <w:szCs w:val="12"/>
        </w:rPr>
        <w:t>:</w:t>
      </w:r>
      <w:r w:rsidRPr="009B737E">
        <w:rPr>
          <w:rFonts w:hint="cs"/>
          <w:color w:val="FFFFFF" w:themeColor="background1"/>
          <w:sz w:val="12"/>
          <w:szCs w:val="12"/>
          <w:rtl/>
        </w:rPr>
        <w:t xml:space="preserve">  </w:t>
      </w:r>
      <w:hyperlink r:id="rId13" w:tooltip="כתובת דוא&quot;ל ליצירת קשר עם דובר בית המשפט" w:history="1">
        <w:r w:rsidRPr="009B737E">
          <w:rPr>
            <w:rStyle w:val="Hyperlink"/>
            <w:color w:val="FFFFFF" w:themeColor="background1"/>
            <w:sz w:val="12"/>
            <w:szCs w:val="12"/>
          </w:rPr>
          <w:t>Dover@court.gov.il</w:t>
        </w:r>
      </w:hyperlink>
    </w:p>
    <w:sectPr w:rsidR="00ED35D4" w:rsidRPr="009B737E" w:rsidSect="00AC590E">
      <w:headerReference w:type="default" r:id="rId14"/>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86BA65" w14:textId="77777777" w:rsidR="00587892" w:rsidRDefault="00587892">
      <w:pPr>
        <w:spacing w:after="0" w:line="240" w:lineRule="auto"/>
      </w:pPr>
      <w:r>
        <w:separator/>
      </w:r>
    </w:p>
  </w:endnote>
  <w:endnote w:type="continuationSeparator" w:id="0">
    <w:p w14:paraId="06D3DFD8" w14:textId="77777777" w:rsidR="00587892" w:rsidRDefault="00587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 w:name="Century">
    <w:panose1 w:val="0204060405050502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73AC0" w14:textId="77777777" w:rsidR="003A639C" w:rsidRPr="003A639C" w:rsidRDefault="008F5C8E" w:rsidP="003A639C">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b/>
        <w:bCs/>
        <w:color w:val="000080"/>
        <w:spacing w:val="6"/>
        <w:sz w:val="24"/>
        <w:szCs w:val="24"/>
        <w:rtl/>
      </w:rPr>
      <w:t>________________________________________________________________</w:t>
    </w:r>
  </w:p>
  <w:p w14:paraId="04C5A95A" w14:textId="77777777" w:rsidR="003A639C" w:rsidRPr="003A639C" w:rsidRDefault="008F5C8E" w:rsidP="003A639C">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hint="cs"/>
        <w:b/>
        <w:bCs/>
        <w:color w:val="000080"/>
        <w:spacing w:val="6"/>
        <w:sz w:val="24"/>
        <w:szCs w:val="24"/>
        <w:rtl/>
      </w:rPr>
      <w:t>בית משפט העליון | דרך השופט מאיר שמגר 1 | קרית בן גוריון | ירושלים</w:t>
    </w:r>
  </w:p>
  <w:p w14:paraId="2DFE8DC1" w14:textId="77777777" w:rsidR="003C61AF" w:rsidRPr="003A639C" w:rsidRDefault="008F5C8E" w:rsidP="003A639C">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hint="cs"/>
        <w:b/>
        <w:bCs/>
        <w:color w:val="000080"/>
        <w:spacing w:val="6"/>
        <w:sz w:val="24"/>
        <w:szCs w:val="24"/>
        <w:rtl/>
      </w:rPr>
      <w:t xml:space="preserve">טל: </w:t>
    </w:r>
    <w:r w:rsidRPr="003A639C">
      <w:rPr>
        <w:rFonts w:ascii="Times New Roman" w:eastAsia="Times New Roman" w:hAnsi="Times New Roman" w:cs="FrankRuehl"/>
        <w:b/>
        <w:bCs/>
        <w:color w:val="000080"/>
        <w:spacing w:val="6"/>
        <w:sz w:val="24"/>
        <w:szCs w:val="24"/>
      </w:rPr>
      <w:t>074-7480412</w:t>
    </w:r>
    <w:r w:rsidRPr="003A639C">
      <w:rPr>
        <w:rFonts w:ascii="Times New Roman" w:eastAsia="Times New Roman" w:hAnsi="Times New Roman" w:cs="FrankRuehl" w:hint="cs"/>
        <w:b/>
        <w:bCs/>
        <w:color w:val="000080"/>
        <w:spacing w:val="6"/>
        <w:sz w:val="24"/>
        <w:szCs w:val="24"/>
        <w:rtl/>
      </w:rPr>
      <w:t xml:space="preserve">                       דוא"ל</w:t>
    </w:r>
    <w:r w:rsidRPr="003A639C">
      <w:rPr>
        <w:rFonts w:ascii="Times New Roman" w:eastAsia="Times New Roman" w:hAnsi="Times New Roman" w:cs="FrankRuehl"/>
        <w:b/>
        <w:bCs/>
        <w:color w:val="000080"/>
        <w:spacing w:val="6"/>
        <w:sz w:val="24"/>
        <w:szCs w:val="24"/>
      </w:rPr>
      <w:t>:</w:t>
    </w:r>
    <w:r w:rsidRPr="003A639C">
      <w:rPr>
        <w:rFonts w:ascii="Times New Roman" w:eastAsia="Times New Roman" w:hAnsi="Times New Roman" w:cs="FrankRuehl" w:hint="cs"/>
        <w:b/>
        <w:bCs/>
        <w:color w:val="000080"/>
        <w:spacing w:val="6"/>
        <w:sz w:val="24"/>
        <w:szCs w:val="24"/>
        <w:rtl/>
      </w:rPr>
      <w:t xml:space="preserve">  </w:t>
    </w:r>
    <w:hyperlink r:id="rId1" w:tooltip="כתובת דוא&quot;ל ליצירת קשר עם דובר בית המשפט" w:history="1">
      <w:r w:rsidR="003C61AF" w:rsidRPr="003A639C">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547DFF" w14:textId="77777777" w:rsidR="00587892" w:rsidRDefault="00587892">
      <w:pPr>
        <w:spacing w:after="0" w:line="240" w:lineRule="auto"/>
      </w:pPr>
      <w:r>
        <w:separator/>
      </w:r>
    </w:p>
  </w:footnote>
  <w:footnote w:type="continuationSeparator" w:id="0">
    <w:p w14:paraId="5885852A" w14:textId="77777777" w:rsidR="00587892" w:rsidRDefault="00587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7072" w14:textId="77777777" w:rsidR="00AC590E" w:rsidRPr="005253B2" w:rsidRDefault="00AC590E"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14:anchorId="6D942A20" wp14:editId="6820F673">
          <wp:extent cx="523875" cy="619125"/>
          <wp:effectExtent l="0" t="0" r="9525" b="9525"/>
          <wp:docPr id="69975801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23875" cy="619125"/>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14:paraId="69157E35" w14:textId="77777777" w:rsidR="00AC590E" w:rsidRPr="005253B2" w:rsidRDefault="00AC590E"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sidRPr="005253B2">
      <w:rPr>
        <w:rFonts w:ascii="Times New Roman" w:eastAsia="Times New Roman" w:hAnsi="Times New Roman" w:cs="FrankRuehl" w:hint="cs"/>
        <w:b/>
        <w:bCs/>
        <w:color w:val="000080"/>
        <w:spacing w:val="6"/>
        <w:sz w:val="28"/>
        <w:szCs w:val="28"/>
        <w:rtl/>
        <w:lang w:eastAsia="he-IL"/>
      </w:rPr>
      <w:t>מערכת בתי המשפט</w:t>
    </w:r>
  </w:p>
  <w:p w14:paraId="7897AB51" w14:textId="77777777" w:rsidR="00AC590E" w:rsidRPr="005253B2" w:rsidRDefault="00AC590E"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lang w:eastAsia="he-IL"/>
      </w:rPr>
    </w:pPr>
    <w:r w:rsidRPr="005253B2">
      <w:rPr>
        <w:rFonts w:ascii="Times New Roman" w:eastAsia="Times New Roman" w:hAnsi="Times New Roman" w:cs="FrankRuehl" w:hint="cs"/>
        <w:b/>
        <w:bCs/>
        <w:color w:val="000080"/>
        <w:spacing w:val="6"/>
        <w:sz w:val="28"/>
        <w:szCs w:val="28"/>
        <w:rtl/>
        <w:lang w:eastAsia="he-IL"/>
      </w:rPr>
      <w:t>דוברות והסברה</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071E5"/>
    <w:rsid w:val="00025761"/>
    <w:rsid w:val="000C4D75"/>
    <w:rsid w:val="001414FC"/>
    <w:rsid w:val="001D42A7"/>
    <w:rsid w:val="002453CF"/>
    <w:rsid w:val="002C0E83"/>
    <w:rsid w:val="00304607"/>
    <w:rsid w:val="00321A8E"/>
    <w:rsid w:val="003921C3"/>
    <w:rsid w:val="003A639C"/>
    <w:rsid w:val="003C61AF"/>
    <w:rsid w:val="003D438A"/>
    <w:rsid w:val="003E6E39"/>
    <w:rsid w:val="003E7EB7"/>
    <w:rsid w:val="00425EDA"/>
    <w:rsid w:val="00426AA7"/>
    <w:rsid w:val="004A113D"/>
    <w:rsid w:val="00515986"/>
    <w:rsid w:val="005253B2"/>
    <w:rsid w:val="00541C9E"/>
    <w:rsid w:val="00571109"/>
    <w:rsid w:val="00587892"/>
    <w:rsid w:val="00631744"/>
    <w:rsid w:val="00683D32"/>
    <w:rsid w:val="00690B6F"/>
    <w:rsid w:val="006B7B96"/>
    <w:rsid w:val="006C3B1F"/>
    <w:rsid w:val="006F1E1F"/>
    <w:rsid w:val="006F26C8"/>
    <w:rsid w:val="007007D7"/>
    <w:rsid w:val="00711675"/>
    <w:rsid w:val="00722BD1"/>
    <w:rsid w:val="00730CA1"/>
    <w:rsid w:val="00742CDF"/>
    <w:rsid w:val="00750058"/>
    <w:rsid w:val="007B7899"/>
    <w:rsid w:val="007D270B"/>
    <w:rsid w:val="007E0684"/>
    <w:rsid w:val="00803D4B"/>
    <w:rsid w:val="00832AD7"/>
    <w:rsid w:val="008812C3"/>
    <w:rsid w:val="008C02E0"/>
    <w:rsid w:val="008C2482"/>
    <w:rsid w:val="008D09C7"/>
    <w:rsid w:val="008F5C8E"/>
    <w:rsid w:val="00983123"/>
    <w:rsid w:val="009B737E"/>
    <w:rsid w:val="009E5C0E"/>
    <w:rsid w:val="00A15476"/>
    <w:rsid w:val="00AC590E"/>
    <w:rsid w:val="00AD7644"/>
    <w:rsid w:val="00AF10D0"/>
    <w:rsid w:val="00B16422"/>
    <w:rsid w:val="00B22AFC"/>
    <w:rsid w:val="00BA3143"/>
    <w:rsid w:val="00C22E08"/>
    <w:rsid w:val="00C37F37"/>
    <w:rsid w:val="00C50C55"/>
    <w:rsid w:val="00C529CC"/>
    <w:rsid w:val="00C6455C"/>
    <w:rsid w:val="00C842A7"/>
    <w:rsid w:val="00C85A27"/>
    <w:rsid w:val="00CA2D6A"/>
    <w:rsid w:val="00CB4940"/>
    <w:rsid w:val="00CD218D"/>
    <w:rsid w:val="00CD280B"/>
    <w:rsid w:val="00D11F77"/>
    <w:rsid w:val="00D205AB"/>
    <w:rsid w:val="00D43C0E"/>
    <w:rsid w:val="00D5319F"/>
    <w:rsid w:val="00D643FC"/>
    <w:rsid w:val="00DE5D6D"/>
    <w:rsid w:val="00E13F6E"/>
    <w:rsid w:val="00E35DF3"/>
    <w:rsid w:val="00EA6DF3"/>
    <w:rsid w:val="00EB6609"/>
    <w:rsid w:val="00ED35D4"/>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90A3F"/>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customStyle="1" w:styleId="Ruller4">
    <w:name w:val="Ruller4"/>
    <w:basedOn w:val="a"/>
    <w:rsid w:val="00742CDF"/>
    <w:pPr>
      <w:tabs>
        <w:tab w:val="left" w:pos="800"/>
      </w:tabs>
      <w:overflowPunct w:val="0"/>
      <w:autoSpaceDE w:val="0"/>
      <w:autoSpaceDN w:val="0"/>
      <w:adjustRightInd w:val="0"/>
      <w:spacing w:after="0" w:line="360" w:lineRule="auto"/>
      <w:jc w:val="both"/>
      <w:textAlignment w:val="baseline"/>
    </w:pPr>
    <w:rPr>
      <w:rFonts w:ascii="Arial TUR" w:eastAsia="Times New Roman" w:hAnsi="Arial TUR" w:cs="FrankRuehl"/>
      <w:spacing w:val="1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hbm-storage\Sherut\&#1502;&#1512;&#1499;&#1494;%20&#1502;&#1497;&#1491;&#1506;\&#1506;&#1491;&#1499;&#1493;&#1503;%20&#1488;&#1514;&#1512;\&#1504;&#1490;&#1497;&#1513;&#1493;&#1514;%202025\&#1502;&#1505;&#1502;&#1499;&#1497;&#1501;%20&#1513;&#1492;&#1493;&#1506;&#1489;&#1512;&#1493;%20&#1500;&#1492;&#1504;&#1490;&#1513;&#1492;%20&#1495;&#1489;&#1512;%20&#1514;&#1512;&#1490;&#1493;&#1502;&#1497;&#1501;%2020\&#1511;&#1489;&#1510;&#1497;&#1501;%20&#1502;&#1495;&#1489;&#1512;%20-%20&#1495;&#1500;&#1511;%202\accessibledocs.ai\%3futm_source=document_icon&amp;utm_medium=file_embedded&amp;utm_campaign=template_processing&amp;utm_content=icon_top_right&amp;document_id=99f9285c-20d3-4f34-85cd-885d92c38ada" TargetMode="External"/><Relationship Id="rId13" Type="http://schemas.openxmlformats.org/officeDocument/2006/relationships/hyperlink" Target="mailto:Dover@court.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accessibledocs.ai/?utm_source=document_icon&amp;utm_medium=file_embedded&amp;utm_campaign=template_processing&amp;utm_content=icon_top_right&amp;document_id=99f9285c-20d3-4f34-85cd-885d92c38ada"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CBBD4EA6-331C-411B-B99D-5624C9A313A5}">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1518</Words>
  <Characters>7592</Characters>
  <Application>Microsoft Office Word</Application>
  <DocSecurity>0</DocSecurity>
  <Lines>63</Lines>
  <Paragraphs>18</Paragraphs>
  <ScaleCrop>false</ScaleCrop>
  <HeadingPairs>
    <vt:vector size="2" baseType="variant">
      <vt:variant>
        <vt:lpstr>שם</vt:lpstr>
      </vt:variant>
      <vt:variant>
        <vt:i4>1</vt:i4>
      </vt:variant>
    </vt:vector>
  </HeadingPairs>
  <TitlesOfParts>
    <vt:vector size="1" baseType="lpstr">
      <vt:lpstr>תקציר פסק-דין</vt:lpstr>
    </vt:vector>
  </TitlesOfParts>
  <Company>court</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תקציר פסק-דין</dc:title>
  <dc:creator>נירית לזימי</dc:creator>
  <cp:lastModifiedBy>איסרא אקעיק</cp:lastModifiedBy>
  <cp:revision>2</cp:revision>
  <cp:lastPrinted>2017-11-13T12:38:00Z</cp:lastPrinted>
  <dcterms:created xsi:type="dcterms:W3CDTF">2026-02-26T11:43:00Z</dcterms:created>
  <dcterms:modified xsi:type="dcterms:W3CDTF">2026-02-26T11:43:00Z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16 בנובמבר 2025</vt:lpwstr>
  </property>
  <property fmtid="{D5CDD505-2E9C-101B-9397-08002B2CF9AE}" pid="3" name="DocDateHeb">
    <vt:lpwstr>כ"ה בחשוון תשפ"ו</vt:lpwstr>
  </property>
  <property fmtid="{D5CDD505-2E9C-101B-9397-08002B2CF9AE}" pid="4" name="DocNumber">
    <vt:lpwstr>4700-1039-2025-006872</vt:lpwstr>
  </property>
  <property fmtid="{D5CDD505-2E9C-101B-9397-08002B2CF9AE}" pid="5" name="DocObjectName">
    <vt:lpwstr>תקציר פסק הדין - בג"ץ 3435-11-25</vt:lpwstr>
  </property>
  <property fmtid="{D5CDD505-2E9C-101B-9397-08002B2CF9AE}" pid="6" name="DocRecipientsName">
    <vt:lpwstr/>
  </property>
  <property fmtid="{D5CDD505-2E9C-101B-9397-08002B2CF9AE}" pid="7" name="DocToName">
    <vt:lpwstr/>
  </property>
</Properties>
</file>