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6422" w:rsidRPr="00832AD7" w:rsidRDefault="002453CF" w:rsidP="00832AD7">
      <w:pPr>
        <w:spacing w:after="0" w:line="240" w:lineRule="auto"/>
        <w:rPr>
          <w:rFonts w:cs="David"/>
          <w:b/>
          <w:bCs/>
          <w:sz w:val="16"/>
          <w:szCs w:val="16"/>
          <w:rtl/>
        </w:rPr>
      </w:pPr>
      <w:bookmarkStart w:id="0" w:name="_GoBack"/>
      <w:bookmarkEnd w:id="0"/>
      <w:r w:rsidRPr="006C3B1F">
        <w:rPr>
          <w:rFonts w:cs="David" w:hint="cs"/>
          <w:b/>
          <w:bCs/>
          <w:sz w:val="24"/>
          <w:szCs w:val="24"/>
          <w:rtl/>
        </w:rPr>
        <w:t xml:space="preserve">                                 </w:t>
      </w:r>
      <w:r w:rsidR="006B7B96" w:rsidRPr="006C3B1F">
        <w:rPr>
          <w:rFonts w:cs="David" w:hint="cs"/>
          <w:b/>
          <w:bCs/>
          <w:sz w:val="24"/>
          <w:szCs w:val="24"/>
          <w:rtl/>
        </w:rPr>
        <w:t xml:space="preserve">           </w:t>
      </w:r>
      <w:r w:rsidR="00631744">
        <w:rPr>
          <w:rFonts w:cs="David" w:hint="cs"/>
          <w:b/>
          <w:bCs/>
          <w:sz w:val="24"/>
          <w:szCs w:val="24"/>
          <w:rtl/>
        </w:rPr>
        <w:t xml:space="preserve">           </w:t>
      </w:r>
      <w:r w:rsidR="006C3B1F">
        <w:rPr>
          <w:rFonts w:cs="David" w:hint="cs"/>
          <w:b/>
          <w:bCs/>
          <w:sz w:val="24"/>
          <w:szCs w:val="24"/>
          <w:rtl/>
        </w:rPr>
        <w:t xml:space="preserve">   </w:t>
      </w:r>
      <w:r w:rsidRPr="006C3B1F">
        <w:rPr>
          <w:rFonts w:cs="David" w:hint="cs"/>
          <w:b/>
          <w:bCs/>
          <w:sz w:val="24"/>
          <w:szCs w:val="24"/>
          <w:rtl/>
        </w:rPr>
        <w:t xml:space="preserve">  </w:t>
      </w:r>
      <w:r w:rsidR="001D42A7">
        <w:rPr>
          <w:rFonts w:hint="cs"/>
          <w:b/>
          <w:bCs/>
          <w:rtl/>
        </w:rPr>
        <w:t xml:space="preserve">  </w:t>
      </w:r>
    </w:p>
    <w:p w:rsidR="00983123" w:rsidRPr="00832AD7" w:rsidRDefault="00983123" w:rsidP="00832AD7">
      <w:pPr>
        <w:spacing w:after="0" w:line="240" w:lineRule="auto"/>
        <w:jc w:val="right"/>
        <w:rPr>
          <w:rFonts w:ascii="Times New Roman" w:eastAsia="Times New Roman" w:hAnsi="Times New Roman" w:cs="David"/>
          <w:sz w:val="16"/>
          <w:szCs w:val="16"/>
        </w:rPr>
      </w:pPr>
      <w:r w:rsidRPr="00832AD7">
        <w:rPr>
          <w:rFonts w:ascii="Times New Roman" w:eastAsia="Times New Roman" w:hAnsi="Times New Roman" w:cs="David" w:hint="cs"/>
          <w:sz w:val="16"/>
          <w:szCs w:val="16"/>
          <w:rtl/>
        </w:rPr>
        <w:fldChar w:fldCharType="begin"/>
      </w:r>
      <w:r w:rsidRPr="00832AD7">
        <w:rPr>
          <w:rFonts w:ascii="Times New Roman" w:eastAsia="Times New Roman" w:hAnsi="Times New Roman" w:cs="David" w:hint="cs"/>
          <w:sz w:val="16"/>
          <w:szCs w:val="16"/>
          <w:rtl/>
        </w:rPr>
        <w:instrText xml:space="preserve"> </w:instrText>
      </w:r>
      <w:r w:rsidRPr="00832AD7">
        <w:rPr>
          <w:rFonts w:ascii="Times New Roman" w:eastAsia="Times New Roman" w:hAnsi="Times New Roman" w:cs="David"/>
          <w:sz w:val="16"/>
          <w:szCs w:val="16"/>
        </w:rPr>
        <w:instrText>DOCPROPERTY  DocDateEng  \* MERGEFORMAT</w:instrText>
      </w:r>
      <w:r w:rsidRPr="00832AD7">
        <w:rPr>
          <w:rFonts w:ascii="Times New Roman" w:eastAsia="Times New Roman" w:hAnsi="Times New Roman" w:cs="David" w:hint="cs"/>
          <w:sz w:val="16"/>
          <w:szCs w:val="16"/>
          <w:rtl/>
        </w:rPr>
        <w:instrText xml:space="preserve"> </w:instrText>
      </w:r>
      <w:r w:rsidRPr="00832AD7">
        <w:rPr>
          <w:rFonts w:ascii="Times New Roman" w:eastAsia="Times New Roman" w:hAnsi="Times New Roman" w:cs="David" w:hint="cs"/>
          <w:sz w:val="16"/>
          <w:szCs w:val="16"/>
          <w:rtl/>
        </w:rPr>
        <w:fldChar w:fldCharType="separate"/>
      </w:r>
      <w:r w:rsidRPr="00832AD7">
        <w:rPr>
          <w:rFonts w:ascii="Times New Roman" w:eastAsia="Times New Roman" w:hAnsi="Times New Roman" w:cs="David" w:hint="cs"/>
          <w:sz w:val="16"/>
          <w:szCs w:val="16"/>
          <w:rtl/>
        </w:rPr>
        <w:t>12 באפריל 2026</w:t>
      </w:r>
      <w:r w:rsidRPr="00832AD7">
        <w:rPr>
          <w:rFonts w:ascii="Times New Roman" w:eastAsia="Times New Roman" w:hAnsi="Times New Roman" w:cs="David" w:hint="cs"/>
          <w:sz w:val="16"/>
          <w:szCs w:val="16"/>
          <w:rtl/>
        </w:rPr>
        <w:fldChar w:fldCharType="end"/>
      </w:r>
    </w:p>
    <w:p w:rsidR="00983123" w:rsidRPr="00832AD7" w:rsidRDefault="00983123" w:rsidP="00832AD7">
      <w:pPr>
        <w:spacing w:after="0" w:line="240" w:lineRule="auto"/>
        <w:jc w:val="right"/>
        <w:rPr>
          <w:rFonts w:ascii="Times New Roman" w:eastAsia="Times New Roman" w:hAnsi="Times New Roman" w:cs="David"/>
          <w:sz w:val="16"/>
          <w:szCs w:val="16"/>
          <w:rtl/>
        </w:rPr>
      </w:pPr>
      <w:r w:rsidRPr="00832AD7">
        <w:rPr>
          <w:rFonts w:ascii="Times New Roman" w:eastAsia="Times New Roman" w:hAnsi="Times New Roman" w:cs="David" w:hint="cs"/>
          <w:sz w:val="16"/>
          <w:szCs w:val="16"/>
          <w:rtl/>
        </w:rPr>
        <w:t xml:space="preserve">                                                                                                   </w:t>
      </w:r>
      <w:r w:rsidRPr="00832AD7">
        <w:rPr>
          <w:rFonts w:ascii="Times New Roman" w:eastAsia="Times New Roman" w:hAnsi="Times New Roman" w:cs="David" w:hint="cs"/>
          <w:sz w:val="16"/>
          <w:szCs w:val="16"/>
          <w:rtl/>
        </w:rPr>
        <w:fldChar w:fldCharType="begin"/>
      </w:r>
      <w:r w:rsidRPr="00832AD7">
        <w:rPr>
          <w:rFonts w:ascii="Times New Roman" w:eastAsia="Times New Roman" w:hAnsi="Times New Roman" w:cs="David" w:hint="cs"/>
          <w:sz w:val="16"/>
          <w:szCs w:val="16"/>
          <w:rtl/>
        </w:rPr>
        <w:instrText xml:space="preserve"> </w:instrText>
      </w:r>
      <w:r w:rsidRPr="00832AD7">
        <w:rPr>
          <w:rFonts w:ascii="Times New Roman" w:eastAsia="Times New Roman" w:hAnsi="Times New Roman" w:cs="David"/>
          <w:sz w:val="16"/>
          <w:szCs w:val="16"/>
        </w:rPr>
        <w:instrText>DOCPROPERTY  DocDateHeb  \* MERGEFORMAT</w:instrText>
      </w:r>
      <w:r w:rsidRPr="00832AD7">
        <w:rPr>
          <w:rFonts w:ascii="Times New Roman" w:eastAsia="Times New Roman" w:hAnsi="Times New Roman" w:cs="David" w:hint="cs"/>
          <w:sz w:val="16"/>
          <w:szCs w:val="16"/>
          <w:rtl/>
        </w:rPr>
        <w:instrText xml:space="preserve"> </w:instrText>
      </w:r>
      <w:r w:rsidRPr="00832AD7">
        <w:rPr>
          <w:rFonts w:ascii="Times New Roman" w:eastAsia="Times New Roman" w:hAnsi="Times New Roman" w:cs="David" w:hint="cs"/>
          <w:sz w:val="16"/>
          <w:szCs w:val="16"/>
          <w:rtl/>
        </w:rPr>
        <w:fldChar w:fldCharType="separate"/>
      </w:r>
      <w:r w:rsidRPr="00832AD7">
        <w:rPr>
          <w:rFonts w:ascii="Times New Roman" w:eastAsia="Times New Roman" w:hAnsi="Times New Roman" w:cs="David" w:hint="cs"/>
          <w:sz w:val="16"/>
          <w:szCs w:val="16"/>
          <w:rtl/>
        </w:rPr>
        <w:t>כ"ה בניסן תשפ"ו</w:t>
      </w:r>
      <w:r w:rsidRPr="00832AD7">
        <w:rPr>
          <w:rFonts w:ascii="Times New Roman" w:eastAsia="Times New Roman" w:hAnsi="Times New Roman" w:cs="David" w:hint="cs"/>
          <w:sz w:val="16"/>
          <w:szCs w:val="16"/>
          <w:rtl/>
        </w:rPr>
        <w:fldChar w:fldCharType="end"/>
      </w:r>
    </w:p>
    <w:p w:rsidR="00983123" w:rsidRPr="00983123" w:rsidRDefault="00983123" w:rsidP="00832AD7">
      <w:pPr>
        <w:spacing w:after="0" w:line="240" w:lineRule="auto"/>
        <w:jc w:val="right"/>
        <w:rPr>
          <w:rFonts w:ascii="Times New Roman" w:eastAsia="Times New Roman" w:hAnsi="Times New Roman" w:cs="David"/>
          <w:sz w:val="24"/>
          <w:szCs w:val="24"/>
          <w:rtl/>
        </w:rPr>
      </w:pPr>
      <w:r w:rsidRPr="00832AD7">
        <w:rPr>
          <w:rFonts w:ascii="Times New Roman" w:eastAsia="Times New Roman" w:hAnsi="Times New Roman" w:cs="David" w:hint="cs"/>
          <w:sz w:val="16"/>
          <w:szCs w:val="16"/>
          <w:rtl/>
        </w:rPr>
        <w:fldChar w:fldCharType="begin"/>
      </w:r>
      <w:r w:rsidRPr="00832AD7">
        <w:rPr>
          <w:rFonts w:ascii="Times New Roman" w:eastAsia="Times New Roman" w:hAnsi="Times New Roman" w:cs="David" w:hint="cs"/>
          <w:sz w:val="16"/>
          <w:szCs w:val="16"/>
          <w:rtl/>
        </w:rPr>
        <w:instrText xml:space="preserve"> </w:instrText>
      </w:r>
      <w:r w:rsidRPr="00832AD7">
        <w:rPr>
          <w:rFonts w:ascii="Times New Roman" w:eastAsia="Times New Roman" w:hAnsi="Times New Roman" w:cs="David"/>
          <w:sz w:val="16"/>
          <w:szCs w:val="16"/>
        </w:rPr>
        <w:instrText>DOCPROPERTY  DocNumber  \* MERGEFORMAT</w:instrText>
      </w:r>
      <w:r w:rsidRPr="00832AD7">
        <w:rPr>
          <w:rFonts w:ascii="Times New Roman" w:eastAsia="Times New Roman" w:hAnsi="Times New Roman" w:cs="David" w:hint="cs"/>
          <w:sz w:val="16"/>
          <w:szCs w:val="16"/>
          <w:rtl/>
        </w:rPr>
        <w:instrText xml:space="preserve"> </w:instrText>
      </w:r>
      <w:r w:rsidRPr="00832AD7">
        <w:rPr>
          <w:rFonts w:ascii="Times New Roman" w:eastAsia="Times New Roman" w:hAnsi="Times New Roman" w:cs="David" w:hint="cs"/>
          <w:sz w:val="16"/>
          <w:szCs w:val="16"/>
          <w:rtl/>
        </w:rPr>
        <w:fldChar w:fldCharType="separate"/>
      </w:r>
      <w:r w:rsidRPr="00832AD7">
        <w:rPr>
          <w:rFonts w:ascii="Times New Roman" w:eastAsia="Times New Roman" w:hAnsi="Times New Roman" w:cs="David" w:hint="cs"/>
          <w:sz w:val="16"/>
          <w:szCs w:val="16"/>
          <w:rtl/>
        </w:rPr>
        <w:t>4700-1039-2026-002090</w:t>
      </w:r>
      <w:r w:rsidRPr="00832AD7">
        <w:rPr>
          <w:rFonts w:ascii="Times New Roman" w:eastAsia="Times New Roman" w:hAnsi="Times New Roman" w:cs="David" w:hint="cs"/>
          <w:sz w:val="16"/>
          <w:szCs w:val="16"/>
          <w:rtl/>
        </w:rPr>
        <w:fldChar w:fldCharType="end"/>
      </w:r>
    </w:p>
    <w:p w:rsidR="00515986" w:rsidRPr="00515986" w:rsidRDefault="00515986" w:rsidP="000C4D75">
      <w:pPr>
        <w:tabs>
          <w:tab w:val="num" w:pos="1080"/>
        </w:tabs>
        <w:spacing w:after="0" w:line="276" w:lineRule="auto"/>
        <w:jc w:val="both"/>
        <w:rPr>
          <w:rFonts w:ascii="Arial" w:eastAsia="Times New Roman" w:hAnsi="Arial" w:cs="David"/>
          <w:b/>
          <w:bCs/>
          <w:sz w:val="24"/>
          <w:szCs w:val="24"/>
          <w:rtl/>
        </w:rPr>
      </w:pPr>
    </w:p>
    <w:p w:rsidR="00E13F6E" w:rsidRPr="006E4B68" w:rsidRDefault="00E13F6E" w:rsidP="006E4B68">
      <w:pPr>
        <w:spacing w:after="120" w:line="360" w:lineRule="auto"/>
        <w:jc w:val="center"/>
        <w:rPr>
          <w:rFonts w:ascii="FrankRuehl" w:hAnsi="FrankRuehl" w:cs="FrankRuehl"/>
          <w:b/>
          <w:bCs/>
          <w:color w:val="002060"/>
          <w:sz w:val="32"/>
          <w:szCs w:val="32"/>
          <w:u w:val="single"/>
          <w:rtl/>
        </w:rPr>
      </w:pPr>
      <w:r w:rsidRPr="000071E5">
        <w:rPr>
          <w:rFonts w:ascii="FrankRuehl" w:hAnsi="FrankRuehl" w:cs="FrankRuehl"/>
          <w:b/>
          <w:bCs/>
          <w:color w:val="002060"/>
          <w:sz w:val="32"/>
          <w:szCs w:val="32"/>
          <w:u w:val="single"/>
          <w:rtl/>
        </w:rPr>
        <w:t>תקציר פסק</w:t>
      </w:r>
      <w:r w:rsidRPr="000071E5">
        <w:rPr>
          <w:rFonts w:ascii="FrankRuehl" w:hAnsi="FrankRuehl" w:cs="FrankRuehl" w:hint="cs"/>
          <w:b/>
          <w:bCs/>
          <w:color w:val="002060"/>
          <w:sz w:val="32"/>
          <w:szCs w:val="32"/>
          <w:u w:val="single"/>
          <w:rtl/>
        </w:rPr>
        <w:t>-</w:t>
      </w:r>
      <w:r w:rsidRPr="000071E5">
        <w:rPr>
          <w:rFonts w:ascii="FrankRuehl" w:hAnsi="FrankRuehl" w:cs="FrankRuehl"/>
          <w:b/>
          <w:bCs/>
          <w:color w:val="002060"/>
          <w:sz w:val="32"/>
          <w:szCs w:val="32"/>
          <w:u w:val="single"/>
          <w:rtl/>
        </w:rPr>
        <w:t>דין</w:t>
      </w:r>
      <w:r w:rsidR="006E4B68" w:rsidRPr="006E4B68">
        <w:rPr>
          <w:rFonts w:ascii="FrankRuehl" w:hAnsi="FrankRuehl" w:cs="FrankRuehl" w:hint="cs"/>
          <w:b/>
          <w:bCs/>
          <w:color w:val="002060"/>
          <w:sz w:val="32"/>
          <w:szCs w:val="32"/>
          <w:u w:val="single"/>
          <w:rtl/>
        </w:rPr>
        <w:t xml:space="preserve"> בג"ץ 3507-24 ח"כ ד"ר אחמד טיבי נ' השר לביטחון לאומי </w:t>
      </w:r>
    </w:p>
    <w:p w:rsidR="00E13F6E" w:rsidRPr="006E4B68" w:rsidRDefault="00E13F6E" w:rsidP="00E13F6E">
      <w:pPr>
        <w:spacing w:after="120"/>
        <w:jc w:val="center"/>
        <w:rPr>
          <w:rFonts w:ascii="FrankRuehl" w:hAnsi="FrankRuehl" w:cs="FrankRuehl"/>
          <w:b/>
          <w:bCs/>
          <w:color w:val="002060"/>
          <w:sz w:val="30"/>
          <w:szCs w:val="30"/>
          <w:rtl/>
        </w:rPr>
      </w:pPr>
      <w:r w:rsidRPr="006E4B68">
        <w:rPr>
          <w:rFonts w:ascii="FrankRuehl" w:hAnsi="FrankRuehl" w:cs="FrankRuehl" w:hint="cs"/>
          <w:b/>
          <w:bCs/>
          <w:color w:val="002060"/>
          <w:sz w:val="30"/>
          <w:szCs w:val="30"/>
          <w:rtl/>
        </w:rPr>
        <w:t xml:space="preserve">הרכב </w:t>
      </w:r>
      <w:r w:rsidR="006E4B68" w:rsidRPr="006E4B68">
        <w:rPr>
          <w:rFonts w:ascii="FrankRuehl" w:hAnsi="FrankRuehl" w:cs="FrankRuehl" w:hint="cs"/>
          <w:b/>
          <w:bCs/>
          <w:color w:val="002060"/>
          <w:sz w:val="30"/>
          <w:szCs w:val="30"/>
          <w:rtl/>
        </w:rPr>
        <w:t>ה</w:t>
      </w:r>
      <w:r w:rsidRPr="006E4B68">
        <w:rPr>
          <w:rFonts w:ascii="FrankRuehl" w:hAnsi="FrankRuehl" w:cs="FrankRuehl" w:hint="cs"/>
          <w:b/>
          <w:bCs/>
          <w:color w:val="002060"/>
          <w:sz w:val="30"/>
          <w:szCs w:val="30"/>
          <w:rtl/>
        </w:rPr>
        <w:t xml:space="preserve">שופטים אב"ד </w:t>
      </w:r>
      <w:r w:rsidR="006E4B68" w:rsidRPr="006E4B68">
        <w:rPr>
          <w:rFonts w:ascii="FrankRuehl" w:hAnsi="FrankRuehl" w:cs="FrankRuehl" w:hint="cs"/>
          <w:b/>
          <w:bCs/>
          <w:color w:val="002060"/>
          <w:sz w:val="30"/>
          <w:szCs w:val="30"/>
          <w:rtl/>
        </w:rPr>
        <w:t>הנשיא יצחק עמית, השופטת דפנה ברק-ארז, השופט דוד מינץ</w:t>
      </w:r>
    </w:p>
    <w:p w:rsidR="006E4B68" w:rsidRDefault="006E4B68" w:rsidP="006E4B68">
      <w:pPr>
        <w:pStyle w:val="Ruller4"/>
        <w:rPr>
          <w:rFonts w:ascii="Century" w:hAnsi="Century"/>
          <w:rtl/>
        </w:rPr>
      </w:pPr>
    </w:p>
    <w:p w:rsidR="006E4B68" w:rsidRDefault="006E4B68" w:rsidP="006E4B68">
      <w:pPr>
        <w:pStyle w:val="Ruller4"/>
        <w:rPr>
          <w:rFonts w:ascii="Century" w:hAnsi="Century"/>
          <w:rtl/>
        </w:rPr>
      </w:pPr>
      <w:r>
        <w:rPr>
          <w:rFonts w:ascii="Century" w:hAnsi="Century" w:hint="cs"/>
          <w:rtl/>
        </w:rPr>
        <w:t xml:space="preserve">העתירה נסבה על </w:t>
      </w:r>
      <w:r w:rsidRPr="003C6D54">
        <w:rPr>
          <w:rFonts w:ascii="Century" w:hAnsi="Century" w:hint="cs"/>
          <w:rtl/>
        </w:rPr>
        <w:t>חוקיות ההסדר לביקורים של חברי כנסת אצל אסירים ביטחוניים</w:t>
      </w:r>
      <w:r>
        <w:rPr>
          <w:rFonts w:ascii="Century" w:hAnsi="Century" w:hint="cs"/>
          <w:rtl/>
        </w:rPr>
        <w:t xml:space="preserve">, </w:t>
      </w:r>
      <w:r w:rsidRPr="001A460E">
        <w:rPr>
          <w:rFonts w:ascii="Century" w:hAnsi="Century" w:hint="cs"/>
          <w:rtl/>
        </w:rPr>
        <w:t>אשר נקבע בהחלטת השר לביטחון לאומי,</w:t>
      </w:r>
      <w:r>
        <w:rPr>
          <w:rFonts w:ascii="Century" w:hAnsi="Century" w:hint="cs"/>
          <w:rtl/>
        </w:rPr>
        <w:t xml:space="preserve"> ו</w:t>
      </w:r>
      <w:r w:rsidRPr="003C6D54">
        <w:rPr>
          <w:rFonts w:ascii="Century" w:hAnsi="Century" w:hint="cs"/>
          <w:rtl/>
        </w:rPr>
        <w:t xml:space="preserve">לפיו רק נציג אחד </w:t>
      </w:r>
      <w:r>
        <w:rPr>
          <w:rFonts w:ascii="Century" w:hAnsi="Century" w:hint="cs"/>
          <w:rtl/>
        </w:rPr>
        <w:t>מכל סיעה בכנסת רשאי להגיש בקשה למפגש עם אסיר ביטחוני. כמו כן, במישור הפרטני עתר ח"כ אחמד טיבי להורות שיותר לו להיפגש עם האסיר מרואן ברגותי.</w:t>
      </w:r>
    </w:p>
    <w:p w:rsidR="006E4B68" w:rsidRDefault="006E4B68" w:rsidP="006E4B68">
      <w:pPr>
        <w:pStyle w:val="Ruller4"/>
        <w:rPr>
          <w:rFonts w:ascii="Century" w:hAnsi="Century"/>
          <w:rtl/>
        </w:rPr>
      </w:pPr>
    </w:p>
    <w:p w:rsidR="006E4B68" w:rsidRDefault="006E4B68" w:rsidP="006E4B68">
      <w:pPr>
        <w:pStyle w:val="Ruller4"/>
        <w:rPr>
          <w:rFonts w:ascii="Century" w:hAnsi="Century"/>
          <w:rtl/>
        </w:rPr>
      </w:pPr>
      <w:r>
        <w:rPr>
          <w:rFonts w:ascii="Century" w:hAnsi="Century" w:hint="cs"/>
          <w:rtl/>
        </w:rPr>
        <w:t>בית המשפט העליון בשבתו כבג"ץ פסק פה אחד כי המתווה הסיעתי מעורר קשיים עקרוניים ומעשיים. בכלל זה נקבע כי המתווה שולל ממרבית חברי הכנסת את האפשרות למלא את תפקיד הפיקוח הפרלמנטרי על הרשות המבצעת בתחום של תנאי מאסר, פוגע במעמדו העצמאי של כל חבר כנסת כ"יחידה חוקתית" נפרדת, קושר ללא הצדקה בין הרכב הסיעות בכנסת לבין מלאכת הפיקוח הפרלמנטרי ופתוח למניפולציות שונות. כמו כן, כלל השופטים הסכימו כי יישומו של המתווה לקה בחוסר עקביות ובהפליה.</w:t>
      </w:r>
    </w:p>
    <w:p w:rsidR="006E4B68" w:rsidRDefault="006E4B68" w:rsidP="006E4B68">
      <w:pPr>
        <w:pStyle w:val="Ruller4"/>
        <w:rPr>
          <w:rFonts w:ascii="Century" w:hAnsi="Century"/>
          <w:rtl/>
        </w:rPr>
      </w:pPr>
    </w:p>
    <w:p w:rsidR="006E4B68" w:rsidRDefault="006E4B68" w:rsidP="006E4B68">
      <w:pPr>
        <w:pStyle w:val="Ruller4"/>
        <w:rPr>
          <w:rFonts w:ascii="Century" w:hAnsi="Century"/>
          <w:rtl/>
        </w:rPr>
      </w:pPr>
      <w:r>
        <w:rPr>
          <w:rFonts w:ascii="Century" w:hAnsi="Century" w:hint="cs"/>
          <w:rtl/>
        </w:rPr>
        <w:t xml:space="preserve">במישור האופרטיבי, הנשיא </w:t>
      </w:r>
      <w:r>
        <w:rPr>
          <w:rFonts w:ascii="Century" w:hAnsi="Century" w:cs="Miriam" w:hint="cs"/>
          <w:b/>
          <w:spacing w:val="0"/>
          <w:szCs w:val="24"/>
          <w:rtl/>
        </w:rPr>
        <w:t>עמית</w:t>
      </w:r>
      <w:r>
        <w:rPr>
          <w:rFonts w:ascii="Century" w:hAnsi="Century" w:hint="cs"/>
          <w:rtl/>
        </w:rPr>
        <w:t xml:space="preserve"> והשופטת </w:t>
      </w:r>
      <w:r>
        <w:rPr>
          <w:rFonts w:ascii="Century" w:hAnsi="Century" w:cs="Miriam" w:hint="cs"/>
          <w:b/>
          <w:spacing w:val="0"/>
          <w:szCs w:val="24"/>
          <w:rtl/>
        </w:rPr>
        <w:t>ברק-ארז</w:t>
      </w:r>
      <w:r>
        <w:rPr>
          <w:rFonts w:ascii="Century" w:hAnsi="Century" w:hint="cs"/>
          <w:rtl/>
        </w:rPr>
        <w:t xml:space="preserve"> סברו כי בהתחשב בקשיים המשמעותיים העולים מהמתווה הסיעתי ובעובדה שהצעות שהועלו לקיום שיח בין הרשויות לא נשאו פרי זה כמה שנים </w:t>
      </w:r>
      <w:r>
        <w:rPr>
          <w:rFonts w:ascii="Century" w:hAnsi="Century"/>
          <w:rtl/>
        </w:rPr>
        <w:t>–</w:t>
      </w:r>
      <w:r>
        <w:rPr>
          <w:rFonts w:ascii="Century" w:hAnsi="Century" w:hint="cs"/>
          <w:rtl/>
        </w:rPr>
        <w:t xml:space="preserve"> יש לקבל את העתירה בעניין זה ולהורות על בטלותו של המתווה.</w:t>
      </w:r>
      <w:r w:rsidRPr="00277B62">
        <w:rPr>
          <w:rFonts w:ascii="Century" w:hAnsi="Century" w:hint="cs"/>
          <w:rtl/>
        </w:rPr>
        <w:t xml:space="preserve"> </w:t>
      </w:r>
      <w:r>
        <w:rPr>
          <w:rFonts w:ascii="Century" w:hAnsi="Century" w:hint="cs"/>
          <w:rtl/>
        </w:rPr>
        <w:t xml:space="preserve">מנגד, השופט </w:t>
      </w:r>
      <w:r>
        <w:rPr>
          <w:rFonts w:ascii="Century" w:hAnsi="Century" w:cs="Miriam" w:hint="cs"/>
          <w:b/>
          <w:spacing w:val="0"/>
          <w:szCs w:val="24"/>
          <w:rtl/>
        </w:rPr>
        <w:t>מינץ</w:t>
      </w:r>
      <w:r>
        <w:rPr>
          <w:rFonts w:ascii="Century" w:hAnsi="Century" w:hint="cs"/>
          <w:rtl/>
        </w:rPr>
        <w:t xml:space="preserve"> סבר בדעת מיעוט כי יש למחוק את העתירה ולהותיר את הסדרת הנושא לשיח בין הרשויות גם עתה. </w:t>
      </w:r>
    </w:p>
    <w:p w:rsidR="006E4B68" w:rsidRDefault="006E4B68" w:rsidP="006E4B68">
      <w:pPr>
        <w:pStyle w:val="Ruller4"/>
        <w:rPr>
          <w:rFonts w:ascii="Century" w:hAnsi="Century"/>
          <w:rtl/>
        </w:rPr>
      </w:pPr>
    </w:p>
    <w:p w:rsidR="006E4B68" w:rsidRPr="00B108A4" w:rsidRDefault="006E4B68" w:rsidP="006E4B68">
      <w:pPr>
        <w:pStyle w:val="Ruller4"/>
        <w:rPr>
          <w:rFonts w:ascii="Century" w:hAnsi="Century"/>
        </w:rPr>
      </w:pPr>
      <w:r>
        <w:rPr>
          <w:rFonts w:ascii="Century" w:hAnsi="Century" w:hint="cs"/>
          <w:rtl/>
        </w:rPr>
        <w:t>לצד זאת, הוחלט פה אחד שאין מקום לתת את הסעד הפרטני, לאחר שבקשתו של העותר נשקלה לגופה על-ידי גורמי הביטחון בהתאם לנסיבות ששררו במועד הגשתה, ובכפוף לשמירת הזכות לחזור ולהגיש בקשה בעניין.</w:t>
      </w:r>
    </w:p>
    <w:p w:rsidR="00E13F6E" w:rsidRDefault="00E13F6E" w:rsidP="00E13F6E">
      <w:pPr>
        <w:spacing w:after="120" w:line="360" w:lineRule="auto"/>
        <w:jc w:val="both"/>
        <w:rPr>
          <w:rFonts w:ascii="FrankRuehl" w:hAnsi="FrankRuehl" w:cs="FrankRuehl"/>
          <w:color w:val="323E4F" w:themeColor="text2" w:themeShade="BF"/>
          <w:sz w:val="26"/>
          <w:szCs w:val="26"/>
          <w:rtl/>
        </w:rPr>
      </w:pPr>
    </w:p>
    <w:p w:rsidR="00E13F6E" w:rsidRPr="000071E5" w:rsidRDefault="00E13F6E" w:rsidP="00E13F6E">
      <w:pPr>
        <w:spacing w:after="120" w:line="360" w:lineRule="auto"/>
        <w:jc w:val="center"/>
        <w:rPr>
          <w:rFonts w:ascii="FrankRuehl" w:hAnsi="FrankRuehl" w:cs="FrankRuehl"/>
          <w:b/>
          <w:bCs/>
          <w:color w:val="002060"/>
          <w:sz w:val="26"/>
          <w:szCs w:val="26"/>
        </w:rPr>
      </w:pPr>
      <w:r w:rsidRPr="000071E5">
        <w:rPr>
          <w:rFonts w:ascii="FrankRuehl" w:hAnsi="FrankRuehl" w:cs="FrankRuehl" w:hint="cs"/>
          <w:b/>
          <w:bCs/>
          <w:color w:val="002060"/>
          <w:sz w:val="26"/>
          <w:szCs w:val="26"/>
          <w:rtl/>
        </w:rPr>
        <w:t xml:space="preserve">*** </w:t>
      </w:r>
      <w:r>
        <w:rPr>
          <w:rFonts w:ascii="FrankRuehl" w:hAnsi="FrankRuehl" w:cs="FrankRuehl"/>
          <w:b/>
          <w:bCs/>
          <w:color w:val="002060"/>
          <w:sz w:val="26"/>
          <w:szCs w:val="26"/>
          <w:rtl/>
        </w:rPr>
        <w:t xml:space="preserve">הנוסח המחייב הוא </w:t>
      </w:r>
      <w:r w:rsidRPr="000071E5">
        <w:rPr>
          <w:rFonts w:ascii="FrankRuehl" w:hAnsi="FrankRuehl" w:cs="FrankRuehl"/>
          <w:b/>
          <w:bCs/>
          <w:color w:val="002060"/>
          <w:sz w:val="26"/>
          <w:szCs w:val="26"/>
          <w:rtl/>
        </w:rPr>
        <w:t>של פסק</w:t>
      </w:r>
      <w:r>
        <w:rPr>
          <w:rFonts w:ascii="FrankRuehl" w:hAnsi="FrankRuehl" w:cs="FrankRuehl" w:hint="cs"/>
          <w:b/>
          <w:bCs/>
          <w:color w:val="002060"/>
          <w:sz w:val="26"/>
          <w:szCs w:val="26"/>
          <w:rtl/>
        </w:rPr>
        <w:t xml:space="preserve"> </w:t>
      </w:r>
      <w:r w:rsidRPr="000071E5">
        <w:rPr>
          <w:rFonts w:ascii="FrankRuehl" w:hAnsi="FrankRuehl" w:cs="FrankRuehl"/>
          <w:b/>
          <w:bCs/>
          <w:color w:val="002060"/>
          <w:sz w:val="26"/>
          <w:szCs w:val="26"/>
          <w:rtl/>
        </w:rPr>
        <w:t>הדין המלא</w:t>
      </w:r>
      <w:r w:rsidRPr="000071E5">
        <w:rPr>
          <w:rFonts w:ascii="FrankRuehl" w:hAnsi="FrankRuehl" w:cs="FrankRuehl" w:hint="cs"/>
          <w:b/>
          <w:bCs/>
          <w:color w:val="002060"/>
          <w:sz w:val="26"/>
          <w:szCs w:val="26"/>
          <w:rtl/>
        </w:rPr>
        <w:t xml:space="preserve"> ***</w:t>
      </w:r>
    </w:p>
    <w:p w:rsidR="00515986" w:rsidRPr="00E13F6E" w:rsidRDefault="00515986" w:rsidP="000C4D75">
      <w:pPr>
        <w:tabs>
          <w:tab w:val="num" w:pos="1080"/>
        </w:tabs>
        <w:spacing w:after="0" w:line="276" w:lineRule="auto"/>
        <w:jc w:val="both"/>
        <w:rPr>
          <w:rFonts w:ascii="Arial" w:eastAsia="Times New Roman" w:hAnsi="Arial" w:cs="David"/>
          <w:b/>
          <w:bCs/>
          <w:sz w:val="24"/>
          <w:szCs w:val="24"/>
          <w:rtl/>
        </w:rPr>
      </w:pPr>
    </w:p>
    <w:p w:rsidR="00515986" w:rsidRDefault="00515986" w:rsidP="000C4D75">
      <w:pPr>
        <w:tabs>
          <w:tab w:val="num" w:pos="1080"/>
        </w:tabs>
        <w:spacing w:after="0" w:line="276" w:lineRule="auto"/>
        <w:jc w:val="both"/>
        <w:rPr>
          <w:rFonts w:ascii="Arial" w:eastAsia="Times New Roman" w:hAnsi="Arial" w:cs="David"/>
          <w:b/>
          <w:bCs/>
          <w:sz w:val="24"/>
          <w:szCs w:val="24"/>
          <w:rtl/>
        </w:rPr>
      </w:pPr>
    </w:p>
    <w:sectPr w:rsidR="00515986" w:rsidSect="00B16422">
      <w:headerReference w:type="default" r:id="rId8"/>
      <w:footerReference w:type="default" r:id="rId9"/>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1E2A" w:rsidRDefault="00371E2A" w:rsidP="00730CA1">
      <w:pPr>
        <w:spacing w:after="0" w:line="240" w:lineRule="auto"/>
      </w:pPr>
      <w:r>
        <w:separator/>
      </w:r>
    </w:p>
  </w:endnote>
  <w:endnote w:type="continuationSeparator" w:id="0">
    <w:p w:rsidR="00371E2A" w:rsidRDefault="00371E2A" w:rsidP="00730C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TUR">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entury">
    <w:panose1 w:val="02040604050505020304"/>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639C" w:rsidRPr="003A639C" w:rsidRDefault="003A639C" w:rsidP="003A639C">
    <w:pPr>
      <w:tabs>
        <w:tab w:val="center" w:pos="4153"/>
        <w:tab w:val="right" w:pos="8306"/>
      </w:tabs>
      <w:spacing w:after="0" w:line="240" w:lineRule="auto"/>
      <w:rPr>
        <w:rFonts w:ascii="Times New Roman" w:eastAsia="Times New Roman" w:hAnsi="Times New Roman" w:cs="FrankRuehl"/>
        <w:b/>
        <w:bCs/>
        <w:color w:val="000080"/>
        <w:spacing w:val="6"/>
        <w:sz w:val="24"/>
        <w:szCs w:val="24"/>
        <w:rtl/>
      </w:rPr>
    </w:pPr>
    <w:r w:rsidRPr="003A639C">
      <w:rPr>
        <w:rFonts w:ascii="Times New Roman" w:eastAsia="Times New Roman" w:hAnsi="Times New Roman" w:cs="FrankRuehl"/>
        <w:b/>
        <w:bCs/>
        <w:color w:val="000080"/>
        <w:spacing w:val="6"/>
        <w:sz w:val="24"/>
        <w:szCs w:val="24"/>
        <w:rtl/>
      </w:rPr>
      <w:t>________________________________________________________________</w:t>
    </w:r>
  </w:p>
  <w:p w:rsidR="003A639C" w:rsidRPr="003A639C" w:rsidRDefault="003A639C" w:rsidP="003A639C">
    <w:pPr>
      <w:tabs>
        <w:tab w:val="center" w:pos="4153"/>
        <w:tab w:val="right" w:pos="8306"/>
      </w:tabs>
      <w:spacing w:after="0" w:line="240" w:lineRule="auto"/>
      <w:jc w:val="center"/>
      <w:rPr>
        <w:rFonts w:ascii="Times New Roman" w:eastAsia="Times New Roman" w:hAnsi="Times New Roman" w:cs="FrankRuehl"/>
        <w:b/>
        <w:bCs/>
        <w:color w:val="000080"/>
        <w:spacing w:val="6"/>
        <w:sz w:val="24"/>
        <w:szCs w:val="24"/>
        <w:rtl/>
      </w:rPr>
    </w:pPr>
    <w:r w:rsidRPr="003A639C">
      <w:rPr>
        <w:rFonts w:ascii="Times New Roman" w:eastAsia="Times New Roman" w:hAnsi="Times New Roman" w:cs="FrankRuehl" w:hint="cs"/>
        <w:b/>
        <w:bCs/>
        <w:color w:val="000080"/>
        <w:spacing w:val="6"/>
        <w:sz w:val="24"/>
        <w:szCs w:val="24"/>
        <w:rtl/>
      </w:rPr>
      <w:t xml:space="preserve">בית משפט העליון | דרך השופט מאיר שמגר 1 | </w:t>
    </w:r>
    <w:proofErr w:type="spellStart"/>
    <w:r w:rsidRPr="003A639C">
      <w:rPr>
        <w:rFonts w:ascii="Times New Roman" w:eastAsia="Times New Roman" w:hAnsi="Times New Roman" w:cs="FrankRuehl" w:hint="cs"/>
        <w:b/>
        <w:bCs/>
        <w:color w:val="000080"/>
        <w:spacing w:val="6"/>
        <w:sz w:val="24"/>
        <w:szCs w:val="24"/>
        <w:rtl/>
      </w:rPr>
      <w:t>קרית</w:t>
    </w:r>
    <w:proofErr w:type="spellEnd"/>
    <w:r w:rsidRPr="003A639C">
      <w:rPr>
        <w:rFonts w:ascii="Times New Roman" w:eastAsia="Times New Roman" w:hAnsi="Times New Roman" w:cs="FrankRuehl" w:hint="cs"/>
        <w:b/>
        <w:bCs/>
        <w:color w:val="000080"/>
        <w:spacing w:val="6"/>
        <w:sz w:val="24"/>
        <w:szCs w:val="24"/>
        <w:rtl/>
      </w:rPr>
      <w:t xml:space="preserve"> בן גוריון | ירושלים</w:t>
    </w:r>
  </w:p>
  <w:p w:rsidR="003C61AF" w:rsidRPr="003A639C" w:rsidRDefault="003A639C" w:rsidP="003A639C">
    <w:pPr>
      <w:tabs>
        <w:tab w:val="center" w:pos="4153"/>
        <w:tab w:val="right" w:pos="8306"/>
      </w:tabs>
      <w:spacing w:after="0" w:line="240" w:lineRule="auto"/>
      <w:jc w:val="center"/>
      <w:rPr>
        <w:rFonts w:ascii="Times New Roman" w:eastAsia="Times New Roman" w:hAnsi="Times New Roman" w:cs="FrankRuehl"/>
        <w:b/>
        <w:bCs/>
        <w:color w:val="000080"/>
        <w:spacing w:val="6"/>
        <w:sz w:val="24"/>
        <w:szCs w:val="24"/>
        <w:rtl/>
      </w:rPr>
    </w:pPr>
    <w:r w:rsidRPr="003A639C">
      <w:rPr>
        <w:rFonts w:ascii="Times New Roman" w:eastAsia="Times New Roman" w:hAnsi="Times New Roman" w:cs="FrankRuehl" w:hint="cs"/>
        <w:b/>
        <w:bCs/>
        <w:color w:val="000080"/>
        <w:spacing w:val="6"/>
        <w:sz w:val="24"/>
        <w:szCs w:val="24"/>
        <w:rtl/>
      </w:rPr>
      <w:t xml:space="preserve">טל: </w:t>
    </w:r>
    <w:r w:rsidRPr="003A639C">
      <w:rPr>
        <w:rFonts w:ascii="Times New Roman" w:eastAsia="Times New Roman" w:hAnsi="Times New Roman" w:cs="FrankRuehl"/>
        <w:b/>
        <w:bCs/>
        <w:color w:val="000080"/>
        <w:spacing w:val="6"/>
        <w:sz w:val="24"/>
        <w:szCs w:val="24"/>
      </w:rPr>
      <w:t>074-7480412</w:t>
    </w:r>
    <w:r w:rsidRPr="003A639C">
      <w:rPr>
        <w:rFonts w:ascii="Times New Roman" w:eastAsia="Times New Roman" w:hAnsi="Times New Roman" w:cs="FrankRuehl" w:hint="cs"/>
        <w:b/>
        <w:bCs/>
        <w:color w:val="000080"/>
        <w:spacing w:val="6"/>
        <w:sz w:val="24"/>
        <w:szCs w:val="24"/>
        <w:rtl/>
      </w:rPr>
      <w:t xml:space="preserve">                       דוא"ל</w:t>
    </w:r>
    <w:r w:rsidRPr="003A639C">
      <w:rPr>
        <w:rFonts w:ascii="Times New Roman" w:eastAsia="Times New Roman" w:hAnsi="Times New Roman" w:cs="FrankRuehl"/>
        <w:b/>
        <w:bCs/>
        <w:color w:val="000080"/>
        <w:spacing w:val="6"/>
        <w:sz w:val="24"/>
        <w:szCs w:val="24"/>
      </w:rPr>
      <w:t>:</w:t>
    </w:r>
    <w:r w:rsidRPr="003A639C">
      <w:rPr>
        <w:rFonts w:ascii="Times New Roman" w:eastAsia="Times New Roman" w:hAnsi="Times New Roman" w:cs="FrankRuehl" w:hint="cs"/>
        <w:b/>
        <w:bCs/>
        <w:color w:val="000080"/>
        <w:spacing w:val="6"/>
        <w:sz w:val="24"/>
        <w:szCs w:val="24"/>
        <w:rtl/>
      </w:rPr>
      <w:t xml:space="preserve">  </w:t>
    </w:r>
    <w:hyperlink r:id="rId1" w:history="1">
      <w:r w:rsidRPr="003A639C">
        <w:rPr>
          <w:rFonts w:ascii="Times New Roman" w:eastAsia="Times New Roman" w:hAnsi="Times New Roman" w:cs="FrankRuehl"/>
          <w:b/>
          <w:bCs/>
          <w:color w:val="0000FF"/>
          <w:spacing w:val="6"/>
          <w:sz w:val="24"/>
          <w:szCs w:val="24"/>
          <w:u w:val="single"/>
        </w:rPr>
        <w:t>Dover@court.gov.il</w:t>
      </w:r>
    </w:hyperlink>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1E2A" w:rsidRDefault="00371E2A" w:rsidP="00730CA1">
      <w:pPr>
        <w:spacing w:after="0" w:line="240" w:lineRule="auto"/>
      </w:pPr>
      <w:r>
        <w:separator/>
      </w:r>
    </w:p>
  </w:footnote>
  <w:footnote w:type="continuationSeparator" w:id="0">
    <w:p w:rsidR="00371E2A" w:rsidRDefault="00371E2A" w:rsidP="00730C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53B2" w:rsidRPr="005253B2" w:rsidRDefault="005253B2" w:rsidP="005253B2">
    <w:pPr>
      <w:tabs>
        <w:tab w:val="center" w:pos="4153"/>
        <w:tab w:val="right" w:pos="8306"/>
      </w:tabs>
      <w:overflowPunct w:val="0"/>
      <w:autoSpaceDE w:val="0"/>
      <w:autoSpaceDN w:val="0"/>
      <w:adjustRightInd w:val="0"/>
      <w:spacing w:after="0" w:line="240" w:lineRule="auto"/>
      <w:jc w:val="center"/>
      <w:rPr>
        <w:rFonts w:ascii="Times New Roman" w:eastAsia="Times New Roman" w:hAnsi="Times New Roman" w:cs="David"/>
        <w:sz w:val="20"/>
        <w:szCs w:val="24"/>
        <w:lang w:eastAsia="he-IL"/>
      </w:rPr>
    </w:pPr>
    <w:r w:rsidRPr="005253B2">
      <w:rPr>
        <w:rFonts w:ascii="Times New Roman" w:eastAsia="Times New Roman" w:hAnsi="Times New Roman" w:cs="David"/>
        <w:noProof/>
        <w:sz w:val="20"/>
        <w:szCs w:val="24"/>
      </w:rPr>
      <w:drawing>
        <wp:inline distT="0" distB="0" distL="0" distR="0">
          <wp:extent cx="523875" cy="619125"/>
          <wp:effectExtent l="0" t="0" r="9525" b="9525"/>
          <wp:docPr id="1" name="תמונה 2" descr="תיאור: sem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descr="תיאור: seme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3875" cy="619125"/>
                  </a:xfrm>
                  <a:prstGeom prst="rect">
                    <a:avLst/>
                  </a:prstGeom>
                  <a:noFill/>
                  <a:ln>
                    <a:noFill/>
                  </a:ln>
                </pic:spPr>
              </pic:pic>
            </a:graphicData>
          </a:graphic>
        </wp:inline>
      </w:drawing>
    </w:r>
    <w:r w:rsidRPr="005253B2">
      <w:rPr>
        <w:rFonts w:ascii="Century" w:eastAsia="Times New Roman" w:hAnsi="Century" w:cs="FrankRuehl" w:hint="cs"/>
        <w:noProof/>
        <w:spacing w:val="10"/>
        <w:sz w:val="20"/>
        <w:szCs w:val="28"/>
        <w:rtl/>
        <w:lang w:eastAsia="he-IL"/>
      </w:rPr>
      <w:t xml:space="preserve">                                            </w:t>
    </w:r>
  </w:p>
  <w:p w:rsidR="005253B2" w:rsidRPr="005253B2" w:rsidRDefault="005253B2" w:rsidP="005253B2">
    <w:pPr>
      <w:tabs>
        <w:tab w:val="center" w:pos="4153"/>
        <w:tab w:val="right" w:pos="8306"/>
      </w:tabs>
      <w:overflowPunct w:val="0"/>
      <w:autoSpaceDE w:val="0"/>
      <w:autoSpaceDN w:val="0"/>
      <w:adjustRightInd w:val="0"/>
      <w:spacing w:after="0" w:line="240" w:lineRule="auto"/>
      <w:jc w:val="center"/>
      <w:rPr>
        <w:rFonts w:ascii="Times New Roman" w:eastAsia="Times New Roman" w:hAnsi="Times New Roman" w:cs="FrankRuehl"/>
        <w:b/>
        <w:bCs/>
        <w:color w:val="000080"/>
        <w:spacing w:val="6"/>
        <w:sz w:val="28"/>
        <w:szCs w:val="28"/>
        <w:rtl/>
        <w:lang w:eastAsia="he-IL"/>
      </w:rPr>
    </w:pPr>
    <w:r w:rsidRPr="005253B2">
      <w:rPr>
        <w:rFonts w:ascii="Times New Roman" w:eastAsia="Times New Roman" w:hAnsi="Times New Roman" w:cs="FrankRuehl" w:hint="cs"/>
        <w:b/>
        <w:bCs/>
        <w:color w:val="000080"/>
        <w:spacing w:val="6"/>
        <w:sz w:val="28"/>
        <w:szCs w:val="28"/>
        <w:rtl/>
        <w:lang w:eastAsia="he-IL"/>
      </w:rPr>
      <w:t>מערכת בתי המשפט</w:t>
    </w:r>
  </w:p>
  <w:p w:rsidR="007007D7" w:rsidRPr="005253B2" w:rsidRDefault="005253B2" w:rsidP="005253B2">
    <w:pPr>
      <w:tabs>
        <w:tab w:val="center" w:pos="4153"/>
        <w:tab w:val="right" w:pos="8306"/>
      </w:tabs>
      <w:overflowPunct w:val="0"/>
      <w:autoSpaceDE w:val="0"/>
      <w:autoSpaceDN w:val="0"/>
      <w:adjustRightInd w:val="0"/>
      <w:spacing w:after="0" w:line="240" w:lineRule="auto"/>
      <w:jc w:val="center"/>
      <w:rPr>
        <w:rFonts w:ascii="Times New Roman" w:eastAsia="Times New Roman" w:hAnsi="Times New Roman" w:cs="FrankRuehl"/>
        <w:b/>
        <w:bCs/>
        <w:color w:val="000080"/>
        <w:spacing w:val="6"/>
        <w:sz w:val="28"/>
        <w:szCs w:val="28"/>
        <w:lang w:eastAsia="he-IL"/>
      </w:rPr>
    </w:pPr>
    <w:r w:rsidRPr="005253B2">
      <w:rPr>
        <w:rFonts w:ascii="Times New Roman" w:eastAsia="Times New Roman" w:hAnsi="Times New Roman" w:cs="FrankRuehl" w:hint="cs"/>
        <w:b/>
        <w:bCs/>
        <w:color w:val="000080"/>
        <w:spacing w:val="6"/>
        <w:sz w:val="28"/>
        <w:szCs w:val="28"/>
        <w:rtl/>
        <w:lang w:eastAsia="he-IL"/>
      </w:rPr>
      <w:t>דוברות והסברה</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57B27"/>
    <w:multiLevelType w:val="multilevel"/>
    <w:tmpl w:val="2EA02F4A"/>
    <w:lvl w:ilvl="0">
      <w:start w:val="1"/>
      <w:numFmt w:val="decimal"/>
      <w:lvlText w:val="%1."/>
      <w:lvlJc w:val="left"/>
      <w:pPr>
        <w:tabs>
          <w:tab w:val="num" w:pos="454"/>
        </w:tabs>
        <w:ind w:left="454" w:hanging="454"/>
      </w:pPr>
      <w:rPr>
        <w:rFonts w:hint="default"/>
        <w:bCs w:val="0"/>
        <w:iCs w:val="0"/>
        <w:szCs w:val="24"/>
      </w:rPr>
    </w:lvl>
    <w:lvl w:ilvl="1">
      <w:start w:val="1"/>
      <w:numFmt w:val="hebrew1"/>
      <w:lvlText w:val="%2."/>
      <w:lvlJc w:val="left"/>
      <w:pPr>
        <w:tabs>
          <w:tab w:val="num" w:pos="907"/>
        </w:tabs>
        <w:ind w:left="908" w:hanging="454"/>
      </w:pPr>
      <w:rPr>
        <w:rFonts w:cs="David" w:hint="cs"/>
        <w:bCs w:val="0"/>
        <w:iCs w:val="0"/>
        <w:szCs w:val="26"/>
      </w:rPr>
    </w:lvl>
    <w:lvl w:ilvl="2">
      <w:start w:val="1"/>
      <w:numFmt w:val="decimal"/>
      <w:lvlText w:val="(%3)"/>
      <w:lvlJc w:val="left"/>
      <w:pPr>
        <w:tabs>
          <w:tab w:val="num" w:pos="1361"/>
        </w:tabs>
        <w:ind w:left="1362" w:hanging="454"/>
      </w:pPr>
      <w:rPr>
        <w:rFonts w:ascii="Times New Roman" w:hAnsi="Times New Roman" w:cs="David" w:hint="default"/>
        <w:b w:val="0"/>
        <w:bCs w:val="0"/>
        <w:i w:val="0"/>
        <w:iCs w:val="0"/>
        <w:sz w:val="24"/>
        <w:szCs w:val="24"/>
      </w:rPr>
    </w:lvl>
    <w:lvl w:ilvl="3">
      <w:start w:val="1"/>
      <w:numFmt w:val="decimal"/>
      <w:lvlText w:val="(%4)"/>
      <w:lvlJc w:val="left"/>
      <w:pPr>
        <w:ind w:left="1816" w:hanging="454"/>
      </w:pPr>
      <w:rPr>
        <w:rFonts w:hint="default"/>
      </w:rPr>
    </w:lvl>
    <w:lvl w:ilvl="4">
      <w:start w:val="1"/>
      <w:numFmt w:val="lowerLetter"/>
      <w:lvlText w:val="(%5)"/>
      <w:lvlJc w:val="left"/>
      <w:pPr>
        <w:ind w:left="2270" w:hanging="454"/>
      </w:pPr>
      <w:rPr>
        <w:rFonts w:hint="default"/>
      </w:rPr>
    </w:lvl>
    <w:lvl w:ilvl="5">
      <w:start w:val="1"/>
      <w:numFmt w:val="lowerRoman"/>
      <w:lvlText w:val="(%6)"/>
      <w:lvlJc w:val="lef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32" w:hanging="454"/>
      </w:pPr>
      <w:rPr>
        <w:rFonts w:hint="default"/>
      </w:rPr>
    </w:lvl>
    <w:lvl w:ilvl="8">
      <w:start w:val="1"/>
      <w:numFmt w:val="lowerRoman"/>
      <w:lvlText w:val="%9."/>
      <w:lvlJc w:val="left"/>
      <w:pPr>
        <w:ind w:left="4086" w:hanging="454"/>
      </w:pPr>
      <w:rPr>
        <w:rFonts w:hint="default"/>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53CF"/>
    <w:rsid w:val="000011AE"/>
    <w:rsid w:val="00025761"/>
    <w:rsid w:val="000C4D75"/>
    <w:rsid w:val="001D42A7"/>
    <w:rsid w:val="002453CF"/>
    <w:rsid w:val="002C0E83"/>
    <w:rsid w:val="00371E2A"/>
    <w:rsid w:val="003921C3"/>
    <w:rsid w:val="003A639C"/>
    <w:rsid w:val="003C61AF"/>
    <w:rsid w:val="003E6E39"/>
    <w:rsid w:val="003E7EB7"/>
    <w:rsid w:val="00426AA7"/>
    <w:rsid w:val="00515986"/>
    <w:rsid w:val="005253B2"/>
    <w:rsid w:val="00541C9E"/>
    <w:rsid w:val="00631744"/>
    <w:rsid w:val="00690B6F"/>
    <w:rsid w:val="006B7B96"/>
    <w:rsid w:val="006C3B1F"/>
    <w:rsid w:val="006E4B68"/>
    <w:rsid w:val="006F1E1F"/>
    <w:rsid w:val="007007D7"/>
    <w:rsid w:val="00711675"/>
    <w:rsid w:val="00730CA1"/>
    <w:rsid w:val="007B7899"/>
    <w:rsid w:val="00832AD7"/>
    <w:rsid w:val="008C02E0"/>
    <w:rsid w:val="00983123"/>
    <w:rsid w:val="009E5C0E"/>
    <w:rsid w:val="00AD7644"/>
    <w:rsid w:val="00B16422"/>
    <w:rsid w:val="00B22AFC"/>
    <w:rsid w:val="00BA3143"/>
    <w:rsid w:val="00C22E08"/>
    <w:rsid w:val="00C37F37"/>
    <w:rsid w:val="00C50C55"/>
    <w:rsid w:val="00C529CC"/>
    <w:rsid w:val="00C842A7"/>
    <w:rsid w:val="00C85A27"/>
    <w:rsid w:val="00CA2D6A"/>
    <w:rsid w:val="00CB4940"/>
    <w:rsid w:val="00CD280B"/>
    <w:rsid w:val="00D11F77"/>
    <w:rsid w:val="00D205AB"/>
    <w:rsid w:val="00D25394"/>
    <w:rsid w:val="00D43C0E"/>
    <w:rsid w:val="00D5319F"/>
    <w:rsid w:val="00E13F6E"/>
    <w:rsid w:val="00E35DF3"/>
    <w:rsid w:val="00EA6DF3"/>
    <w:rsid w:val="00EB6609"/>
    <w:rsid w:val="00F46250"/>
    <w:rsid w:val="00FF555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C43B57-6867-4F06-9DF1-55588D3D5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26AA7"/>
    <w:pPr>
      <w:spacing w:after="0" w:line="240" w:lineRule="auto"/>
    </w:pPr>
    <w:rPr>
      <w:rFonts w:ascii="Tahoma" w:hAnsi="Tahoma" w:cs="Tahoma"/>
      <w:sz w:val="18"/>
      <w:szCs w:val="18"/>
    </w:rPr>
  </w:style>
  <w:style w:type="character" w:customStyle="1" w:styleId="a4">
    <w:name w:val="טקסט בלונים תו"/>
    <w:basedOn w:val="a0"/>
    <w:link w:val="a3"/>
    <w:uiPriority w:val="99"/>
    <w:semiHidden/>
    <w:rsid w:val="00426AA7"/>
    <w:rPr>
      <w:rFonts w:ascii="Tahoma" w:hAnsi="Tahoma" w:cs="Tahoma"/>
      <w:sz w:val="18"/>
      <w:szCs w:val="18"/>
    </w:rPr>
  </w:style>
  <w:style w:type="character" w:styleId="Hyperlink">
    <w:name w:val="Hyperlink"/>
    <w:basedOn w:val="a0"/>
    <w:uiPriority w:val="99"/>
    <w:unhideWhenUsed/>
    <w:rsid w:val="00E35DF3"/>
    <w:rPr>
      <w:color w:val="0563C1" w:themeColor="hyperlink"/>
      <w:u w:val="single"/>
    </w:rPr>
  </w:style>
  <w:style w:type="paragraph" w:styleId="a5">
    <w:name w:val="header"/>
    <w:basedOn w:val="a"/>
    <w:link w:val="a6"/>
    <w:uiPriority w:val="99"/>
    <w:unhideWhenUsed/>
    <w:rsid w:val="00730CA1"/>
    <w:pPr>
      <w:tabs>
        <w:tab w:val="center" w:pos="4153"/>
        <w:tab w:val="right" w:pos="8306"/>
      </w:tabs>
      <w:spacing w:after="0" w:line="240" w:lineRule="auto"/>
    </w:pPr>
  </w:style>
  <w:style w:type="character" w:customStyle="1" w:styleId="a6">
    <w:name w:val="כותרת עליונה תו"/>
    <w:basedOn w:val="a0"/>
    <w:link w:val="a5"/>
    <w:uiPriority w:val="99"/>
    <w:rsid w:val="00730CA1"/>
  </w:style>
  <w:style w:type="paragraph" w:styleId="a7">
    <w:name w:val="footer"/>
    <w:basedOn w:val="a"/>
    <w:link w:val="a8"/>
    <w:uiPriority w:val="99"/>
    <w:unhideWhenUsed/>
    <w:rsid w:val="00730CA1"/>
    <w:pPr>
      <w:tabs>
        <w:tab w:val="center" w:pos="4153"/>
        <w:tab w:val="right" w:pos="8306"/>
      </w:tabs>
      <w:spacing w:after="0" w:line="240" w:lineRule="auto"/>
    </w:pPr>
  </w:style>
  <w:style w:type="character" w:customStyle="1" w:styleId="a8">
    <w:name w:val="כותרת תחתונה תו"/>
    <w:basedOn w:val="a0"/>
    <w:link w:val="a7"/>
    <w:uiPriority w:val="99"/>
    <w:rsid w:val="00730CA1"/>
  </w:style>
  <w:style w:type="paragraph" w:customStyle="1" w:styleId="Ruller4">
    <w:name w:val="Ruller4"/>
    <w:basedOn w:val="a"/>
    <w:rsid w:val="006E4B68"/>
    <w:pPr>
      <w:tabs>
        <w:tab w:val="left" w:pos="800"/>
      </w:tabs>
      <w:overflowPunct w:val="0"/>
      <w:autoSpaceDE w:val="0"/>
      <w:autoSpaceDN w:val="0"/>
      <w:adjustRightInd w:val="0"/>
      <w:spacing w:after="0" w:line="360" w:lineRule="auto"/>
      <w:jc w:val="both"/>
      <w:textAlignment w:val="baseline"/>
    </w:pPr>
    <w:rPr>
      <w:rFonts w:ascii="Arial TUR" w:eastAsia="Times New Roman" w:hAnsi="Arial TUR" w:cs="FrankRuehl"/>
      <w:spacing w:val="10"/>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3739060">
      <w:bodyDiv w:val="1"/>
      <w:marLeft w:val="0"/>
      <w:marRight w:val="0"/>
      <w:marTop w:val="0"/>
      <w:marBottom w:val="0"/>
      <w:divBdr>
        <w:top w:val="none" w:sz="0" w:space="0" w:color="auto"/>
        <w:left w:val="none" w:sz="0" w:space="0" w:color="auto"/>
        <w:bottom w:val="none" w:sz="0" w:space="0" w:color="auto"/>
        <w:right w:val="none" w:sz="0" w:space="0" w:color="auto"/>
      </w:divBdr>
    </w:div>
    <w:div w:id="1171139320">
      <w:bodyDiv w:val="1"/>
      <w:marLeft w:val="0"/>
      <w:marRight w:val="0"/>
      <w:marTop w:val="0"/>
      <w:marBottom w:val="0"/>
      <w:divBdr>
        <w:top w:val="none" w:sz="0" w:space="0" w:color="auto"/>
        <w:left w:val="none" w:sz="0" w:space="0" w:color="auto"/>
        <w:bottom w:val="none" w:sz="0" w:space="0" w:color="auto"/>
        <w:right w:val="none" w:sz="0" w:space="0" w:color="auto"/>
      </w:divBdr>
    </w:div>
    <w:div w:id="1552304460">
      <w:bodyDiv w:val="1"/>
      <w:marLeft w:val="0"/>
      <w:marRight w:val="0"/>
      <w:marTop w:val="0"/>
      <w:marBottom w:val="0"/>
      <w:divBdr>
        <w:top w:val="none" w:sz="0" w:space="0" w:color="auto"/>
        <w:left w:val="none" w:sz="0" w:space="0" w:color="auto"/>
        <w:bottom w:val="none" w:sz="0" w:space="0" w:color="auto"/>
        <w:right w:val="none" w:sz="0" w:space="0" w:color="auto"/>
      </w:divBdr>
    </w:div>
    <w:div w:id="2064255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Dover@court.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ns30:Sources xmlns:w="http://schemas.openxmlformats.org/wordprocessingml/2006/main" xmlns:r="http://schemas.openxmlformats.org/officeDocument/2006/relationships" xmlns:m="http://schemas.openxmlformats.org/officeDocument/2006/math" xmlns:ns4="http://schemas.openxmlformats.org/schemaLibrary/2006/main" xmlns:w15="http://schemas.microsoft.com/office/word/2012/wordml" xmlns:w14="http://schemas.microsoft.com/office/word/2010/wordml" xmlns:mc="http://schemas.openxmlformats.org/markup-compatibility/2006" xmlns:wp="http://schemas.openxmlformats.org/drawingml/2006/wordprocessingDrawing" xmlns:a="http://schemas.openxmlformats.org/drawingml/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SixthEditionOfficeOnline.xsl" StyleName="APA"/>
</file>

<file path=customXml/itemProps1.xml><?xml version="1.0" encoding="utf-8"?>
<ds:datastoreItem xmlns:ds="http://schemas.openxmlformats.org/officeDocument/2006/customXml" ds:itemID="{E759DAC6-E676-4388-A547-D1347B2D49AA}">
  <ds:schemaRefs>
    <ds:schemaRef ds:uri="http://schemas.openxmlformats.org/wordprocessingml/2006/main"/>
    <ds:schemaRef ds:uri="http://schemas.openxmlformats.org/officeDocument/2006/relationships"/>
    <ds:schemaRef ds:uri="http://schemas.openxmlformats.org/officeDocument/2006/math"/>
    <ds:schemaRef ds:uri="http://schemas.openxmlformats.org/schemaLibrary/2006/main"/>
    <ds:schemaRef ds:uri="http://schemas.microsoft.com/office/word/2012/wordml"/>
    <ds:schemaRef ds:uri="http://schemas.microsoft.com/office/word/2010/wordml"/>
    <ds:schemaRef ds:uri="http://schemas.openxmlformats.org/markup-compatibility/2006"/>
    <ds:schemaRef ds:uri="http://schemas.openxmlformats.org/drawingml/2006/wordprocessingDrawing"/>
    <ds:schemaRef ds:uri="http://schemas.openxmlformats.org/drawingml/2006/main"/>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290</Words>
  <Characters>1455</Characters>
  <Application>Microsoft Office Word</Application>
  <DocSecurity>0</DocSecurity>
  <Lines>12</Lines>
  <Paragraphs>3</Paragraphs>
  <ScaleCrop>false</ScaleCrop>
  <HeadingPairs>
    <vt:vector size="2" baseType="variant">
      <vt:variant>
        <vt:lpstr>שם</vt:lpstr>
      </vt:variant>
      <vt:variant>
        <vt:i4>1</vt:i4>
      </vt:variant>
    </vt:vector>
  </HeadingPairs>
  <TitlesOfParts>
    <vt:vector size="1" baseType="lpstr">
      <vt:lpstr/>
    </vt:vector>
  </TitlesOfParts>
  <Company>court</Company>
  <LinksUpToDate>false</LinksUpToDate>
  <CharactersWithSpaces>1742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נירית לזימי</dc:creator>
  <cp:keywords/>
  <dc:description/>
  <cp:lastModifiedBy>גרמאו מנגיסטו</cp:lastModifiedBy>
  <cp:revision>2</cp:revision>
  <cp:lastPrinted>2017-11-13T12:38:00Z</cp:lastPrinted>
  <dcterms:created xsi:type="dcterms:W3CDTF">2026-05-24T15:00:00Z</dcterms:created>
  <dcterms:modified xsi:type="dcterms:W3CDTF">2026-05-24T15:00:00Z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DateEng">
    <vt:lpwstr>12 באפריל 2026</vt:lpwstr>
  </property>
  <property fmtid="{D5CDD505-2E9C-101B-9397-08002B2CF9AE}" pid="3" name="DocDateHeb">
    <vt:lpwstr>כ"ה בניסן תשפ"ו</vt:lpwstr>
  </property>
  <property fmtid="{D5CDD505-2E9C-101B-9397-08002B2CF9AE}" pid="4" name="DocNumber">
    <vt:lpwstr>4700-1039-2026-002090</vt:lpwstr>
  </property>
  <property fmtid="{D5CDD505-2E9C-101B-9397-08002B2CF9AE}" pid="5" name="DocRecipientsName">
    <vt:lpwstr/>
  </property>
  <property fmtid="{D5CDD505-2E9C-101B-9397-08002B2CF9AE}" pid="6" name="DocToName">
    <vt:lpwstr/>
  </property>
  <property fmtid="{D5CDD505-2E9C-101B-9397-08002B2CF9AE}" pid="7" name="DocObjectName">
    <vt:lpwstr>בג"ץ 3507-24 ח"כ ד"ר אחמד טיבי נ' השר לביטחון לאומי – תקציר</vt:lpwstr>
  </property>
</Properties>
</file>