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rFonts w:hint="cs"/>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שופטת</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ניר בנימיני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08113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r w:rsidR="00081130">
                  <w:rPr>
                    <w:rFonts w:hint="cs"/>
                    <w:b/>
                    <w:bCs/>
                    <w:noProof w:val="0"/>
                    <w:sz w:val="26"/>
                    <w:szCs w:val="26"/>
                    <w:rtl/>
                  </w:rPr>
                  <w:t>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Pr="00081130" w:rsidRDefault="00590BFF" w:rsidP="00FE387E">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sidR="00FE387E">
                  <w:rPr>
                    <w:rFonts w:ascii="Arial" w:hAnsi="Arial" w:hint="cs"/>
                    <w:b/>
                    <w:bCs/>
                    <w:noProof w:val="0"/>
                    <w:sz w:val="26"/>
                    <w:szCs w:val="26"/>
                    <w:rtl/>
                  </w:rPr>
                  <w:t>פלונית</w:t>
                </w:r>
              </w:sdtContent>
            </w:sdt>
          </w:p>
        </w:tc>
      </w:tr>
      <w:tr w:rsidR="006816EC" w:rsidRPr="00CD0055" w:rsidTr="006816EC">
        <w:trPr>
          <w:jc w:val="center"/>
        </w:trPr>
        <w:tc>
          <w:tcPr>
            <w:tcW w:w="8820" w:type="dxa"/>
            <w:gridSpan w:val="2"/>
          </w:tcPr>
          <w:p w:rsidR="006816EC" w:rsidRDefault="00081130">
            <w:pPr>
              <w:rPr>
                <w:rFonts w:ascii="Arial (W1)" w:hAnsi="Arial (W1)"/>
                <w:noProof w:val="0"/>
                <w:sz w:val="26"/>
                <w:szCs w:val="26"/>
                <w:rtl/>
              </w:rPr>
            </w:pPr>
            <w:r>
              <w:rPr>
                <w:rFonts w:ascii="Arial (W1)" w:hAnsi="Arial (W1)" w:hint="cs"/>
                <w:noProof w:val="0"/>
                <w:sz w:val="26"/>
                <w:szCs w:val="26"/>
                <w:rtl/>
              </w:rPr>
              <w:t xml:space="preserve">                                                          </w:t>
            </w:r>
            <w:r w:rsidRPr="00081130">
              <w:rPr>
                <w:rFonts w:ascii="Arial (W1)" w:hAnsi="Arial (W1)" w:hint="cs"/>
                <w:noProof w:val="0"/>
                <w:sz w:val="26"/>
                <w:szCs w:val="26"/>
                <w:rtl/>
              </w:rPr>
              <w:t>ע"י ב"כ עו"ד יפית וייסבוך</w:t>
            </w:r>
          </w:p>
          <w:p w:rsidR="00081130" w:rsidRPr="00081130" w:rsidRDefault="00081130">
            <w:pPr>
              <w:rPr>
                <w:rFonts w:ascii="Arial (W1)" w:hAnsi="Arial (W1)"/>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A62BD0" w:rsidP="0008113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081130">
                  <w:rPr>
                    <w:rFonts w:hint="cs"/>
                    <w:b/>
                    <w:bCs/>
                    <w:noProof w:val="0"/>
                    <w:sz w:val="26"/>
                    <w:szCs w:val="26"/>
                    <w:rtl/>
                  </w:rPr>
                  <w:t>ות</w:t>
                </w:r>
              </w:sdtContent>
            </w:sdt>
            <w:r>
              <w:rPr>
                <w:rFonts w:ascii="Arial (W1)" w:hAnsi="Arial (W1)" w:hint="cs"/>
                <w:b/>
                <w:bCs/>
                <w:noProof w:val="0"/>
                <w:sz w:val="26"/>
                <w:szCs w:val="26"/>
                <w:rtl/>
              </w:rPr>
              <w:t>:</w:t>
            </w:r>
          </w:p>
        </w:tc>
        <w:tc>
          <w:tcPr>
            <w:tcW w:w="5571" w:type="dxa"/>
          </w:tcPr>
          <w:p w:rsidR="00590BFF" w:rsidRDefault="00661250" w:rsidP="00590BFF">
            <w:pPr>
              <w:suppressLineNumbers/>
            </w:pPr>
            <w:sdt>
              <w:sdtPr>
                <w:rPr>
                  <w:rtl/>
                </w:rPr>
                <w:alias w:val="1571"/>
                <w:tag w:val="1571"/>
                <w:id w:val="102883628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590BFF">
                  <w:rPr>
                    <w:rFonts w:ascii="Arial" w:hAnsi="Arial"/>
                    <w:b/>
                    <w:bCs/>
                    <w:noProof w:val="0"/>
                    <w:sz w:val="26"/>
                    <w:szCs w:val="26"/>
                    <w:rtl/>
                  </w:rPr>
                  <w:t>דנאל אדיר יהושע בעמ</w:t>
                </w:r>
              </w:sdtContent>
            </w:sdt>
          </w:p>
          <w:p w:rsidR="00590BFF" w:rsidRDefault="00661250" w:rsidP="00590BFF">
            <w:pPr>
              <w:suppressLineNumbers/>
            </w:pPr>
            <w:sdt>
              <w:sdtPr>
                <w:rPr>
                  <w:rtl/>
                </w:rPr>
                <w:alias w:val="1571"/>
                <w:tag w:val="1571"/>
                <w:id w:val="1541244824"/>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52576909"/>
                <w:placeholder>
                  <w:docPart w:val="194E34B33324450F97AD1D486216FCF5"/>
                </w:placeholder>
                <w:text w:multiLine="1"/>
              </w:sdtPr>
              <w:sdtEndPr/>
              <w:sdtContent>
                <w:r w:rsidR="00590BFF">
                  <w:rPr>
                    <w:rFonts w:ascii="Arial" w:hAnsi="Arial"/>
                    <w:b/>
                    <w:bCs/>
                    <w:noProof w:val="0"/>
                    <w:sz w:val="26"/>
                    <w:szCs w:val="26"/>
                    <w:rtl/>
                  </w:rPr>
                  <w:t>דריה פטוחוב</w:t>
                </w:r>
                <w:r w:rsidR="00081130">
                  <w:rPr>
                    <w:rFonts w:ascii="Arial" w:hAnsi="Arial" w:hint="cs"/>
                    <w:b/>
                    <w:bCs/>
                    <w:noProof w:val="0"/>
                    <w:sz w:val="26"/>
                    <w:szCs w:val="26"/>
                    <w:rtl/>
                  </w:rPr>
                  <w:t xml:space="preserve"> (ניתן פסק דין בהעדר הגנה)</w:t>
                </w:r>
              </w:sdtContent>
            </w:sdt>
          </w:p>
        </w:tc>
      </w:tr>
    </w:tbl>
    <w:p w:rsidR="006816EC" w:rsidRPr="00E13360" w:rsidRDefault="00081130" w:rsidP="00081130">
      <w:pPr>
        <w:suppressLineNumbers/>
        <w:rPr>
          <w:rFonts w:ascii="Arial (W1)" w:hAnsi="Arial (W1)"/>
          <w:sz w:val="28"/>
          <w:szCs w:val="28"/>
        </w:rPr>
      </w:pPr>
      <w:r>
        <w:rPr>
          <w:rFonts w:ascii="Arial (W1)" w:hAnsi="Arial (W1)" w:hint="cs"/>
          <w:noProof w:val="0"/>
          <w:sz w:val="26"/>
          <w:szCs w:val="26"/>
          <w:rtl/>
        </w:rPr>
        <w:t xml:space="preserve">                                                       </w:t>
      </w:r>
      <w:r w:rsidRPr="00081130">
        <w:rPr>
          <w:rFonts w:ascii="Arial (W1)" w:hAnsi="Arial (W1)" w:hint="cs"/>
          <w:noProof w:val="0"/>
          <w:sz w:val="26"/>
          <w:szCs w:val="26"/>
          <w:rtl/>
        </w:rPr>
        <w:t xml:space="preserve">ע"י ב"כ עו"ד </w:t>
      </w:r>
      <w:r>
        <w:rPr>
          <w:rFonts w:ascii="Arial (W1)" w:hAnsi="Arial (W1)" w:hint="cs"/>
          <w:noProof w:val="0"/>
          <w:sz w:val="26"/>
          <w:szCs w:val="26"/>
          <w:rtl/>
        </w:rPr>
        <w:t>דוד בכור</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081130" w:rsidRDefault="00081130">
            <w:pPr>
              <w:bidi w:val="0"/>
              <w:jc w:val="center"/>
              <w:rPr>
                <w:rFonts w:ascii="Arial" w:hAnsi="Arial"/>
                <w:b/>
                <w:bCs/>
                <w:noProof w:val="0"/>
                <w:sz w:val="28"/>
                <w:szCs w:val="28"/>
                <w:u w:val="single"/>
                <w:rtl/>
              </w:rPr>
            </w:pPr>
          </w:p>
          <w:p w:rsidR="00081130" w:rsidRDefault="00081130" w:rsidP="00081130">
            <w:pPr>
              <w:bidi w:val="0"/>
              <w:jc w:val="center"/>
              <w:rPr>
                <w:rFonts w:ascii="Arial" w:hAnsi="Arial"/>
                <w:b/>
                <w:bCs/>
                <w:noProof w:val="0"/>
                <w:sz w:val="28"/>
                <w:szCs w:val="28"/>
                <w:u w:val="single"/>
                <w:rtl/>
              </w:rPr>
            </w:pPr>
          </w:p>
          <w:p w:rsidR="00694556" w:rsidRDefault="00005C8B" w:rsidP="00081130">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5A3691" w:rsidRDefault="005A3691" w:rsidP="005A3691">
      <w:pPr>
        <w:rPr>
          <w:rFonts w:ascii="David" w:hAnsi="David"/>
          <w:b/>
          <w:bCs/>
          <w:noProof w:val="0"/>
          <w:sz w:val="20"/>
          <w:u w:val="single"/>
        </w:rPr>
      </w:pPr>
      <w:r>
        <w:rPr>
          <w:rFonts w:ascii="David" w:hAnsi="David"/>
          <w:b/>
          <w:bCs/>
          <w:u w:val="single"/>
          <w:rtl/>
        </w:rPr>
        <w:t>פתח דבר</w:t>
      </w:r>
    </w:p>
    <w:p w:rsidR="005A3691" w:rsidRDefault="005A3691" w:rsidP="00E8455D">
      <w:pPr>
        <w:pStyle w:val="ad"/>
        <w:numPr>
          <w:ilvl w:val="0"/>
          <w:numId w:val="1"/>
        </w:numPr>
        <w:ind w:left="0" w:firstLine="0"/>
      </w:pPr>
      <w:r w:rsidRPr="005A3691">
        <w:rPr>
          <w:rtl/>
        </w:rPr>
        <w:t xml:space="preserve">בביתו של קשיש סיעודי הועסקה מטפלת, היא הנתבעת </w:t>
      </w:r>
      <w:r w:rsidR="00E8455D">
        <w:rPr>
          <w:rFonts w:hint="cs"/>
          <w:rtl/>
        </w:rPr>
        <w:t>2</w:t>
      </w:r>
      <w:r w:rsidRPr="005A3691">
        <w:rPr>
          <w:rtl/>
        </w:rPr>
        <w:t xml:space="preserve"> (להלן: </w:t>
      </w:r>
      <w:r w:rsidRPr="005A3691">
        <w:rPr>
          <w:b/>
          <w:bCs/>
          <w:rtl/>
        </w:rPr>
        <w:t>המטפלת</w:t>
      </w:r>
      <w:r w:rsidRPr="005A3691">
        <w:rPr>
          <w:rtl/>
        </w:rPr>
        <w:t xml:space="preserve">). בוקר אחד, במהלך יום העבודה, עזבה המטפלת את בית הקשיש, נסעה במישרין למשרדי חברת דנאל - חברת הסיעוד דרכה הועסקה (להלן גם: </w:t>
      </w:r>
      <w:r w:rsidRPr="005A3691">
        <w:rPr>
          <w:b/>
          <w:bCs/>
          <w:rtl/>
        </w:rPr>
        <w:t>חברת הסיעוד</w:t>
      </w:r>
      <w:r w:rsidRPr="005A3691">
        <w:rPr>
          <w:rtl/>
        </w:rPr>
        <w:t xml:space="preserve">) וסיפרה שהקשיש נגע בה בצורה שגרמה לה לחוש אי נעימות וביקשה לא לשוב לעבוד בביתו. חברת הסיעוד בחנה את התלונה והחליטה כי המשך הטיפול בקשיש יהיה באמצעות מטפל גבר או שתי מטפלות נשים שיגיעו לביתו יחד. תלונת המטפלת וההחלטה על אופן המשך הטיפול דווחו על ידי חברת הסיעוד במכתב שמוען לעובדת סוציאלית בלשכת הרווחה המקומית באשקלון. </w:t>
      </w:r>
    </w:p>
    <w:p w:rsidR="005A3691" w:rsidRPr="005A3691" w:rsidRDefault="005A3691" w:rsidP="005A3691">
      <w:pPr>
        <w:pStyle w:val="ad"/>
        <w:ind w:left="0"/>
        <w:rPr>
          <w:rtl/>
        </w:rPr>
      </w:pPr>
    </w:p>
    <w:p w:rsidR="005A3691" w:rsidRPr="005A3691" w:rsidRDefault="005A3691" w:rsidP="005A3691">
      <w:pPr>
        <w:pStyle w:val="ad"/>
        <w:numPr>
          <w:ilvl w:val="0"/>
          <w:numId w:val="1"/>
        </w:numPr>
        <w:ind w:left="0" w:firstLine="0"/>
        <w:rPr>
          <w:rtl/>
        </w:rPr>
      </w:pPr>
      <w:r w:rsidRPr="005A3691">
        <w:rPr>
          <w:rtl/>
        </w:rPr>
        <w:t xml:space="preserve">בגין פרסום זה הוגשה התביעה שלפניי מכוח עוולה לפי חוק איסור לשון הרע, התשכ"ה-1965 (להלן: </w:t>
      </w:r>
      <w:r w:rsidRPr="005A3691">
        <w:rPr>
          <w:b/>
          <w:bCs/>
          <w:rtl/>
        </w:rPr>
        <w:t>חוק איסור לשון הרע</w:t>
      </w:r>
      <w:r w:rsidRPr="005A3691">
        <w:rPr>
          <w:rtl/>
        </w:rPr>
        <w:t xml:space="preserve">). התביעה הוגשה על ידי הקשיש, שהלך לעולמו בזמן ניהולה (להלן: </w:t>
      </w:r>
      <w:r w:rsidRPr="005A3691">
        <w:rPr>
          <w:b/>
          <w:bCs/>
          <w:rtl/>
        </w:rPr>
        <w:t>המנוח</w:t>
      </w:r>
      <w:r w:rsidRPr="005A3691">
        <w:rPr>
          <w:rtl/>
        </w:rPr>
        <w:t xml:space="preserve">) ויורשתו תובעת במקומו. לטענת התובעת, המטפלת החליטה לעזוב את עבודתה אצל המנוח תוך הפצת דברי שקר כאילו הטריד אותה מינית. לשיטתה, חברת הסיעוד לא ערכה בירור עם המנוח והיה עליה לנקוט פעולות נוספות טרם הדיווח ללשכת הרווחה. הדיווח מהווה "פרסום" שעולה כדי "לשון הרע" מכוח חוק איסור לשון הרע וכתוצאה ממנו נגרם למנוח לנזק. התובעת עותרת לפיצוי בגובה של 150,000 ₪. </w:t>
      </w:r>
    </w:p>
    <w:p w:rsidR="005A3691" w:rsidRPr="005A3691" w:rsidRDefault="005A3691" w:rsidP="005A3691">
      <w:pPr>
        <w:pStyle w:val="ad"/>
        <w:ind w:left="0"/>
        <w:rPr>
          <w:rtl/>
        </w:rPr>
      </w:pPr>
    </w:p>
    <w:p w:rsidR="005A3691" w:rsidRPr="005A3691" w:rsidRDefault="005A3691" w:rsidP="00E8455D">
      <w:pPr>
        <w:pStyle w:val="ad"/>
        <w:numPr>
          <w:ilvl w:val="0"/>
          <w:numId w:val="1"/>
        </w:numPr>
        <w:ind w:left="0" w:firstLine="0"/>
        <w:rPr>
          <w:rtl/>
        </w:rPr>
      </w:pPr>
      <w:r w:rsidRPr="005A3691">
        <w:rPr>
          <w:rtl/>
        </w:rPr>
        <w:t xml:space="preserve">לטענת חברת הסיעוד, היא פעלה בהתאם להוראות נוהל של המוסד לביטוח לאומי ומשרד הרווחה המחייב אותה בדיווח, ובהתאם לחקיקה למניעת הטרדה מינית. זאת, על מנת להגן על עובדות הסיעוד כחלק מהחובות המוטלות על חברת הסיעוד כמעסיקתן. לטענת חברת הסיעוד מדובר בפרסום מותר מכוח הוראת סעיף 13(9) לחוק איסור לשון הרע. בנוסף טוענת חברת הסיעוד שעומדת לה הגנת תום הלב הקבועה בסעיף 15(2) ו- 15(3) לחוק איסור לשון הרע. לטענת התובעת </w:t>
      </w:r>
      <w:r w:rsidRPr="005A3691">
        <w:rPr>
          <w:rtl/>
        </w:rPr>
        <w:lastRenderedPageBreak/>
        <w:t xml:space="preserve">אין מדובר בפרסום מותר מאחר שחברת הסיעוד היא חברה פרטית ויסודות הגנת תום הלב אינן מתקיימות במקרה זה. </w:t>
      </w:r>
    </w:p>
    <w:p w:rsidR="005A3691" w:rsidRPr="005A3691" w:rsidRDefault="005A3691" w:rsidP="005A3691">
      <w:pPr>
        <w:pStyle w:val="ad"/>
        <w:ind w:left="0"/>
        <w:rPr>
          <w:rtl/>
        </w:rPr>
      </w:pPr>
    </w:p>
    <w:p w:rsidR="005A3691" w:rsidRDefault="005A3691" w:rsidP="00081130">
      <w:pPr>
        <w:pStyle w:val="ad"/>
        <w:numPr>
          <w:ilvl w:val="0"/>
          <w:numId w:val="1"/>
        </w:numPr>
        <w:ind w:left="0" w:firstLine="0"/>
        <w:rPr>
          <w:rtl/>
        </w:rPr>
      </w:pPr>
      <w:r w:rsidRPr="005A3691">
        <w:rPr>
          <w:rtl/>
        </w:rPr>
        <w:t>אקדים את המאוחר ואציין כבר כעת כי לאחר ששקלתי את הדברים ושמעתי את הצדדים הגעתי ל</w:t>
      </w:r>
      <w:r w:rsidR="00081130">
        <w:rPr>
          <w:rFonts w:hint="cs"/>
          <w:rtl/>
        </w:rPr>
        <w:t xml:space="preserve">כלל </w:t>
      </w:r>
      <w:r w:rsidRPr="005A3691">
        <w:rPr>
          <w:rtl/>
        </w:rPr>
        <w:t xml:space="preserve">מסקנה </w:t>
      </w:r>
      <w:r w:rsidR="00081130">
        <w:rPr>
          <w:rFonts w:hint="cs"/>
          <w:rtl/>
        </w:rPr>
        <w:t>כי</w:t>
      </w:r>
      <w:r w:rsidRPr="005A3691">
        <w:rPr>
          <w:rtl/>
        </w:rPr>
        <w:t xml:space="preserve"> מדובר בפרסום מותר לפי סעיף 13(9) לחוק איסור לשון הרע המקים לנתבעת חסינות בפרסום. כמו כן עומדת לנתבעת במקרה זה גם הגנת תום הלב הקבועה בסעיף 15(2) לחוק</w:t>
      </w:r>
      <w:r>
        <w:rPr>
          <w:rtl/>
        </w:rPr>
        <w:t xml:space="preserve">.  </w:t>
      </w:r>
    </w:p>
    <w:p w:rsidR="005A3691" w:rsidRDefault="005A3691" w:rsidP="005A3691">
      <w:pPr>
        <w:ind w:firstLine="720"/>
        <w:rPr>
          <w:rFonts w:ascii="David" w:hAnsi="David"/>
          <w:rtl/>
        </w:rPr>
      </w:pPr>
    </w:p>
    <w:p w:rsidR="005A3691" w:rsidRDefault="005A3691" w:rsidP="005A3691">
      <w:pPr>
        <w:rPr>
          <w:rFonts w:ascii="Century" w:hAnsi="Century"/>
          <w:b/>
          <w:bCs/>
          <w:u w:val="single"/>
          <w:rtl/>
        </w:rPr>
      </w:pPr>
      <w:r>
        <w:rPr>
          <w:b/>
          <w:bCs/>
          <w:u w:val="single"/>
          <w:rtl/>
        </w:rPr>
        <w:t>רקע עובדתי</w:t>
      </w:r>
      <w:r>
        <w:rPr>
          <w:b/>
          <w:bCs/>
          <w:rtl/>
        </w:rPr>
        <w:tab/>
      </w:r>
    </w:p>
    <w:p w:rsidR="005A3691" w:rsidRDefault="005A3691" w:rsidP="00E8455D">
      <w:pPr>
        <w:pStyle w:val="ad"/>
        <w:numPr>
          <w:ilvl w:val="0"/>
          <w:numId w:val="1"/>
        </w:numPr>
        <w:ind w:left="0" w:firstLine="0"/>
        <w:rPr>
          <w:rtl/>
        </w:rPr>
      </w:pPr>
      <w:r>
        <w:rPr>
          <w:rtl/>
        </w:rPr>
        <w:t xml:space="preserve">הנתבעת </w:t>
      </w:r>
      <w:r w:rsidR="00E8455D">
        <w:rPr>
          <w:rFonts w:hint="cs"/>
          <w:rtl/>
        </w:rPr>
        <w:t>1</w:t>
      </w:r>
      <w:r>
        <w:rPr>
          <w:rtl/>
        </w:rPr>
        <w:t xml:space="preserve"> היא חברת סיעוד המספקת, בין היתר, שירותי טיפול וסיעוד לזכאים לכך מכוח החלטות המוסד לביטוח לאומי ומשרד הרווחה והשירותים החברתיים. המטפלת הועסקה על ידי חברת הסיעוד בתפקיד של מטפלת סיעודית והחל מחודש ספטמבר 2016 שובצה לעבודה בביתו של המנוח, שהיה זכאי לשירותי סיעוד בהיקף של 10 שעות בשבוע, שסופקו לו דרך סניף אשקלון של חברת הסיעוד. </w:t>
      </w:r>
    </w:p>
    <w:p w:rsidR="005A3691" w:rsidRDefault="005A3691" w:rsidP="005A3691">
      <w:pPr>
        <w:pStyle w:val="ad"/>
        <w:ind w:left="0"/>
      </w:pPr>
    </w:p>
    <w:p w:rsidR="005A3691" w:rsidRDefault="005A3691" w:rsidP="005A3691">
      <w:pPr>
        <w:pStyle w:val="ad"/>
        <w:numPr>
          <w:ilvl w:val="0"/>
          <w:numId w:val="1"/>
        </w:numPr>
        <w:ind w:left="0" w:firstLine="0"/>
      </w:pPr>
      <w:r>
        <w:rPr>
          <w:rtl/>
        </w:rPr>
        <w:t xml:space="preserve">ביום 5.1.2017, באמצע יום העבודה, עזבה המטפלת את ביתו של המנוח ונסעה במישרין לסניף חברת הסיעוד באשקלון. היא פנתה למנהלת הסניף והתלוננה כי המנוח נגע בה בצורה שהסבה לה אי נעימות וביקשה לא לחזור לשם יותר.  </w:t>
      </w:r>
    </w:p>
    <w:p w:rsidR="005A3691" w:rsidRDefault="005A3691" w:rsidP="005A3691">
      <w:pPr>
        <w:pStyle w:val="ad"/>
      </w:pPr>
    </w:p>
    <w:p w:rsidR="005A3691" w:rsidRDefault="005A3691" w:rsidP="005A3691">
      <w:pPr>
        <w:pStyle w:val="ad"/>
        <w:numPr>
          <w:ilvl w:val="0"/>
          <w:numId w:val="1"/>
        </w:numPr>
        <w:ind w:left="0" w:firstLine="0"/>
        <w:rPr>
          <w:rtl/>
        </w:rPr>
      </w:pPr>
      <w:r>
        <w:rPr>
          <w:rtl/>
        </w:rPr>
        <w:t xml:space="preserve">לאחר קבלת תלונת המטפלת החלה חברת הסיעוד בברור העניין. הצדדים חלוקים עובדתית בנקודה זו. הנתבעת טוענת כי קיימה בירור מול המטפלת שתועד בזמן אמת ושגרסתה נשמעה אמינה; כי פנתה לקשיש ולמשפחתו לקבל את גרסתם מספר פעמים, אולם הם סירבו לשתף פעולה, טענו שהמטפלת משקרת ודרשו התנצלות. התובעת טוענת כי סירבו לשמוע את גרסת המנוח ולא התקיים בירור בעניין ולא ננקטו פעולות חקירה שהיה לנקוט בהן. </w:t>
      </w:r>
    </w:p>
    <w:p w:rsidR="005A3691" w:rsidRDefault="005A3691" w:rsidP="005A3691">
      <w:pPr>
        <w:pStyle w:val="ad"/>
      </w:pPr>
    </w:p>
    <w:p w:rsidR="005A3691" w:rsidRDefault="005A3691" w:rsidP="005A3691">
      <w:pPr>
        <w:pStyle w:val="ad"/>
        <w:numPr>
          <w:ilvl w:val="0"/>
          <w:numId w:val="1"/>
        </w:numPr>
        <w:ind w:left="0" w:firstLine="0"/>
        <w:rPr>
          <w:rtl/>
        </w:rPr>
      </w:pPr>
      <w:r>
        <w:rPr>
          <w:rtl/>
        </w:rPr>
        <w:t xml:space="preserve">ביום 10.1.2017 פנתה בִתה של התובעת במכתב לחברת הסיעוד עם העתק ללשכת הרווחה באשקלון. המכתב כלל התראה כי המשפחה שוקלת את צעדיה המשפטיים נגד חברת הסיעוד והמטפלת מכוח חוק איסור לשון הרע ופירוט עובדות התלונה כפי שאלו דווחו לתובעת על ידי נציגת חברת הסיעוד. </w:t>
      </w:r>
    </w:p>
    <w:p w:rsidR="005A3691" w:rsidRDefault="005A3691" w:rsidP="005A3691">
      <w:pPr>
        <w:pStyle w:val="ad"/>
      </w:pPr>
    </w:p>
    <w:p w:rsidR="005A3691" w:rsidRDefault="005A3691" w:rsidP="005A3691">
      <w:pPr>
        <w:pStyle w:val="ad"/>
        <w:numPr>
          <w:ilvl w:val="0"/>
          <w:numId w:val="1"/>
        </w:numPr>
        <w:ind w:left="0" w:firstLine="0"/>
        <w:rPr>
          <w:rtl/>
        </w:rPr>
      </w:pPr>
      <w:r>
        <w:rPr>
          <w:rtl/>
        </w:rPr>
        <w:t xml:space="preserve">בעקבות המקרה החליטה חברת הסיעוד כי המנוח יקבל את שירותי הסיעוד להם הוא זכאי באמצעות מטפל גבר או באמצעות שתי מטפלות נשים שיגיעו לביתו יחד. המנוח ומשפחתו סירבו לכך וביקשו לקבל את השירות מחברת סיעוד אחרת. בהתאם לנוהל במקרה כזה יש להעביר דיווח לחברת הסיעוד החדשה על ההחלטה כי השירות יסופק באמצעות מטפל גבר או שתי מטפלות נשים במקביל. גם לכך סירבו המנוח ובני משפחתו. </w:t>
      </w:r>
    </w:p>
    <w:p w:rsidR="005A3691" w:rsidRDefault="005A3691" w:rsidP="005A3691">
      <w:pPr>
        <w:pStyle w:val="ad"/>
        <w:numPr>
          <w:ilvl w:val="0"/>
          <w:numId w:val="1"/>
        </w:numPr>
        <w:ind w:left="0" w:firstLine="0"/>
      </w:pPr>
      <w:r>
        <w:rPr>
          <w:rtl/>
        </w:rPr>
        <w:lastRenderedPageBreak/>
        <w:t xml:space="preserve">ביום 15.1.2017 שלחה חברת הסיעוד מכתב דיווח ללשכת הרווחה באשקלון עם פרטי המקרה והחלטה על אופן המשך מתן הטיפול למנוח. המכתב מוען לעובדת הסוציאלית שהמנוח היה תחת טיפולה. במכתב נכתב כך: </w:t>
      </w:r>
    </w:p>
    <w:p w:rsidR="005A3691" w:rsidRPr="00081130" w:rsidRDefault="005A3691" w:rsidP="005A3691">
      <w:pPr>
        <w:pStyle w:val="11"/>
        <w:rPr>
          <w:rtl/>
        </w:rPr>
      </w:pPr>
    </w:p>
    <w:p w:rsidR="005A3691" w:rsidRDefault="005A3691" w:rsidP="005A3691">
      <w:pPr>
        <w:pStyle w:val="11"/>
        <w:rPr>
          <w:rtl/>
        </w:rPr>
      </w:pPr>
      <w:r>
        <w:rPr>
          <w:rtl/>
        </w:rPr>
        <w:t>הנ"ל מקבל שירות בהיקף של 9.7 ש"ש.</w:t>
      </w:r>
    </w:p>
    <w:p w:rsidR="005A3691" w:rsidRDefault="005A3691" w:rsidP="005A3691">
      <w:pPr>
        <w:pStyle w:val="11"/>
        <w:rPr>
          <w:rtl/>
        </w:rPr>
      </w:pPr>
      <w:r>
        <w:rPr>
          <w:rtl/>
        </w:rPr>
        <w:t>המטופל מקבל שירות מאפריל 2016. לא התקבלו תלונות עליו בעבר.</w:t>
      </w:r>
    </w:p>
    <w:p w:rsidR="005A3691" w:rsidRDefault="005A3691" w:rsidP="005A3691">
      <w:pPr>
        <w:pStyle w:val="11"/>
        <w:rPr>
          <w:rtl/>
        </w:rPr>
      </w:pPr>
      <w:r>
        <w:rPr>
          <w:rtl/>
        </w:rPr>
        <w:t>מטפלת לוטוחוב דריה עבדה אצלו מ-9/16. ביקשה לעזוב את המקרה כי לטענתה הוא הצמיד אותה אליו ונגע לה בחזה.</w:t>
      </w:r>
    </w:p>
    <w:p w:rsidR="005A3691" w:rsidRDefault="005A3691" w:rsidP="005A3691">
      <w:pPr>
        <w:pStyle w:val="11"/>
        <w:rPr>
          <w:rtl/>
        </w:rPr>
      </w:pPr>
      <w:r>
        <w:rPr>
          <w:rtl/>
        </w:rPr>
        <w:t xml:space="preserve">זימנתי אותה לשיחה. היא בוחרת שלא להגיש תלונה. היא מספרת שמדובר בקשיש מאוד נחמד וחולה. היא אומרת שזה לא קרה בהתחלה אלא רק לאחר 3 חודשים שעבדה אצלו. במקרה הזה אני מתרשמת שהמטפלת דוברת אמת. </w:t>
      </w:r>
    </w:p>
    <w:p w:rsidR="005A3691" w:rsidRDefault="00EB5B2C" w:rsidP="00EB5B2C">
      <w:pPr>
        <w:pStyle w:val="11"/>
        <w:rPr>
          <w:rtl/>
        </w:rPr>
      </w:pPr>
      <w:r>
        <w:rPr>
          <w:rtl/>
        </w:rPr>
        <w:t>הסברתי לבת</w:t>
      </w:r>
      <w:r>
        <w:rPr>
          <w:rFonts w:hint="cs"/>
          <w:rtl/>
        </w:rPr>
        <w:t>....</w:t>
      </w:r>
      <w:r w:rsidR="005A3691">
        <w:rPr>
          <w:rtl/>
        </w:rPr>
        <w:t xml:space="preserve"> בעדינות ורגישות שאנו לא נוקטים עמדה כזו או אחרת. היא מאשימה את המטפלת בשקר והוצאת דיבה ודורשת התנצלות מצדה. </w:t>
      </w:r>
    </w:p>
    <w:p w:rsidR="005A3691" w:rsidRDefault="005A3691" w:rsidP="005A3691">
      <w:pPr>
        <w:pStyle w:val="11"/>
        <w:rPr>
          <w:rtl/>
        </w:rPr>
      </w:pPr>
      <w:r>
        <w:rPr>
          <w:rtl/>
        </w:rPr>
        <w:t>היום התקשרתי שוב לבת, הצעתי לה לשלוח לה 2 מטפלות או מטפל גבר, מסרבת לקבל שרות מחברת דנאל כי המטפלת לא התנצלה.</w:t>
      </w:r>
    </w:p>
    <w:p w:rsidR="005A3691" w:rsidRDefault="005A3691" w:rsidP="005A3691">
      <w:pPr>
        <w:rPr>
          <w:b/>
          <w:bCs/>
          <w:rtl/>
        </w:rPr>
      </w:pPr>
    </w:p>
    <w:p w:rsidR="005A3691" w:rsidRDefault="005A3691" w:rsidP="005A3691">
      <w:pPr>
        <w:pStyle w:val="ad"/>
        <w:numPr>
          <w:ilvl w:val="0"/>
          <w:numId w:val="1"/>
        </w:numPr>
        <w:ind w:left="0" w:firstLine="0"/>
        <w:rPr>
          <w:rtl/>
        </w:rPr>
      </w:pPr>
      <w:r>
        <w:rPr>
          <w:rtl/>
        </w:rPr>
        <w:t>ביום 28.2.2017 התקיים דיון בוועדה המקומית המקצועית בלשכת הרווחה (בהשתפות נציגי משרד הרווחה והמוסד לביטוח לאומי), בעקבותיו התקבלה החלטת המוסד לביטוח לאומי כי לא יינתנו למנוח שירותי סיעוד מאחר שסירב לקבלם באופן שהוצע לו על ידי חברת הסיעוד. על החלטה זו הגיש המנוח ערר, שם נקבע כי המנוח יקבל תשלום גמלת סיעוד, אך אין לאפשר לו לעבור לנותן שירותים אחר מבלי לדווח לנותן השירותים החדש על ההחלטה לגבי אופן קבלת השירות. בהחלטת ועדת הערר התייחסות לדרישה להעביר את המידע לנותן השירותים החדש, המהווה "תנאי בל יעבור (כדי להגן על נשים ובמסגרת ההוגנות כלפי נותן השירותים החדש...)".</w:t>
      </w:r>
    </w:p>
    <w:p w:rsidR="005A3691" w:rsidRDefault="005A3691" w:rsidP="005A3691">
      <w:pPr>
        <w:pStyle w:val="ad"/>
      </w:pPr>
    </w:p>
    <w:p w:rsidR="005A3691" w:rsidRDefault="005A3691" w:rsidP="005A3691">
      <w:pPr>
        <w:pStyle w:val="ad"/>
        <w:numPr>
          <w:ilvl w:val="0"/>
          <w:numId w:val="1"/>
        </w:numPr>
        <w:ind w:left="0" w:firstLine="0"/>
        <w:rPr>
          <w:rtl/>
        </w:rPr>
      </w:pPr>
      <w:r>
        <w:rPr>
          <w:rtl/>
        </w:rPr>
        <w:t>בחודש אפריל 2019 הוגשה התביעה נגד המטפלת וחברת הסיעוד. המטפלת לא הגישה כתב הגנה וניתן</w:t>
      </w:r>
      <w:r>
        <w:rPr>
          <w:rFonts w:ascii="David" w:hAnsi="David"/>
          <w:sz w:val="24"/>
          <w:rtl/>
        </w:rPr>
        <w:t xml:space="preserve"> נגדה פסק דין בהעדר הגנה המחייב אותה בתשלום פיצוי בגובה 35,000 ₪ (פסק דינו של כב' השופט א' שליו מיום 7.11.2019). </w:t>
      </w:r>
    </w:p>
    <w:p w:rsidR="005A3691" w:rsidRDefault="005A3691" w:rsidP="005A3691">
      <w:pPr>
        <w:pStyle w:val="ad"/>
      </w:pPr>
    </w:p>
    <w:p w:rsidR="005A3691" w:rsidRDefault="005A3691" w:rsidP="005A3691">
      <w:pPr>
        <w:pStyle w:val="ad"/>
        <w:numPr>
          <w:ilvl w:val="0"/>
          <w:numId w:val="1"/>
        </w:numPr>
        <w:ind w:left="0" w:firstLine="0"/>
        <w:rPr>
          <w:rtl/>
        </w:rPr>
      </w:pPr>
      <w:r>
        <w:rPr>
          <w:rtl/>
        </w:rPr>
        <w:t xml:space="preserve">התביעה הוגשה בגין הפרה, לכאורה, של חוק איסור לשון הרע. בדיון שהתקיים ביום 9.8.2020 בפני כבוד השופט א' שליו, הובהר כי מסגרת הדיון בעוולת לשון הרע בלבד ולא תותר הרחבת חזית ולא תשמענה טענות הנוגעות לעוולת הרשלנות שלא נכללו בכתב התביעה. עניין זה עלה אף בהחלטת בית המשפט מיום 5.11.2019.  </w:t>
      </w:r>
    </w:p>
    <w:p w:rsidR="005A3691" w:rsidRDefault="005A3691" w:rsidP="005A3691">
      <w:pPr>
        <w:pStyle w:val="ad"/>
        <w:rPr>
          <w:rFonts w:ascii="David" w:hAnsi="David"/>
          <w:sz w:val="24"/>
        </w:rPr>
      </w:pPr>
    </w:p>
    <w:p w:rsidR="005A3691" w:rsidRDefault="005A3691" w:rsidP="005A3691">
      <w:pPr>
        <w:pStyle w:val="ad"/>
        <w:ind w:left="0"/>
        <w:rPr>
          <w:b/>
          <w:bCs/>
          <w:u w:val="single"/>
          <w:rtl/>
        </w:rPr>
      </w:pPr>
      <w:r>
        <w:rPr>
          <w:b/>
          <w:bCs/>
          <w:u w:val="single"/>
          <w:rtl/>
        </w:rPr>
        <w:t>דיון והכרעה</w:t>
      </w:r>
    </w:p>
    <w:p w:rsidR="005A3691" w:rsidRDefault="00FE387E" w:rsidP="00FE387E">
      <w:pPr>
        <w:pStyle w:val="ad"/>
        <w:numPr>
          <w:ilvl w:val="0"/>
          <w:numId w:val="1"/>
        </w:numPr>
        <w:ind w:left="0" w:firstLine="0"/>
        <w:rPr>
          <w:rtl/>
        </w:rPr>
      </w:pPr>
      <w:r>
        <w:rPr>
          <w:rFonts w:hint="cs"/>
          <w:rtl/>
        </w:rPr>
        <w:t xml:space="preserve">אבחן </w:t>
      </w:r>
      <w:r w:rsidR="005A3691">
        <w:rPr>
          <w:rtl/>
        </w:rPr>
        <w:t xml:space="preserve">תחילה את הראיות שהגישו הצדדים ואתייחס לתשתית העובדתית שהוכחה. לאחר מכן אבחן את </w:t>
      </w:r>
      <w:r w:rsidR="005A3691">
        <w:rPr>
          <w:rFonts w:ascii="David" w:hAnsi="David"/>
          <w:sz w:val="24"/>
          <w:rtl/>
        </w:rPr>
        <w:t>יסודות חוק איסור לשון הרע ויישומם במקרה זה.</w:t>
      </w:r>
      <w:r w:rsidR="005A3691">
        <w:rPr>
          <w:rtl/>
        </w:rPr>
        <w:t xml:space="preserve"> השאלה המרכזית שעומדת לדיון היא האם מכתב הדיווח ששלחה חברת הסיעוד ללשכת הרווחה מהווה פרסום מותר שחובה </w:t>
      </w:r>
      <w:r w:rsidR="005A3691">
        <w:rPr>
          <w:rtl/>
        </w:rPr>
        <w:lastRenderedPageBreak/>
        <w:t xml:space="preserve">לפרסמו, או שיש רשות לפרסמו על פי היתר של רשות מוסמכת. ככל שהתשובה לכך חיובית, עומדת לנתבעת חסינות בפני תביעת לשון הרע. למען הזהירות, אבחן אף את תחולתה של הגנת תום הלב במקרה זה. </w:t>
      </w:r>
    </w:p>
    <w:p w:rsidR="005A3691" w:rsidRDefault="005A3691" w:rsidP="005A3691">
      <w:pPr>
        <w:pStyle w:val="ad"/>
        <w:ind w:left="0"/>
      </w:pPr>
    </w:p>
    <w:p w:rsidR="005A3691" w:rsidRDefault="005A3691" w:rsidP="005A3691">
      <w:pPr>
        <w:rPr>
          <w:b/>
          <w:bCs/>
          <w:u w:val="single"/>
          <w:rtl/>
        </w:rPr>
      </w:pPr>
      <w:r>
        <w:rPr>
          <w:b/>
          <w:bCs/>
          <w:u w:val="single"/>
          <w:rtl/>
        </w:rPr>
        <w:t>בחינת ראיות הצדדים</w:t>
      </w:r>
    </w:p>
    <w:p w:rsidR="005A3691" w:rsidRDefault="005A3691" w:rsidP="005A3691">
      <w:pPr>
        <w:pStyle w:val="ad"/>
        <w:numPr>
          <w:ilvl w:val="0"/>
          <w:numId w:val="1"/>
        </w:numPr>
        <w:ind w:left="0" w:firstLine="0"/>
        <w:rPr>
          <w:rtl/>
        </w:rPr>
      </w:pPr>
      <w:r>
        <w:rPr>
          <w:rtl/>
        </w:rPr>
        <w:t xml:space="preserve">מטעם התביעה הוגשו תצהירי עדות ראשית של התובעת, נכדתה ומטפלת קודמת שטיפלה במנוח. התובעת זימנה למתן עדות מטעמה את המטפלת, מדקרת שטיפלה במנוח, רופאה מקופת החולים (לצורך הגשת מסמכים רפואיים) ונציגת המוסד לביטוח לאומי. </w:t>
      </w:r>
    </w:p>
    <w:p w:rsidR="005A3691" w:rsidRDefault="005A3691" w:rsidP="005A3691">
      <w:pPr>
        <w:pStyle w:val="ad"/>
        <w:ind w:left="0"/>
      </w:pPr>
    </w:p>
    <w:p w:rsidR="005A3691" w:rsidRDefault="005A3691" w:rsidP="005A3691">
      <w:pPr>
        <w:pStyle w:val="ad"/>
        <w:numPr>
          <w:ilvl w:val="0"/>
          <w:numId w:val="1"/>
        </w:numPr>
        <w:ind w:left="0" w:firstLine="0"/>
      </w:pPr>
      <w:r>
        <w:rPr>
          <w:rtl/>
        </w:rPr>
        <w:t xml:space="preserve">מטעם ההגנה העיד מנכ"ל חברת הסיעוד.  </w:t>
      </w:r>
    </w:p>
    <w:p w:rsidR="005A3691" w:rsidRDefault="005A3691" w:rsidP="005A3691">
      <w:pPr>
        <w:rPr>
          <w:b/>
          <w:bCs/>
          <w:u w:val="single"/>
          <w:rtl/>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מתצהיר העדות הראשית של התובעת עולה כי לא נכחה בבית במועד האירוע, כאשר חזרה הביתה המטפלת לא היתה שם, והמנוח עדכן אותה שהתקשרו מחברת הסיעוד להודיע שלא תשוב לעבוד בביתו. לטענתה, המטפלת שיקרה בתלונתה, חברת הסיעוד סירבה לשמוע את גרסת המנוח, סירבה לקיים פגישה משותפת בנוכחות המנוח והמטפלת, לא נערכה בדיקת פוליגרף למטפלת ולא נערכה בדיקה עם מטפלות קודמות שטיפלו במנוח. התובעת טוענת בתצהירה כי הנתבעת לא שלחה את המטפלת להגיש תלונה במשטרה ואי הגשת התלונה "מעידה בעד עצמה" ולכן "מדובר בתלונת סרק, שנועדה לפטור אותה מהמשך עבודה בביתנו" (סעיף 9 לתצהיר התובעת). עוד מציינת התובעת שניסתה להתקשר למטפלת שלא השיבה לפניותיה. בתצהיר טענות רבות נגד ההליך שהתקיים בוועדה המקומית בלשכת הרווחה באשקלון ולנזק שנגרם לה כתוצאה מכך. נכדת המנוח הצהירה בתצהיר שהוגש מטעמה שהתקשרה ודרשה שתערך חקירה של התלונה והפנתה למכתב "חריף" ששלחה לחברת הסיעוד עם העתק ללשכת הרווחה, הכולל פירוט של עובדות האירוע כפי שנמסר להן על ידי נציגת הנתבעת. מטפלת קודמת שטיפלה במנוח העידה כי לא פגע בה פיסית או מילולית בעבר וכך גם העידה המדקרת שטיפלה בו. </w:t>
      </w:r>
    </w:p>
    <w:p w:rsidR="005A3691" w:rsidRDefault="005A3691" w:rsidP="005A3691">
      <w:pPr>
        <w:pStyle w:val="ad"/>
        <w:rPr>
          <w:rFonts w:ascii="David" w:hAnsi="David"/>
          <w:sz w:val="24"/>
          <w:highlight w:val="yellow"/>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תצהיר מנכ"ל חברת הסיעוד מפרט כי ביום חמישי, 5.1.2017, פנתה המטפלת אל מנהלת הסניף, התלוננה כי הוטרדה מינית על ידי המנוח וביקשה לא לעבוד אצלו יותר. עם קבלת התלונה התקשרה מנהלת הסניף למנוח והודיעה כי המטפלת לא תתייצב לעבודה בביתו. ביום שני לאחר מכן, התקשרה שוב מנהלת הסניף למנוח ושוחחה עם בִתו. בשיחה זו הודיעה כי המטפלת הוזמנה לתת את גרסתה וביקשה לקבוע פגישה עם המנוח על מנת שיציג את גרסתו. התובעת השיבה כי המטפלת משקרת ועד לקבלת התנצלותה, המנוח לא ימסור גרסה מטעמו. למחרת שוחחה מנהלת הסניף פעם נוספת עם התובעת, הודיעה כי המטפלת מסרה גרסה שנשמעה לה אמינה, וביקשה פעם נוספת לתאם פגישה עם המנוח. גם הפעם סירבה התובעת לכך, עד שהמטפלת תתנצל. ביום 15.1.2017 שלחה מנהלת הסניף דיווח על האירוע לעובדת הסוציאלית הממונה על טיפול במנוח בלשכת הרווחה באשקלון.  </w:t>
      </w:r>
    </w:p>
    <w:p w:rsidR="005A3691" w:rsidRDefault="005A3691" w:rsidP="005A3691">
      <w:pPr>
        <w:pStyle w:val="ad"/>
        <w:numPr>
          <w:ilvl w:val="0"/>
          <w:numId w:val="1"/>
        </w:numPr>
        <w:ind w:left="0" w:firstLine="0"/>
        <w:rPr>
          <w:rFonts w:ascii="David" w:hAnsi="David"/>
          <w:sz w:val="24"/>
        </w:rPr>
      </w:pPr>
      <w:r>
        <w:rPr>
          <w:rFonts w:ascii="David" w:hAnsi="David"/>
          <w:sz w:val="24"/>
          <w:rtl/>
        </w:rPr>
        <w:lastRenderedPageBreak/>
        <w:t xml:space="preserve">גרסת חברת הסיעוד נתמכת בראיות בכתב ממועד האירוע: </w:t>
      </w:r>
    </w:p>
    <w:p w:rsidR="005A3691" w:rsidRDefault="005A3691" w:rsidP="00E8455D">
      <w:pPr>
        <w:pStyle w:val="ad"/>
        <w:numPr>
          <w:ilvl w:val="0"/>
          <w:numId w:val="2"/>
        </w:numPr>
        <w:rPr>
          <w:rFonts w:ascii="David" w:hAnsi="David"/>
          <w:sz w:val="24"/>
        </w:rPr>
      </w:pPr>
      <w:r w:rsidRPr="00E8455D">
        <w:rPr>
          <w:rFonts w:ascii="David" w:hAnsi="David"/>
          <w:sz w:val="24"/>
          <w:rtl/>
        </w:rPr>
        <w:t xml:space="preserve">טופס בירור הטרדה מינית מיום 10.1.2017 הכולל את תיאור המקרה והערה כי המשפחה מסרבת שיערכו ביקור בית ומסרבת שישוחחו עם המנוח . </w:t>
      </w:r>
    </w:p>
    <w:p w:rsidR="005A3BEC" w:rsidRDefault="005A3BEC" w:rsidP="005A3BEC">
      <w:pPr>
        <w:pStyle w:val="ad"/>
        <w:spacing w:before="240"/>
        <w:ind w:left="1080"/>
        <w:rPr>
          <w:rFonts w:ascii="David" w:hAnsi="David"/>
          <w:sz w:val="24"/>
        </w:rPr>
      </w:pPr>
    </w:p>
    <w:p w:rsidR="005A3691" w:rsidRPr="00E8455D" w:rsidRDefault="005A3691" w:rsidP="005A3BEC">
      <w:pPr>
        <w:pStyle w:val="ad"/>
        <w:numPr>
          <w:ilvl w:val="0"/>
          <w:numId w:val="2"/>
        </w:numPr>
        <w:spacing w:before="240"/>
        <w:rPr>
          <w:rFonts w:ascii="David" w:hAnsi="David"/>
          <w:sz w:val="24"/>
          <w:rtl/>
        </w:rPr>
      </w:pPr>
      <w:r w:rsidRPr="00E8455D">
        <w:rPr>
          <w:rFonts w:ascii="David" w:hAnsi="David"/>
          <w:sz w:val="24"/>
          <w:rtl/>
        </w:rPr>
        <w:t xml:space="preserve">הודעת דוא"ל מיום 10.1.2017 ממנהלת הסניף, לממונה על הטרדות מיניות בחברת הסיעוד, שבה מתואר המקרה (בדומה לתיאור המופיע במכתב שנשלח ללשכת הרווחה) והערה כי המשפחה לא מוכנה שישוחחו עם המנוח. </w:t>
      </w:r>
    </w:p>
    <w:p w:rsidR="005A3691" w:rsidRDefault="005A3691" w:rsidP="005A3691">
      <w:pPr>
        <w:pStyle w:val="ad"/>
        <w:ind w:left="0"/>
        <w:rPr>
          <w:rFonts w:ascii="David" w:hAnsi="David"/>
          <w:sz w:val="24"/>
          <w:rtl/>
        </w:rPr>
      </w:pPr>
    </w:p>
    <w:p w:rsidR="005A3691" w:rsidRDefault="005A3691" w:rsidP="00E8455D">
      <w:pPr>
        <w:pStyle w:val="ad"/>
        <w:numPr>
          <w:ilvl w:val="0"/>
          <w:numId w:val="1"/>
        </w:numPr>
        <w:ind w:left="0" w:firstLine="0"/>
        <w:rPr>
          <w:rFonts w:ascii="David" w:hAnsi="David"/>
          <w:sz w:val="24"/>
        </w:rPr>
      </w:pPr>
      <w:r>
        <w:rPr>
          <w:rFonts w:ascii="David" w:hAnsi="David"/>
          <w:sz w:val="24"/>
          <w:rtl/>
        </w:rPr>
        <w:t xml:space="preserve">איני מקבלת את גרסת התובעת כי חברת הסיעוד סירבה לשמוע את גרסת המנוח. ראשית, טענה זו אינה עולה בקנה אחד עם הראיות בכתב שהוצגו ממועד האירוע שלפיהן התבקשה עמדתו מספר פעמים. שנית, גרסה זו גם אינה מתיישבת עם מבחן "השכל הישר". לחברת הסיעוד אחריות כלפי המטפלות המועסקות על ידה וכלפי המטופלים המקבלים ממנה שירות. חברת הסיעוד אינה גורם "בעל עניין" או בעלת הטיה ואין לה סיבה לסרב לשמוע את עמדת המטופל, אלא להפך – האינטרס של חברת הסיעוד הוא בהמשך מתן השירות ולא בהפסקתו. וכך העיד אף מנכ"ל הנתבעת בעדותו </w:t>
      </w:r>
      <w:r w:rsidR="00E8455D">
        <w:rPr>
          <w:rFonts w:ascii="David" w:hAnsi="David" w:hint="cs"/>
          <w:sz w:val="24"/>
          <w:rtl/>
        </w:rPr>
        <w:t>ל</w:t>
      </w:r>
      <w:r>
        <w:rPr>
          <w:rFonts w:ascii="David" w:hAnsi="David"/>
          <w:sz w:val="24"/>
          <w:rtl/>
        </w:rPr>
        <w:t>פניי: "נכתב</w:t>
      </w:r>
      <w:r>
        <w:rPr>
          <w:rFonts w:ascii="David" w:hAnsi="David"/>
          <w:sz w:val="24"/>
        </w:rPr>
        <w:t xml:space="preserve"> </w:t>
      </w:r>
      <w:r>
        <w:rPr>
          <w:rFonts w:ascii="David" w:hAnsi="David"/>
          <w:sz w:val="24"/>
          <w:rtl/>
        </w:rPr>
        <w:t>שניסו</w:t>
      </w:r>
      <w:r>
        <w:rPr>
          <w:rFonts w:ascii="David" w:hAnsi="David"/>
          <w:sz w:val="24"/>
        </w:rPr>
        <w:t xml:space="preserve"> </w:t>
      </w:r>
      <w:r>
        <w:rPr>
          <w:rFonts w:ascii="David" w:hAnsi="David"/>
          <w:sz w:val="24"/>
          <w:rtl/>
        </w:rPr>
        <w:t>לפנות</w:t>
      </w:r>
      <w:r>
        <w:rPr>
          <w:rFonts w:ascii="David" w:hAnsi="David"/>
          <w:sz w:val="24"/>
        </w:rPr>
        <w:t xml:space="preserve"> </w:t>
      </w:r>
      <w:r>
        <w:rPr>
          <w:rFonts w:ascii="David" w:hAnsi="David"/>
          <w:sz w:val="24"/>
          <w:rtl/>
        </w:rPr>
        <w:t>אבל</w:t>
      </w:r>
      <w:r>
        <w:rPr>
          <w:rFonts w:ascii="David" w:hAnsi="David"/>
          <w:sz w:val="24"/>
        </w:rPr>
        <w:t xml:space="preserve"> </w:t>
      </w:r>
      <w:r>
        <w:rPr>
          <w:rFonts w:ascii="David" w:hAnsi="David"/>
          <w:sz w:val="24"/>
          <w:rtl/>
        </w:rPr>
        <w:t>סירבה</w:t>
      </w:r>
      <w:r>
        <w:rPr>
          <w:rFonts w:ascii="David" w:hAnsi="David"/>
          <w:sz w:val="24"/>
        </w:rPr>
        <w:t xml:space="preserve"> </w:t>
      </w:r>
      <w:r>
        <w:rPr>
          <w:rFonts w:ascii="David" w:hAnsi="David"/>
          <w:sz w:val="24"/>
          <w:rtl/>
        </w:rPr>
        <w:t>הבת</w:t>
      </w:r>
      <w:r>
        <w:rPr>
          <w:rFonts w:ascii="David" w:hAnsi="David"/>
          <w:sz w:val="24"/>
        </w:rPr>
        <w:t xml:space="preserve"> </w:t>
      </w:r>
      <w:r>
        <w:rPr>
          <w:rFonts w:ascii="David" w:hAnsi="David"/>
          <w:sz w:val="24"/>
          <w:rtl/>
        </w:rPr>
        <w:t>לדבר...</w:t>
      </w:r>
      <w:r>
        <w:rPr>
          <w:rFonts w:ascii="David" w:hAnsi="David"/>
          <w:sz w:val="24"/>
        </w:rPr>
        <w:t xml:space="preserve"> </w:t>
      </w:r>
      <w:r>
        <w:rPr>
          <w:rFonts w:ascii="David" w:hAnsi="David"/>
          <w:sz w:val="24"/>
          <w:rtl/>
        </w:rPr>
        <w:t>וגם</w:t>
      </w:r>
      <w:r>
        <w:rPr>
          <w:rFonts w:ascii="David" w:hAnsi="David"/>
          <w:sz w:val="24"/>
        </w:rPr>
        <w:t xml:space="preserve"> </w:t>
      </w:r>
      <w:r>
        <w:rPr>
          <w:rFonts w:ascii="David" w:hAnsi="David"/>
          <w:sz w:val="24"/>
          <w:rtl/>
        </w:rPr>
        <w:t>צריך</w:t>
      </w:r>
      <w:r>
        <w:rPr>
          <w:rFonts w:ascii="David" w:hAnsi="David"/>
          <w:sz w:val="24"/>
        </w:rPr>
        <w:t xml:space="preserve"> </w:t>
      </w:r>
      <w:r>
        <w:rPr>
          <w:rFonts w:ascii="David" w:hAnsi="David"/>
          <w:sz w:val="24"/>
          <w:rtl/>
        </w:rPr>
        <w:t>להבין</w:t>
      </w:r>
      <w:r>
        <w:rPr>
          <w:rFonts w:ascii="David" w:hAnsi="David"/>
          <w:sz w:val="24"/>
        </w:rPr>
        <w:t xml:space="preserve"> </w:t>
      </w:r>
      <w:r>
        <w:rPr>
          <w:rFonts w:ascii="David" w:hAnsi="David"/>
          <w:sz w:val="24"/>
          <w:rtl/>
        </w:rPr>
        <w:t>שמבחינת</w:t>
      </w:r>
      <w:r>
        <w:rPr>
          <w:rFonts w:ascii="David" w:hAnsi="David"/>
          <w:sz w:val="24"/>
        </w:rPr>
        <w:t xml:space="preserve"> </w:t>
      </w:r>
      <w:r>
        <w:rPr>
          <w:rFonts w:ascii="David" w:hAnsi="David"/>
          <w:sz w:val="24"/>
          <w:rtl/>
        </w:rPr>
        <w:t>ההתנהלות,</w:t>
      </w:r>
      <w:r>
        <w:rPr>
          <w:rFonts w:ascii="David" w:hAnsi="David"/>
          <w:sz w:val="24"/>
        </w:rPr>
        <w:t xml:space="preserve"> </w:t>
      </w:r>
      <w:r>
        <w:rPr>
          <w:rFonts w:ascii="David" w:hAnsi="David"/>
          <w:sz w:val="24"/>
          <w:rtl/>
        </w:rPr>
        <w:t>האינטרס</w:t>
      </w:r>
      <w:r>
        <w:rPr>
          <w:rFonts w:ascii="David" w:hAnsi="David"/>
          <w:sz w:val="24"/>
        </w:rPr>
        <w:t xml:space="preserve"> </w:t>
      </w:r>
      <w:r>
        <w:rPr>
          <w:rFonts w:ascii="David" w:hAnsi="David"/>
          <w:sz w:val="24"/>
          <w:rtl/>
        </w:rPr>
        <w:t>שלנו</w:t>
      </w:r>
      <w:r>
        <w:rPr>
          <w:rFonts w:ascii="David" w:hAnsi="David"/>
          <w:sz w:val="24"/>
        </w:rPr>
        <w:t xml:space="preserve"> </w:t>
      </w:r>
      <w:r>
        <w:rPr>
          <w:rFonts w:ascii="David" w:hAnsi="David"/>
          <w:sz w:val="24"/>
          <w:rtl/>
        </w:rPr>
        <w:t>הוא</w:t>
      </w:r>
      <w:r>
        <w:rPr>
          <w:rFonts w:ascii="David" w:hAnsi="David"/>
          <w:sz w:val="24"/>
        </w:rPr>
        <w:t xml:space="preserve"> </w:t>
      </w:r>
      <w:r>
        <w:rPr>
          <w:rFonts w:ascii="David" w:hAnsi="David"/>
          <w:sz w:val="24"/>
          <w:rtl/>
        </w:rPr>
        <w:t>קודם</w:t>
      </w:r>
      <w:r>
        <w:rPr>
          <w:rFonts w:ascii="David" w:hAnsi="David"/>
          <w:sz w:val="24"/>
        </w:rPr>
        <w:t xml:space="preserve"> </w:t>
      </w:r>
      <w:r>
        <w:rPr>
          <w:rFonts w:ascii="David" w:hAnsi="David"/>
          <w:sz w:val="24"/>
          <w:rtl/>
        </w:rPr>
        <w:t>כל</w:t>
      </w:r>
      <w:r>
        <w:rPr>
          <w:rFonts w:ascii="David" w:hAnsi="David"/>
          <w:sz w:val="24"/>
        </w:rPr>
        <w:t xml:space="preserve"> </w:t>
      </w:r>
      <w:r>
        <w:rPr>
          <w:rFonts w:ascii="David" w:hAnsi="David"/>
          <w:sz w:val="24"/>
          <w:rtl/>
        </w:rPr>
        <w:t>להמשיך</w:t>
      </w:r>
      <w:r>
        <w:rPr>
          <w:rFonts w:ascii="David" w:hAnsi="David"/>
          <w:sz w:val="24"/>
        </w:rPr>
        <w:t xml:space="preserve"> </w:t>
      </w:r>
      <w:r>
        <w:rPr>
          <w:rFonts w:ascii="David" w:hAnsi="David"/>
          <w:sz w:val="24"/>
          <w:rtl/>
        </w:rPr>
        <w:t>ולתת</w:t>
      </w:r>
      <w:r>
        <w:rPr>
          <w:rFonts w:ascii="David" w:hAnsi="David"/>
          <w:sz w:val="24"/>
        </w:rPr>
        <w:t xml:space="preserve"> </w:t>
      </w:r>
      <w:r>
        <w:rPr>
          <w:rFonts w:ascii="David" w:hAnsi="David"/>
          <w:sz w:val="24"/>
          <w:rtl/>
        </w:rPr>
        <w:t>שירות, זו</w:t>
      </w:r>
      <w:r>
        <w:rPr>
          <w:rFonts w:ascii="David" w:hAnsi="David"/>
          <w:sz w:val="24"/>
        </w:rPr>
        <w:t xml:space="preserve"> </w:t>
      </w:r>
      <w:r>
        <w:rPr>
          <w:rFonts w:ascii="David" w:hAnsi="David"/>
          <w:sz w:val="24"/>
          <w:rtl/>
        </w:rPr>
        <w:t>המטרה</w:t>
      </w:r>
      <w:r>
        <w:rPr>
          <w:rFonts w:ascii="David" w:hAnsi="David"/>
          <w:sz w:val="24"/>
        </w:rPr>
        <w:t xml:space="preserve"> </w:t>
      </w:r>
      <w:r>
        <w:rPr>
          <w:rFonts w:ascii="David" w:hAnsi="David"/>
          <w:sz w:val="24"/>
          <w:rtl/>
        </w:rPr>
        <w:t>שלנו, זה</w:t>
      </w:r>
      <w:r>
        <w:rPr>
          <w:rFonts w:ascii="David" w:hAnsi="David"/>
          <w:sz w:val="24"/>
        </w:rPr>
        <w:t xml:space="preserve"> </w:t>
      </w:r>
      <w:r>
        <w:rPr>
          <w:rFonts w:ascii="David" w:hAnsi="David"/>
          <w:sz w:val="24"/>
          <w:rtl/>
        </w:rPr>
        <w:t>התפקיד</w:t>
      </w:r>
      <w:r>
        <w:rPr>
          <w:rFonts w:ascii="David" w:hAnsi="David"/>
          <w:sz w:val="24"/>
        </w:rPr>
        <w:t xml:space="preserve"> </w:t>
      </w:r>
      <w:r>
        <w:rPr>
          <w:rFonts w:ascii="David" w:hAnsi="David"/>
          <w:sz w:val="24"/>
          <w:rtl/>
        </w:rPr>
        <w:t>שלנו, וגם</w:t>
      </w:r>
      <w:r>
        <w:rPr>
          <w:rFonts w:ascii="David" w:hAnsi="David"/>
          <w:sz w:val="24"/>
        </w:rPr>
        <w:t xml:space="preserve"> </w:t>
      </w:r>
      <w:r>
        <w:rPr>
          <w:rFonts w:ascii="David" w:hAnsi="David"/>
          <w:sz w:val="24"/>
          <w:rtl/>
        </w:rPr>
        <w:t>זו</w:t>
      </w:r>
      <w:r>
        <w:rPr>
          <w:rFonts w:ascii="David" w:hAnsi="David"/>
          <w:sz w:val="24"/>
        </w:rPr>
        <w:t xml:space="preserve"> </w:t>
      </w:r>
      <w:r>
        <w:rPr>
          <w:rFonts w:ascii="David" w:hAnsi="David"/>
          <w:sz w:val="24"/>
          <w:rtl/>
        </w:rPr>
        <w:t>הדרך</w:t>
      </w:r>
      <w:r>
        <w:rPr>
          <w:rFonts w:ascii="David" w:hAnsi="David"/>
          <w:sz w:val="24"/>
        </w:rPr>
        <w:t xml:space="preserve"> </w:t>
      </w:r>
      <w:r>
        <w:rPr>
          <w:rFonts w:ascii="David" w:hAnsi="David"/>
          <w:sz w:val="24"/>
          <w:rtl/>
        </w:rPr>
        <w:t>היחידה</w:t>
      </w:r>
      <w:r>
        <w:rPr>
          <w:rFonts w:ascii="David" w:hAnsi="David"/>
          <w:sz w:val="24"/>
        </w:rPr>
        <w:t xml:space="preserve"> </w:t>
      </w:r>
      <w:r>
        <w:rPr>
          <w:rFonts w:ascii="David" w:hAnsi="David"/>
          <w:sz w:val="24"/>
          <w:rtl/>
        </w:rPr>
        <w:t>שבה</w:t>
      </w:r>
      <w:r>
        <w:rPr>
          <w:rFonts w:ascii="David" w:hAnsi="David"/>
          <w:sz w:val="24"/>
        </w:rPr>
        <w:t xml:space="preserve"> </w:t>
      </w:r>
      <w:r>
        <w:rPr>
          <w:rFonts w:ascii="David" w:hAnsi="David"/>
          <w:sz w:val="24"/>
          <w:rtl/>
        </w:rPr>
        <w:t>אנחנו</w:t>
      </w:r>
      <w:r>
        <w:rPr>
          <w:rFonts w:ascii="David" w:hAnsi="David"/>
          <w:sz w:val="24"/>
        </w:rPr>
        <w:t xml:space="preserve"> </w:t>
      </w:r>
      <w:r>
        <w:rPr>
          <w:rFonts w:ascii="David" w:hAnsi="David"/>
          <w:sz w:val="24"/>
          <w:rtl/>
        </w:rPr>
        <w:t>בעצם</w:t>
      </w:r>
      <w:r>
        <w:rPr>
          <w:rFonts w:ascii="David" w:hAnsi="David"/>
          <w:sz w:val="24"/>
        </w:rPr>
        <w:t xml:space="preserve"> </w:t>
      </w:r>
      <w:r>
        <w:rPr>
          <w:rFonts w:ascii="David" w:hAnsi="David"/>
          <w:sz w:val="24"/>
          <w:rtl/>
        </w:rPr>
        <w:t>מתוגמלים</w:t>
      </w:r>
      <w:r>
        <w:rPr>
          <w:rFonts w:ascii="David" w:hAnsi="David"/>
          <w:sz w:val="24"/>
        </w:rPr>
        <w:t xml:space="preserve"> </w:t>
      </w:r>
      <w:r>
        <w:rPr>
          <w:rFonts w:ascii="David" w:hAnsi="David"/>
          <w:sz w:val="24"/>
          <w:rtl/>
        </w:rPr>
        <w:t>כחברה, ולכן</w:t>
      </w:r>
      <w:r>
        <w:rPr>
          <w:rFonts w:ascii="David" w:hAnsi="David"/>
          <w:sz w:val="24"/>
        </w:rPr>
        <w:t xml:space="preserve"> </w:t>
      </w:r>
      <w:r>
        <w:rPr>
          <w:rFonts w:ascii="David" w:hAnsi="David"/>
          <w:sz w:val="24"/>
          <w:rtl/>
        </w:rPr>
        <w:t>המטרה</w:t>
      </w:r>
      <w:r>
        <w:rPr>
          <w:rFonts w:ascii="David" w:hAnsi="David"/>
          <w:sz w:val="24"/>
        </w:rPr>
        <w:t xml:space="preserve"> </w:t>
      </w:r>
      <w:r>
        <w:rPr>
          <w:rFonts w:ascii="David" w:hAnsi="David"/>
          <w:sz w:val="24"/>
          <w:rtl/>
        </w:rPr>
        <w:t>הראשונה</w:t>
      </w:r>
      <w:r>
        <w:rPr>
          <w:rFonts w:ascii="David" w:hAnsi="David"/>
          <w:sz w:val="24"/>
        </w:rPr>
        <w:t xml:space="preserve"> </w:t>
      </w:r>
      <w:r>
        <w:rPr>
          <w:rFonts w:ascii="David" w:hAnsi="David"/>
          <w:sz w:val="24"/>
          <w:rtl/>
        </w:rPr>
        <w:t>שלנו</w:t>
      </w:r>
      <w:r>
        <w:rPr>
          <w:rFonts w:ascii="David" w:hAnsi="David"/>
          <w:sz w:val="24"/>
        </w:rPr>
        <w:t xml:space="preserve"> </w:t>
      </w:r>
      <w:r>
        <w:rPr>
          <w:rFonts w:ascii="David" w:hAnsi="David"/>
          <w:sz w:val="24"/>
          <w:rtl/>
        </w:rPr>
        <w:t>היא</w:t>
      </w:r>
      <w:r>
        <w:rPr>
          <w:rFonts w:ascii="David" w:hAnsi="David"/>
          <w:sz w:val="24"/>
        </w:rPr>
        <w:t xml:space="preserve"> </w:t>
      </w:r>
      <w:r>
        <w:rPr>
          <w:rFonts w:ascii="David" w:hAnsi="David"/>
          <w:sz w:val="24"/>
          <w:rtl/>
        </w:rPr>
        <w:t>להמשיך</w:t>
      </w:r>
      <w:r>
        <w:rPr>
          <w:rFonts w:ascii="David" w:hAnsi="David"/>
          <w:sz w:val="24"/>
        </w:rPr>
        <w:t xml:space="preserve"> </w:t>
      </w:r>
      <w:r>
        <w:rPr>
          <w:rFonts w:ascii="David" w:hAnsi="David"/>
          <w:sz w:val="24"/>
          <w:rtl/>
        </w:rPr>
        <w:t>לתת</w:t>
      </w:r>
      <w:r>
        <w:rPr>
          <w:rFonts w:ascii="David" w:hAnsi="David"/>
          <w:sz w:val="24"/>
        </w:rPr>
        <w:t xml:space="preserve"> </w:t>
      </w:r>
      <w:r>
        <w:rPr>
          <w:rFonts w:ascii="David" w:hAnsi="David"/>
          <w:sz w:val="24"/>
          <w:rtl/>
        </w:rPr>
        <w:t xml:space="preserve">שירות" (עמוד 81 לפרוטוקול מיום 1.12.2022, שורות 6-1). </w:t>
      </w:r>
    </w:p>
    <w:p w:rsidR="005A3691" w:rsidRDefault="005A3691" w:rsidP="005A3691">
      <w:pPr>
        <w:rPr>
          <w:rFonts w:ascii="David" w:hAnsi="David"/>
        </w:rPr>
      </w:pPr>
    </w:p>
    <w:p w:rsidR="005A3691" w:rsidRDefault="005A3691" w:rsidP="005A3691">
      <w:pPr>
        <w:pStyle w:val="ad"/>
        <w:ind w:left="0" w:firstLine="720"/>
        <w:rPr>
          <w:rFonts w:ascii="David" w:hAnsi="David"/>
          <w:sz w:val="24"/>
          <w:rtl/>
        </w:rPr>
      </w:pPr>
      <w:r>
        <w:rPr>
          <w:rFonts w:ascii="David" w:hAnsi="David"/>
          <w:sz w:val="24"/>
          <w:rtl/>
        </w:rPr>
        <w:t>אני ערה לטענת התובעת, שהנתבעת לא זימנה לעדות מטעמה את מנהלת הסניף שטיפלה בעניין באופן אישי. אכן, אי-העדתה עלולה לפעול לחובת הנתבעת. אולם במקרה זה מהתרשמותי מהראיות ממועד האירוע, כמו גם מעדותן של התובעת ונכדתה לפניי, לא מצאתי שיש בכך כדי להפריך את הגרסה של הנתבעת, הנסמכת על מסמכים בכתב ממועד האירוע. וכך העיד מנכ"ל הנתבעת שהסביר כי מנהלת הסניף אינה עובדת בחברה כבר מספר שנים: "אני הצהרתי פה על הדברים הכתובים, הצהרתי פה על הנוהל, הצהרתי פה על המדיניות" (עמוד 75 לפרוטוקול מיום 1.12.2022, שורה 5). וגם: "אני הסתמכתי על הטופס הזה שמתויק אצלנו, התיוקים אצלנו שמורים כמו שצריך, אנחנו מחויבים, אנחנו ארגון גדול ומסודר.." (שם, עמוד 76 שורות 16-14). אוסיף שמדובר במסמכים שנערכו במהלך העסקים הרגיל, ואין סיבה לפקפק באמינותם.</w:t>
      </w:r>
    </w:p>
    <w:p w:rsidR="005A3691" w:rsidRDefault="005A3691" w:rsidP="005A3691">
      <w:pPr>
        <w:pStyle w:val="ad"/>
        <w:ind w:left="0" w:firstLine="720"/>
        <w:rPr>
          <w:rFonts w:ascii="David" w:hAnsi="David"/>
          <w:sz w:val="24"/>
          <w:rtl/>
        </w:rPr>
      </w:pPr>
    </w:p>
    <w:p w:rsidR="005A3691" w:rsidRDefault="005A3691" w:rsidP="00E8455D">
      <w:pPr>
        <w:pStyle w:val="ad"/>
        <w:ind w:left="0" w:firstLine="720"/>
        <w:rPr>
          <w:rFonts w:ascii="David" w:hAnsi="David"/>
          <w:sz w:val="24"/>
          <w:rtl/>
        </w:rPr>
      </w:pPr>
      <w:r>
        <w:rPr>
          <w:rFonts w:ascii="David" w:hAnsi="David"/>
          <w:sz w:val="24"/>
          <w:rtl/>
        </w:rPr>
        <w:t>בחנתי את טענת התובעת כי קיימת סתירה במסמכי הנתבעת ממועד האירוע ואיני מוצאת בה ממש. כשנשאל מנכ"ל הנתבעת בחקירתו כיצד הוא יודע שמדובר במסמך מזמן אמת השיב "זה מייל שיצא מתוך המערכת, הוא כתוב, הוא מודפס עם כל הפרטים, עם התאריך, מופיע פה כל הדברים, וככה את יכולה לדעת את זה". לשאלת ב"כ ה</w:t>
      </w:r>
      <w:r w:rsidR="00E8455D">
        <w:rPr>
          <w:rFonts w:ascii="David" w:hAnsi="David" w:hint="cs"/>
          <w:sz w:val="24"/>
          <w:rtl/>
        </w:rPr>
        <w:t>תובעת</w:t>
      </w:r>
      <w:r>
        <w:rPr>
          <w:rFonts w:ascii="David" w:hAnsi="David"/>
          <w:sz w:val="24"/>
          <w:rtl/>
        </w:rPr>
        <w:t>: "למה, אי אפשר לעשות פוטושופ</w:t>
      </w:r>
      <w:r>
        <w:rPr>
          <w:rFonts w:ascii="David" w:hAnsi="David"/>
          <w:sz w:val="24"/>
        </w:rPr>
        <w:t>?</w:t>
      </w:r>
      <w:r>
        <w:rPr>
          <w:rFonts w:ascii="David" w:hAnsi="David"/>
          <w:sz w:val="24"/>
          <w:rtl/>
        </w:rPr>
        <w:t xml:space="preserve">" השיב: "אנחנו לא נוהגים לעשות את זה, אנחנו לא עושים את זה, אנחנו חברה גדולה, ציבורית, ולא עוסקים בלזייף מסמכים" (עמוד 84 לפרוטוקול מיום 1.12.2022, שורות 6-9). </w:t>
      </w:r>
    </w:p>
    <w:p w:rsidR="005A3691" w:rsidRDefault="005A3691" w:rsidP="00DF6549">
      <w:pPr>
        <w:pStyle w:val="ad"/>
        <w:numPr>
          <w:ilvl w:val="0"/>
          <w:numId w:val="1"/>
        </w:numPr>
        <w:ind w:left="0" w:firstLine="0"/>
        <w:rPr>
          <w:rFonts w:ascii="David" w:hAnsi="David"/>
          <w:sz w:val="24"/>
        </w:rPr>
      </w:pPr>
      <w:r>
        <w:rPr>
          <w:rFonts w:ascii="David" w:hAnsi="David"/>
          <w:sz w:val="24"/>
          <w:rtl/>
        </w:rPr>
        <w:lastRenderedPageBreak/>
        <w:t xml:space="preserve">חיזוק לגרסת הנתבעת שהמנוח ובני משפחתו סירבו "לשתף פעולה" בהליך הברור עד שהמטפלת תתנצל, מצאתי </w:t>
      </w:r>
      <w:r w:rsidRPr="00DF6549">
        <w:rPr>
          <w:rFonts w:ascii="David" w:hAnsi="David"/>
          <w:sz w:val="24"/>
          <w:rtl/>
        </w:rPr>
        <w:t>גם בראיות התובעת</w:t>
      </w:r>
      <w:r>
        <w:rPr>
          <w:rFonts w:ascii="David" w:hAnsi="David"/>
          <w:sz w:val="24"/>
          <w:rtl/>
        </w:rPr>
        <w:t xml:space="preserve">. ראשית, המכתב ששלחה נכדת התובעת, לא כולל התייחסות קונקרטית לאירוע, פרט להכחשה גורפת ואמירה כי המטפלת זכתה ליחס טוב, פירוט עברו כניצול שואה ומצבו הרפואי (נספח ב1 לתצהיר הנכדה) מהמכתב עולה טרוניה על כך שלא הוגשה תלונה במשטרה על ידי המטפלת והתראה כי בכוונת המשפחה לנקוט בהליכים על פי </w:t>
      </w:r>
      <w:r w:rsidRPr="00E8455D">
        <w:rPr>
          <w:rFonts w:ascii="David" w:hAnsi="David"/>
          <w:sz w:val="24"/>
          <w:rtl/>
        </w:rPr>
        <w:t>חוק איסור לשון הרע. אין שם בקשה לשוחח עם המנוח, או מענה ענייני לטענות המטפלת.</w:t>
      </w:r>
      <w:r>
        <w:rPr>
          <w:rFonts w:ascii="David" w:hAnsi="David"/>
          <w:sz w:val="24"/>
          <w:rtl/>
        </w:rPr>
        <w:t xml:space="preserve"> </w:t>
      </w:r>
    </w:p>
    <w:p w:rsidR="005A3691" w:rsidRDefault="005A3691" w:rsidP="005A3691">
      <w:pPr>
        <w:pStyle w:val="ad"/>
        <w:rPr>
          <w:rFonts w:ascii="David" w:hAnsi="David"/>
          <w:sz w:val="24"/>
          <w:highlight w:val="yellow"/>
        </w:rPr>
      </w:pPr>
    </w:p>
    <w:p w:rsidR="005A3691" w:rsidRDefault="005A3691" w:rsidP="00E8455D">
      <w:pPr>
        <w:pStyle w:val="ad"/>
        <w:ind w:left="0" w:firstLine="720"/>
        <w:rPr>
          <w:rFonts w:ascii="David" w:hAnsi="David"/>
          <w:sz w:val="24"/>
          <w:rtl/>
        </w:rPr>
      </w:pPr>
      <w:r>
        <w:rPr>
          <w:rFonts w:ascii="David" w:hAnsi="David"/>
          <w:sz w:val="24"/>
          <w:rtl/>
        </w:rPr>
        <w:t>שנית, מתמלול הדיון בוועדה בלשכת הרווחה, שצורף כמוצג מטעם התובעת, עולה כי המנוח סירב לדבר שם, השפיל מבטו ולא שיתף פעולה (שורה 40 בעמ</w:t>
      </w:r>
      <w:r w:rsidR="00E8455D">
        <w:rPr>
          <w:rFonts w:ascii="David" w:hAnsi="David" w:hint="cs"/>
          <w:sz w:val="24"/>
          <w:rtl/>
        </w:rPr>
        <w:t>וד</w:t>
      </w:r>
      <w:r>
        <w:rPr>
          <w:rFonts w:ascii="David" w:hAnsi="David"/>
          <w:sz w:val="24"/>
          <w:rtl/>
        </w:rPr>
        <w:t xml:space="preserve"> 1 עד שורה 1 בעמ</w:t>
      </w:r>
      <w:r w:rsidR="00E8455D">
        <w:rPr>
          <w:rFonts w:ascii="David" w:hAnsi="David" w:hint="cs"/>
          <w:sz w:val="24"/>
          <w:rtl/>
        </w:rPr>
        <w:t>וד</w:t>
      </w:r>
      <w:r>
        <w:rPr>
          <w:rFonts w:ascii="David" w:hAnsi="David"/>
          <w:sz w:val="24"/>
          <w:rtl/>
        </w:rPr>
        <w:t xml:space="preserve"> 2, נספח 2 לתצהיר התובעת). לדיון בוועדת הערר, המנוח כלל לא התייצב. עובדות אלו תומכות בגרסה של הנתבעת, שהמנוח ומשפחתו סירבו לשתף פעולה. ניתן רק לשער שלוּ היו משתפים פעולה בזמן אמת, הדבר היה מסייע לחברת הסיעוד בבירור התלונה. אולם מחומר הראיות שהונח לפניי, כמו גם מחקירות העדים, התרשמתי שהתובעת ובִתה חשו פגיעה ועלבון מהאירוע, הדפו את הדברים באופן גורף ודבקו בדרישה כי המטפלת תתנצל ובהעלאת טענות כגון: "אם אין תלונה (במשטרה – ע' נ' ב') זאת הוצאת דיבה נקודה" (מדברי נכדת המנוח בוועדה המקומית ברווחה, </w:t>
      </w:r>
      <w:r>
        <w:rPr>
          <w:rtl/>
        </w:rPr>
        <w:t>שם, עמוד 8, שורות 3-4</w:t>
      </w:r>
      <w:r>
        <w:rPr>
          <w:rFonts w:ascii="David" w:hAnsi="David"/>
          <w:sz w:val="24"/>
          <w:rtl/>
        </w:rPr>
        <w:t xml:space="preserve">). העובדה שהתובעת ביקשה לנתק קשר עם חברת הסיעוד ולעבור לקבל את השירות דרך חברה אחרת, תומכת אף היא במסקנה זו (שם, עמוד 10 שורה 1).  </w:t>
      </w:r>
    </w:p>
    <w:p w:rsidR="005A3691" w:rsidRDefault="005A3691" w:rsidP="005A3691">
      <w:pPr>
        <w:pStyle w:val="ad"/>
        <w:ind w:left="0"/>
        <w:rPr>
          <w:rFonts w:ascii="David" w:hAnsi="David"/>
          <w:sz w:val="24"/>
        </w:rPr>
      </w:pPr>
    </w:p>
    <w:p w:rsidR="005A3691" w:rsidRDefault="005A3691" w:rsidP="005A3691">
      <w:pPr>
        <w:pStyle w:val="ad"/>
        <w:ind w:left="0"/>
        <w:rPr>
          <w:rFonts w:ascii="David" w:hAnsi="David"/>
          <w:sz w:val="24"/>
          <w:rtl/>
        </w:rPr>
      </w:pPr>
      <w:r>
        <w:rPr>
          <w:rFonts w:ascii="David" w:hAnsi="David"/>
          <w:sz w:val="24"/>
          <w:rtl/>
        </w:rPr>
        <w:tab/>
        <w:t>בהקשר זה מצאתי להוסיף כי אי הגשת תלונה במשטרה על ידי אדם שטוען כי נפגע או הוטרד, אינה ראיה לכך שהאירוע לא קרה. קיימים חסמים וסיבות מדוע נמנעים נפגעות ונפגעי מין מלהתלונן על כך במשטרה. הפסיקה אף עמדה על כך שגם "שיהוי" בהגשת תלונה אינו מצביע על היותה "כבושה", ואינו מקים עילה שלא לתת בה אמון (</w:t>
      </w:r>
      <w:r>
        <w:rPr>
          <w:color w:val="000000"/>
          <w:sz w:val="24"/>
          <w:rtl/>
        </w:rPr>
        <w:t xml:space="preserve">ע"א 7426/14 </w:t>
      </w:r>
      <w:r>
        <w:rPr>
          <w:b/>
          <w:bCs/>
          <w:color w:val="000000"/>
          <w:sz w:val="24"/>
          <w:rtl/>
        </w:rPr>
        <w:t>פלונית נ' דניאל</w:t>
      </w:r>
      <w:r>
        <w:rPr>
          <w:color w:val="000000"/>
          <w:sz w:val="24"/>
          <w:rtl/>
        </w:rPr>
        <w:t>, פסקאות 8, 14 לחוות דעתו של כב' השופט עמית (14.3.2016)</w:t>
      </w:r>
      <w:r>
        <w:rPr>
          <w:rFonts w:ascii="David" w:hAnsi="David"/>
          <w:sz w:val="24"/>
          <w:rtl/>
        </w:rPr>
        <w:t xml:space="preserve">; </w:t>
      </w:r>
      <w:r>
        <w:rPr>
          <w:rFonts w:ascii="David" w:hAnsi="David"/>
          <w:color w:val="000000"/>
          <w:sz w:val="24"/>
          <w:rtl/>
        </w:rPr>
        <w:t>סע"ש (אזורי ת"א) 23075-08-15</w:t>
      </w:r>
      <w:r>
        <w:rPr>
          <w:rFonts w:ascii="David" w:hAnsi="David"/>
          <w:b/>
          <w:bCs/>
          <w:color w:val="000000"/>
          <w:sz w:val="24"/>
          <w:rtl/>
        </w:rPr>
        <w:t xml:space="preserve"> כהן -מוצן - מאיר</w:t>
      </w:r>
      <w:r>
        <w:rPr>
          <w:rFonts w:ascii="David" w:hAnsi="David"/>
          <w:color w:val="000000"/>
          <w:sz w:val="24"/>
          <w:rtl/>
        </w:rPr>
        <w:t xml:space="preserve">, פסקה 88-87 (6.5.2019) (להלן: עניין </w:t>
      </w:r>
      <w:r>
        <w:rPr>
          <w:rFonts w:ascii="David" w:hAnsi="David"/>
          <w:b/>
          <w:bCs/>
          <w:color w:val="000000"/>
          <w:sz w:val="24"/>
          <w:rtl/>
        </w:rPr>
        <w:t>כהן-מוצן</w:t>
      </w:r>
      <w:r>
        <w:rPr>
          <w:rFonts w:ascii="David" w:hAnsi="David"/>
          <w:color w:val="000000"/>
          <w:sz w:val="24"/>
          <w:rtl/>
        </w:rPr>
        <w:t xml:space="preserve">). </w:t>
      </w:r>
      <w:r>
        <w:rPr>
          <w:rFonts w:ascii="David" w:hAnsi="David"/>
          <w:sz w:val="24"/>
          <w:rtl/>
        </w:rPr>
        <w:t xml:space="preserve">במקרה זה המטפלת ציינה בזמן אמת בפני מנהלת הלשכה, וחזרה על כך בעדותה בפניי, כי המנוח היה אדם נחמד, שהיא לא רצתה להסב לו נזק, אך רצתה להפסיק את עבודתה שם, לאחר שנצמד לגופה באופן שהסב לה אי נעימות.  </w:t>
      </w:r>
    </w:p>
    <w:p w:rsidR="005A3691" w:rsidRDefault="005A3691" w:rsidP="005A3691">
      <w:pPr>
        <w:pStyle w:val="ad"/>
        <w:ind w:left="0"/>
        <w:rPr>
          <w:rFonts w:ascii="David" w:hAnsi="David"/>
          <w:sz w:val="24"/>
          <w:rtl/>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באשר לטענת התובעת כי תוכן הפרסום אינו נכון. ראשית, התובעת ונכדתה לא נכחו באירוע ועדותן בעניין זה היא עדות שמועה. שנית, לא הוצגה לי גרסת המנוח לאירוע. לא ממועד האירוע, ואף לא ממועד מאוחר יותר, טרם פטירתו. למעשה, פרט להכחשה גורפת של בני המשפחה, לא קיימת כל התייחסות לדברים לגופם. </w:t>
      </w:r>
    </w:p>
    <w:p w:rsidR="005A3691" w:rsidRDefault="005A3691" w:rsidP="005A3691">
      <w:pPr>
        <w:pStyle w:val="ad"/>
        <w:ind w:left="0"/>
        <w:rPr>
          <w:rFonts w:ascii="David" w:hAnsi="David"/>
          <w:sz w:val="24"/>
        </w:rPr>
      </w:pPr>
    </w:p>
    <w:p w:rsidR="005A3691" w:rsidRDefault="005A3691" w:rsidP="005A3691">
      <w:pPr>
        <w:pStyle w:val="ad"/>
        <w:numPr>
          <w:ilvl w:val="0"/>
          <w:numId w:val="1"/>
        </w:numPr>
        <w:ind w:left="0" w:firstLine="0"/>
        <w:rPr>
          <w:rFonts w:ascii="David" w:hAnsi="David"/>
          <w:sz w:val="24"/>
        </w:rPr>
      </w:pPr>
      <w:r>
        <w:rPr>
          <w:rFonts w:ascii="David" w:hAnsi="David"/>
          <w:sz w:val="24"/>
          <w:rtl/>
        </w:rPr>
        <w:t xml:space="preserve">באשר לעדות המטפלת, שזומנה כעדה מטעם התובעת. המטפלת העידה שלא אמרה לחברת הסיעוד שהנתבע "נגע לה בחזה" (עמ' 49 לפרוטוקול דיון ההוכחות מיום </w:t>
      </w:r>
      <w:r>
        <w:rPr>
          <w:rFonts w:ascii="David" w:hAnsi="David"/>
          <w:sz w:val="24"/>
        </w:rPr>
        <w:t>20.11.2022</w:t>
      </w:r>
      <w:r>
        <w:rPr>
          <w:rFonts w:ascii="David" w:hAnsi="David"/>
          <w:sz w:val="24"/>
          <w:rtl/>
        </w:rPr>
        <w:t xml:space="preserve">, שורה 1-3) וגם שלא דיווחה כי "הותקפה מינית" (עמ' 48 לפרוטוקול דיון ההוכחות מיום </w:t>
      </w:r>
      <w:r>
        <w:rPr>
          <w:rFonts w:ascii="David" w:hAnsi="David"/>
          <w:sz w:val="24"/>
        </w:rPr>
        <w:t>20.11.2022</w:t>
      </w:r>
      <w:r>
        <w:rPr>
          <w:rFonts w:ascii="David" w:hAnsi="David"/>
          <w:sz w:val="24"/>
          <w:rtl/>
        </w:rPr>
        <w:t xml:space="preserve">, שורה </w:t>
      </w:r>
      <w:r>
        <w:rPr>
          <w:rFonts w:ascii="David" w:hAnsi="David"/>
          <w:sz w:val="24"/>
          <w:rtl/>
        </w:rPr>
        <w:lastRenderedPageBreak/>
        <w:t xml:space="preserve">31-32). אכן, קיים פער מסוים בין תלונת המטפלת כפי שנרשמה בזמן אמת על ידי מנהלת חברת הסיעוד, לגרסת המטפלת לפניי. </w:t>
      </w:r>
      <w:r>
        <w:rPr>
          <w:rtl/>
        </w:rPr>
        <w:t xml:space="preserve">אולם מדבריה כשהעידה לפניי עלה בבירור שהמנוח נגע בה בצורה שלא הייתה לה נעימה ונחוותה על ידה כפגיעה. </w:t>
      </w:r>
      <w:r>
        <w:rPr>
          <w:rFonts w:ascii="David" w:hAnsi="David"/>
          <w:sz w:val="24"/>
          <w:rtl/>
        </w:rPr>
        <w:t xml:space="preserve">המטפלת חזרה מספר פעמים על כך ש"כאשר התקרבתי אליו הוא סוג של חיבק אותי" (עמ' 46, שורה 27); וגם: "איש זר נוגע בי" (שורה 30). המטפלת תיארה, באופן בלתי אמצעי, כי זה "לא היה לה נעים" (היא חזרה על ביטוי זה מספר רב של פעמים בעדותה וגם שפת הגוף שלה בזמן עדותה שיקפה זאת), תיארה כיצד הרחיקה אותו מעליה, הושיבה אותו על הכיסא, יצאה מיד מהבית ונסעה במישרין לחברת הסיעוד לדווח על האירוע. "הגעתי לחברה ואמרתי שאבא שלה חיבק אותי, זה לא היה נעים לי ואני לא אחזור לשם יותר" (עמ' 46, שורה 31-33). כשהתבקשה לתאר פעם נוספת את האירוע השיבה: "לחץ אותי כלפי עצמו" (עמוד 47 שורה 18), וגם: "הוא נצמד אלי באופן מלא בכל הגוף" (עמ' 48, שורה 1), וגם: "הוא הצמיד אותי לעצמו או שנצמד אלי". המטפלת אף תיארה שעל מנת להרחיק אותו ממנה "נאלצתי סוג של לדחוף אותו מעצמי" (עמוד 47, שורה 22). </w:t>
      </w:r>
    </w:p>
    <w:p w:rsidR="005A3691" w:rsidRDefault="005A3691" w:rsidP="005A3691">
      <w:pPr>
        <w:pStyle w:val="ad"/>
        <w:ind w:left="0"/>
        <w:rPr>
          <w:rFonts w:ascii="David" w:hAnsi="David"/>
          <w:sz w:val="24"/>
        </w:rPr>
      </w:pPr>
    </w:p>
    <w:p w:rsidR="005A3691" w:rsidRDefault="005A3691" w:rsidP="005A3BEC">
      <w:pPr>
        <w:pStyle w:val="ad"/>
        <w:numPr>
          <w:ilvl w:val="0"/>
          <w:numId w:val="1"/>
        </w:numPr>
        <w:ind w:left="0" w:firstLine="0"/>
        <w:rPr>
          <w:rFonts w:ascii="David" w:hAnsi="David"/>
          <w:sz w:val="24"/>
        </w:rPr>
      </w:pPr>
      <w:r>
        <w:rPr>
          <w:rFonts w:ascii="David" w:hAnsi="David"/>
          <w:sz w:val="24"/>
          <w:rtl/>
        </w:rPr>
        <w:t>יש לזכור שהמטפלת העידה כחמש שנים לאחר האירוע, בעוד שלחברת הסיעו</w:t>
      </w:r>
      <w:r w:rsidR="002A3461">
        <w:rPr>
          <w:rFonts w:ascii="David" w:hAnsi="David"/>
          <w:sz w:val="24"/>
          <w:rtl/>
        </w:rPr>
        <w:t xml:space="preserve">ד הגיעה במישרין מביתו של המנוח </w:t>
      </w:r>
      <w:r>
        <w:rPr>
          <w:rFonts w:ascii="David" w:hAnsi="David"/>
          <w:sz w:val="24"/>
          <w:rtl/>
        </w:rPr>
        <w:t xml:space="preserve">סמוך לאירוע. דבריה תועדו בטופס ברור הטרדה מינית, לאחר שנערכה איתה שיחה נוספת ימים ספורים לאחר האירוע. מכל מקום, במהלך עדותה התרשמתי מדבריה, אופן אמירתם ומשפת הגוף שלה, כי חוותה את המגע שהפעיל כלפיה המנוח כפגיעה, דיווחה על כך במישרין לחברת הסיעוד והודיעה שלא תשוב לעבוד בביתו מסיבה זו. בנסיבות אלו מקובל עלי כי כך גם התרשמה הנתבעת בזמן אמת ודיווחה על כך לעובדת הסוציאלית במשרד הרווחה. ויודגש כי לא היה בדיווח כדי לגבש קביעה עובדתית לגבי מה שארע, אלא תיעוד טענות המטפלת, התרשמות נציגת חברת הסיעוד כי היא נשמעת אמינה וקביעת אופן המשך הטיפול במנוח לאור כך. </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אשר לטענת התובעת כי בשל מצבו הרפואי לא יכול היה המנוח להטריד מינית את המטפלת. עדות המדקרת בעניין זה היא עדות סברה ואין לתת לה משקל. המסמכים הרפואיים שצורפו אמנם מצביעים על מצב רפואי של חולי וזקנה, אולם אין בהם כדי לבסס טענה זו שמהווה עניין שבמומחיות. כך גם באשר לתזה שהעלתה התובעת בדיון כי המנוח "נפל" על המטפלת. יתכן שכך היה, והמטפלת בעדותה לא שללה אפשרות זו, אולם המטפלת הבהירה בעדותה פעמים רבות כי היא חוותה את המגע כלפיה כפגיעה וכך גם דיווחה בזמן אמת לחברת הסיעוד שפעלה בהתאם לתלונת המטפלת שנשמעה אמינה. ודוקו: אופן הדיווח של הנתבעת התמצה בהעברת החוויה של המטפלת כפי שהבינה אותה, והמטפלת חוותה אותה כפגיעה. </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Pr>
      </w:pPr>
      <w:r>
        <w:rPr>
          <w:rFonts w:ascii="David" w:hAnsi="David"/>
          <w:sz w:val="24"/>
          <w:rtl/>
        </w:rPr>
        <w:t xml:space="preserve">אעבור כעת לבחון את יסודות חוק איסור לשון הרע ויישומם במקרה זה. </w:t>
      </w:r>
    </w:p>
    <w:p w:rsidR="005A3BEC" w:rsidRPr="005A3BEC" w:rsidRDefault="005A3BEC" w:rsidP="005A3BEC">
      <w:pPr>
        <w:pStyle w:val="ad"/>
        <w:rPr>
          <w:rFonts w:ascii="David" w:hAnsi="David"/>
          <w:sz w:val="24"/>
          <w:rtl/>
        </w:rPr>
      </w:pPr>
    </w:p>
    <w:p w:rsidR="005A3BEC" w:rsidRDefault="005A3BEC" w:rsidP="005A3BEC">
      <w:pPr>
        <w:rPr>
          <w:rFonts w:ascii="David" w:hAnsi="David"/>
          <w:rtl/>
        </w:rPr>
      </w:pPr>
    </w:p>
    <w:p w:rsidR="005A3BEC" w:rsidRDefault="005A3BEC" w:rsidP="005A3BEC">
      <w:pPr>
        <w:rPr>
          <w:rFonts w:ascii="David" w:hAnsi="David"/>
          <w:rtl/>
        </w:rPr>
      </w:pPr>
    </w:p>
    <w:p w:rsidR="005A3BEC" w:rsidRPr="005A3BEC" w:rsidRDefault="005A3BEC" w:rsidP="005A3BEC">
      <w:pPr>
        <w:rPr>
          <w:rFonts w:ascii="David" w:hAnsi="David"/>
          <w:rtl/>
        </w:rPr>
      </w:pPr>
    </w:p>
    <w:p w:rsidR="005A3691" w:rsidRDefault="005A3691" w:rsidP="005A3691">
      <w:pPr>
        <w:pStyle w:val="ad"/>
        <w:ind w:left="0"/>
        <w:rPr>
          <w:b/>
          <w:bCs/>
          <w:u w:val="single"/>
          <w:rtl/>
        </w:rPr>
      </w:pPr>
      <w:r>
        <w:rPr>
          <w:b/>
          <w:bCs/>
          <w:u w:val="single"/>
          <w:rtl/>
        </w:rPr>
        <w:lastRenderedPageBreak/>
        <w:t xml:space="preserve">האם מכתב הדיווח שנשלח ללשכת הרווחה עונה להגדרת פרסום לשון הרע? </w:t>
      </w:r>
    </w:p>
    <w:p w:rsidR="005A3691" w:rsidRDefault="005A3691" w:rsidP="005A3691">
      <w:pPr>
        <w:pStyle w:val="ad"/>
        <w:numPr>
          <w:ilvl w:val="0"/>
          <w:numId w:val="1"/>
        </w:numPr>
        <w:ind w:left="0" w:firstLine="0"/>
      </w:pPr>
      <w:r w:rsidRPr="00081130">
        <w:rPr>
          <w:rtl/>
        </w:rPr>
        <w:t>סעיף 6</w:t>
      </w:r>
      <w:r>
        <w:rPr>
          <w:rtl/>
        </w:rPr>
        <w:t xml:space="preserve"> ל</w:t>
      </w:r>
      <w:r w:rsidRPr="00081130">
        <w:rPr>
          <w:rtl/>
        </w:rPr>
        <w:t>חוק איסור לשון הרע</w:t>
      </w:r>
      <w:r>
        <w:rPr>
          <w:rtl/>
        </w:rPr>
        <w:t xml:space="preserve"> קובע כי רואים פרסום כלשון הרע אם היה מיועד לאדם אחר זולת הנפגע. </w:t>
      </w:r>
      <w:r w:rsidRPr="00081130">
        <w:rPr>
          <w:rtl/>
        </w:rPr>
        <w:t xml:space="preserve">במקרה זה, הפרסום בוצע במכתב שנשלח מחברת הסיעוד לעובדת סוציאלית בלשכת הרווחה באשקלון. הואיל וכך, מדובר ב"פרסום" כמשמעותו בחוק איסור לשון הרע. </w:t>
      </w:r>
    </w:p>
    <w:p w:rsidR="00DE7739" w:rsidRPr="00081130" w:rsidRDefault="00DE7739" w:rsidP="00DE7739">
      <w:pPr>
        <w:pStyle w:val="ad"/>
        <w:ind w:left="0"/>
      </w:pPr>
    </w:p>
    <w:p w:rsidR="005A3691" w:rsidRDefault="005A3691" w:rsidP="00DE7739">
      <w:pPr>
        <w:pStyle w:val="ad"/>
        <w:numPr>
          <w:ilvl w:val="0"/>
          <w:numId w:val="1"/>
        </w:numPr>
        <w:ind w:left="0" w:firstLine="0"/>
        <w:rPr>
          <w:rtl/>
        </w:rPr>
      </w:pPr>
      <w:r>
        <w:rPr>
          <w:spacing w:val="-2"/>
          <w:rtl/>
        </w:rPr>
        <w:t>סעיף 1 לחוק איסור לשון הרע קובע כי לשון הרע היא פרסום שעלול:</w:t>
      </w:r>
    </w:p>
    <w:p w:rsidR="005A3691" w:rsidRDefault="005A3691" w:rsidP="005A3691">
      <w:pPr>
        <w:pStyle w:val="11"/>
        <w:rPr>
          <w:rtl/>
        </w:rPr>
      </w:pPr>
      <w:r>
        <w:rPr>
          <w:rtl/>
        </w:rPr>
        <w:t>(1) להשפיל אדם בעיני הבריות או לעשותו מטרה לשנאה, לבוז או ללעג מצדם;</w:t>
      </w:r>
    </w:p>
    <w:p w:rsidR="005A3691" w:rsidRDefault="005A3691" w:rsidP="005A3691">
      <w:pPr>
        <w:pStyle w:val="11"/>
        <w:rPr>
          <w:rtl/>
        </w:rPr>
      </w:pPr>
      <w:r>
        <w:rPr>
          <w:rtl/>
        </w:rPr>
        <w:t>(2) לבזות אדם בשל מעשים, התנהגות או תכונות המיוחסים לו;</w:t>
      </w:r>
    </w:p>
    <w:p w:rsidR="005A3691" w:rsidRDefault="005A3691" w:rsidP="005A3691">
      <w:pPr>
        <w:pStyle w:val="11"/>
        <w:rPr>
          <w:rtl/>
        </w:rPr>
      </w:pPr>
      <w:r>
        <w:rPr>
          <w:rtl/>
        </w:rPr>
        <w:t>(3) לפגוע באדם במשרתו, אם משרה ציבורית ואם משרה אחרת, בעסקו, במשלח ידו או במקצועו;</w:t>
      </w:r>
    </w:p>
    <w:p w:rsidR="005A3691" w:rsidRDefault="005A3691" w:rsidP="005A3691">
      <w:pPr>
        <w:pStyle w:val="11"/>
        <w:rPr>
          <w:rtl/>
        </w:rPr>
      </w:pPr>
      <w:r>
        <w:rPr>
          <w:rtl/>
        </w:rPr>
        <w:t>(4) לבזות אדם בשל גזעו, מוצאו, דתו, מקום מגוריו, גילו, מינו, נטייתו המינית או מוגבלותו</w:t>
      </w:r>
    </w:p>
    <w:p w:rsidR="005A3691" w:rsidRDefault="005A3691" w:rsidP="005A3691">
      <w:pPr>
        <w:spacing w:line="480" w:lineRule="auto"/>
        <w:rPr>
          <w:rtl/>
        </w:rPr>
      </w:pPr>
    </w:p>
    <w:p w:rsidR="005A3691" w:rsidRDefault="005A3691" w:rsidP="005A3691">
      <w:pPr>
        <w:pStyle w:val="ad"/>
        <w:ind w:left="0" w:firstLine="720"/>
        <w:rPr>
          <w:rtl/>
        </w:rPr>
      </w:pPr>
      <w:r>
        <w:rPr>
          <w:rtl/>
        </w:rPr>
        <w:t xml:space="preserve">בפסיקה נקבע כי המבחן לכך אובייקטיבי – מה המשמעות שאדם סביר היה מייחס לפרסום (ע"א 740/86 </w:t>
      </w:r>
      <w:r>
        <w:rPr>
          <w:b/>
          <w:bCs/>
          <w:rtl/>
        </w:rPr>
        <w:t>תומרקין נ' העצני</w:t>
      </w:r>
      <w:r>
        <w:rPr>
          <w:rtl/>
        </w:rPr>
        <w:t xml:space="preserve">, פ"ד מג(2) 333, 337 (1989) וכי יש לפרש את הפרסום לפי "המובן הטבעי והרגיל של המילים" (ע"א 723/74 </w:t>
      </w:r>
      <w:r>
        <w:rPr>
          <w:b/>
          <w:bCs/>
          <w:rtl/>
        </w:rPr>
        <w:t>הוצאת עיתון הארץ בע"מ נ' חברת החשמל בע"מ</w:t>
      </w:r>
      <w:r>
        <w:rPr>
          <w:rtl/>
        </w:rPr>
        <w:t xml:space="preserve">, פ"ד לא(2) 281, 318 (1977)) (להלן: </w:t>
      </w:r>
      <w:r>
        <w:rPr>
          <w:b/>
          <w:bCs/>
          <w:rtl/>
        </w:rPr>
        <w:t>עניין הוצאת עיתון הארץ</w:t>
      </w:r>
      <w:r w:rsidRPr="002A3461">
        <w:rPr>
          <w:rtl/>
        </w:rPr>
        <w:t>).</w:t>
      </w:r>
      <w:r>
        <w:rPr>
          <w:rtl/>
        </w:rPr>
        <w:t xml:space="preserve"> </w:t>
      </w:r>
    </w:p>
    <w:p w:rsidR="005A3691" w:rsidRDefault="005A3691" w:rsidP="005A3691">
      <w:pPr>
        <w:rPr>
          <w:rtl/>
        </w:rPr>
      </w:pPr>
    </w:p>
    <w:p w:rsidR="005A3691" w:rsidRDefault="005A3691" w:rsidP="00081130">
      <w:pPr>
        <w:pStyle w:val="ad"/>
        <w:ind w:left="0" w:firstLine="720"/>
        <w:rPr>
          <w:rtl/>
        </w:rPr>
      </w:pPr>
      <w:r>
        <w:rPr>
          <w:rtl/>
        </w:rPr>
        <w:t xml:space="preserve">במקרה זה, המכתב נשלח מחברת הסיעוד ללשכת הרווחה המקומית, שמפקחת על פעילות חברת הסיעוד, ומוען לעובדת סוציאלית שטיפלה המנוח. </w:t>
      </w:r>
    </w:p>
    <w:p w:rsidR="005A3691" w:rsidRDefault="005A3691" w:rsidP="005A3691">
      <w:pPr>
        <w:pStyle w:val="ad"/>
        <w:ind w:left="0"/>
      </w:pPr>
    </w:p>
    <w:p w:rsidR="005A3691" w:rsidRDefault="005A3691" w:rsidP="009E18BF">
      <w:pPr>
        <w:pStyle w:val="ad"/>
        <w:numPr>
          <w:ilvl w:val="0"/>
          <w:numId w:val="1"/>
        </w:numPr>
        <w:ind w:left="0" w:firstLine="0"/>
        <w:rPr>
          <w:rFonts w:ascii="David" w:hAnsi="David"/>
          <w:color w:val="000000"/>
          <w:sz w:val="24"/>
          <w:rtl/>
        </w:rPr>
      </w:pPr>
      <w:r>
        <w:rPr>
          <w:rtl/>
        </w:rPr>
        <w:t xml:space="preserve">פרסום המייחס ביצוע הטרדה מינית לאדם, הוא ביטוי מובהק של הוצאת לשון הרע (ראו: אורי שנהר </w:t>
      </w:r>
      <w:r>
        <w:rPr>
          <w:b/>
          <w:bCs/>
          <w:rtl/>
        </w:rPr>
        <w:t>דיני לשון הרע</w:t>
      </w:r>
      <w:r>
        <w:rPr>
          <w:rtl/>
        </w:rPr>
        <w:t xml:space="preserve"> 123-122, 129 (1997) (להלן: </w:t>
      </w:r>
      <w:r>
        <w:rPr>
          <w:b/>
          <w:bCs/>
          <w:rtl/>
        </w:rPr>
        <w:t>שנהר</w:t>
      </w:r>
      <w:r>
        <w:rPr>
          <w:rtl/>
        </w:rPr>
        <w:t>); וכן, למשל,</w:t>
      </w:r>
      <w:r>
        <w:rPr>
          <w:rFonts w:ascii="David" w:hAnsi="David"/>
          <w:color w:val="000000"/>
          <w:sz w:val="24"/>
          <w:rtl/>
        </w:rPr>
        <w:t xml:space="preserve"> סע"ש (אזורי חי') 41453-07-18 </w:t>
      </w:r>
      <w:r>
        <w:rPr>
          <w:rFonts w:ascii="David" w:hAnsi="David"/>
          <w:b/>
          <w:bCs/>
          <w:color w:val="000000"/>
          <w:sz w:val="24"/>
          <w:rtl/>
        </w:rPr>
        <w:t>קורמן – נעים</w:t>
      </w:r>
      <w:r>
        <w:rPr>
          <w:rFonts w:ascii="David" w:hAnsi="David"/>
          <w:color w:val="000000"/>
          <w:sz w:val="24"/>
          <w:rtl/>
        </w:rPr>
        <w:t>, פסקה 193 (25.6.2021);</w:t>
      </w:r>
      <w:r>
        <w:rPr>
          <w:rtl/>
        </w:rPr>
        <w:t xml:space="preserve"> </w:t>
      </w:r>
      <w:r>
        <w:rPr>
          <w:rFonts w:ascii="David" w:hAnsi="David"/>
          <w:color w:val="000000"/>
          <w:sz w:val="24"/>
          <w:rtl/>
        </w:rPr>
        <w:t xml:space="preserve">ת"א (שלום ת"א) 43552-11-17 </w:t>
      </w:r>
      <w:r>
        <w:rPr>
          <w:rFonts w:ascii="David" w:hAnsi="David"/>
          <w:b/>
          <w:bCs/>
          <w:color w:val="000000"/>
          <w:sz w:val="24"/>
          <w:rtl/>
        </w:rPr>
        <w:t>זהבי נ' שטייף</w:t>
      </w:r>
      <w:r>
        <w:rPr>
          <w:rFonts w:ascii="David" w:hAnsi="David"/>
          <w:color w:val="000000"/>
          <w:sz w:val="24"/>
          <w:rtl/>
        </w:rPr>
        <w:t xml:space="preserve">, פסקה 19 (7.4.2019); עניין </w:t>
      </w:r>
      <w:r>
        <w:rPr>
          <w:rFonts w:ascii="David" w:hAnsi="David"/>
          <w:b/>
          <w:bCs/>
          <w:color w:val="000000"/>
          <w:sz w:val="24"/>
          <w:rtl/>
        </w:rPr>
        <w:t>כהן-מוצן</w:t>
      </w:r>
      <w:r>
        <w:rPr>
          <w:rFonts w:ascii="David" w:hAnsi="David"/>
          <w:color w:val="000000"/>
          <w:sz w:val="24"/>
          <w:rtl/>
        </w:rPr>
        <w:t xml:space="preserve"> פסקה 26, 31</w:t>
      </w:r>
      <w:r w:rsidR="00E8455D">
        <w:rPr>
          <w:rFonts w:ascii="David" w:hAnsi="David" w:hint="cs"/>
          <w:color w:val="000000"/>
          <w:sz w:val="24"/>
          <w:rtl/>
        </w:rPr>
        <w:t>).</w:t>
      </w:r>
      <w:r>
        <w:rPr>
          <w:rFonts w:ascii="David" w:hAnsi="David"/>
          <w:color w:val="000000"/>
          <w:sz w:val="24"/>
          <w:rtl/>
        </w:rPr>
        <w:t xml:space="preserve"> </w:t>
      </w:r>
      <w:r>
        <w:rPr>
          <w:rtl/>
        </w:rPr>
        <w:t xml:space="preserve">לצד זה, </w:t>
      </w:r>
      <w:r>
        <w:rPr>
          <w:rFonts w:ascii="Arial" w:hAnsi="Arial"/>
          <w:rtl/>
        </w:rPr>
        <w:t xml:space="preserve">על פי הפסיקה, על מנת לקבוע את משמעות הפרסום בעיני האדם הסביר יש לבחון גם את נסיבות הפרסום וההקשר בו פורסם (ראו לדוגמא עניין </w:t>
      </w:r>
      <w:r>
        <w:rPr>
          <w:rFonts w:ascii="Arial" w:hAnsi="Arial"/>
          <w:b/>
          <w:bCs/>
          <w:rtl/>
        </w:rPr>
        <w:t>עיתון הארץ</w:t>
      </w:r>
      <w:r>
        <w:rPr>
          <w:rFonts w:ascii="Arial" w:hAnsi="Arial"/>
          <w:rtl/>
        </w:rPr>
        <w:t>,</w:t>
      </w:r>
      <w:r>
        <w:rPr>
          <w:rFonts w:ascii="Arial" w:hAnsi="Arial"/>
          <w:b/>
          <w:bCs/>
          <w:rtl/>
        </w:rPr>
        <w:t xml:space="preserve"> </w:t>
      </w:r>
      <w:r>
        <w:rPr>
          <w:rFonts w:ascii="Arial" w:hAnsi="Arial"/>
          <w:rtl/>
        </w:rPr>
        <w:t xml:space="preserve">בעמ' 300). </w:t>
      </w:r>
      <w:r>
        <w:rPr>
          <w:rtl/>
        </w:rPr>
        <w:t xml:space="preserve">במקרה זה יוחסה למנוח טענה שהטריד מינית את המטפלת שהועסקה בביתו. אכן, מדובר בהאשמה חמורה שעלולה לבזות ולפגוע במנוח. ככלל, הצגת אדם כמי שהטריד מינית מהווה לשון הרע בדרגה גבוהה. אך יש לתת משקל גם לנסיבות ולהקשר בו בוצע הפרסום – המכתב נשלח לעובדת סוציאלית בלשכת הרווחה שטיפלה במנוח באופן אישי, מנוסח בסגנון תמציתי ואינפורמטיבי וכולל מידע כללי על המנוח, היקף שעות הסיעוד לו הוא זכאי, תיאור המקרה וטענות המטפלת  </w:t>
      </w:r>
      <w:r>
        <w:rPr>
          <w:rFonts w:ascii="Arial" w:hAnsi="Arial"/>
          <w:rtl/>
        </w:rPr>
        <w:t>(</w:t>
      </w:r>
      <w:r>
        <w:rPr>
          <w:rFonts w:ascii="David" w:hAnsi="David"/>
          <w:color w:val="000000"/>
          <w:sz w:val="24"/>
          <w:rtl/>
        </w:rPr>
        <w:t xml:space="preserve">ראו והשוו עניין </w:t>
      </w:r>
      <w:r>
        <w:rPr>
          <w:rFonts w:ascii="David" w:hAnsi="David"/>
          <w:b/>
          <w:bCs/>
          <w:color w:val="000000"/>
          <w:sz w:val="24"/>
          <w:rtl/>
        </w:rPr>
        <w:t>כהן-מוצן</w:t>
      </w:r>
      <w:r>
        <w:rPr>
          <w:rFonts w:ascii="David" w:hAnsi="David"/>
          <w:color w:val="000000"/>
          <w:sz w:val="24"/>
          <w:rtl/>
        </w:rPr>
        <w:t>, פסקה 81</w:t>
      </w:r>
      <w:r w:rsidR="009E18BF">
        <w:rPr>
          <w:rFonts w:ascii="David" w:hAnsi="David" w:hint="cs"/>
          <w:color w:val="000000"/>
          <w:sz w:val="24"/>
          <w:rtl/>
        </w:rPr>
        <w:t>,</w:t>
      </w:r>
      <w:r>
        <w:rPr>
          <w:rFonts w:ascii="David" w:hAnsi="David"/>
          <w:b/>
          <w:bCs/>
          <w:color w:val="000000"/>
          <w:sz w:val="24"/>
          <w:rtl/>
        </w:rPr>
        <w:t xml:space="preserve"> </w:t>
      </w:r>
      <w:r>
        <w:rPr>
          <w:rFonts w:ascii="Arial" w:hAnsi="Arial"/>
          <w:rtl/>
        </w:rPr>
        <w:t>שם נקבע, לצורך דיון בהגנת תום הלב, כי בהת</w:t>
      </w:r>
      <w:r>
        <w:rPr>
          <w:rFonts w:ascii="David" w:hAnsi="David"/>
          <w:color w:val="000000"/>
          <w:sz w:val="24"/>
          <w:rtl/>
        </w:rPr>
        <w:t xml:space="preserve">חשב בלשון הפרסום, היקף התיאור ומיעוט הנמענים לא היה בפרסום התבטאות מעבר לנדרש בנסיבות העניין). </w:t>
      </w:r>
    </w:p>
    <w:p w:rsidR="005A3691" w:rsidRDefault="005A3691" w:rsidP="005A3691">
      <w:pPr>
        <w:rPr>
          <w:rFonts w:ascii="Century" w:hAnsi="Century"/>
          <w:sz w:val="20"/>
          <w:rtl/>
        </w:rPr>
      </w:pPr>
    </w:p>
    <w:p w:rsidR="00DE7739" w:rsidRDefault="00DE7739" w:rsidP="005A3691">
      <w:pPr>
        <w:pStyle w:val="ad"/>
        <w:ind w:left="0"/>
        <w:rPr>
          <w:b/>
          <w:bCs/>
          <w:u w:val="single"/>
          <w:rtl/>
        </w:rPr>
      </w:pPr>
    </w:p>
    <w:p w:rsidR="005A3691" w:rsidRDefault="005A3691" w:rsidP="005A3691">
      <w:pPr>
        <w:pStyle w:val="ad"/>
        <w:ind w:left="0"/>
        <w:rPr>
          <w:b/>
          <w:bCs/>
          <w:u w:val="single"/>
          <w:rtl/>
        </w:rPr>
      </w:pPr>
      <w:r>
        <w:rPr>
          <w:b/>
          <w:bCs/>
          <w:u w:val="single"/>
          <w:rtl/>
        </w:rPr>
        <w:lastRenderedPageBreak/>
        <w:t>האם מדובר בפרסום מותר?</w:t>
      </w:r>
    </w:p>
    <w:p w:rsidR="005A3691" w:rsidRDefault="005A3691" w:rsidP="005A3691">
      <w:pPr>
        <w:pStyle w:val="ad"/>
        <w:numPr>
          <w:ilvl w:val="0"/>
          <w:numId w:val="1"/>
        </w:numPr>
        <w:ind w:left="0" w:firstLine="0"/>
      </w:pPr>
      <w:r>
        <w:rPr>
          <w:rtl/>
        </w:rPr>
        <w:t xml:space="preserve">לטענת הנתבעים עומדת להם הגנת "פרסום מותר", בהתאם לסעיף </w:t>
      </w:r>
      <w:r w:rsidRPr="00DE7739">
        <w:rPr>
          <w:rtl/>
        </w:rPr>
        <w:t>13(9)</w:t>
      </w:r>
      <w:r>
        <w:rPr>
          <w:rtl/>
        </w:rPr>
        <w:t xml:space="preserve"> לחוק איסור לשון הרע, הקובע כך:  </w:t>
      </w:r>
    </w:p>
    <w:p w:rsidR="005A3691" w:rsidRDefault="005A3691" w:rsidP="005A3691">
      <w:pPr>
        <w:pStyle w:val="11"/>
      </w:pPr>
      <w:r>
        <w:rPr>
          <w:rtl/>
        </w:rPr>
        <w:t>13. לא ישמש עילה למשפט פלילי או אזרחי –</w:t>
      </w:r>
    </w:p>
    <w:p w:rsidR="005A3691" w:rsidRDefault="005A3691" w:rsidP="005A3691">
      <w:pPr>
        <w:pStyle w:val="11"/>
        <w:rPr>
          <w:rtl/>
        </w:rPr>
      </w:pPr>
      <w:r>
        <w:rPr>
          <w:rtl/>
        </w:rPr>
        <w:t>(9) פרסום שהמפרסם חייב לעשות על פי דין או על פי הוראה של רשות המוסמכת לכך כדין, או שהוא רשאי לעשות על פי היתר של רשות כאמור"</w:t>
      </w:r>
    </w:p>
    <w:p w:rsidR="005A3691" w:rsidRDefault="005A3691" w:rsidP="005A3691">
      <w:pPr>
        <w:rPr>
          <w:rtl/>
        </w:rPr>
      </w:pPr>
    </w:p>
    <w:p w:rsidR="005A3691" w:rsidRDefault="005A3691" w:rsidP="005A3691">
      <w:pPr>
        <w:pStyle w:val="ad"/>
        <w:numPr>
          <w:ilvl w:val="0"/>
          <w:numId w:val="1"/>
        </w:numPr>
        <w:ind w:left="0" w:firstLine="0"/>
        <w:rPr>
          <w:rFonts w:ascii="David" w:hAnsi="David"/>
          <w:sz w:val="24"/>
          <w:rtl/>
        </w:rPr>
      </w:pPr>
      <w:r>
        <w:rPr>
          <w:rtl/>
        </w:rPr>
        <w:t xml:space="preserve">סעיף 13(9) מעניק הגנה לפרסומים שחובה לפרסמם או שיש רשות לפרסמם על פי היתר של רשות מוסמכת. </w:t>
      </w:r>
      <w:r>
        <w:rPr>
          <w:rFonts w:ascii="David" w:hAnsi="David"/>
          <w:sz w:val="24"/>
          <w:rtl/>
        </w:rPr>
        <w:t xml:space="preserve">בית המשפט העליון עמד על כך שתכלית הסעיף להעניק הגנה לאינטרס הציבורי בפרסום מכוח חובה בדין או היתר, ורצון שהפרסום יעשה ללא מורא וללא חשש להיתבע </w:t>
      </w:r>
      <w:r>
        <w:rPr>
          <w:rtl/>
        </w:rPr>
        <w:t xml:space="preserve">בגין לשון הרע. עוד מניח הסעיף שהפרסום נעשה </w:t>
      </w:r>
      <w:r>
        <w:rPr>
          <w:rFonts w:ascii="David" w:hAnsi="David"/>
          <w:sz w:val="24"/>
          <w:rtl/>
        </w:rPr>
        <w:t>לטובת אינטרס ציבורי ולא למען אינטרס אישי של המפרסם</w:t>
      </w:r>
      <w:r>
        <w:rPr>
          <w:rtl/>
        </w:rPr>
        <w:t>, ולכן הפרסום מותר (</w:t>
      </w:r>
      <w:r>
        <w:rPr>
          <w:rFonts w:ascii="David" w:eastAsia="Times New Roman" w:hAnsi="David"/>
          <w:color w:val="000000"/>
          <w:sz w:val="24"/>
          <w:rtl/>
        </w:rPr>
        <w:t>ע"א 844/12 </w:t>
      </w:r>
      <w:r>
        <w:rPr>
          <w:rFonts w:ascii="David" w:eastAsia="Times New Roman" w:hAnsi="David"/>
          <w:b/>
          <w:bCs/>
          <w:color w:val="000000"/>
          <w:sz w:val="24"/>
          <w:rtl/>
        </w:rPr>
        <w:t>מולקנדוב נ' פורוש</w:t>
      </w:r>
      <w:r>
        <w:rPr>
          <w:rFonts w:ascii="David" w:eastAsia="Times New Roman" w:hAnsi="David"/>
          <w:color w:val="000000"/>
          <w:sz w:val="24"/>
          <w:rtl/>
        </w:rPr>
        <w:t>, פסקה 52 לפסק הדין של כב' השופט דנצינגר (</w:t>
      </w:r>
      <w:r>
        <w:rPr>
          <w:rtl/>
        </w:rPr>
        <w:t xml:space="preserve">22.2.2017)) (להלן: עניין </w:t>
      </w:r>
      <w:r>
        <w:rPr>
          <w:b/>
          <w:bCs/>
          <w:rtl/>
        </w:rPr>
        <w:t>מולקנדוב</w:t>
      </w:r>
      <w:r>
        <w:rPr>
          <w:rtl/>
        </w:rPr>
        <w:t xml:space="preserve">). </w:t>
      </w:r>
    </w:p>
    <w:p w:rsidR="005A3691" w:rsidRDefault="005A3691" w:rsidP="005A3691">
      <w:pPr>
        <w:pStyle w:val="ad"/>
        <w:ind w:left="0"/>
        <w:rPr>
          <w:rFonts w:ascii="David" w:hAnsi="David"/>
          <w:sz w:val="24"/>
        </w:rPr>
      </w:pPr>
    </w:p>
    <w:p w:rsidR="005A3691" w:rsidRDefault="005A3691" w:rsidP="005A3691">
      <w:pPr>
        <w:pStyle w:val="ad"/>
        <w:numPr>
          <w:ilvl w:val="0"/>
          <w:numId w:val="1"/>
        </w:numPr>
        <w:ind w:left="0" w:firstLine="0"/>
        <w:rPr>
          <w:rFonts w:ascii="David" w:hAnsi="David"/>
          <w:sz w:val="24"/>
        </w:rPr>
      </w:pPr>
      <w:r>
        <w:rPr>
          <w:spacing w:val="-2"/>
          <w:rtl/>
        </w:rPr>
        <w:t xml:space="preserve">לאחרונה ניתן פסק דין מקיף של בית המשפט העליון </w:t>
      </w:r>
      <w:r>
        <w:rPr>
          <w:rFonts w:ascii="David" w:hAnsi="David"/>
          <w:sz w:val="24"/>
          <w:rtl/>
        </w:rPr>
        <w:t>הדן בפרשנות ההוראה הקבועה בסעיף זה ובשאלה אם ניתן לשלול את תחולתה כאשר הפרסום נעשה שלא לצורך, שלא בתום לב או בזדון (</w:t>
      </w:r>
      <w:r>
        <w:rPr>
          <w:rFonts w:ascii="David" w:hAnsi="David"/>
          <w:color w:val="000000"/>
          <w:sz w:val="24"/>
          <w:rtl/>
        </w:rPr>
        <w:t xml:space="preserve">רע"א 4244/20 </w:t>
      </w:r>
      <w:r>
        <w:rPr>
          <w:rFonts w:ascii="David" w:hAnsi="David"/>
          <w:b/>
          <w:bCs/>
          <w:color w:val="000000"/>
          <w:sz w:val="24"/>
          <w:rtl/>
        </w:rPr>
        <w:t>שאמה</w:t>
      </w:r>
      <w:r>
        <w:rPr>
          <w:rFonts w:ascii="David" w:hAnsi="David"/>
          <w:color w:val="000000"/>
          <w:sz w:val="24"/>
          <w:rtl/>
        </w:rPr>
        <w:t xml:space="preserve"> </w:t>
      </w:r>
      <w:r>
        <w:rPr>
          <w:rFonts w:ascii="David" w:hAnsi="David"/>
          <w:b/>
          <w:bCs/>
          <w:color w:val="000000"/>
          <w:sz w:val="24"/>
          <w:rtl/>
        </w:rPr>
        <w:t>הכהן נ' רווח</w:t>
      </w:r>
      <w:r>
        <w:rPr>
          <w:rFonts w:ascii="David" w:hAnsi="David"/>
          <w:color w:val="000000"/>
          <w:sz w:val="24"/>
          <w:rtl/>
        </w:rPr>
        <w:t>,</w:t>
      </w:r>
      <w:r>
        <w:rPr>
          <w:rFonts w:ascii="David" w:hAnsi="David"/>
          <w:b/>
          <w:bCs/>
          <w:color w:val="000000"/>
          <w:sz w:val="24"/>
          <w:rtl/>
        </w:rPr>
        <w:t xml:space="preserve"> </w:t>
      </w:r>
      <w:r>
        <w:rPr>
          <w:rFonts w:ascii="David" w:hAnsi="David"/>
          <w:color w:val="000000"/>
          <w:sz w:val="24"/>
          <w:rtl/>
        </w:rPr>
        <w:t>פסקה 6 לחוות דעתו של כב' המשנה לנשיאה ע' פוגלמן</w:t>
      </w:r>
      <w:r>
        <w:rPr>
          <w:rFonts w:ascii="David" w:hAnsi="David"/>
          <w:sz w:val="24"/>
          <w:rtl/>
        </w:rPr>
        <w:t xml:space="preserve"> (2.1.2023) (להלן: עניין </w:t>
      </w:r>
      <w:r>
        <w:rPr>
          <w:rFonts w:ascii="David" w:hAnsi="David"/>
          <w:b/>
          <w:bCs/>
          <w:sz w:val="24"/>
          <w:rtl/>
        </w:rPr>
        <w:t>שאמה הכהן</w:t>
      </w:r>
      <w:r>
        <w:rPr>
          <w:rFonts w:ascii="David" w:hAnsi="David"/>
          <w:sz w:val="24"/>
          <w:rtl/>
        </w:rPr>
        <w:t xml:space="preserve">)). </w:t>
      </w:r>
    </w:p>
    <w:p w:rsidR="005A3691" w:rsidRDefault="005A3691" w:rsidP="005A3691">
      <w:pPr>
        <w:pStyle w:val="ad"/>
        <w:ind w:left="0"/>
        <w:rPr>
          <w:rFonts w:ascii="David" w:hAnsi="David"/>
          <w:sz w:val="24"/>
        </w:rPr>
      </w:pPr>
    </w:p>
    <w:p w:rsidR="005A3691" w:rsidRDefault="005A3691" w:rsidP="005A3691">
      <w:pPr>
        <w:pStyle w:val="ad"/>
        <w:numPr>
          <w:ilvl w:val="0"/>
          <w:numId w:val="1"/>
        </w:numPr>
        <w:ind w:left="0" w:firstLine="0"/>
        <w:rPr>
          <w:rFonts w:ascii="David" w:hAnsi="David"/>
          <w:sz w:val="24"/>
        </w:rPr>
      </w:pPr>
      <w:r>
        <w:rPr>
          <w:rFonts w:ascii="David" w:hAnsi="David"/>
          <w:sz w:val="24"/>
          <w:rtl/>
        </w:rPr>
        <w:t xml:space="preserve">בית המשפט העליון שב וחזר על התכלית הגלומה במתן חסינות מכוח סעיף זה, כדלקמן: </w:t>
      </w:r>
    </w:p>
    <w:p w:rsidR="005A3691" w:rsidRDefault="005A3691" w:rsidP="005A3691">
      <w:pPr>
        <w:pStyle w:val="11"/>
      </w:pPr>
      <w:r>
        <w:rPr>
          <w:rtl/>
        </w:rPr>
        <w:t xml:space="preserve">"ההנחה שעומדת ביסוד ההסדר היא כי תביעת לשון הרע עשויה להרתיע את בעל התפקיד בעת ביצוע תפקידו, ובכך לשבש ולפגוע בהפעלת סמכות שניתנה לו כדין ואף בטיב ההחלטה שתתקבל בסופו של יום... את האמור יש להבין גם על רקע העובדה שבמקרים רבים, בעת מילוי תפקידו, פועל בעל הסמכות למען הציבור ולא למען אינטרס פרטי" (פסקה 9 לפסק דינו של כב' המשנה לנשיאה ע' פוגלמן בעניין </w:t>
      </w:r>
      <w:r>
        <w:rPr>
          <w:b/>
          <w:bCs/>
          <w:rtl/>
        </w:rPr>
        <w:t>שאמה הכהן</w:t>
      </w:r>
      <w:r>
        <w:rPr>
          <w:rtl/>
        </w:rPr>
        <w:t xml:space="preserve">). </w:t>
      </w:r>
    </w:p>
    <w:p w:rsidR="005A3691" w:rsidRDefault="005A3691" w:rsidP="005A3691">
      <w:pPr>
        <w:pStyle w:val="ad"/>
        <w:ind w:left="0"/>
        <w:rPr>
          <w:rFonts w:ascii="David" w:hAnsi="David"/>
          <w:sz w:val="24"/>
          <w:rtl/>
        </w:rPr>
      </w:pPr>
    </w:p>
    <w:p w:rsidR="005A3691" w:rsidRDefault="005A3691" w:rsidP="005A3691">
      <w:pPr>
        <w:pStyle w:val="ad"/>
        <w:ind w:left="0" w:firstLine="720"/>
        <w:rPr>
          <w:rFonts w:ascii="David" w:hAnsi="David"/>
          <w:sz w:val="24"/>
          <w:rtl/>
        </w:rPr>
      </w:pPr>
      <w:r>
        <w:rPr>
          <w:rFonts w:ascii="David" w:hAnsi="David"/>
          <w:sz w:val="24"/>
          <w:rtl/>
        </w:rPr>
        <w:t xml:space="preserve">כב' השופטת ד' ברק-ארז עומדת בפסק הדין בעניין </w:t>
      </w:r>
      <w:r>
        <w:rPr>
          <w:rFonts w:ascii="David" w:hAnsi="David"/>
          <w:b/>
          <w:bCs/>
          <w:sz w:val="24"/>
          <w:rtl/>
        </w:rPr>
        <w:t>שאמה הכהן</w:t>
      </w:r>
      <w:r>
        <w:rPr>
          <w:rFonts w:ascii="David" w:hAnsi="David"/>
          <w:sz w:val="24"/>
          <w:rtl/>
        </w:rPr>
        <w:t xml:space="preserve"> על כך שפרסום מוגן מכוח סעיף 13(9) נועד לתת מענה למצבים שבהם רשות מוסמכת מחייבת או מתירה לפרסם דבר מה, שאילולי אותה הוראה היו עשויים להיחשב לשון הרע. לשיטתה, מדובר במידע שיש </w:t>
      </w:r>
      <w:r w:rsidRPr="008C0C72">
        <w:rPr>
          <w:rFonts w:ascii="David" w:hAnsi="David"/>
          <w:sz w:val="24"/>
          <w:rtl/>
        </w:rPr>
        <w:t>אינטרס קונקרטי לפרסם אותו והוא מצוי בזיקה לתפקידי הרשות, ולכן ההגנה ניתנת גם ל"גורמי ביניים" או צדדי ג' שאינם גורמי שלטון בעצמם,</w:t>
      </w:r>
      <w:r>
        <w:rPr>
          <w:rFonts w:ascii="David" w:hAnsi="David"/>
          <w:sz w:val="24"/>
          <w:rtl/>
        </w:rPr>
        <w:t xml:space="preserve"> שביצעו את הפרסום מכוח הוראה או היתר של רשות מוסמכת (פסקה 12 לחוות דעתה). </w:t>
      </w:r>
    </w:p>
    <w:p w:rsidR="005A3691" w:rsidRDefault="005A3691" w:rsidP="005A3691">
      <w:pPr>
        <w:rPr>
          <w:rFonts w:ascii="David" w:hAnsi="David"/>
          <w:rtl/>
        </w:rPr>
      </w:pPr>
    </w:p>
    <w:p w:rsidR="005A3691" w:rsidRDefault="005A3691" w:rsidP="005A3691">
      <w:pPr>
        <w:pStyle w:val="ad"/>
        <w:numPr>
          <w:ilvl w:val="0"/>
          <w:numId w:val="1"/>
        </w:numPr>
        <w:ind w:left="0" w:firstLine="0"/>
        <w:rPr>
          <w:rFonts w:ascii="David" w:hAnsi="David"/>
          <w:sz w:val="24"/>
        </w:rPr>
      </w:pPr>
      <w:r>
        <w:rPr>
          <w:spacing w:val="-2"/>
          <w:rtl/>
        </w:rPr>
        <w:t xml:space="preserve">נפסק כי ההגנה לפי סעיף זה היא מוחלטת ואינה תלויה בכוונת המפרסם ואין חשיבות אם הפרסום אמת הוא, או אם היה תום לב בפרסום, ואין לשלול את החסינות אף כאשר הפרסום נעשה </w:t>
      </w:r>
      <w:r>
        <w:rPr>
          <w:spacing w:val="-2"/>
          <w:rtl/>
        </w:rPr>
        <w:lastRenderedPageBreak/>
        <w:t xml:space="preserve">בזדון או ב"היתר אך שלא לצורך" (עניין </w:t>
      </w:r>
      <w:r>
        <w:rPr>
          <w:b/>
          <w:bCs/>
          <w:spacing w:val="-2"/>
          <w:rtl/>
        </w:rPr>
        <w:t>שאמה הכהן</w:t>
      </w:r>
      <w:r>
        <w:rPr>
          <w:spacing w:val="-2"/>
          <w:rtl/>
        </w:rPr>
        <w:t>,</w:t>
      </w:r>
      <w:r>
        <w:rPr>
          <w:b/>
          <w:bCs/>
          <w:spacing w:val="-2"/>
          <w:rtl/>
        </w:rPr>
        <w:t xml:space="preserve"> </w:t>
      </w:r>
      <w:r>
        <w:rPr>
          <w:rFonts w:ascii="David" w:hAnsi="David"/>
          <w:sz w:val="24"/>
          <w:rtl/>
        </w:rPr>
        <w:t xml:space="preserve">פסקה 25 לחוות דעתו של </w:t>
      </w:r>
      <w:r>
        <w:rPr>
          <w:rFonts w:ascii="David" w:hAnsi="David"/>
          <w:color w:val="000000"/>
          <w:sz w:val="24"/>
          <w:rtl/>
        </w:rPr>
        <w:t>כב' המשנה לנשיאה ע' פוגלמן</w:t>
      </w:r>
      <w:r>
        <w:rPr>
          <w:rFonts w:ascii="David" w:hAnsi="David"/>
          <w:sz w:val="24"/>
          <w:rtl/>
        </w:rPr>
        <w:t xml:space="preserve">; עניין </w:t>
      </w:r>
      <w:r>
        <w:rPr>
          <w:rFonts w:ascii="David" w:hAnsi="David"/>
          <w:b/>
          <w:bCs/>
          <w:sz w:val="24"/>
          <w:rtl/>
        </w:rPr>
        <w:t>חטר-ישי</w:t>
      </w:r>
      <w:r>
        <w:rPr>
          <w:rFonts w:ascii="David" w:hAnsi="David"/>
          <w:sz w:val="24"/>
          <w:rtl/>
        </w:rPr>
        <w:t>,</w:t>
      </w:r>
      <w:r>
        <w:rPr>
          <w:rFonts w:ascii="David" w:hAnsi="David"/>
          <w:b/>
          <w:bCs/>
          <w:sz w:val="24"/>
          <w:rtl/>
        </w:rPr>
        <w:t xml:space="preserve"> </w:t>
      </w:r>
      <w:r>
        <w:rPr>
          <w:rFonts w:ascii="David" w:hAnsi="David"/>
          <w:sz w:val="24"/>
          <w:rtl/>
        </w:rPr>
        <w:t>פסקה 11</w:t>
      </w:r>
      <w:r>
        <w:rPr>
          <w:rFonts w:ascii="David" w:hAnsi="David"/>
          <w:sz w:val="24"/>
        </w:rPr>
        <w:t>;</w:t>
      </w:r>
      <w:r>
        <w:rPr>
          <w:rFonts w:ascii="David" w:hAnsi="David"/>
          <w:b/>
          <w:bCs/>
          <w:sz w:val="24"/>
          <w:rtl/>
        </w:rPr>
        <w:t xml:space="preserve"> שנהר </w:t>
      </w:r>
      <w:r>
        <w:rPr>
          <w:rFonts w:ascii="David" w:hAnsi="David"/>
          <w:sz w:val="24"/>
          <w:rtl/>
        </w:rPr>
        <w:t>בפסקאות 16.1.4–16.1.5).</w:t>
      </w:r>
    </w:p>
    <w:p w:rsidR="005A3691" w:rsidRDefault="005A3691" w:rsidP="005A3691">
      <w:pPr>
        <w:pStyle w:val="ad"/>
        <w:ind w:left="0"/>
        <w:rPr>
          <w:spacing w:val="-2"/>
        </w:rPr>
      </w:pPr>
    </w:p>
    <w:p w:rsidR="005A3691" w:rsidRDefault="005A3691" w:rsidP="005A3691">
      <w:pPr>
        <w:pStyle w:val="ad"/>
        <w:numPr>
          <w:ilvl w:val="0"/>
          <w:numId w:val="1"/>
        </w:numPr>
        <w:ind w:left="0" w:firstLine="0"/>
        <w:rPr>
          <w:spacing w:val="-2"/>
        </w:rPr>
      </w:pPr>
      <w:r>
        <w:rPr>
          <w:spacing w:val="-2"/>
          <w:rtl/>
        </w:rPr>
        <w:t xml:space="preserve">בשל היקפה של ההגנה המעניקה חסינות מוחלטת, ונוכח חשיבות הזכות לשם טוב, נפסק כי יש לפרש סעיף זה באופן מצמצם ודווקני (ראו: </w:t>
      </w:r>
      <w:r w:rsidRPr="00DE7739">
        <w:rPr>
          <w:spacing w:val="-2"/>
          <w:rtl/>
        </w:rPr>
        <w:t>ע"א 211/82</w:t>
      </w:r>
      <w:r>
        <w:rPr>
          <w:spacing w:val="-2"/>
          <w:rtl/>
        </w:rPr>
        <w:t xml:space="preserve"> </w:t>
      </w:r>
      <w:r>
        <w:rPr>
          <w:rFonts w:hint="cs"/>
          <w:b/>
          <w:bCs/>
          <w:spacing w:val="-2"/>
          <w:rtl/>
        </w:rPr>
        <w:t>ננס נ' פלורו</w:t>
      </w:r>
      <w:r>
        <w:rPr>
          <w:rFonts w:hint="cs"/>
          <w:spacing w:val="-2"/>
          <w:rtl/>
        </w:rPr>
        <w:t xml:space="preserve">, פ"ד מ(1) 210, 215 (1986); </w:t>
      </w:r>
      <w:r>
        <w:rPr>
          <w:rtl/>
        </w:rPr>
        <w:t>עניין</w:t>
      </w:r>
      <w:r>
        <w:rPr>
          <w:spacing w:val="-2"/>
          <w:rtl/>
        </w:rPr>
        <w:t xml:space="preserve"> ‏</w:t>
      </w:r>
      <w:r>
        <w:rPr>
          <w:b/>
          <w:bCs/>
          <w:spacing w:val="-2"/>
          <w:rtl/>
        </w:rPr>
        <w:t xml:space="preserve">מולקנדוב, </w:t>
      </w:r>
      <w:r>
        <w:rPr>
          <w:spacing w:val="-2"/>
          <w:rtl/>
        </w:rPr>
        <w:t xml:space="preserve">פסקה 51 לחוות דעתו של כב' השופט י' דנציגר; עניין </w:t>
      </w:r>
      <w:r>
        <w:rPr>
          <w:b/>
          <w:bCs/>
          <w:spacing w:val="-2"/>
          <w:rtl/>
        </w:rPr>
        <w:t>שאמה הכהן</w:t>
      </w:r>
      <w:r>
        <w:rPr>
          <w:spacing w:val="-2"/>
          <w:rtl/>
        </w:rPr>
        <w:t>, פסקה 2 לחוות דעתה של כב' הנשיאה חיות).</w:t>
      </w:r>
    </w:p>
    <w:p w:rsidR="005A3691" w:rsidRDefault="005A3691" w:rsidP="005A3691">
      <w:pPr>
        <w:ind w:firstLine="720"/>
        <w:rPr>
          <w:rFonts w:ascii="David" w:hAnsi="David"/>
          <w:rtl/>
        </w:rPr>
      </w:pPr>
    </w:p>
    <w:p w:rsidR="005A3691" w:rsidRDefault="005A3691" w:rsidP="005A3691">
      <w:pPr>
        <w:pStyle w:val="ad"/>
        <w:ind w:left="0"/>
        <w:rPr>
          <w:rFonts w:ascii="David" w:hAnsi="David"/>
          <w:sz w:val="24"/>
          <w:u w:val="single"/>
          <w:rtl/>
        </w:rPr>
      </w:pPr>
      <w:r>
        <w:rPr>
          <w:rFonts w:ascii="David" w:hAnsi="David"/>
          <w:sz w:val="24"/>
          <w:u w:val="single"/>
          <w:rtl/>
        </w:rPr>
        <w:t>מן הכלל אל הפרט</w:t>
      </w:r>
    </w:p>
    <w:p w:rsidR="005A3691" w:rsidRDefault="005A3691" w:rsidP="009E18BF">
      <w:pPr>
        <w:pStyle w:val="ad"/>
        <w:numPr>
          <w:ilvl w:val="0"/>
          <w:numId w:val="1"/>
        </w:numPr>
        <w:ind w:left="0" w:firstLine="0"/>
        <w:rPr>
          <w:rFonts w:ascii="David" w:hAnsi="David"/>
          <w:sz w:val="24"/>
        </w:rPr>
      </w:pPr>
      <w:r>
        <w:rPr>
          <w:rFonts w:ascii="David" w:hAnsi="David"/>
          <w:sz w:val="24"/>
          <w:rtl/>
        </w:rPr>
        <w:t xml:space="preserve">במקרה זה, חברת הסיעוד, המשמשת כמעסיקה של המטפלת, בחנה תלונה שהתקבלה ביחס למנוח. הליך הבירור נעשה מכוח חובתה של הנתבעת בהתאם לחוק למניעת הטרדה מינית, התשנ"ח-1998 ולתקנות למניעת הטרדה מינית (חובות מעסיק), התשנ"ח-1998. הפרסום נושא תביעה זו נוגע למכתב דיווח שהעבירה חברת הסיעוד ללשכת הרווחה המקומית בהתאם להוראות חוזר "המשך טיפול בזקן לאחר שהמטפלת בו הגישה נגדו תלונה על הטרדה מינית" המסדיר את אופן הטיפול בתלונה של מטפלת על הטרדה מינית מצִדו </w:t>
      </w:r>
      <w:r w:rsidR="009E18BF">
        <w:rPr>
          <w:rFonts w:ascii="David" w:hAnsi="David" w:hint="cs"/>
          <w:sz w:val="24"/>
          <w:rtl/>
        </w:rPr>
        <w:t>של המטופל</w:t>
      </w:r>
      <w:r>
        <w:rPr>
          <w:rFonts w:ascii="David" w:hAnsi="David"/>
          <w:sz w:val="24"/>
          <w:rtl/>
        </w:rPr>
        <w:t xml:space="preserve"> (להלן: </w:t>
      </w:r>
      <w:r>
        <w:rPr>
          <w:rFonts w:ascii="David" w:hAnsi="David"/>
          <w:b/>
          <w:bCs/>
          <w:sz w:val="24"/>
          <w:rtl/>
        </w:rPr>
        <w:t>החוזר</w:t>
      </w:r>
      <w:r>
        <w:rPr>
          <w:rFonts w:ascii="David" w:hAnsi="David"/>
          <w:sz w:val="24"/>
          <w:rtl/>
        </w:rPr>
        <w:t xml:space="preserve">). יאמר כבר כעת, כי החוזר מחייב את חברת הסיעוד לדווח על האירוע ללשכת הרווחה המקומית.  </w:t>
      </w:r>
    </w:p>
    <w:p w:rsidR="005A3691" w:rsidRDefault="005A3691" w:rsidP="005A3691">
      <w:pPr>
        <w:pStyle w:val="ad"/>
        <w:ind w:left="0"/>
        <w:rPr>
          <w:rFonts w:ascii="David" w:hAnsi="David"/>
          <w:sz w:val="24"/>
        </w:rPr>
      </w:pPr>
    </w:p>
    <w:p w:rsidR="005A3691" w:rsidRDefault="005A3691" w:rsidP="009E18BF">
      <w:pPr>
        <w:pStyle w:val="ad"/>
        <w:numPr>
          <w:ilvl w:val="0"/>
          <w:numId w:val="1"/>
        </w:numPr>
        <w:ind w:left="0" w:firstLine="0"/>
        <w:rPr>
          <w:rFonts w:ascii="David" w:hAnsi="David"/>
          <w:sz w:val="24"/>
        </w:rPr>
      </w:pPr>
      <w:r>
        <w:rPr>
          <w:rFonts w:ascii="David" w:hAnsi="David"/>
          <w:sz w:val="24"/>
          <w:rtl/>
        </w:rPr>
        <w:t xml:space="preserve">החוזר מיום 15.11.2015 גובש על ידי צוות בין משרדי של המוסד לביטוח לאומי, השירות לאזרחים ותיקים במשרד הרווחה ושירותי בריאות כללית. </w:t>
      </w:r>
      <w:r w:rsidR="009E18BF">
        <w:rPr>
          <w:rFonts w:ascii="David" w:hAnsi="David"/>
          <w:sz w:val="24"/>
          <w:rtl/>
        </w:rPr>
        <w:t>החוזר קובע את אופן הטיפול במקרה שבו הגישה מטפלת תלונה</w:t>
      </w:r>
      <w:r>
        <w:rPr>
          <w:rFonts w:ascii="David" w:hAnsi="David"/>
          <w:sz w:val="24"/>
          <w:rtl/>
        </w:rPr>
        <w:t xml:space="preserve"> או במקרה שבו חושש נותן השירות שהזקן הטריד מינית את המטפלת גם אם לא הוגשה מצידה תלונה. </w:t>
      </w:r>
    </w:p>
    <w:p w:rsidR="005A3691" w:rsidRDefault="005A3691" w:rsidP="005A3691">
      <w:pPr>
        <w:pStyle w:val="ad"/>
        <w:rPr>
          <w:rFonts w:ascii="David" w:hAnsi="David"/>
          <w:sz w:val="24"/>
        </w:rPr>
      </w:pPr>
    </w:p>
    <w:p w:rsidR="005A3691" w:rsidRDefault="005A3691" w:rsidP="009E18BF">
      <w:pPr>
        <w:pStyle w:val="ad"/>
        <w:numPr>
          <w:ilvl w:val="0"/>
          <w:numId w:val="1"/>
        </w:numPr>
        <w:ind w:left="0" w:firstLine="0"/>
        <w:rPr>
          <w:rFonts w:ascii="David" w:hAnsi="David"/>
          <w:sz w:val="24"/>
          <w:rtl/>
        </w:rPr>
      </w:pPr>
      <w:r>
        <w:rPr>
          <w:rFonts w:ascii="David" w:hAnsi="David"/>
          <w:sz w:val="24"/>
          <w:rtl/>
        </w:rPr>
        <w:t xml:space="preserve">החוזר קובע כי תלונת מטפלת על הטרדה מינית מצִדו של </w:t>
      </w:r>
      <w:r w:rsidR="009E18BF">
        <w:rPr>
          <w:rFonts w:ascii="David" w:hAnsi="David" w:hint="cs"/>
          <w:sz w:val="24"/>
          <w:rtl/>
        </w:rPr>
        <w:t>המטופל</w:t>
      </w:r>
      <w:r>
        <w:rPr>
          <w:rFonts w:ascii="David" w:hAnsi="David"/>
          <w:sz w:val="24"/>
          <w:rtl/>
        </w:rPr>
        <w:t xml:space="preserve">, תוגש לנותן השירות שהוא המעסיק של המטפלת ועליו קיימת </w:t>
      </w:r>
      <w:r>
        <w:rPr>
          <w:rFonts w:ascii="David" w:hAnsi="David"/>
          <w:sz w:val="24"/>
          <w:u w:val="single"/>
          <w:rtl/>
        </w:rPr>
        <w:t>החובה</w:t>
      </w:r>
      <w:r>
        <w:rPr>
          <w:rFonts w:ascii="David" w:hAnsi="David"/>
          <w:sz w:val="24"/>
          <w:rtl/>
        </w:rPr>
        <w:t xml:space="preserve"> מכוח החוק לטפל בכך (סעיף א1 לחוזר). סעיף א2 קובע כי אם נותן השירות</w:t>
      </w:r>
      <w:r w:rsidRPr="002A3461">
        <w:rPr>
          <w:rFonts w:ascii="David" w:hAnsi="David"/>
          <w:sz w:val="24"/>
          <w:rtl/>
        </w:rPr>
        <w:t xml:space="preserve"> התרשם</w:t>
      </w:r>
      <w:r>
        <w:rPr>
          <w:rFonts w:ascii="David" w:hAnsi="David"/>
          <w:sz w:val="24"/>
          <w:rtl/>
        </w:rPr>
        <w:t xml:space="preserve"> שהייתה הטרדה מינית, הוא </w:t>
      </w:r>
      <w:r>
        <w:rPr>
          <w:rFonts w:ascii="David" w:hAnsi="David"/>
          <w:sz w:val="24"/>
          <w:u w:val="single"/>
          <w:rtl/>
        </w:rPr>
        <w:t>יודיע על כך בכתב לוועדה המקומית ויצרף את החלטתו להמשך הטיפול</w:t>
      </w:r>
      <w:r>
        <w:rPr>
          <w:rFonts w:ascii="David" w:hAnsi="David"/>
          <w:sz w:val="24"/>
          <w:rtl/>
        </w:rPr>
        <w:t>. במקרה כזה הטיפול יתבצע על ידי מטפל גבר, שתי מטפלות במקביל או מטפל גבר ומטפלת אישה יחד (סעיף 2). עוד נקבע שם, שאם מסרב ה</w:t>
      </w:r>
      <w:r w:rsidR="009E18BF">
        <w:rPr>
          <w:rFonts w:ascii="David" w:hAnsi="David" w:hint="cs"/>
          <w:sz w:val="24"/>
          <w:rtl/>
        </w:rPr>
        <w:t>מטופל</w:t>
      </w:r>
      <w:r>
        <w:rPr>
          <w:rFonts w:ascii="David" w:hAnsi="David"/>
          <w:sz w:val="24"/>
          <w:rtl/>
        </w:rPr>
        <w:t xml:space="preserve"> לקבל את הטיפול החלופי שמוצע לו, תקבע הוועדה שהוא "מסרב לקבל שירות" (סעיף 4). במקרה שבו מבקש </w:t>
      </w:r>
      <w:r w:rsidR="009E18BF">
        <w:rPr>
          <w:rFonts w:ascii="David" w:hAnsi="David" w:hint="cs"/>
          <w:sz w:val="24"/>
          <w:rtl/>
        </w:rPr>
        <w:t>המטופל</w:t>
      </w:r>
      <w:r>
        <w:rPr>
          <w:rFonts w:ascii="David" w:hAnsi="David"/>
          <w:sz w:val="24"/>
          <w:rtl/>
        </w:rPr>
        <w:t xml:space="preserve"> לעבור לקבל שירות מנותן שירותים אחר, תנאי לכך הוא שיחתום על טופס הסכמה המאשר לוועדה המקומית להעביר לנותן השירותים החדש את המידע לפיו נותן השירותים הקודם קבע שיש להפנות אליו מטפל גבר (סעיף 5). </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החוזר הופץ ביום 17.11.2015 "לחברות שמספקות שירותי סיעוד בבית הזקן" ובמכתב הנלווה נכתב שעל חברות הסיעוד "חלה החובה להגן על עובדיהם בכלל ובתחום זה בפרט, עליכם </w:t>
      </w:r>
      <w:r>
        <w:rPr>
          <w:rFonts w:ascii="David" w:hAnsi="David"/>
          <w:sz w:val="24"/>
          <w:rtl/>
        </w:rPr>
        <w:lastRenderedPageBreak/>
        <w:t>לבדוק את התלונות ולקבל החלטה בדבר אופן המשך מתן השירות לזקן". החוזר מפורסם באתר האינטרנט של המוסד לביטוח לאומי.</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על מנת לחסות תחת החסינות הקבועה סעיף 13(9) יש להצביע על חובה לביצוע הפרסום על פי דין או </w:t>
      </w:r>
      <w:r>
        <w:rPr>
          <w:rtl/>
        </w:rPr>
        <w:t xml:space="preserve">חובה על פי הוראה של רשות המוסמכת לכך כדין או היתר של רשות כאמור. אשר לחלופה השלישית – היתר שניתן לכך על ידי רשות מוסמכת, בעניין </w:t>
      </w:r>
      <w:r>
        <w:rPr>
          <w:b/>
          <w:bCs/>
          <w:rtl/>
        </w:rPr>
        <w:t xml:space="preserve">שאמה הכהן </w:t>
      </w:r>
      <w:r>
        <w:rPr>
          <w:rtl/>
        </w:rPr>
        <w:t>נפסק כי יש להצביע על היתר לביצוע פרסום מסוים, מכוח סמכות קונקרטית של רשות, ואין לראות בעצם העמדת נושא על סדר יומה של רשות כהיתר ספציפי לביצוע כל פרסום (פסקאות 4-5 לחוות דעתה של כב' הנשיאה א' חיות בעניין</w:t>
      </w:r>
      <w:r>
        <w:rPr>
          <w:b/>
          <w:bCs/>
          <w:rtl/>
        </w:rPr>
        <w:t xml:space="preserve"> שאמה הכהן</w:t>
      </w:r>
      <w:r>
        <w:rPr>
          <w:rtl/>
        </w:rPr>
        <w:t>).</w:t>
      </w:r>
      <w:r>
        <w:rPr>
          <w:rFonts w:ascii="David" w:hAnsi="David"/>
          <w:sz w:val="24"/>
          <w:rtl/>
        </w:rPr>
        <w:t xml:space="preserve"> עוד נפסק שמדובר ברשות "המוסמכת לחייב בפרסום או להתירו" ולא ברשות מוסמכת באופן כללי. </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tl/>
        </w:rPr>
      </w:pPr>
      <w:r>
        <w:rPr>
          <w:rFonts w:ascii="David" w:hAnsi="David"/>
          <w:sz w:val="24"/>
          <w:rtl/>
        </w:rPr>
        <w:t xml:space="preserve">לפיכך, יש לבחון אם החוזר שמכוחו בוצע הדיווח בא בגדר אחת מהחלופות הקבועות בסעיף 13(9). לצורך הכרעה בשאלה זו יש לבחון אם המוסד לביטוח לאומי ומשרד הרווחה הם "רשות מוסמכת לחייב בפרסום, או להתירו" ואם </w:t>
      </w:r>
      <w:r>
        <w:rPr>
          <w:rtl/>
        </w:rPr>
        <w:t xml:space="preserve">קיים "קשר שבין תפקידה של הרשות על-פי דין לבין תוכן הפרסום הספציפי שנעשה בפועל" (פסקה 9 לחוות דעתה של כב' השופטת ד' ברק-ארז בעניין </w:t>
      </w:r>
      <w:r>
        <w:rPr>
          <w:b/>
          <w:bCs/>
          <w:rtl/>
        </w:rPr>
        <w:t>שאמה-הכהן</w:t>
      </w:r>
      <w:r>
        <w:rPr>
          <w:rtl/>
        </w:rPr>
        <w:t xml:space="preserve">).  </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tl/>
        </w:rPr>
      </w:pPr>
      <w:r>
        <w:rPr>
          <w:rtl/>
        </w:rPr>
        <w:t xml:space="preserve">חברות סיעוד הן חברות פרטיות שהמוסד לביטוח לאומי התקשר עמן למתן שירותי סיעוד לזכאים לכך. חברות הסיעוד נתונות לפיקוח הביטוח הלאומי בהתאם להוראת סעיף 230(ב) לחוק הביטוח הלאומי [נוסח משולב], התשנ"ה-1995 (להלן: </w:t>
      </w:r>
      <w:r>
        <w:rPr>
          <w:b/>
          <w:bCs/>
          <w:rtl/>
        </w:rPr>
        <w:t>חוק הביטוח הלאומי</w:t>
      </w:r>
      <w:r>
        <w:rPr>
          <w:rtl/>
        </w:rPr>
        <w:t xml:space="preserve">). השר הממונה על ביצוע החוק הוא שר העבודה והרווחה (סעיפים 1, 8(ג) לחוק הביטוח הלאומי). בתקופה הרלוונטית לתביעה הפיקוח על חברות הסיעוד בפועל התבצע באמצעות ועדות מקומיות לענייני סיעוד שפעלו ברשויות המקומיות ובכפיפות לשירות לזקן במשרד הרווחה והשירותים החברתיים (כשמו אז) (בהתאם לסעיף 231 לחוק הביטוח הלאומי, שבוטל בשנת 2019). </w:t>
      </w:r>
      <w:r>
        <w:rPr>
          <w:rFonts w:ascii="David" w:hAnsi="David"/>
          <w:sz w:val="24"/>
          <w:rtl/>
        </w:rPr>
        <w:t>להרחבה על הסדרי הפיקוח ומערכת היחסים שבין חברות הסיעוד למוסד לביטוח לאומי ולמשרד הרווחה, במועד הרלוונטי לתביעה, ראו:</w:t>
      </w:r>
      <w:r>
        <w:rPr>
          <w:rFonts w:ascii="David" w:hAnsi="David"/>
          <w:sz w:val="24"/>
        </w:rPr>
        <w:t xml:space="preserve"> </w:t>
      </w:r>
      <w:r>
        <w:rPr>
          <w:rFonts w:ascii="David" w:hAnsi="David"/>
          <w:sz w:val="24"/>
          <w:rtl/>
        </w:rPr>
        <w:t xml:space="preserve">מתן שחק </w:t>
      </w:r>
      <w:r>
        <w:rPr>
          <w:rFonts w:ascii="David" w:hAnsi="David"/>
          <w:b/>
          <w:bCs/>
          <w:sz w:val="24"/>
          <w:rtl/>
        </w:rPr>
        <w:t>אחריות חברות הסיעוד והלשכות הפרטיות לסיעוד למניעת התעללות של מטפלי סיעוד זרים בזקנים</w:t>
      </w:r>
      <w:r>
        <w:rPr>
          <w:rFonts w:ascii="David" w:hAnsi="David"/>
          <w:sz w:val="24"/>
          <w:rtl/>
        </w:rPr>
        <w:t xml:space="preserve"> (מרכז המחקר והמידע של הכנסת 2015). מסמך זה עומד על החשיבות בקביעת הסדרי פיקוח על פעילות חברת הסיעוד על ידי המוסד לביטוח לאומי, דרך קביעת נהלים מחייבים כלפי חברות הסיעוד ופיקוח בפועל על ידי הוועדות המקומיות (שם, בעמודים 25, 34-35). </w:t>
      </w:r>
    </w:p>
    <w:p w:rsidR="005A3691" w:rsidRDefault="005A3691" w:rsidP="005A3691">
      <w:pPr>
        <w:pStyle w:val="ad"/>
        <w:ind w:left="0"/>
        <w:rPr>
          <w:rFonts w:ascii="David" w:hAnsi="David"/>
          <w:sz w:val="24"/>
          <w:rtl/>
        </w:rPr>
      </w:pPr>
    </w:p>
    <w:p w:rsidR="005A3691" w:rsidRDefault="005A3691" w:rsidP="005A3691">
      <w:pPr>
        <w:pStyle w:val="ad"/>
        <w:numPr>
          <w:ilvl w:val="0"/>
          <w:numId w:val="1"/>
        </w:numPr>
        <w:ind w:left="0" w:firstLine="0"/>
        <w:rPr>
          <w:rFonts w:ascii="David" w:hAnsi="David"/>
          <w:sz w:val="24"/>
        </w:rPr>
      </w:pPr>
      <w:r>
        <w:rPr>
          <w:rFonts w:ascii="David" w:hAnsi="David"/>
          <w:sz w:val="24"/>
          <w:rtl/>
        </w:rPr>
        <w:t xml:space="preserve">כאמור לעיל, החוזר שלפיו פעלה חברת הסיעוד גובש על ידי צוות בין משרדי של המוסד לביטוח לאומי, השירות לאזרחים ותיקים במשרד הרווחה ושירותי בריאות כללית. חוזר זה גובש כחלק מסמכויות הפיקוח של המוסד לביטוח לאומי ושל משרד הרווחה על פעילות חברות הסיעוד ומהווה הפעלת סמכות עזר בהתאם להוראת סעיף 17(א) לחוק הפרשנות, התשמ"א-1981: </w:t>
      </w:r>
    </w:p>
    <w:p w:rsidR="005A3691" w:rsidRDefault="005A3691" w:rsidP="005A3691">
      <w:pPr>
        <w:pStyle w:val="11"/>
        <w:spacing w:before="240"/>
      </w:pPr>
      <w:r>
        <w:rPr>
          <w:rtl/>
        </w:rPr>
        <w:lastRenderedPageBreak/>
        <w:t>"הסמכה לעשות דבר או לדון בענין פלוני או להכריע בו – משמעה גם הסמכה לקבוע נוהל עבודה וסדרי דיונים ככל שאלה לא נקבעו בחיקוק".</w:t>
      </w:r>
    </w:p>
    <w:p w:rsidR="005A3691" w:rsidRDefault="005A3691" w:rsidP="005A3691">
      <w:pPr>
        <w:pStyle w:val="ad"/>
        <w:ind w:left="0"/>
        <w:rPr>
          <w:rFonts w:ascii="David" w:hAnsi="David"/>
          <w:sz w:val="24"/>
          <w:rtl/>
        </w:rPr>
      </w:pPr>
    </w:p>
    <w:p w:rsidR="005A3691" w:rsidRDefault="005A3691" w:rsidP="005A3691">
      <w:pPr>
        <w:pStyle w:val="ad"/>
        <w:ind w:left="0" w:firstLine="720"/>
        <w:rPr>
          <w:rFonts w:ascii="David" w:hAnsi="David"/>
          <w:sz w:val="24"/>
          <w:rtl/>
        </w:rPr>
      </w:pPr>
      <w:r>
        <w:rPr>
          <w:rFonts w:ascii="David" w:hAnsi="David"/>
          <w:sz w:val="24"/>
          <w:rtl/>
        </w:rPr>
        <w:t xml:space="preserve">וראו גם: בג"ץ 4542/02 </w:t>
      </w:r>
      <w:r>
        <w:rPr>
          <w:rFonts w:ascii="David" w:hAnsi="David"/>
          <w:b/>
          <w:bCs/>
          <w:sz w:val="24"/>
          <w:rtl/>
        </w:rPr>
        <w:t>עמותת "קו לעובד" נ' ממשלת ישראל</w:t>
      </w:r>
      <w:r>
        <w:rPr>
          <w:rFonts w:ascii="David" w:hAnsi="David"/>
          <w:sz w:val="24"/>
          <w:rtl/>
        </w:rPr>
        <w:t xml:space="preserve">, סא(1) 346, 368-367, 391-390 (2006), שם נקבע כי מכוח סעיף 6 לתקנות הכניסה לישראל, המקנות לשר הפנים סמכות רחבה לקבוע תנאים למתן אשרת כניסה, ביכולתו לקבוע את תנאי העסקה בין מקבל האשרה למעסיקו; דנג"ץ 6127/00 </w:t>
      </w:r>
      <w:r>
        <w:rPr>
          <w:rFonts w:ascii="David" w:hAnsi="David"/>
          <w:b/>
          <w:bCs/>
          <w:sz w:val="24"/>
          <w:rtl/>
        </w:rPr>
        <w:t>המפקחת על הביטוח נ' ציון חברה לביטוח בע"מ</w:t>
      </w:r>
      <w:r>
        <w:rPr>
          <w:rFonts w:ascii="David" w:hAnsi="David"/>
          <w:sz w:val="24"/>
          <w:rtl/>
        </w:rPr>
        <w:t xml:space="preserve">, נח(4) 937, 949-945 (2004), שם נקבע כי סעיף 18 לחוק הפיקוח על עסקי הביטוח, המקנה למפקחת על הביטוח סמכות לקבוע תנאים ברישיון המבטח, מאפשר לה להוסיף תנאי שלפיו נושאי משרה שהורשעו בפלילים יורחקו מכהונתם. זאת בהתאם להלכה שלפיה רשות מנהלית המוסמכת להעניק רישיון, מוסמכת מכללא להתנות בו כל תנאי שיש לו זיקה למטרות החוק; וכן ראו: דפנה ברק-ארז </w:t>
      </w:r>
      <w:r>
        <w:rPr>
          <w:rFonts w:ascii="David" w:hAnsi="David"/>
          <w:b/>
          <w:bCs/>
          <w:sz w:val="24"/>
          <w:rtl/>
        </w:rPr>
        <w:t xml:space="preserve">משפט מנהלי </w:t>
      </w:r>
      <w:r>
        <w:rPr>
          <w:rFonts w:ascii="David" w:hAnsi="David"/>
          <w:sz w:val="24"/>
          <w:rtl/>
        </w:rPr>
        <w:t xml:space="preserve">כרך א 151-145 (2010)). </w:t>
      </w:r>
    </w:p>
    <w:p w:rsidR="005A3691" w:rsidRDefault="005A3691" w:rsidP="005A3691">
      <w:pPr>
        <w:pStyle w:val="ad"/>
        <w:ind w:left="0" w:firstLine="720"/>
        <w:rPr>
          <w:rFonts w:ascii="David" w:hAnsi="David"/>
          <w:sz w:val="24"/>
          <w:rtl/>
        </w:rPr>
      </w:pPr>
    </w:p>
    <w:p w:rsidR="005A3691" w:rsidRDefault="005A3691" w:rsidP="005A3691">
      <w:pPr>
        <w:pStyle w:val="ad"/>
        <w:numPr>
          <w:ilvl w:val="0"/>
          <w:numId w:val="1"/>
        </w:numPr>
        <w:ind w:left="0" w:firstLine="0"/>
        <w:rPr>
          <w:rFonts w:ascii="David" w:hAnsi="David"/>
          <w:sz w:val="24"/>
          <w:rtl/>
        </w:rPr>
      </w:pPr>
      <w:r>
        <w:rPr>
          <w:rFonts w:ascii="David" w:hAnsi="David"/>
          <w:sz w:val="24"/>
          <w:rtl/>
        </w:rPr>
        <w:t>בנסיבות אלו מסקנתי היא כי הפרסום בוצע על פי הוראה של רשות המוסמכת לכך כדין, או לחלופין – על פי היתר שניתן לכך. כמו כן, קיים קשר הדוק בין תפקידה של הרשות, האחראית על אספקת שירותי רווחה וסיעוד במדינה ומפקחת על חברות הסיעוד, לתוכן הפרסום הספציפי שנעשה בפועל. הדיווח שחברת הסיעוד מחויבת בו בהתאם להוראות החוזר הועבר במישרין אל העובדת הסוציאלית בוועדה המקומית וכלל דיווח ממוקד על האירוע והחלטת חברת הסיעוד. הואיל וכך, הרי שהדיווח עונה אף על דרישת המסוימות בפרסום ולתכלית ספציפית, ואין מדובר בהרחבת יתר של החסינות או מצב של התרת רסן כללית.</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tl/>
        </w:rPr>
      </w:pPr>
      <w:r>
        <w:rPr>
          <w:rFonts w:ascii="David" w:hAnsi="David"/>
          <w:sz w:val="24"/>
          <w:rtl/>
        </w:rPr>
        <w:t>זהו מקרה מובהק שבו חברת סיעוד האמונה על הגנה על אינטרסים ציבוריים (וכמובן על העוֹבדות בשליחותה), מספקת שירותי טיפול וסיעוד מטעמן של הרשויות האמונות על שירותי הרווחה במדינה, מחויבת בביצוע דיווח לגורם המפקח על פעולתן. שלילת החסינות במקרה זה תגרום לאפקט מצנן ולפגיעה בתכליות חברתיות וציבוריות, חשובות לאין שיעור.</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איני מקבלת את טענת התובעת כי ההגנה הקבועה בסעיף 13(9) אינה חלה במקרה זה מאחר שהנתבעת היא חברה פרטית. ראשית, בעניין </w:t>
      </w:r>
      <w:r>
        <w:rPr>
          <w:rFonts w:ascii="David" w:hAnsi="David"/>
          <w:b/>
          <w:bCs/>
          <w:sz w:val="24"/>
          <w:rtl/>
        </w:rPr>
        <w:t>שאמה הכהן</w:t>
      </w:r>
      <w:r>
        <w:rPr>
          <w:rFonts w:ascii="David" w:hAnsi="David"/>
          <w:sz w:val="24"/>
          <w:rtl/>
        </w:rPr>
        <w:t xml:space="preserve"> נפסק כי: "החוק אינו מוגבל לבעלי תפקידים, וחל גם על צד ג' חיצוני שפרסם מכוח היתר או הוראה שניתנה ע"י רשות מוסמכת" (פסקה 9 לחוות דעתה של כבוד השופטת ד' ברק-ארז). וגם: "נוסחו אינו מכוון לדיונים המתנהלים בתוך הרשות המוסמכת או לדברים שפורסמו בהכרח על-ידי עובדיה או חבריה, כי אם גם לפרסומים שנעשו על-פי היתר או הוראה מטעמה (ולפיכך הם עשויים להיות חיצוניים לרשות ולהיעשות על-ידי צד שלישי)" (פסקה 18 לחוות דעתה של כבוד השופטת ד' ברק-ארז).</w:t>
      </w:r>
    </w:p>
    <w:p w:rsidR="005A3691" w:rsidRDefault="005A3691" w:rsidP="005A3691">
      <w:pPr>
        <w:pStyle w:val="ad"/>
        <w:rPr>
          <w:rFonts w:ascii="David" w:hAnsi="David"/>
          <w:b/>
          <w:bCs/>
          <w:sz w:val="24"/>
          <w:rtl/>
        </w:rPr>
      </w:pPr>
    </w:p>
    <w:p w:rsidR="005A3691" w:rsidRDefault="005A3691" w:rsidP="004A43F2">
      <w:pPr>
        <w:pStyle w:val="ad"/>
        <w:ind w:left="0" w:firstLine="720"/>
        <w:rPr>
          <w:rFonts w:ascii="David" w:hAnsi="David"/>
          <w:sz w:val="24"/>
          <w:rtl/>
        </w:rPr>
      </w:pPr>
      <w:r>
        <w:rPr>
          <w:rFonts w:ascii="David" w:hAnsi="David"/>
          <w:sz w:val="24"/>
          <w:rtl/>
        </w:rPr>
        <w:lastRenderedPageBreak/>
        <w:t xml:space="preserve">שנית, </w:t>
      </w:r>
      <w:r w:rsidR="004A43F2">
        <w:rPr>
          <w:rFonts w:ascii="David" w:hAnsi="David" w:hint="cs"/>
          <w:sz w:val="24"/>
          <w:rtl/>
        </w:rPr>
        <w:t>אספקת</w:t>
      </w:r>
      <w:r>
        <w:rPr>
          <w:rFonts w:ascii="David" w:hAnsi="David"/>
          <w:sz w:val="24"/>
          <w:rtl/>
        </w:rPr>
        <w:t xml:space="preserve"> שירותי סיעוד היא שירות בעל מאפיינים ציבוריים שהופרט מהמוסד לביטוח לאומי לחברות הסיעוד (ע"ע (ארצי) 110/08</w:t>
      </w:r>
      <w:r>
        <w:rPr>
          <w:rFonts w:ascii="David" w:hAnsi="David"/>
          <w:b/>
          <w:bCs/>
          <w:sz w:val="24"/>
          <w:rtl/>
        </w:rPr>
        <w:t xml:space="preserve"> דליה – המוסד לביטוח לאומי</w:t>
      </w:r>
      <w:r>
        <w:rPr>
          <w:rFonts w:ascii="David" w:hAnsi="David"/>
          <w:color w:val="000000"/>
          <w:sz w:val="24"/>
          <w:rtl/>
        </w:rPr>
        <w:t>, פסקה 2 לחוות דעתו של כב' הנשיא ס' אדלר (12.3.2009))</w:t>
      </w:r>
      <w:r>
        <w:rPr>
          <w:rFonts w:ascii="David" w:hAnsi="David"/>
          <w:sz w:val="24"/>
          <w:rtl/>
        </w:rPr>
        <w:t xml:space="preserve">. בנסיבות אלו לנוכח </w:t>
      </w:r>
      <w:r w:rsidR="004A43F2">
        <w:rPr>
          <w:rFonts w:ascii="David" w:hAnsi="David" w:hint="cs"/>
          <w:sz w:val="24"/>
          <w:rtl/>
        </w:rPr>
        <w:t xml:space="preserve">מאפייני </w:t>
      </w:r>
      <w:r>
        <w:rPr>
          <w:rFonts w:ascii="David" w:hAnsi="David"/>
          <w:sz w:val="24"/>
          <w:rtl/>
        </w:rPr>
        <w:t>השירות והאינטרס הציבורי העומד בבסיס חובת ה</w:t>
      </w:r>
      <w:r w:rsidR="004A43F2">
        <w:rPr>
          <w:rFonts w:ascii="David" w:hAnsi="David"/>
          <w:sz w:val="24"/>
          <w:rtl/>
        </w:rPr>
        <w:t xml:space="preserve">דיווח במקרה זה, מתקיימת בבירור </w:t>
      </w:r>
      <w:r>
        <w:rPr>
          <w:rFonts w:ascii="David" w:hAnsi="David"/>
          <w:sz w:val="24"/>
          <w:rtl/>
        </w:rPr>
        <w:t xml:space="preserve">תכלית סעיף 13(9) – לאפשר את הפעלת סמכויות הפיקוח על פעילות חברות הסיעוד והעברת אינפורמציה בינן ובין הרשויות המוסמכות המפקחות על פעילותן, ללא אפקט מצנן וללא מורא מתביעות בגין לשון הרע. </w:t>
      </w:r>
    </w:p>
    <w:p w:rsidR="00DE7739" w:rsidRPr="00DE7739" w:rsidRDefault="00DE7739" w:rsidP="00DE7739">
      <w:pPr>
        <w:rPr>
          <w:rFonts w:ascii="David" w:hAnsi="David"/>
          <w:rtl/>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שלילת ההגנה במקרה זה עלולה להוביל לפגיעה באינטרס ציבורי במתן הגנה הן למטפלות הסיעוד הן למטופלים עצמם. במערכת היחסים שבין חברות הסיעוד לרשויות המפקחות עליהן יש לאפשר העברת מידע חופשית, ללא חשש מתביעות לשן הרע בגין כך, בפרט במקרים בהם מתעורר חשש להטרדה או פגיעה במטפלת. החוזר מכוחו פעלה הנתבעת במקרה זה עומד על כך שמקרים בהם מטופלת מתלוננת על הטרדה מצד המטופל הפכו לשכיחים יותר, וחייבו הסדרת דרכי טיפול ודיווח. ודוק, שלילת החסינות במקרה זה עלולה להשליך גם על מקרים נוספים בהם קיים אינטרס להבטיח דיווח חופשי, כמו חשש להתעללות או לפגיעה בזקן על ידי המטפל בו. גם כעניין של מדיניות משפטית </w:t>
      </w:r>
      <w:r w:rsidRPr="004A43F2">
        <w:rPr>
          <w:rFonts w:ascii="David" w:hAnsi="David"/>
          <w:sz w:val="24"/>
          <w:rtl/>
        </w:rPr>
        <w:t>אין</w:t>
      </w:r>
      <w:r>
        <w:rPr>
          <w:rFonts w:ascii="David" w:hAnsi="David"/>
          <w:sz w:val="24"/>
          <w:rtl/>
        </w:rPr>
        <w:t xml:space="preserve"> לשלול את ההגנה ולקבוע שמכתב דיווח שחברת סיעוד מעבירה ללשכת רווחה ולמוסד לביטוח לאומי הוא בגדר הוצאת דיבה. אין זה האפיק המשפטי המתאים, הרצוי והראוי למיצוי טענות המנוח ובני משפחתו. </w:t>
      </w:r>
    </w:p>
    <w:p w:rsidR="005A3691" w:rsidRDefault="005A3691" w:rsidP="005A3691">
      <w:pPr>
        <w:pStyle w:val="ad"/>
        <w:rPr>
          <w:rFonts w:ascii="David" w:hAnsi="David"/>
          <w:sz w:val="24"/>
          <w:rtl/>
        </w:rPr>
      </w:pPr>
    </w:p>
    <w:p w:rsidR="005A3691" w:rsidRDefault="005A3691" w:rsidP="005A3691">
      <w:pPr>
        <w:pStyle w:val="ad"/>
        <w:numPr>
          <w:ilvl w:val="0"/>
          <w:numId w:val="1"/>
        </w:numPr>
        <w:ind w:left="0" w:firstLine="0"/>
        <w:rPr>
          <w:rFonts w:ascii="David" w:hAnsi="David"/>
          <w:sz w:val="24"/>
          <w:rtl/>
        </w:rPr>
      </w:pPr>
      <w:r>
        <w:rPr>
          <w:rFonts w:ascii="David" w:hAnsi="David"/>
          <w:sz w:val="24"/>
          <w:rtl/>
        </w:rPr>
        <w:t>נוכח האמור לעיל מסקנתי היא שמדובר בפרסום מותר לפי סעיף 13(9) לחוק איסור לשון הרע ולנתבעת עומדת חסינות מוחלטת מכוחו.</w:t>
      </w:r>
    </w:p>
    <w:p w:rsidR="005A3691" w:rsidRDefault="005A3691" w:rsidP="005A3691">
      <w:pPr>
        <w:rPr>
          <w:rFonts w:ascii="David" w:hAnsi="David"/>
          <w:rtl/>
        </w:rPr>
      </w:pPr>
    </w:p>
    <w:p w:rsidR="005A3691" w:rsidRDefault="005A3691" w:rsidP="005A3691">
      <w:pPr>
        <w:pStyle w:val="ad"/>
        <w:numPr>
          <w:ilvl w:val="0"/>
          <w:numId w:val="1"/>
        </w:numPr>
        <w:ind w:left="0" w:firstLine="0"/>
        <w:rPr>
          <w:rFonts w:ascii="David" w:hAnsi="David"/>
          <w:sz w:val="24"/>
          <w:rtl/>
        </w:rPr>
      </w:pPr>
      <w:r>
        <w:rPr>
          <w:rFonts w:ascii="David" w:hAnsi="David"/>
          <w:sz w:val="24"/>
          <w:rtl/>
        </w:rPr>
        <w:t xml:space="preserve">לכאורה די היה בכך כדי לדחות את התביעה. עם זאת, אתייחס בקצרה, למען הזהירות, אף להגנת תום הלב הקבועה בסעיף 15 לחוק איסור לשון רע ולתחולתה במקרה זה.  </w:t>
      </w:r>
    </w:p>
    <w:p w:rsidR="005A3691" w:rsidRDefault="005A3691" w:rsidP="005A3691">
      <w:pPr>
        <w:pStyle w:val="ad"/>
        <w:rPr>
          <w:rFonts w:ascii="David" w:hAnsi="David"/>
          <w:sz w:val="24"/>
        </w:rPr>
      </w:pPr>
    </w:p>
    <w:p w:rsidR="005A3691" w:rsidRDefault="005A3691" w:rsidP="005A3691">
      <w:pPr>
        <w:rPr>
          <w:rFonts w:ascii="David" w:hAnsi="David"/>
          <w:b/>
          <w:bCs/>
          <w:u w:val="single"/>
          <w:rtl/>
        </w:rPr>
      </w:pPr>
      <w:r>
        <w:rPr>
          <w:rFonts w:ascii="David" w:hAnsi="David"/>
          <w:b/>
          <w:bCs/>
          <w:u w:val="single"/>
          <w:rtl/>
        </w:rPr>
        <w:t xml:space="preserve">האם מתקיימת הגנת תום הלב במקרה זה? </w:t>
      </w:r>
    </w:p>
    <w:p w:rsidR="005A3691" w:rsidRDefault="005A3691" w:rsidP="005A3691">
      <w:pPr>
        <w:pStyle w:val="ad"/>
        <w:numPr>
          <w:ilvl w:val="0"/>
          <w:numId w:val="1"/>
        </w:numPr>
        <w:ind w:left="0" w:firstLine="0"/>
        <w:rPr>
          <w:rFonts w:ascii="David" w:hAnsi="David"/>
          <w:sz w:val="24"/>
        </w:rPr>
      </w:pPr>
      <w:r>
        <w:rPr>
          <w:rFonts w:ascii="David" w:hAnsi="David"/>
          <w:sz w:val="24"/>
          <w:rtl/>
        </w:rPr>
        <w:t>סעיף 15 לחוק איסור לשון הרע מעניק הגנה לפרסום שנעשה בתום לב. הרציונל העומד בבסיס הגנות תום הלב דומה בבסיסו להגנות המוחלטות בסעיף 13. לפי סעיף זה, ישנם מצבים שבהם האינטרס הציבורי בביטוי חופשי גובר על הפגיעה בפרט ומתקיים גם אם הפרסום אינו אמת. אולם הואיל ומדובר בפרסום שהאינטרס הציבורי בקיומו אינו חזק כמו אלו המנויים בסעיף 13, הוסיף החוקק את דרישת תום הלב (</w:t>
      </w:r>
      <w:r>
        <w:rPr>
          <w:rFonts w:ascii="David" w:hAnsi="David"/>
          <w:b/>
          <w:bCs/>
          <w:sz w:val="24"/>
          <w:rtl/>
        </w:rPr>
        <w:t>שנהר</w:t>
      </w:r>
      <w:r>
        <w:rPr>
          <w:rFonts w:ascii="David" w:hAnsi="David"/>
          <w:sz w:val="24"/>
          <w:rtl/>
        </w:rPr>
        <w:t>,</w:t>
      </w:r>
      <w:r>
        <w:rPr>
          <w:rFonts w:ascii="David" w:hAnsi="David"/>
          <w:b/>
          <w:bCs/>
          <w:sz w:val="24"/>
          <w:rtl/>
        </w:rPr>
        <w:t xml:space="preserve"> </w:t>
      </w:r>
      <w:r>
        <w:rPr>
          <w:rFonts w:ascii="David" w:hAnsi="David"/>
          <w:sz w:val="24"/>
          <w:rtl/>
        </w:rPr>
        <w:t>בעמ' 249). לפיכך, הגנה זו תחול רק בהתקיים שני תנאים מצטברים: הפרסום נעשה בתום לב; הפרסום נעשה במסגרת אחת הנסיבות המנויות בסעיף 15. נטל ההוכחה להתקיימות שני תנאים אלו מוטל על הנתבע. בסעיף 16 לחוק נקבעו שתי חזקות – חזקה לקיומו של תום לב (סעיף 16(א)) או חזקה להעדרו (סעיף 16(ב)).</w:t>
      </w:r>
    </w:p>
    <w:p w:rsidR="005A3691" w:rsidRDefault="005A3691" w:rsidP="005A3691">
      <w:pPr>
        <w:pStyle w:val="ad"/>
        <w:ind w:left="0"/>
        <w:rPr>
          <w:rFonts w:ascii="David" w:hAnsi="David"/>
          <w:sz w:val="24"/>
        </w:rPr>
      </w:pPr>
    </w:p>
    <w:p w:rsidR="005A3691" w:rsidRDefault="005A3691" w:rsidP="005A3691">
      <w:pPr>
        <w:pStyle w:val="ad"/>
        <w:numPr>
          <w:ilvl w:val="0"/>
          <w:numId w:val="1"/>
        </w:numPr>
        <w:ind w:left="0" w:firstLine="0"/>
        <w:rPr>
          <w:rFonts w:ascii="David" w:hAnsi="David"/>
          <w:sz w:val="24"/>
        </w:rPr>
      </w:pPr>
      <w:r>
        <w:rPr>
          <w:rFonts w:ascii="David" w:hAnsi="David"/>
          <w:sz w:val="24"/>
          <w:rtl/>
        </w:rPr>
        <w:lastRenderedPageBreak/>
        <w:t>במקרה זה טוענת הנתבעת לקיומה של הגנה הקבועה בסעיף 15(2), הקובעת כי ההגנה מתקיימת בנסיבות בהן: "היחסים שבינו לבין האדם שאליו הופנה הפרסום הטילו עליו חובה חוקית, מוסרית או חברתית לעשות אותו פרסום".</w:t>
      </w:r>
    </w:p>
    <w:p w:rsidR="005A3691" w:rsidRDefault="005A3691" w:rsidP="005A3691">
      <w:pPr>
        <w:pStyle w:val="ad"/>
        <w:rPr>
          <w:rFonts w:ascii="David" w:hAnsi="David"/>
          <w:sz w:val="24"/>
        </w:rPr>
      </w:pPr>
    </w:p>
    <w:p w:rsidR="005A3691" w:rsidRDefault="005A3691" w:rsidP="00D03519">
      <w:pPr>
        <w:pStyle w:val="ad"/>
        <w:numPr>
          <w:ilvl w:val="0"/>
          <w:numId w:val="1"/>
        </w:numPr>
        <w:ind w:left="0" w:firstLine="0"/>
        <w:rPr>
          <w:rFonts w:ascii="David" w:hAnsi="David"/>
          <w:sz w:val="24"/>
          <w:rtl/>
        </w:rPr>
      </w:pPr>
      <w:r>
        <w:rPr>
          <w:rFonts w:ascii="David" w:hAnsi="David"/>
          <w:sz w:val="24"/>
          <w:rtl/>
        </w:rPr>
        <w:t>לשם בחינת תחולת ההגנה יש לעמוד בארבעה תנאים מצטברים: הראשון, חובה חוקית, מוסרית או חברתית לעשות את הפרסום. לשם יישום סעיף זה יש לבחון כיצד היו פועלים אחרים בנעליו של הנתבע במצב זה (מבחן אמפירי) ואם היו חשים חובה לבצע את הפרסום. כמו כן, יש לבחון את הנורמות החברתיות ואת האינטרס הציבורי בביצוע הפרסום (מבחן נורמטיבי). השני, קיומה של חובה ביחס למי שהופנה אליו הפרסום. כלומר, על הפרסום להיות מופנה כלפי האדם אליו חב המפרסם את חובת הפרסום. עניינו של התנאי השלישי בתוכנו של הפרסום. הדרישה היא שתוכן הפרסום אינו חורג מן החובה שיש לפרסם ולא פורסמו ביטויים מעבר לנדרש. ולבסוף, יש לבחון את תום הלב בפרסום. פרסום עשוי להיחשב כתם לב, גם אם המפרסם לא האמין בנכונות הפרסום, אך חלה עליו חובה לנקוט אמצעים סבירים לברור העובדות טרם ביצוע הפרסום (</w:t>
      </w:r>
      <w:r>
        <w:rPr>
          <w:rFonts w:ascii="David" w:hAnsi="David"/>
          <w:b/>
          <w:bCs/>
          <w:sz w:val="24"/>
          <w:rtl/>
        </w:rPr>
        <w:t>שנהר</w:t>
      </w:r>
      <w:r>
        <w:rPr>
          <w:rFonts w:ascii="David" w:hAnsi="David"/>
          <w:sz w:val="24"/>
          <w:rtl/>
        </w:rPr>
        <w:t xml:space="preserve">, בעמ' 287-282, 294; </w:t>
      </w:r>
      <w:r>
        <w:rPr>
          <w:rFonts w:ascii="David" w:hAnsi="David"/>
          <w:color w:val="000000"/>
          <w:sz w:val="24"/>
          <w:rtl/>
        </w:rPr>
        <w:t xml:space="preserve">דנ"א 2121/12 </w:t>
      </w:r>
      <w:r>
        <w:rPr>
          <w:rFonts w:ascii="David" w:hAnsi="David"/>
          <w:b/>
          <w:bCs/>
          <w:color w:val="000000"/>
          <w:sz w:val="24"/>
          <w:rtl/>
        </w:rPr>
        <w:t>פלוני נ' ד"ר אורבך</w:t>
      </w:r>
      <w:r>
        <w:rPr>
          <w:rFonts w:ascii="David" w:hAnsi="David"/>
          <w:color w:val="000000"/>
          <w:sz w:val="24"/>
          <w:rtl/>
        </w:rPr>
        <w:t>, פ"ד סז(1) 667</w:t>
      </w:r>
      <w:r>
        <w:rPr>
          <w:rFonts w:ascii="David" w:hAnsi="David"/>
          <w:sz w:val="24"/>
          <w:rtl/>
        </w:rPr>
        <w:t xml:space="preserve">, </w:t>
      </w:r>
      <w:r w:rsidR="00D03519">
        <w:rPr>
          <w:rFonts w:ascii="David" w:hAnsi="David" w:hint="cs"/>
          <w:sz w:val="24"/>
          <w:rtl/>
        </w:rPr>
        <w:t xml:space="preserve">פסקה 66 </w:t>
      </w:r>
      <w:r>
        <w:rPr>
          <w:rFonts w:ascii="David" w:hAnsi="David"/>
          <w:color w:val="000000"/>
          <w:sz w:val="24"/>
          <w:rtl/>
        </w:rPr>
        <w:t>(2014)</w:t>
      </w:r>
      <w:r>
        <w:rPr>
          <w:rFonts w:ascii="David" w:hAnsi="David"/>
          <w:sz w:val="24"/>
          <w:rtl/>
        </w:rPr>
        <w:t xml:space="preserve">). </w:t>
      </w:r>
    </w:p>
    <w:p w:rsidR="005A3691" w:rsidRDefault="005A3691" w:rsidP="005A3691">
      <w:pPr>
        <w:pStyle w:val="ad"/>
        <w:rPr>
          <w:rFonts w:ascii="David" w:hAnsi="David"/>
          <w:sz w:val="24"/>
        </w:rPr>
      </w:pPr>
    </w:p>
    <w:p w:rsidR="005A3691" w:rsidRDefault="005A3691" w:rsidP="005A3691">
      <w:pPr>
        <w:pStyle w:val="ad"/>
        <w:numPr>
          <w:ilvl w:val="0"/>
          <w:numId w:val="1"/>
        </w:numPr>
        <w:ind w:left="0" w:firstLine="0"/>
        <w:rPr>
          <w:rFonts w:ascii="David" w:hAnsi="David"/>
          <w:sz w:val="24"/>
          <w:rtl/>
        </w:rPr>
      </w:pPr>
      <w:r>
        <w:rPr>
          <w:rFonts w:ascii="David" w:hAnsi="David"/>
          <w:sz w:val="24"/>
          <w:rtl/>
        </w:rPr>
        <w:t>אבחן יישום תנאים אלו במקרה שלפניי.</w:t>
      </w:r>
    </w:p>
    <w:p w:rsidR="005A3691" w:rsidRDefault="005A3691" w:rsidP="005A3691">
      <w:pPr>
        <w:pStyle w:val="ad"/>
        <w:rPr>
          <w:rFonts w:ascii="David" w:hAnsi="David"/>
          <w:sz w:val="24"/>
        </w:rPr>
      </w:pPr>
    </w:p>
    <w:p w:rsidR="005A3691" w:rsidRDefault="005A3691" w:rsidP="00A84EEA">
      <w:pPr>
        <w:pStyle w:val="ad"/>
        <w:ind w:left="0" w:firstLine="720"/>
        <w:rPr>
          <w:rFonts w:ascii="David" w:hAnsi="David"/>
          <w:sz w:val="24"/>
          <w:rtl/>
        </w:rPr>
      </w:pPr>
      <w:r>
        <w:rPr>
          <w:rFonts w:ascii="David" w:hAnsi="David"/>
          <w:sz w:val="24"/>
          <w:rtl/>
        </w:rPr>
        <w:t xml:space="preserve">על חברת הסיעוד </w:t>
      </w:r>
      <w:r>
        <w:rPr>
          <w:rFonts w:ascii="David" w:hAnsi="David"/>
          <w:sz w:val="24"/>
          <w:u w:val="single"/>
          <w:rtl/>
        </w:rPr>
        <w:t>חובה לבצע את הפרסום</w:t>
      </w:r>
      <w:r>
        <w:rPr>
          <w:rFonts w:ascii="David" w:hAnsi="David"/>
          <w:sz w:val="24"/>
          <w:rtl/>
        </w:rPr>
        <w:t xml:space="preserve"> הן בהתאם למבחן האמפירי הן בהתאם למבחן הנורמטיבי. קיימת חובה מקצועית, מוסרית וחברתית בדיווח על תלונה של מטפלת נגד הקשיש שבו היא מטפלת. חובה זו אף נלמדת מההוראה החוקית הקבועה בחוק ובתקנות למניעת הטרדה מינית, ובהתאם לחוזר משרד הרווחה והמוסד לביטוח לאומי, שאליו התייחסתי בהרחבה לעיל. </w:t>
      </w:r>
    </w:p>
    <w:p w:rsidR="005A3691" w:rsidRDefault="005A3691" w:rsidP="005A3691">
      <w:pPr>
        <w:pStyle w:val="ad"/>
        <w:ind w:left="0"/>
        <w:rPr>
          <w:rFonts w:ascii="David" w:hAnsi="David"/>
          <w:color w:val="000000"/>
          <w:sz w:val="24"/>
          <w:u w:val="single"/>
        </w:rPr>
      </w:pPr>
    </w:p>
    <w:p w:rsidR="005A3691" w:rsidRDefault="005A3691" w:rsidP="005A3691">
      <w:pPr>
        <w:pStyle w:val="ad"/>
        <w:ind w:left="0" w:firstLine="720"/>
        <w:rPr>
          <w:rFonts w:ascii="David" w:hAnsi="David"/>
          <w:color w:val="000000"/>
          <w:sz w:val="24"/>
          <w:rtl/>
        </w:rPr>
      </w:pPr>
      <w:r>
        <w:rPr>
          <w:rFonts w:ascii="David" w:hAnsi="David"/>
          <w:color w:val="000000"/>
          <w:sz w:val="24"/>
          <w:u w:val="single"/>
          <w:rtl/>
        </w:rPr>
        <w:t>החובה חלה ביחס למי שהופנה אליו הפרסום</w:t>
      </w:r>
      <w:r>
        <w:rPr>
          <w:rFonts w:ascii="David" w:hAnsi="David"/>
          <w:color w:val="000000"/>
          <w:sz w:val="24"/>
          <w:rtl/>
        </w:rPr>
        <w:t xml:space="preserve">, שכן הפרסום נעשה במכתב דיווח שמוען באופן אישי לעובדת סוציאלית בלשכת הרווחה המקומית באשקלון, שאמונה על טיפול במנוח ומפקחת על פעילות חברת הסיעוד. </w:t>
      </w:r>
    </w:p>
    <w:p w:rsidR="005A3691" w:rsidRDefault="005A3691" w:rsidP="005A3691">
      <w:pPr>
        <w:pStyle w:val="ad"/>
        <w:spacing w:before="240"/>
        <w:ind w:left="0" w:firstLine="720"/>
        <w:rPr>
          <w:rFonts w:ascii="David" w:hAnsi="David"/>
          <w:color w:val="000000"/>
          <w:sz w:val="24"/>
          <w:u w:val="single"/>
          <w:rtl/>
        </w:rPr>
      </w:pPr>
    </w:p>
    <w:p w:rsidR="005A3691" w:rsidRDefault="005A3691" w:rsidP="003A063C">
      <w:pPr>
        <w:pStyle w:val="ad"/>
        <w:spacing w:before="240"/>
        <w:ind w:left="0" w:firstLine="720"/>
        <w:rPr>
          <w:rFonts w:ascii="David" w:hAnsi="David"/>
          <w:sz w:val="24"/>
          <w:rtl/>
        </w:rPr>
      </w:pPr>
      <w:r>
        <w:rPr>
          <w:rFonts w:ascii="David" w:hAnsi="David"/>
          <w:color w:val="000000"/>
          <w:sz w:val="24"/>
          <w:u w:val="single"/>
          <w:rtl/>
        </w:rPr>
        <w:t>תוכן הפרסום</w:t>
      </w:r>
      <w:r>
        <w:rPr>
          <w:rFonts w:ascii="David" w:hAnsi="David"/>
          <w:color w:val="000000"/>
          <w:sz w:val="24"/>
          <w:rtl/>
        </w:rPr>
        <w:t xml:space="preserve"> לא חרג מן הנדרש על פי החובה – המכתב מתאר באופן תמציתי את עובדות המקרה כפי שתועד בזמן אמת על ידי מנהלת הסניף. </w:t>
      </w:r>
      <w:r>
        <w:rPr>
          <w:rFonts w:ascii="David" w:hAnsi="David"/>
          <w:sz w:val="24"/>
          <w:rtl/>
        </w:rPr>
        <w:t>המכתב</w:t>
      </w:r>
      <w:r>
        <w:rPr>
          <w:rtl/>
        </w:rPr>
        <w:t xml:space="preserve"> כולל מידע כללי על המנוח, היקף שעות הסיעוד לו הוא זכאי, ותיאור המקרה כפי שהתרשמה לאחר שתי שיחות עם המטפלת. נכתב במכתב כי מדובר בטענות </w:t>
      </w:r>
      <w:r>
        <w:rPr>
          <w:rFonts w:ascii="David" w:hAnsi="David"/>
          <w:sz w:val="24"/>
          <w:rtl/>
        </w:rPr>
        <w:t xml:space="preserve">המטפלת, כי לא היו תלונות בעניינו בעבר, ולדברי המטפלת מדובר בקשיש נחמד וחולה. אשר לתיאור התלונה חשוב לציין כי התובעת היתה הראשונה לפרסם את עובדות האירוע במכתב ששלחה בעצמה עם העתק למשרד הרווחה שבו פורטו הטענות נגד המנוח כך: "לטענת דריה </w:t>
      </w:r>
      <w:r w:rsidR="003A063C">
        <w:rPr>
          <w:rFonts w:ascii="David" w:hAnsi="David" w:hint="cs"/>
          <w:sz w:val="24"/>
          <w:rtl/>
        </w:rPr>
        <w:t>[המטופל]</w:t>
      </w:r>
      <w:r>
        <w:rPr>
          <w:rFonts w:ascii="David" w:hAnsi="David"/>
          <w:sz w:val="24"/>
          <w:rtl/>
        </w:rPr>
        <w:t xml:space="preserve"> הצמיד אותה לקיר וגרם לה לאי נעימות" וגם "גרסתכם השתנתה וגרסה כי </w:t>
      </w:r>
      <w:r w:rsidR="003A063C">
        <w:rPr>
          <w:rFonts w:ascii="David" w:hAnsi="David" w:hint="cs"/>
          <w:sz w:val="24"/>
          <w:rtl/>
        </w:rPr>
        <w:t>[המטופל]</w:t>
      </w:r>
      <w:r>
        <w:rPr>
          <w:rFonts w:ascii="David" w:hAnsi="David"/>
          <w:sz w:val="24"/>
          <w:rtl/>
        </w:rPr>
        <w:t xml:space="preserve"> נגע בחזה של דריה". במכתב זה "פרסמה" התובעת בעצמה את הפרטים שבהמשך נכללו במכתב </w:t>
      </w:r>
      <w:r>
        <w:rPr>
          <w:rFonts w:ascii="David" w:hAnsi="David"/>
          <w:sz w:val="24"/>
          <w:rtl/>
        </w:rPr>
        <w:lastRenderedPageBreak/>
        <w:t xml:space="preserve">הדיווח ששלחה חברת הסיעוד. במצב דברים זה אין לקבוע כי מכתב הדיווח חרג מן הנדרש, שכן ממילא פרטים אלו כבר הועברו על ידי משפחת המנוח ללשכת הרווחה. </w:t>
      </w:r>
    </w:p>
    <w:p w:rsidR="005A3691" w:rsidRDefault="005A3691" w:rsidP="005A3691">
      <w:pPr>
        <w:pStyle w:val="ad"/>
        <w:spacing w:before="240"/>
        <w:ind w:left="0" w:firstLine="720"/>
        <w:rPr>
          <w:rFonts w:ascii="David" w:hAnsi="David"/>
          <w:sz w:val="24"/>
          <w:rtl/>
        </w:rPr>
      </w:pPr>
    </w:p>
    <w:p w:rsidR="005A3691" w:rsidRDefault="005A3691" w:rsidP="005A3691">
      <w:pPr>
        <w:pStyle w:val="ad"/>
        <w:spacing w:before="240"/>
        <w:ind w:left="0" w:firstLine="720"/>
        <w:rPr>
          <w:rFonts w:ascii="David" w:hAnsi="David"/>
          <w:sz w:val="24"/>
          <w:rtl/>
        </w:rPr>
      </w:pPr>
      <w:r>
        <w:rPr>
          <w:rFonts w:ascii="David" w:hAnsi="David"/>
          <w:color w:val="000000"/>
          <w:sz w:val="24"/>
          <w:rtl/>
        </w:rPr>
        <w:t xml:space="preserve">ולבסוף, הפרסום נעשה </w:t>
      </w:r>
      <w:r>
        <w:rPr>
          <w:rFonts w:ascii="David" w:hAnsi="David"/>
          <w:color w:val="000000"/>
          <w:sz w:val="24"/>
          <w:u w:val="single"/>
          <w:rtl/>
        </w:rPr>
        <w:t>בתום לב</w:t>
      </w:r>
      <w:r>
        <w:rPr>
          <w:rFonts w:ascii="David" w:hAnsi="David"/>
          <w:color w:val="000000"/>
          <w:sz w:val="24"/>
          <w:rtl/>
        </w:rPr>
        <w:t xml:space="preserve">. </w:t>
      </w:r>
      <w:r>
        <w:rPr>
          <w:rFonts w:ascii="David" w:hAnsi="David"/>
          <w:sz w:val="24"/>
          <w:rtl/>
        </w:rPr>
        <w:t>הדיווח בוצע בהתאם לנוהל של גורמי הרווחה המפקחים על חברת הסיעוד. על תכלית הדיווח וחשיבותו החברתית והציבורית, עמדתי בהרחבה לעיל. דברים אלו עלו בבירור גם מעדות מנכ"ל הנתבעת לפניי:</w:t>
      </w:r>
      <w:r>
        <w:rPr>
          <w:rFonts w:ascii="David" w:hAnsi="David"/>
          <w:sz w:val="24"/>
        </w:rPr>
        <w:t xml:space="preserve">" </w:t>
      </w:r>
      <w:r>
        <w:rPr>
          <w:rFonts w:ascii="David" w:hAnsi="David"/>
          <w:sz w:val="24"/>
          <w:rtl/>
        </w:rPr>
        <w:t>בסופו</w:t>
      </w:r>
      <w:r>
        <w:rPr>
          <w:rFonts w:ascii="David" w:hAnsi="David"/>
          <w:sz w:val="24"/>
        </w:rPr>
        <w:t xml:space="preserve"> </w:t>
      </w:r>
      <w:r>
        <w:rPr>
          <w:rFonts w:ascii="David" w:hAnsi="David"/>
          <w:sz w:val="24"/>
          <w:rtl/>
        </w:rPr>
        <w:t>של</w:t>
      </w:r>
      <w:r>
        <w:rPr>
          <w:rFonts w:ascii="David" w:hAnsi="David"/>
          <w:sz w:val="24"/>
        </w:rPr>
        <w:t xml:space="preserve"> </w:t>
      </w:r>
      <w:r>
        <w:rPr>
          <w:rFonts w:ascii="David" w:hAnsi="David"/>
          <w:sz w:val="24"/>
          <w:rtl/>
        </w:rPr>
        <w:t>דבר</w:t>
      </w:r>
      <w:r>
        <w:rPr>
          <w:rFonts w:ascii="David" w:hAnsi="David"/>
          <w:sz w:val="24"/>
        </w:rPr>
        <w:t xml:space="preserve"> </w:t>
      </w:r>
      <w:r>
        <w:rPr>
          <w:rFonts w:ascii="David" w:hAnsi="David"/>
          <w:sz w:val="24"/>
          <w:rtl/>
        </w:rPr>
        <w:t>אנחנו</w:t>
      </w:r>
      <w:r>
        <w:rPr>
          <w:rFonts w:ascii="David" w:hAnsi="David"/>
          <w:sz w:val="24"/>
        </w:rPr>
        <w:t xml:space="preserve"> </w:t>
      </w:r>
      <w:r>
        <w:rPr>
          <w:rFonts w:ascii="David" w:hAnsi="David"/>
          <w:sz w:val="24"/>
          <w:rtl/>
        </w:rPr>
        <w:t>אחראים</w:t>
      </w:r>
      <w:r>
        <w:rPr>
          <w:rFonts w:ascii="David" w:hAnsi="David"/>
          <w:sz w:val="24"/>
        </w:rPr>
        <w:t xml:space="preserve"> </w:t>
      </w:r>
      <w:r>
        <w:rPr>
          <w:rFonts w:ascii="David" w:hAnsi="David"/>
          <w:sz w:val="24"/>
          <w:rtl/>
        </w:rPr>
        <w:t>מצד</w:t>
      </w:r>
      <w:r>
        <w:rPr>
          <w:rFonts w:ascii="David" w:hAnsi="David"/>
          <w:sz w:val="24"/>
        </w:rPr>
        <w:t xml:space="preserve"> </w:t>
      </w:r>
      <w:r>
        <w:rPr>
          <w:rFonts w:ascii="David" w:hAnsi="David"/>
          <w:sz w:val="24"/>
          <w:rtl/>
        </w:rPr>
        <w:t>אחד</w:t>
      </w:r>
      <w:r>
        <w:rPr>
          <w:rFonts w:ascii="David" w:hAnsi="David"/>
          <w:sz w:val="24"/>
        </w:rPr>
        <w:t xml:space="preserve"> </w:t>
      </w:r>
      <w:r>
        <w:rPr>
          <w:rFonts w:ascii="David" w:hAnsi="David"/>
          <w:sz w:val="24"/>
          <w:rtl/>
        </w:rPr>
        <w:t>על</w:t>
      </w:r>
      <w:r>
        <w:rPr>
          <w:rFonts w:ascii="David" w:hAnsi="David"/>
          <w:sz w:val="24"/>
        </w:rPr>
        <w:t xml:space="preserve"> 20 </w:t>
      </w:r>
      <w:r>
        <w:rPr>
          <w:rFonts w:ascii="David" w:hAnsi="David"/>
          <w:sz w:val="24"/>
          <w:rtl/>
        </w:rPr>
        <w:t>העובדים</w:t>
      </w:r>
      <w:r>
        <w:rPr>
          <w:rFonts w:ascii="David" w:hAnsi="David"/>
          <w:sz w:val="24"/>
        </w:rPr>
        <w:t xml:space="preserve"> </w:t>
      </w:r>
      <w:r>
        <w:rPr>
          <w:rFonts w:ascii="David" w:hAnsi="David"/>
          <w:sz w:val="24"/>
          <w:rtl/>
        </w:rPr>
        <w:t>שלנו,</w:t>
      </w:r>
      <w:r>
        <w:rPr>
          <w:rFonts w:ascii="David" w:hAnsi="David"/>
          <w:sz w:val="24"/>
        </w:rPr>
        <w:t xml:space="preserve"> </w:t>
      </w:r>
      <w:r>
        <w:rPr>
          <w:rFonts w:ascii="David" w:hAnsi="David"/>
          <w:sz w:val="24"/>
          <w:rtl/>
        </w:rPr>
        <w:t>ואני</w:t>
      </w:r>
      <w:r>
        <w:rPr>
          <w:rFonts w:ascii="David" w:hAnsi="David"/>
          <w:sz w:val="24"/>
        </w:rPr>
        <w:t xml:space="preserve"> </w:t>
      </w:r>
      <w:r>
        <w:rPr>
          <w:rFonts w:ascii="David" w:hAnsi="David"/>
          <w:sz w:val="24"/>
          <w:rtl/>
        </w:rPr>
        <w:t>חושב</w:t>
      </w:r>
      <w:r>
        <w:rPr>
          <w:rFonts w:ascii="David" w:hAnsi="David"/>
          <w:sz w:val="24"/>
        </w:rPr>
        <w:t xml:space="preserve"> </w:t>
      </w:r>
      <w:r>
        <w:rPr>
          <w:rFonts w:ascii="David" w:hAnsi="David"/>
          <w:sz w:val="24"/>
          <w:rtl/>
        </w:rPr>
        <w:t>שמיטל</w:t>
      </w:r>
      <w:r>
        <w:rPr>
          <w:rFonts w:ascii="David" w:hAnsi="David"/>
          <w:sz w:val="24"/>
        </w:rPr>
        <w:t xml:space="preserve"> </w:t>
      </w:r>
      <w:r>
        <w:rPr>
          <w:rFonts w:ascii="David" w:hAnsi="David"/>
          <w:sz w:val="24"/>
          <w:rtl/>
        </w:rPr>
        <w:t>נהגה</w:t>
      </w:r>
      <w:r>
        <w:rPr>
          <w:rFonts w:ascii="David" w:hAnsi="David"/>
          <w:sz w:val="24"/>
        </w:rPr>
        <w:t xml:space="preserve"> </w:t>
      </w:r>
      <w:r>
        <w:rPr>
          <w:rFonts w:ascii="David" w:hAnsi="David"/>
          <w:sz w:val="24"/>
          <w:rtl/>
        </w:rPr>
        <w:t>פה</w:t>
      </w:r>
      <w:r>
        <w:rPr>
          <w:rFonts w:ascii="David" w:hAnsi="David"/>
          <w:sz w:val="24"/>
        </w:rPr>
        <w:t xml:space="preserve"> </w:t>
      </w:r>
      <w:r>
        <w:rPr>
          <w:rFonts w:ascii="David" w:hAnsi="David"/>
          <w:sz w:val="24"/>
          <w:rtl/>
        </w:rPr>
        <w:t>מצוין</w:t>
      </w:r>
      <w:r>
        <w:rPr>
          <w:rFonts w:ascii="David" w:hAnsi="David"/>
          <w:sz w:val="24"/>
        </w:rPr>
        <w:t xml:space="preserve"> </w:t>
      </w:r>
      <w:r>
        <w:rPr>
          <w:rFonts w:ascii="David" w:hAnsi="David"/>
          <w:sz w:val="24"/>
          <w:rtl/>
        </w:rPr>
        <w:t>בזה</w:t>
      </w:r>
      <w:r>
        <w:rPr>
          <w:rFonts w:ascii="David" w:hAnsi="David"/>
          <w:sz w:val="24"/>
        </w:rPr>
        <w:t xml:space="preserve"> </w:t>
      </w:r>
      <w:r>
        <w:rPr>
          <w:rFonts w:ascii="David" w:hAnsi="David"/>
          <w:sz w:val="24"/>
          <w:rtl/>
        </w:rPr>
        <w:t>שהיא</w:t>
      </w:r>
      <w:r>
        <w:rPr>
          <w:rFonts w:ascii="David" w:hAnsi="David"/>
          <w:sz w:val="24"/>
        </w:rPr>
        <w:t xml:space="preserve"> </w:t>
      </w:r>
      <w:r>
        <w:rPr>
          <w:rFonts w:ascii="David" w:hAnsi="David"/>
          <w:sz w:val="24"/>
          <w:rtl/>
        </w:rPr>
        <w:t>הוציאה</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המטפלת</w:t>
      </w:r>
      <w:r>
        <w:rPr>
          <w:rFonts w:ascii="David" w:hAnsi="David"/>
          <w:sz w:val="24"/>
        </w:rPr>
        <w:t xml:space="preserve"> </w:t>
      </w:r>
      <w:r>
        <w:rPr>
          <w:rFonts w:ascii="David" w:hAnsi="David"/>
          <w:sz w:val="24"/>
          <w:rtl/>
        </w:rPr>
        <w:t>מהבית</w:t>
      </w:r>
      <w:r>
        <w:rPr>
          <w:rFonts w:ascii="David" w:hAnsi="David"/>
          <w:sz w:val="24"/>
        </w:rPr>
        <w:t xml:space="preserve"> </w:t>
      </w:r>
      <w:r>
        <w:rPr>
          <w:rFonts w:ascii="David" w:hAnsi="David"/>
          <w:sz w:val="24"/>
          <w:rtl/>
        </w:rPr>
        <w:t>על</w:t>
      </w:r>
      <w:r>
        <w:rPr>
          <w:rFonts w:ascii="David" w:hAnsi="David"/>
          <w:sz w:val="24"/>
        </w:rPr>
        <w:t xml:space="preserve"> </w:t>
      </w:r>
      <w:r>
        <w:rPr>
          <w:rFonts w:ascii="David" w:hAnsi="David"/>
          <w:sz w:val="24"/>
          <w:rtl/>
        </w:rPr>
        <w:t>סמך</w:t>
      </w:r>
      <w:r>
        <w:rPr>
          <w:rFonts w:ascii="David" w:hAnsi="David"/>
          <w:sz w:val="24"/>
        </w:rPr>
        <w:t xml:space="preserve"> </w:t>
      </w:r>
      <w:r>
        <w:rPr>
          <w:rFonts w:ascii="David" w:hAnsi="David"/>
          <w:sz w:val="24"/>
          <w:rtl/>
        </w:rPr>
        <w:t>מה</w:t>
      </w:r>
      <w:r>
        <w:rPr>
          <w:rFonts w:ascii="David" w:hAnsi="David"/>
          <w:sz w:val="24"/>
        </w:rPr>
        <w:t xml:space="preserve"> </w:t>
      </w:r>
      <w:r>
        <w:rPr>
          <w:rFonts w:ascii="David" w:hAnsi="David"/>
          <w:sz w:val="24"/>
          <w:rtl/>
        </w:rPr>
        <w:t>שהיא</w:t>
      </w:r>
      <w:r>
        <w:rPr>
          <w:rFonts w:ascii="David" w:hAnsi="David"/>
          <w:sz w:val="24"/>
        </w:rPr>
        <w:t xml:space="preserve"> </w:t>
      </w:r>
      <w:r>
        <w:rPr>
          <w:rFonts w:ascii="David" w:hAnsi="David"/>
          <w:sz w:val="24"/>
          <w:rtl/>
        </w:rPr>
        <w:t>התרשמה...</w:t>
      </w:r>
      <w:r>
        <w:rPr>
          <w:rFonts w:ascii="David" w:hAnsi="David"/>
          <w:sz w:val="24"/>
        </w:rPr>
        <w:t xml:space="preserve"> </w:t>
      </w:r>
      <w:r>
        <w:rPr>
          <w:rFonts w:ascii="David" w:hAnsi="David"/>
          <w:sz w:val="24"/>
          <w:rtl/>
        </w:rPr>
        <w:t>והאחריות</w:t>
      </w:r>
      <w:r>
        <w:rPr>
          <w:rFonts w:ascii="David" w:hAnsi="David"/>
          <w:sz w:val="24"/>
        </w:rPr>
        <w:t xml:space="preserve"> </w:t>
      </w:r>
      <w:r>
        <w:rPr>
          <w:rFonts w:ascii="David" w:hAnsi="David"/>
          <w:sz w:val="24"/>
          <w:rtl/>
        </w:rPr>
        <w:t>השנייה</w:t>
      </w:r>
      <w:r>
        <w:rPr>
          <w:rFonts w:ascii="David" w:hAnsi="David"/>
          <w:sz w:val="24"/>
        </w:rPr>
        <w:t xml:space="preserve"> </w:t>
      </w:r>
      <w:r>
        <w:rPr>
          <w:rFonts w:ascii="David" w:hAnsi="David"/>
          <w:sz w:val="24"/>
          <w:rtl/>
        </w:rPr>
        <w:t>שלנו</w:t>
      </w:r>
      <w:r>
        <w:rPr>
          <w:rFonts w:ascii="David" w:hAnsi="David"/>
          <w:sz w:val="24"/>
        </w:rPr>
        <w:t xml:space="preserve"> </w:t>
      </w:r>
      <w:r>
        <w:rPr>
          <w:rFonts w:ascii="David" w:hAnsi="David"/>
          <w:sz w:val="24"/>
          <w:rtl/>
        </w:rPr>
        <w:t>היא</w:t>
      </w:r>
      <w:r>
        <w:rPr>
          <w:rFonts w:ascii="David" w:hAnsi="David"/>
          <w:sz w:val="24"/>
        </w:rPr>
        <w:t xml:space="preserve"> </w:t>
      </w:r>
      <w:r>
        <w:rPr>
          <w:rFonts w:ascii="David" w:hAnsi="David"/>
          <w:sz w:val="24"/>
          <w:rtl/>
        </w:rPr>
        <w:t>לדאוג</w:t>
      </w:r>
      <w:r>
        <w:rPr>
          <w:rFonts w:ascii="David" w:hAnsi="David"/>
          <w:sz w:val="24"/>
        </w:rPr>
        <w:t xml:space="preserve"> </w:t>
      </w:r>
      <w:r>
        <w:rPr>
          <w:rFonts w:ascii="David" w:hAnsi="David"/>
          <w:sz w:val="24"/>
          <w:rtl/>
        </w:rPr>
        <w:t>למטופל</w:t>
      </w:r>
      <w:r>
        <w:rPr>
          <w:rFonts w:ascii="David" w:hAnsi="David"/>
          <w:sz w:val="24"/>
        </w:rPr>
        <w:t xml:space="preserve"> </w:t>
      </w:r>
      <w:r>
        <w:rPr>
          <w:rFonts w:ascii="David" w:hAnsi="David"/>
          <w:sz w:val="24"/>
          <w:rtl/>
        </w:rPr>
        <w:t>וניתנו</w:t>
      </w:r>
      <w:r>
        <w:rPr>
          <w:rFonts w:ascii="David" w:hAnsi="David"/>
          <w:sz w:val="24"/>
        </w:rPr>
        <w:t xml:space="preserve"> </w:t>
      </w:r>
      <w:r>
        <w:rPr>
          <w:rFonts w:ascii="David" w:hAnsi="David"/>
          <w:sz w:val="24"/>
          <w:rtl/>
        </w:rPr>
        <w:t>אלטרנטיבות</w:t>
      </w:r>
      <w:r>
        <w:rPr>
          <w:rFonts w:ascii="David" w:hAnsi="David"/>
          <w:sz w:val="24"/>
        </w:rPr>
        <w:t xml:space="preserve"> </w:t>
      </w:r>
      <w:r>
        <w:rPr>
          <w:rFonts w:ascii="David" w:hAnsi="David"/>
          <w:sz w:val="24"/>
          <w:rtl/>
        </w:rPr>
        <w:t>על</w:t>
      </w:r>
      <w:r>
        <w:rPr>
          <w:rFonts w:ascii="David" w:hAnsi="David"/>
          <w:sz w:val="24"/>
        </w:rPr>
        <w:t xml:space="preserve"> </w:t>
      </w:r>
      <w:r>
        <w:rPr>
          <w:rFonts w:ascii="David" w:hAnsi="David"/>
          <w:sz w:val="24"/>
          <w:rtl/>
        </w:rPr>
        <w:t>פי</w:t>
      </w:r>
      <w:r>
        <w:rPr>
          <w:rFonts w:ascii="David" w:hAnsi="David"/>
          <w:sz w:val="24"/>
        </w:rPr>
        <w:t xml:space="preserve"> </w:t>
      </w:r>
      <w:r>
        <w:rPr>
          <w:rFonts w:ascii="David" w:hAnsi="David"/>
          <w:sz w:val="24"/>
          <w:rtl/>
        </w:rPr>
        <w:t>ההנחיות</w:t>
      </w:r>
      <w:r>
        <w:rPr>
          <w:rFonts w:ascii="David" w:hAnsi="David"/>
          <w:sz w:val="24"/>
        </w:rPr>
        <w:t xml:space="preserve"> </w:t>
      </w:r>
      <w:r>
        <w:rPr>
          <w:rFonts w:ascii="David" w:hAnsi="David"/>
          <w:sz w:val="24"/>
          <w:rtl/>
        </w:rPr>
        <w:t>להמשך</w:t>
      </w:r>
      <w:r>
        <w:rPr>
          <w:rFonts w:ascii="David" w:hAnsi="David"/>
          <w:sz w:val="24"/>
        </w:rPr>
        <w:t xml:space="preserve"> </w:t>
      </w:r>
      <w:r>
        <w:rPr>
          <w:rFonts w:ascii="David" w:hAnsi="David"/>
          <w:sz w:val="24"/>
          <w:rtl/>
        </w:rPr>
        <w:t>טיפול</w:t>
      </w:r>
      <w:r>
        <w:rPr>
          <w:rFonts w:ascii="David" w:hAnsi="David"/>
          <w:sz w:val="24"/>
        </w:rPr>
        <w:t xml:space="preserve"> </w:t>
      </w:r>
      <w:r>
        <w:rPr>
          <w:rFonts w:ascii="David" w:hAnsi="David"/>
          <w:sz w:val="24"/>
          <w:rtl/>
        </w:rPr>
        <w:t>כדי</w:t>
      </w:r>
      <w:r>
        <w:rPr>
          <w:rFonts w:ascii="David" w:hAnsi="David"/>
          <w:sz w:val="24"/>
        </w:rPr>
        <w:t xml:space="preserve"> </w:t>
      </w:r>
      <w:r>
        <w:rPr>
          <w:rFonts w:ascii="David" w:hAnsi="David"/>
          <w:sz w:val="24"/>
          <w:rtl/>
        </w:rPr>
        <w:t>שהמטופל</w:t>
      </w:r>
      <w:r>
        <w:rPr>
          <w:rFonts w:ascii="David" w:hAnsi="David"/>
          <w:sz w:val="24"/>
        </w:rPr>
        <w:t xml:space="preserve"> </w:t>
      </w:r>
      <w:r>
        <w:rPr>
          <w:rFonts w:ascii="David" w:hAnsi="David"/>
          <w:sz w:val="24"/>
          <w:rtl/>
        </w:rPr>
        <w:t>לא</w:t>
      </w:r>
      <w:r>
        <w:rPr>
          <w:rFonts w:ascii="David" w:hAnsi="David"/>
          <w:sz w:val="24"/>
        </w:rPr>
        <w:t xml:space="preserve"> </w:t>
      </w:r>
      <w:r>
        <w:rPr>
          <w:rFonts w:ascii="David" w:hAnsi="David"/>
          <w:sz w:val="24"/>
          <w:rtl/>
        </w:rPr>
        <w:t>יפסיק</w:t>
      </w:r>
      <w:r>
        <w:rPr>
          <w:rFonts w:ascii="David" w:hAnsi="David"/>
          <w:sz w:val="24"/>
        </w:rPr>
        <w:t xml:space="preserve"> </w:t>
      </w:r>
      <w:r>
        <w:rPr>
          <w:rFonts w:ascii="David" w:hAnsi="David"/>
          <w:sz w:val="24"/>
          <w:rtl/>
        </w:rPr>
        <w:t>לקבל</w:t>
      </w:r>
      <w:r>
        <w:rPr>
          <w:rFonts w:ascii="David" w:hAnsi="David"/>
          <w:sz w:val="24"/>
        </w:rPr>
        <w:t xml:space="preserve"> </w:t>
      </w:r>
      <w:r>
        <w:rPr>
          <w:rFonts w:ascii="David" w:hAnsi="David"/>
          <w:sz w:val="24"/>
          <w:rtl/>
        </w:rPr>
        <w:t>טיפול</w:t>
      </w:r>
      <w:r>
        <w:rPr>
          <w:rFonts w:ascii="David" w:hAnsi="David"/>
          <w:sz w:val="24"/>
        </w:rPr>
        <w:t xml:space="preserve"> </w:t>
      </w:r>
      <w:r>
        <w:rPr>
          <w:rFonts w:ascii="David" w:hAnsi="David"/>
          <w:sz w:val="24"/>
          <w:rtl/>
        </w:rPr>
        <w:t>של</w:t>
      </w:r>
      <w:r>
        <w:rPr>
          <w:rFonts w:ascii="David" w:hAnsi="David"/>
          <w:sz w:val="24"/>
        </w:rPr>
        <w:t xml:space="preserve"> </w:t>
      </w:r>
      <w:r>
        <w:rPr>
          <w:rFonts w:ascii="David" w:hAnsi="David"/>
          <w:sz w:val="24"/>
          <w:rtl/>
        </w:rPr>
        <w:t>מטפל</w:t>
      </w:r>
      <w:r>
        <w:rPr>
          <w:rFonts w:ascii="David" w:hAnsi="David"/>
          <w:sz w:val="24"/>
        </w:rPr>
        <w:t xml:space="preserve"> </w:t>
      </w:r>
      <w:r>
        <w:rPr>
          <w:rFonts w:ascii="David" w:hAnsi="David"/>
          <w:sz w:val="24"/>
          <w:rtl/>
        </w:rPr>
        <w:t>או</w:t>
      </w:r>
      <w:r>
        <w:rPr>
          <w:rFonts w:ascii="David" w:hAnsi="David"/>
          <w:sz w:val="24"/>
        </w:rPr>
        <w:t xml:space="preserve"> </w:t>
      </w:r>
      <w:r>
        <w:rPr>
          <w:rFonts w:ascii="David" w:hAnsi="David"/>
          <w:sz w:val="24"/>
          <w:rtl/>
        </w:rPr>
        <w:t>שתי</w:t>
      </w:r>
      <w:r>
        <w:rPr>
          <w:rFonts w:ascii="David" w:hAnsi="David"/>
          <w:sz w:val="24"/>
        </w:rPr>
        <w:t xml:space="preserve"> </w:t>
      </w:r>
      <w:r>
        <w:rPr>
          <w:rFonts w:ascii="David" w:hAnsi="David"/>
          <w:sz w:val="24"/>
          <w:rtl/>
        </w:rPr>
        <w:t>מטפלות</w:t>
      </w:r>
      <w:r>
        <w:rPr>
          <w:rFonts w:ascii="David" w:hAnsi="David"/>
          <w:sz w:val="24"/>
        </w:rPr>
        <w:t xml:space="preserve"> </w:t>
      </w:r>
      <w:r>
        <w:rPr>
          <w:rFonts w:ascii="David" w:hAnsi="David"/>
          <w:sz w:val="24"/>
          <w:rtl/>
        </w:rPr>
        <w:t>ולדווח</w:t>
      </w:r>
      <w:r>
        <w:rPr>
          <w:rFonts w:ascii="David" w:hAnsi="David"/>
          <w:sz w:val="24"/>
        </w:rPr>
        <w:t xml:space="preserve"> </w:t>
      </w:r>
      <w:r>
        <w:rPr>
          <w:rFonts w:ascii="David" w:hAnsi="David"/>
          <w:sz w:val="24"/>
          <w:rtl/>
        </w:rPr>
        <w:t>לביטוח</w:t>
      </w:r>
      <w:r>
        <w:rPr>
          <w:rFonts w:ascii="David" w:hAnsi="David"/>
          <w:sz w:val="24"/>
        </w:rPr>
        <w:t xml:space="preserve"> </w:t>
      </w:r>
      <w:r>
        <w:rPr>
          <w:rFonts w:ascii="David" w:hAnsi="David"/>
          <w:sz w:val="24"/>
          <w:rtl/>
        </w:rPr>
        <w:t>לאומי. שלושת</w:t>
      </w:r>
      <w:r>
        <w:rPr>
          <w:rFonts w:ascii="David" w:hAnsi="David"/>
          <w:sz w:val="24"/>
        </w:rPr>
        <w:t xml:space="preserve"> </w:t>
      </w:r>
      <w:r>
        <w:rPr>
          <w:rFonts w:ascii="David" w:hAnsi="David"/>
          <w:sz w:val="24"/>
          <w:rtl/>
        </w:rPr>
        <w:t>הדברים</w:t>
      </w:r>
      <w:r>
        <w:rPr>
          <w:rFonts w:ascii="David" w:hAnsi="David"/>
          <w:sz w:val="24"/>
        </w:rPr>
        <w:t xml:space="preserve"> </w:t>
      </w:r>
      <w:r>
        <w:rPr>
          <w:rFonts w:ascii="David" w:hAnsi="David"/>
          <w:sz w:val="24"/>
          <w:rtl/>
        </w:rPr>
        <w:t>האלה</w:t>
      </w:r>
      <w:r>
        <w:rPr>
          <w:rFonts w:ascii="David" w:hAnsi="David"/>
          <w:sz w:val="24"/>
        </w:rPr>
        <w:t xml:space="preserve"> </w:t>
      </w:r>
      <w:r>
        <w:rPr>
          <w:rFonts w:ascii="David" w:hAnsi="David"/>
          <w:sz w:val="24"/>
          <w:rtl/>
        </w:rPr>
        <w:t>נעשו</w:t>
      </w:r>
      <w:r>
        <w:rPr>
          <w:rFonts w:ascii="David" w:hAnsi="David"/>
          <w:sz w:val="24"/>
        </w:rPr>
        <w:t xml:space="preserve"> </w:t>
      </w:r>
      <w:r>
        <w:rPr>
          <w:rFonts w:ascii="David" w:hAnsi="David"/>
          <w:sz w:val="24"/>
          <w:rtl/>
        </w:rPr>
        <w:t>בצורה</w:t>
      </w:r>
      <w:r>
        <w:rPr>
          <w:rFonts w:ascii="David" w:hAnsi="David"/>
          <w:sz w:val="24"/>
        </w:rPr>
        <w:t xml:space="preserve"> </w:t>
      </w:r>
      <w:r>
        <w:rPr>
          <w:rFonts w:ascii="David" w:hAnsi="David"/>
          <w:sz w:val="24"/>
          <w:rtl/>
        </w:rPr>
        <w:t>מדויקת</w:t>
      </w:r>
      <w:r>
        <w:rPr>
          <w:rFonts w:ascii="David" w:hAnsi="David"/>
          <w:sz w:val="24"/>
        </w:rPr>
        <w:t xml:space="preserve"> </w:t>
      </w:r>
      <w:r>
        <w:rPr>
          <w:rFonts w:ascii="David" w:hAnsi="David"/>
          <w:sz w:val="24"/>
          <w:rtl/>
        </w:rPr>
        <w:t>על</w:t>
      </w:r>
      <w:r>
        <w:rPr>
          <w:rFonts w:ascii="David" w:hAnsi="David"/>
          <w:sz w:val="24"/>
        </w:rPr>
        <w:t xml:space="preserve"> </w:t>
      </w:r>
      <w:r>
        <w:rPr>
          <w:rFonts w:ascii="David" w:hAnsi="David"/>
          <w:sz w:val="24"/>
          <w:rtl/>
        </w:rPr>
        <w:t>פי</w:t>
      </w:r>
      <w:r>
        <w:rPr>
          <w:rFonts w:ascii="David" w:hAnsi="David"/>
          <w:sz w:val="24"/>
        </w:rPr>
        <w:t xml:space="preserve"> </w:t>
      </w:r>
      <w:r>
        <w:rPr>
          <w:rFonts w:ascii="David" w:hAnsi="David"/>
          <w:sz w:val="24"/>
          <w:rtl/>
        </w:rPr>
        <w:t>ההנחיות</w:t>
      </w:r>
      <w:r>
        <w:rPr>
          <w:rFonts w:ascii="David" w:hAnsi="David"/>
          <w:sz w:val="24"/>
        </w:rPr>
        <w:t xml:space="preserve"> </w:t>
      </w:r>
      <w:r>
        <w:rPr>
          <w:rFonts w:ascii="David" w:hAnsi="David"/>
          <w:sz w:val="24"/>
          <w:rtl/>
        </w:rPr>
        <w:t>של</w:t>
      </w:r>
      <w:r>
        <w:rPr>
          <w:rFonts w:ascii="David" w:hAnsi="David"/>
          <w:sz w:val="24"/>
        </w:rPr>
        <w:t xml:space="preserve"> </w:t>
      </w:r>
      <w:r>
        <w:rPr>
          <w:rFonts w:ascii="David" w:hAnsi="David"/>
          <w:sz w:val="24"/>
          <w:rtl/>
        </w:rPr>
        <w:t>הביטוח</w:t>
      </w:r>
      <w:r>
        <w:rPr>
          <w:rFonts w:ascii="David" w:hAnsi="David"/>
          <w:sz w:val="24"/>
        </w:rPr>
        <w:t xml:space="preserve"> </w:t>
      </w:r>
      <w:r>
        <w:rPr>
          <w:rFonts w:ascii="David" w:hAnsi="David"/>
          <w:sz w:val="24"/>
          <w:rtl/>
        </w:rPr>
        <w:t>הלאומי". וגם: "אנחנו מחויבים לדווח על פי ההנחיה לביטוח לאומי, בזמנו לרווחה, על עצם הגשת תלונה של מטפלת</w:t>
      </w:r>
      <w:r>
        <w:rPr>
          <w:rFonts w:ascii="David" w:hAnsi="David"/>
          <w:sz w:val="24"/>
        </w:rPr>
        <w:t>.</w:t>
      </w:r>
      <w:r>
        <w:rPr>
          <w:rFonts w:ascii="David" w:hAnsi="David"/>
          <w:sz w:val="24"/>
          <w:rtl/>
        </w:rPr>
        <w:t xml:space="preserve"> </w:t>
      </w:r>
      <w:r>
        <w:rPr>
          <w:rFonts w:ascii="David" w:hAnsi="David" w:hint="cs"/>
          <w:sz w:val="24"/>
          <w:rtl/>
        </w:rPr>
        <w:t>ברגע שמטפלת מרגישה מוטרדת, אנחנו מחויבים לדווח, מחויבים כלפי העובדת וכך עשינו" (עמוד 82 לפרוטוקול הדיון מיום 1.12.2023, שורות 5-3). נציגת המוסד לביטוח לאומי בעדותה עמדה אף היא על חובת הדיווח: "הנוהל אומר דבר כזה, חברת הסיעוד היא זו שאחראית לבוא ולהגיד, היא זאת שבעצם מוסרת לנו את המידע על הטרדה מינית שמטפלת עברה ע"י קשיש מסוים..." (עמוד 59 לפרוטוקול הדיון מיום 1.12.2023, שורות 13-10). וגם: "[ההחלטה] מחויבת בדיווח לוועדה המקומית" (עמוד 67 לפרוטוקול הדיון מיום 1.12.2023, שורות 16-15).</w:t>
      </w:r>
    </w:p>
    <w:p w:rsidR="005A3691" w:rsidRDefault="005A3691" w:rsidP="005A3691">
      <w:pPr>
        <w:pStyle w:val="ad"/>
        <w:spacing w:before="240"/>
        <w:ind w:left="0" w:firstLine="720"/>
        <w:rPr>
          <w:rFonts w:ascii="David" w:hAnsi="David"/>
          <w:sz w:val="24"/>
          <w:rtl/>
        </w:rPr>
      </w:pPr>
    </w:p>
    <w:p w:rsidR="005A3691" w:rsidRDefault="005A3691" w:rsidP="003A063C">
      <w:pPr>
        <w:pStyle w:val="ad"/>
        <w:spacing w:before="240"/>
        <w:ind w:left="0" w:firstLine="720"/>
        <w:rPr>
          <w:rFonts w:ascii="David" w:hAnsi="David"/>
          <w:sz w:val="24"/>
          <w:rtl/>
        </w:rPr>
      </w:pPr>
      <w:r>
        <w:rPr>
          <w:rFonts w:ascii="David" w:hAnsi="David"/>
          <w:sz w:val="24"/>
          <w:rtl/>
        </w:rPr>
        <w:t xml:space="preserve">באשר לפער בין דברי המטפלת בעדות לפניי לבין הדברים שנרשמו בזמן אמת על ידי חברת הסיעוד. התרשמתי מדבריה של המטפלת </w:t>
      </w:r>
      <w:r w:rsidR="009E18BF">
        <w:rPr>
          <w:rFonts w:ascii="David" w:hAnsi="David" w:hint="cs"/>
          <w:sz w:val="24"/>
          <w:rtl/>
        </w:rPr>
        <w:t>בעדותה כי</w:t>
      </w:r>
      <w:r>
        <w:rPr>
          <w:rFonts w:ascii="David" w:hAnsi="David"/>
          <w:sz w:val="24"/>
          <w:rtl/>
        </w:rPr>
        <w:t xml:space="preserve"> המגע שהופעל כלפיה מצידו של המנוח נחווה על ידה כפגיעה וכך דיווחה לחברת הסיעוד בזמן אמת. המטפלת העידה כחמש שנים לאחר האירוע, בעוד שלחברת הסיעוד הגיעה במישרין מבית המנוח. דבריה תועדו בטופס ברור הטרדה מינית, לאחר שנערכה איתה שיחה נוספת ימים ספורים לאחר האירוע ולא מצאתי שיש סיבה לפקפק בתוכנם של מסמכים אלו שנערכו בזמן אמת על ידי חברת הסיעוד שאינה צד "בעל עניין" ולאחר שהמנוח סירב לשתף פעולה בהליך הברור. לצורך הקמת הגנת תום הלב במקרה זה, אין לדרוש מחברת הסיעוד הוכחה שהמעשה הנטען אמנם נעשה ברמה הנדרשת בבית המשפט. יש לזכור כי נטל ההוכחה הנדרש משתנה בהתאם לתוצאות הצפויות. במשפט פלילי כשחירות הנאשם יכולה להישלל יש להוכיח את העובדות מעבר לספק סביר. לעומת זאת, במשפט אזרחי נטל השכנוע הוא של מאזן הסתברויות. במשפט מנהלי הדרישה היא לתשתית עובדתית העומדת במבחן הראיה המנהלית בהתחשב במידת הפגיעה כתוצאה מההחלטה שתתקבל. במקרה זה ההחלטה התקבלה על בסיס טענות המטפלת, בשל החשש לפגיעה במטפלת או במטפלות אחרות, ולכן גם קמה החובה לדווח. ומצד שני לא נשללה מן המנוח אפשרות הטיפול, אלא רק דרך הענקת הטיפול השתנתה. באיזון בין אלו, ונוכח החשיבות הרבה במתן הגנה למטפלות סיעודית במקרים מסוג זה, טוב עשתה הנתבעת, שמספקת שירותי סיעוד מטעם גורמי הרווחה, בדיווח לרשויות המפקחות עליה על האירוע על בסיס התרשמותה </w:t>
      </w:r>
      <w:r w:rsidR="003A063C">
        <w:rPr>
          <w:rFonts w:ascii="David" w:hAnsi="David" w:hint="cs"/>
          <w:sz w:val="24"/>
          <w:rtl/>
        </w:rPr>
        <w:t>ב</w:t>
      </w:r>
      <w:r>
        <w:rPr>
          <w:rFonts w:ascii="David" w:hAnsi="David"/>
          <w:sz w:val="24"/>
          <w:rtl/>
        </w:rPr>
        <w:t xml:space="preserve">זמן אמת. מטעמים אלו אף איני מוצאת ממש בטענת התובעת כי </w:t>
      </w:r>
      <w:r>
        <w:rPr>
          <w:rFonts w:ascii="David" w:hAnsi="David"/>
          <w:sz w:val="24"/>
          <w:rtl/>
        </w:rPr>
        <w:lastRenderedPageBreak/>
        <w:t xml:space="preserve">היה על חברת הסיעוד לשלוח את המטפלת להיבדק בפוליגרף, לערוך עימות בינה לבין המנוח ולחייבה להגיש תלונה במשטרה. ודוק, איני קובעת כי המעשה שנטען אכן נעשה, אלא שהדיווח של חברת הסיעוד על התלונה לגורמים המפקחים עליה על בסיס טענות המטפלת וההתרשמות נציגת הנתבעת, מקימה את הגנת תום הלב במקרה זה. </w:t>
      </w:r>
    </w:p>
    <w:p w:rsidR="005A3691" w:rsidRDefault="005A3691" w:rsidP="005A3691">
      <w:pPr>
        <w:pStyle w:val="ad"/>
        <w:ind w:left="0"/>
        <w:rPr>
          <w:rFonts w:ascii="David" w:hAnsi="David"/>
          <w:sz w:val="24"/>
        </w:rPr>
      </w:pPr>
    </w:p>
    <w:p w:rsidR="005A3691" w:rsidRDefault="005A3691" w:rsidP="005A3691">
      <w:pPr>
        <w:pStyle w:val="ad"/>
        <w:numPr>
          <w:ilvl w:val="0"/>
          <w:numId w:val="1"/>
        </w:numPr>
        <w:ind w:left="0" w:firstLine="0"/>
        <w:rPr>
          <w:rFonts w:ascii="David" w:hAnsi="David"/>
          <w:sz w:val="24"/>
        </w:rPr>
      </w:pPr>
      <w:r>
        <w:rPr>
          <w:rFonts w:ascii="David" w:hAnsi="David"/>
          <w:sz w:val="24"/>
          <w:rtl/>
        </w:rPr>
        <w:t xml:space="preserve">הנתבעת טענה אף לתחולת ההגנה המנויה בסעיף 15(3) לחוק - "הפרסום נעשה לשם הגנה על ענין אישי כשר של הנאשם או הנתבע, של האדם שאליו הופנה הפרסום או של מי שאותו אדם מעונין בו ענין אישי כשר". נוכח התוצאה אליה הגעתי איני נדרשת לבדיקת תחולתה במקרה זה, אך נדמה כי הרציונל העומד בבסיס הגנה זו, מתקיים אף הוא במקרה זה. </w:t>
      </w:r>
    </w:p>
    <w:p w:rsidR="005A3691" w:rsidRDefault="005A3691" w:rsidP="005A3691">
      <w:pPr>
        <w:rPr>
          <w:rFonts w:ascii="David" w:hAnsi="David"/>
        </w:rPr>
      </w:pPr>
    </w:p>
    <w:p w:rsidR="005A3691" w:rsidRDefault="005A3691" w:rsidP="005A3691">
      <w:pPr>
        <w:rPr>
          <w:rFonts w:ascii="David" w:hAnsi="David"/>
          <w:b/>
          <w:bCs/>
          <w:u w:val="single"/>
          <w:rtl/>
        </w:rPr>
      </w:pPr>
      <w:r>
        <w:rPr>
          <w:rFonts w:ascii="David" w:hAnsi="David"/>
          <w:b/>
          <w:bCs/>
          <w:u w:val="single"/>
          <w:rtl/>
        </w:rPr>
        <w:t>סוף דבר</w:t>
      </w:r>
    </w:p>
    <w:p w:rsidR="005A3691" w:rsidRDefault="005A3691" w:rsidP="005A3691">
      <w:pPr>
        <w:pStyle w:val="ad"/>
        <w:numPr>
          <w:ilvl w:val="0"/>
          <w:numId w:val="1"/>
        </w:numPr>
        <w:ind w:left="0" w:firstLine="0"/>
        <w:rPr>
          <w:rFonts w:ascii="David" w:hAnsi="David"/>
          <w:sz w:val="24"/>
        </w:rPr>
      </w:pPr>
      <w:r>
        <w:rPr>
          <w:rFonts w:ascii="David" w:hAnsi="David"/>
          <w:sz w:val="24"/>
          <w:rtl/>
        </w:rPr>
        <w:t xml:space="preserve">סיכומם של דברים – התביעה נדחית. </w:t>
      </w:r>
    </w:p>
    <w:p w:rsidR="005A3691" w:rsidRDefault="005A3691" w:rsidP="005A3691">
      <w:pPr>
        <w:pStyle w:val="ad"/>
        <w:ind w:left="0"/>
        <w:rPr>
          <w:rFonts w:ascii="David" w:hAnsi="David"/>
          <w:sz w:val="24"/>
          <w:rtl/>
        </w:rPr>
      </w:pPr>
    </w:p>
    <w:p w:rsidR="005A3691" w:rsidRDefault="005A3691" w:rsidP="005A3691">
      <w:pPr>
        <w:pStyle w:val="ad"/>
        <w:numPr>
          <w:ilvl w:val="0"/>
          <w:numId w:val="1"/>
        </w:numPr>
        <w:ind w:left="0" w:firstLine="0"/>
        <w:rPr>
          <w:rFonts w:ascii="David" w:hAnsi="David"/>
          <w:sz w:val="24"/>
        </w:rPr>
      </w:pPr>
      <w:r>
        <w:rPr>
          <w:rFonts w:ascii="David" w:hAnsi="David"/>
          <w:sz w:val="24"/>
          <w:rtl/>
        </w:rPr>
        <w:t xml:space="preserve">התובעת תישא </w:t>
      </w:r>
      <w:r>
        <w:rPr>
          <w:rtl/>
        </w:rPr>
        <w:t>בהוצאות הנתבעת בסך של 20,000 ₪ שישולמו תוך 30 יום שאם לא כן יישאו ריבית פיגורים לפי סעיף 5(ב) לחוק פסיקת ריבית והצמדה, התשכ"א-1961 מיום פסק הדין ועד התשלום בפועל.</w:t>
      </w:r>
    </w:p>
    <w:p w:rsidR="005A3691" w:rsidRDefault="005A3691" w:rsidP="005A3691">
      <w:pPr>
        <w:ind w:left="720"/>
        <w:rPr>
          <w:rFonts w:ascii="Century" w:hAnsi="Century"/>
          <w:sz w:val="20"/>
          <w:rtl/>
        </w:rPr>
      </w:pPr>
    </w:p>
    <w:p w:rsidR="005A3691" w:rsidRDefault="005A3691" w:rsidP="005A3691">
      <w:pPr>
        <w:ind w:left="720"/>
        <w:rPr>
          <w:rtl/>
        </w:rPr>
      </w:pPr>
      <w:r>
        <w:rPr>
          <w:rtl/>
        </w:rPr>
        <w:t>זכות ערעור לבית המשפט המחוזי בתל אביב-יפו תוך 60 יום ממועד המצאת פסק הדין.</w:t>
      </w:r>
    </w:p>
    <w:p w:rsidR="005A3691" w:rsidRDefault="005A3691" w:rsidP="005A3691">
      <w:pPr>
        <w:ind w:left="720"/>
      </w:pPr>
    </w:p>
    <w:p w:rsidR="005A3691" w:rsidRDefault="005A3691" w:rsidP="005A3691">
      <w:pPr>
        <w:ind w:firstLine="720"/>
        <w:rPr>
          <w:rtl/>
        </w:rPr>
      </w:pPr>
      <w:r>
        <w:rPr>
          <w:rtl/>
        </w:rPr>
        <w:t>המזכירות תמציא את פסק הדין לצדדים.</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rsidP="005A3691">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ח' אדר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01 מרץ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661250" w:rsidP="00633C4F">
      <w:pPr>
        <w:spacing w:line="360" w:lineRule="auto"/>
        <w:ind w:left="3600" w:firstLine="720"/>
      </w:pPr>
      <w:sdt>
        <w:sdtPr>
          <w:rPr>
            <w:rtl/>
          </w:rPr>
          <w:alias w:val="MergeField"/>
          <w:tag w:val="1237"/>
          <w:id w:val="1460684451"/>
        </w:sdtPr>
        <w:sdtEndPr/>
        <w:sdtContent>
          <w:r w:rsidR="00BC14AB">
            <w:drawing>
              <wp:inline distT="0" distB="0" distL="0" distR="0" wp14:editId="50D07946">
                <wp:extent cx="13525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352550" cy="102870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250" w:rsidRDefault="00661250">
      <w:r>
        <w:separator/>
      </w:r>
    </w:p>
  </w:endnote>
  <w:endnote w:type="continuationSeparator" w:id="0">
    <w:p w:rsidR="00661250" w:rsidRDefault="0066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971E0F">
      <w:rPr>
        <w:rStyle w:val="ab"/>
        <w:rtl/>
      </w:rPr>
      <w:t>16</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971E0F">
      <w:rPr>
        <w:rStyle w:val="ab"/>
        <w:rtl/>
      </w:rPr>
      <w:t>16</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250" w:rsidRDefault="00661250">
      <w:r>
        <w:separator/>
      </w:r>
    </w:p>
  </w:footnote>
  <w:footnote w:type="continuationSeparator" w:id="0">
    <w:p w:rsidR="00661250" w:rsidRDefault="00661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661250" w:rsidP="001530D5">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33265-04-19</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1530D5">
                <w:rPr>
                  <w:rFonts w:hint="cs"/>
                  <w:b/>
                  <w:bCs/>
                  <w:noProof w:val="0"/>
                  <w:sz w:val="26"/>
                  <w:szCs w:val="26"/>
                  <w:rtl/>
                </w:rPr>
                <w:t>פלונית</w:t>
              </w:r>
              <w:r w:rsidR="00590BFF">
                <w:rPr>
                  <w:b/>
                  <w:bCs/>
                  <w:noProof w:val="0"/>
                  <w:sz w:val="26"/>
                  <w:szCs w:val="26"/>
                  <w:rtl/>
                </w:rPr>
                <w:t xml:space="preserve"> נ' דנאל אדיר יהושע בעמ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75A88"/>
    <w:multiLevelType w:val="hybridMultilevel"/>
    <w:tmpl w:val="B5D416FC"/>
    <w:lvl w:ilvl="0" w:tplc="17EAD89C">
      <w:start w:val="1"/>
      <w:numFmt w:val="decimal"/>
      <w:lvlText w:val="%1."/>
      <w:lvlJc w:val="left"/>
      <w:pPr>
        <w:ind w:left="1712" w:hanging="72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C1322A7"/>
    <w:multiLevelType w:val="hybridMultilevel"/>
    <w:tmpl w:val="C4268A74"/>
    <w:lvl w:ilvl="0" w:tplc="00365D74">
      <w:numFmt w:val="bullet"/>
      <w:lvlText w:val="-"/>
      <w:lvlJc w:val="left"/>
      <w:pPr>
        <w:ind w:left="1080" w:hanging="360"/>
      </w:pPr>
      <w:rPr>
        <w:rFonts w:ascii="David" w:eastAsiaTheme="minorHAnsi" w:hAnsi="David" w:cs="David" w:hint="default"/>
        <w:b/>
        <w:bCs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6379546"/>
    <w:docVar w:name="CourtID" w:val="32"/>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6379546&amp;lt;/CaseID&amp;gt;_x000d__x000a_        &amp;lt;DocumentID&amp;gt;404447646&amp;lt;/DocumentID&amp;gt;_x000d__x000a_      &amp;lt;/dt_DocumentCase&amp;gt;_x000d__x000a_      &amp;lt;dt_Document diffgr:id=&amp;quot;dt_Document1&amp;quot; msdata:rowOrder=&amp;quot;0&amp;quot;&amp;gt;_x000d__x000a_        &amp;lt;DocumentID&amp;gt;404447646&amp;lt;/DocumentID&amp;gt;_x000d__x000a_        &amp;lt;DocumentMainID&amp;gt;0&amp;lt;/DocumentMainID&amp;gt;_x000d__x000a_        &amp;lt;CaseID&amp;gt;76379546&amp;lt;/CaseID&amp;gt;_x000d__x000a_        &amp;lt;DocumentIncludedDate&amp;gt;2023-03-01T10:11:21.597+02:00&amp;lt;/DocumentIncludedDate&amp;gt;_x000d__x000a_        &amp;lt;DocumentDesc&amp;gt;פסק דין  שניתנה ע&amp;quot;י  עדי ניר בנימיני&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3-03-01T10:11:21.597+02:00&amp;lt;/DocumentSavingDate&amp;gt;_x000d__x000a_        &amp;lt;DocumentChangeDate&amp;gt;2023-03-01T10:11:21.737+02:00&amp;lt;/DocumentChangeDate&amp;gt;_x000d__x000a_        &amp;lt;IsScanned&amp;gt;false&amp;lt;/IsScanned&amp;gt;_x000d__x000a_        &amp;lt;PageQuantity&amp;gt;0&amp;lt;/PageQuantity&amp;gt;_x000d__x000a_        &amp;lt;DocumentStatusID&amp;gt;2&amp;lt;/DocumentStatusID&amp;gt;_x000d__x000a_        &amp;lt;DocumentStatusChangeDate&amp;gt;2023-03-01T10:11:21.737+02:00&amp;lt;/DocumentStatusChangeDate&amp;gt;_x000d__x000a_        &amp;lt;TemplateVersionID&amp;gt;1&amp;lt;/TemplateVersionID&amp;gt;_x000d__x000a_        &amp;lt;DocumentChangeUserID&amp;gt;033871054@GOV.IL&amp;lt;/DocumentChangeUserID&amp;gt;_x000d__x000a_        &amp;lt;DocumentCreationUserID&amp;gt;033871054@GOV.IL&amp;lt;/DocumentCreationUserID&amp;gt;_x000d__x000a_        &amp;lt;OriginalDocumentID&amp;gt;403914115&amp;lt;/OriginalDocumentID&amp;gt;_x000d__x000a_        &amp;lt;PrivillegeID&amp;gt;1&amp;lt;/PrivillegeID&amp;gt;_x000d__x000a_        &amp;lt;FromPage&amp;gt;0&amp;lt;/FromPage&amp;gt;_x000d__x000a_        &amp;lt;ToPage&amp;gt;0&amp;lt;/ToPage&amp;gt;_x000d__x000a_        &amp;lt;FileID&amp;gt;1bd7399c86010000090037f6a5d15c9c&amp;lt;/FileID&amp;gt;_x000d__x000a_        &amp;lt;URL&amp;gt;\\CTLNFSV02\doc_repository\865\28\c175c25dcecd4c249d40faf6b4469ba8_copy.docx&amp;lt;/URL&amp;gt;_x000d__x000a_        &amp;lt;OlivePriority&amp;gt;1&amp;lt;/OlivePriority&amp;gt;_x000d__x000a_        &amp;lt;MetaDataTypeID&amp;gt;1&amp;lt;/MetaDataTypeID&amp;gt;_x000d__x000a_        &amp;lt;MetaDataChangeDate&amp;gt;2023-03-01T10:11:21.737+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עדי ניר בנימיני&amp;amp;lt;/anyType&amp;amp;gt;_x000d__x000a_    &amp;amp;lt;anyType xsi:type=&amp;quot;xsd:dateTime&amp;quot;&amp;amp;gt;2023-03-01T10:10:10.6086069&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3-01T10:10:10.61+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5C8B"/>
    <w:rsid w:val="000146C2"/>
    <w:rsid w:val="00016C35"/>
    <w:rsid w:val="000258FD"/>
    <w:rsid w:val="000564AB"/>
    <w:rsid w:val="00081130"/>
    <w:rsid w:val="000B12E0"/>
    <w:rsid w:val="000B2E97"/>
    <w:rsid w:val="000D4A02"/>
    <w:rsid w:val="000F0A62"/>
    <w:rsid w:val="001072A9"/>
    <w:rsid w:val="00121F97"/>
    <w:rsid w:val="001277D7"/>
    <w:rsid w:val="00132017"/>
    <w:rsid w:val="00140E42"/>
    <w:rsid w:val="0014234E"/>
    <w:rsid w:val="00145A87"/>
    <w:rsid w:val="001530D5"/>
    <w:rsid w:val="001C4003"/>
    <w:rsid w:val="001F5474"/>
    <w:rsid w:val="002352F7"/>
    <w:rsid w:val="00295DD1"/>
    <w:rsid w:val="002A3461"/>
    <w:rsid w:val="003725BC"/>
    <w:rsid w:val="00381D3A"/>
    <w:rsid w:val="003823DA"/>
    <w:rsid w:val="003A063C"/>
    <w:rsid w:val="0043595F"/>
    <w:rsid w:val="0046753C"/>
    <w:rsid w:val="0047645A"/>
    <w:rsid w:val="004A43F2"/>
    <w:rsid w:val="004C5CA7"/>
    <w:rsid w:val="004D49A3"/>
    <w:rsid w:val="004E6E3C"/>
    <w:rsid w:val="005124F1"/>
    <w:rsid w:val="00530BAD"/>
    <w:rsid w:val="00541598"/>
    <w:rsid w:val="00547DB7"/>
    <w:rsid w:val="00567324"/>
    <w:rsid w:val="00590BFF"/>
    <w:rsid w:val="005A3691"/>
    <w:rsid w:val="005A3BEC"/>
    <w:rsid w:val="005B0F49"/>
    <w:rsid w:val="005C7EC6"/>
    <w:rsid w:val="005D4BDB"/>
    <w:rsid w:val="0060626B"/>
    <w:rsid w:val="00622BAA"/>
    <w:rsid w:val="00625C89"/>
    <w:rsid w:val="00633C4F"/>
    <w:rsid w:val="00661250"/>
    <w:rsid w:val="00671BD5"/>
    <w:rsid w:val="006805C1"/>
    <w:rsid w:val="006816EC"/>
    <w:rsid w:val="00694556"/>
    <w:rsid w:val="006E1A53"/>
    <w:rsid w:val="007056AA"/>
    <w:rsid w:val="00714B8F"/>
    <w:rsid w:val="00744F41"/>
    <w:rsid w:val="007A24FE"/>
    <w:rsid w:val="007A35AA"/>
    <w:rsid w:val="007A7653"/>
    <w:rsid w:val="007F1048"/>
    <w:rsid w:val="00820005"/>
    <w:rsid w:val="0083107C"/>
    <w:rsid w:val="00846D27"/>
    <w:rsid w:val="008610A7"/>
    <w:rsid w:val="008C0C72"/>
    <w:rsid w:val="008E1332"/>
    <w:rsid w:val="00903896"/>
    <w:rsid w:val="00927813"/>
    <w:rsid w:val="00934F1C"/>
    <w:rsid w:val="00944D13"/>
    <w:rsid w:val="00957C90"/>
    <w:rsid w:val="00971E0F"/>
    <w:rsid w:val="009E0263"/>
    <w:rsid w:val="009E18BF"/>
    <w:rsid w:val="00A0260A"/>
    <w:rsid w:val="00A267CF"/>
    <w:rsid w:val="00A43458"/>
    <w:rsid w:val="00A62BD0"/>
    <w:rsid w:val="00A84EEA"/>
    <w:rsid w:val="00AC4E19"/>
    <w:rsid w:val="00AF1ED6"/>
    <w:rsid w:val="00B14234"/>
    <w:rsid w:val="00B32C61"/>
    <w:rsid w:val="00B368FE"/>
    <w:rsid w:val="00B52482"/>
    <w:rsid w:val="00B80CBD"/>
    <w:rsid w:val="00BC14AB"/>
    <w:rsid w:val="00BC3369"/>
    <w:rsid w:val="00BF77EE"/>
    <w:rsid w:val="00C32E0F"/>
    <w:rsid w:val="00C42BF9"/>
    <w:rsid w:val="00C83E56"/>
    <w:rsid w:val="00CB4F7C"/>
    <w:rsid w:val="00CD0055"/>
    <w:rsid w:val="00D03519"/>
    <w:rsid w:val="00D26B56"/>
    <w:rsid w:val="00D319B3"/>
    <w:rsid w:val="00D53924"/>
    <w:rsid w:val="00D60849"/>
    <w:rsid w:val="00D71731"/>
    <w:rsid w:val="00D96D8C"/>
    <w:rsid w:val="00DD337E"/>
    <w:rsid w:val="00DE7739"/>
    <w:rsid w:val="00DF6549"/>
    <w:rsid w:val="00E00B6F"/>
    <w:rsid w:val="00E13360"/>
    <w:rsid w:val="00E50B33"/>
    <w:rsid w:val="00E54642"/>
    <w:rsid w:val="00E8455D"/>
    <w:rsid w:val="00E97908"/>
    <w:rsid w:val="00EB5B2C"/>
    <w:rsid w:val="00EF3ED0"/>
    <w:rsid w:val="00F17E56"/>
    <w:rsid w:val="00FD171E"/>
    <w:rsid w:val="00FE387E"/>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uiPriority w:val="99"/>
    <w:semiHidden/>
    <w:unhideWhenUsed/>
    <w:rsid w:val="005A3691"/>
    <w:rPr>
      <w:color w:val="0000FF"/>
      <w:u w:val="single"/>
    </w:rPr>
  </w:style>
  <w:style w:type="paragraph" w:styleId="ad">
    <w:name w:val="List Paragraph"/>
    <w:basedOn w:val="a"/>
    <w:uiPriority w:val="34"/>
    <w:qFormat/>
    <w:rsid w:val="005A3691"/>
    <w:pPr>
      <w:spacing w:line="360" w:lineRule="auto"/>
      <w:ind w:left="720"/>
      <w:contextualSpacing/>
      <w:jc w:val="both"/>
    </w:pPr>
    <w:rPr>
      <w:rFonts w:ascii="Century" w:eastAsiaTheme="minorHAnsi" w:hAnsi="Century"/>
      <w:noProof w:val="0"/>
      <w:sz w:val="20"/>
    </w:rPr>
  </w:style>
  <w:style w:type="character" w:customStyle="1" w:styleId="10">
    <w:name w:val="ציטוט1 תו"/>
    <w:basedOn w:val="a0"/>
    <w:link w:val="11"/>
    <w:locked/>
    <w:rsid w:val="005A3691"/>
    <w:rPr>
      <w:rFonts w:ascii="Century" w:hAnsi="Century" w:cs="David"/>
      <w:szCs w:val="24"/>
    </w:rPr>
  </w:style>
  <w:style w:type="paragraph" w:customStyle="1" w:styleId="11">
    <w:name w:val="ציטוט1"/>
    <w:basedOn w:val="a"/>
    <w:link w:val="10"/>
    <w:qFormat/>
    <w:rsid w:val="005A3691"/>
    <w:pPr>
      <w:ind w:left="1127" w:right="1276"/>
      <w:jc w:val="both"/>
    </w:pPr>
    <w:rPr>
      <w:rFonts w:ascii="Century" w:hAnsi="Century"/>
      <w:noProof w:val="0"/>
      <w:sz w:val="20"/>
    </w:rPr>
  </w:style>
  <w:style w:type="character" w:customStyle="1" w:styleId="default">
    <w:name w:val="default"/>
    <w:rsid w:val="005A3691"/>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403077">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3348A1"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3348A1"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3348A1"/>
    <w:rsid w:val="00992B1E"/>
    <w:rsid w:val="00A572DD"/>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5656</Words>
  <Characters>28280</Characters>
  <Application>Microsoft Office Word</Application>
  <DocSecurity>0</DocSecurity>
  <Lines>235</Lines>
  <Paragraphs>67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cp:lastPrinted>2023-03-01T07:50:00Z</cp:lastPrinted>
  <dcterms:created xsi:type="dcterms:W3CDTF">2023-03-14T13:02:00Z</dcterms:created>
  <dcterms:modified xsi:type="dcterms:W3CDTF">2023-03-14T13:02:00Z</dcterms:modified>
</cp:coreProperties>
</file>