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9B056" w14:textId="689B3552" w:rsidR="004C2899" w:rsidRPr="004C2899" w:rsidRDefault="008D4EB6" w:rsidP="008D4EB6">
      <w:pPr>
        <w:spacing w:after="0"/>
        <w:rPr>
          <w:sz w:val="24"/>
          <w:szCs w:val="24"/>
          <w:rtl/>
        </w:rPr>
      </w:pPr>
      <w:bookmarkStart w:id="0" w:name="_GoBack"/>
      <w:bookmarkEnd w:id="0"/>
      <w:r w:rsidRPr="00C501F0">
        <w:rPr>
          <w:rFonts w:ascii="David,Bold" w:hint="cs"/>
          <w:b/>
          <w:bCs/>
          <w:noProof/>
        </w:rPr>
        <w:drawing>
          <wp:inline distT="0" distB="0" distL="0" distR="0" wp14:anchorId="25596681" wp14:editId="266A4F4C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6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EB3D4" w14:textId="2AF9AC74" w:rsidR="00465D84" w:rsidRPr="00465D84" w:rsidRDefault="00B0780A" w:rsidP="00465D84">
      <w:pPr>
        <w:jc w:val="center"/>
        <w:rPr>
          <w:b/>
          <w:bCs/>
          <w:rtl/>
        </w:rPr>
      </w:pPr>
      <w:r w:rsidRPr="00465D84">
        <w:rPr>
          <w:rFonts w:hint="cs"/>
          <w:b/>
          <w:bCs/>
          <w:szCs w:val="24"/>
          <w:rtl/>
        </w:rPr>
        <w:t>בית המשפט המחוזי מרכז - לוד</w:t>
      </w:r>
    </w:p>
    <w:p w14:paraId="40958FFA" w14:textId="77777777" w:rsidR="00465D84" w:rsidRPr="00465D84" w:rsidRDefault="00B0780A" w:rsidP="00465D84">
      <w:pPr>
        <w:jc w:val="center"/>
        <w:rPr>
          <w:b/>
          <w:bCs/>
          <w:rtl/>
        </w:rPr>
      </w:pPr>
      <w:r w:rsidRPr="00465D84">
        <w:rPr>
          <w:rFonts w:cs="Arial"/>
          <w:b/>
          <w:bCs/>
          <w:szCs w:val="24"/>
          <w:rtl/>
        </w:rPr>
        <w:t xml:space="preserve">עמ"ת 32358-01-26 </w:t>
      </w:r>
      <w:r w:rsidRPr="00465D84">
        <w:rPr>
          <w:rFonts w:cs="Arial" w:hint="cs"/>
          <w:b/>
          <w:bCs/>
          <w:szCs w:val="24"/>
          <w:rtl/>
        </w:rPr>
        <w:t>פלוני</w:t>
      </w:r>
      <w:r w:rsidRPr="00465D84">
        <w:rPr>
          <w:rFonts w:cs="Arial"/>
          <w:b/>
          <w:bCs/>
          <w:szCs w:val="24"/>
          <w:rtl/>
        </w:rPr>
        <w:t xml:space="preserve"> (קטין)(עציר) נ' מדינת ישראל</w:t>
      </w:r>
    </w:p>
    <w:p w14:paraId="43DAACC0" w14:textId="1B339984" w:rsidR="00465D84" w:rsidRDefault="00B0780A" w:rsidP="00760538">
      <w:pPr>
        <w:jc w:val="center"/>
        <w:rPr>
          <w:b/>
          <w:bCs/>
          <w:rtl/>
        </w:rPr>
      </w:pPr>
      <w:r w:rsidRPr="00465D84">
        <w:rPr>
          <w:rFonts w:cs="Arial"/>
          <w:b/>
          <w:bCs/>
          <w:szCs w:val="24"/>
          <w:rtl/>
        </w:rPr>
        <w:t>כ"ו טבת תשפ"ו 15 ינואר 2026</w:t>
      </w:r>
      <w:r w:rsidRPr="00465D84">
        <w:rPr>
          <w:b/>
          <w:bCs/>
          <w:szCs w:val="24"/>
          <w:rtl/>
        </w:rPr>
        <w:t xml:space="preserve"> </w:t>
      </w:r>
    </w:p>
    <w:p w14:paraId="4F4D4CD2" w14:textId="5A7192A0" w:rsidR="00760538" w:rsidRPr="00465D84" w:rsidRDefault="00760538" w:rsidP="00760538">
      <w:pPr>
        <w:rPr>
          <w:b/>
          <w:bCs/>
          <w:rtl/>
        </w:rPr>
      </w:pPr>
      <w:r w:rsidRPr="00465D84">
        <w:rPr>
          <w:rFonts w:hint="cs"/>
          <w:b/>
          <w:bCs/>
          <w:szCs w:val="24"/>
          <w:rtl/>
        </w:rPr>
        <w:t xml:space="preserve">לפני כב' השופט רון </w:t>
      </w:r>
      <w:proofErr w:type="spellStart"/>
      <w:r w:rsidRPr="00465D84">
        <w:rPr>
          <w:rFonts w:hint="cs"/>
          <w:b/>
          <w:bCs/>
          <w:szCs w:val="24"/>
          <w:rtl/>
        </w:rPr>
        <w:t>סולקין</w:t>
      </w:r>
      <w:proofErr w:type="spellEnd"/>
    </w:p>
    <w:p w14:paraId="372215AC" w14:textId="402EEFE3" w:rsidR="00465D84" w:rsidRPr="0065280A" w:rsidRDefault="00B0780A" w:rsidP="0065280A">
      <w:pPr>
        <w:rPr>
          <w:b/>
          <w:bCs/>
          <w:sz w:val="24"/>
          <w:szCs w:val="24"/>
          <w:rtl/>
        </w:rPr>
      </w:pPr>
      <w:r w:rsidRPr="0065280A">
        <w:rPr>
          <w:rFonts w:hint="cs"/>
          <w:b/>
          <w:bCs/>
          <w:sz w:val="24"/>
          <w:szCs w:val="24"/>
          <w:rtl/>
        </w:rPr>
        <w:t>העורר</w:t>
      </w:r>
      <w:r w:rsidR="0065280A" w:rsidRPr="0065280A">
        <w:rPr>
          <w:rFonts w:hint="cs"/>
          <w:b/>
          <w:bCs/>
          <w:sz w:val="24"/>
          <w:szCs w:val="24"/>
          <w:rtl/>
        </w:rPr>
        <w:t xml:space="preserve"> </w:t>
      </w:r>
      <w:r w:rsidR="0065280A" w:rsidRPr="0065280A">
        <w:rPr>
          <w:b/>
          <w:bCs/>
          <w:sz w:val="24"/>
          <w:szCs w:val="24"/>
          <w:rtl/>
        </w:rPr>
        <w:tab/>
      </w:r>
      <w:r w:rsidR="0065280A" w:rsidRPr="0065280A">
        <w:rPr>
          <w:b/>
          <w:bCs/>
          <w:sz w:val="24"/>
          <w:szCs w:val="24"/>
          <w:rtl/>
        </w:rPr>
        <w:tab/>
      </w:r>
      <w:r w:rsidR="0065280A" w:rsidRPr="0065280A">
        <w:rPr>
          <w:b/>
          <w:bCs/>
          <w:sz w:val="24"/>
          <w:szCs w:val="24"/>
          <w:rtl/>
        </w:rPr>
        <w:tab/>
      </w:r>
      <w:r w:rsidR="0065280A" w:rsidRPr="0065280A">
        <w:rPr>
          <w:b/>
          <w:bCs/>
          <w:sz w:val="24"/>
          <w:szCs w:val="24"/>
          <w:rtl/>
        </w:rPr>
        <w:tab/>
      </w:r>
      <w:r w:rsidR="0065280A" w:rsidRPr="0065280A">
        <w:rPr>
          <w:rFonts w:hint="cs"/>
          <w:b/>
          <w:bCs/>
          <w:sz w:val="24"/>
          <w:szCs w:val="24"/>
          <w:rtl/>
        </w:rPr>
        <w:t>פלוני (קטין) (עציר)</w:t>
      </w:r>
    </w:p>
    <w:p w14:paraId="31A62BBF" w14:textId="347AD016" w:rsidR="00465D84" w:rsidRDefault="0065280A" w:rsidP="0065280A">
      <w:pPr>
        <w:ind w:left="2919"/>
        <w:rPr>
          <w:b/>
          <w:bCs/>
          <w:sz w:val="24"/>
          <w:szCs w:val="24"/>
          <w:rtl/>
        </w:rPr>
      </w:pPr>
      <w:r w:rsidRPr="0065280A">
        <w:rPr>
          <w:rFonts w:hint="cs"/>
          <w:b/>
          <w:bCs/>
          <w:sz w:val="24"/>
          <w:szCs w:val="24"/>
          <w:rtl/>
        </w:rPr>
        <w:t xml:space="preserve">ע"י ב"כ עו"ד עבד אבו </w:t>
      </w:r>
      <w:proofErr w:type="spellStart"/>
      <w:r w:rsidRPr="0065280A">
        <w:rPr>
          <w:rFonts w:hint="cs"/>
          <w:b/>
          <w:bCs/>
          <w:sz w:val="24"/>
          <w:szCs w:val="24"/>
          <w:rtl/>
        </w:rPr>
        <w:t>עאמר</w:t>
      </w:r>
      <w:proofErr w:type="spellEnd"/>
    </w:p>
    <w:p w14:paraId="5EDD66CD" w14:textId="11B71CBC" w:rsidR="0065280A" w:rsidRPr="0065280A" w:rsidRDefault="0065280A" w:rsidP="00036B1B">
      <w:pPr>
        <w:spacing w:before="360"/>
        <w:rPr>
          <w:b/>
          <w:bCs/>
          <w:sz w:val="24"/>
          <w:szCs w:val="24"/>
          <w:rtl/>
        </w:rPr>
      </w:pPr>
      <w:r w:rsidRPr="0065280A">
        <w:rPr>
          <w:rFonts w:hint="cs"/>
          <w:b/>
          <w:bCs/>
          <w:sz w:val="24"/>
          <w:szCs w:val="24"/>
          <w:rtl/>
        </w:rPr>
        <w:t>נגד</w:t>
      </w:r>
    </w:p>
    <w:p w14:paraId="0D5AD7DA" w14:textId="77777777" w:rsidR="00036B1B" w:rsidRPr="00036B1B" w:rsidRDefault="00B0780A" w:rsidP="008D4EB6">
      <w:pPr>
        <w:spacing w:before="360"/>
        <w:rPr>
          <w:b/>
          <w:bCs/>
          <w:sz w:val="24"/>
          <w:szCs w:val="24"/>
          <w:rtl/>
        </w:rPr>
      </w:pPr>
      <w:r w:rsidRPr="00036B1B">
        <w:rPr>
          <w:rFonts w:hint="cs"/>
          <w:b/>
          <w:bCs/>
          <w:sz w:val="24"/>
          <w:szCs w:val="24"/>
          <w:rtl/>
        </w:rPr>
        <w:t>המשיבה</w:t>
      </w:r>
      <w:r w:rsidR="00036B1B" w:rsidRPr="00036B1B">
        <w:rPr>
          <w:b/>
          <w:bCs/>
          <w:sz w:val="24"/>
          <w:szCs w:val="24"/>
          <w:rtl/>
        </w:rPr>
        <w:tab/>
      </w:r>
      <w:r w:rsidR="00036B1B" w:rsidRPr="00036B1B">
        <w:rPr>
          <w:b/>
          <w:bCs/>
          <w:sz w:val="24"/>
          <w:szCs w:val="24"/>
          <w:rtl/>
        </w:rPr>
        <w:tab/>
      </w:r>
      <w:r w:rsidR="00036B1B" w:rsidRPr="00036B1B">
        <w:rPr>
          <w:b/>
          <w:bCs/>
          <w:sz w:val="24"/>
          <w:szCs w:val="24"/>
          <w:rtl/>
        </w:rPr>
        <w:tab/>
      </w:r>
      <w:r w:rsidR="00036B1B" w:rsidRPr="00036B1B">
        <w:rPr>
          <w:rFonts w:hint="cs"/>
          <w:b/>
          <w:bCs/>
          <w:sz w:val="24"/>
          <w:szCs w:val="24"/>
          <w:rtl/>
        </w:rPr>
        <w:t xml:space="preserve">מדינת ישראל </w:t>
      </w:r>
      <w:r w:rsidR="00036B1B" w:rsidRPr="00036B1B">
        <w:rPr>
          <w:b/>
          <w:bCs/>
          <w:sz w:val="24"/>
          <w:szCs w:val="24"/>
          <w:rtl/>
        </w:rPr>
        <w:t>–</w:t>
      </w:r>
      <w:r w:rsidR="00036B1B" w:rsidRPr="00036B1B">
        <w:rPr>
          <w:rFonts w:hint="cs"/>
          <w:b/>
          <w:bCs/>
          <w:sz w:val="24"/>
          <w:szCs w:val="24"/>
          <w:rtl/>
        </w:rPr>
        <w:t xml:space="preserve"> תביעות מחוז מרכז</w:t>
      </w:r>
    </w:p>
    <w:p w14:paraId="4EE90412" w14:textId="2ECAA2B1" w:rsidR="00465D84" w:rsidRPr="00036B1B" w:rsidRDefault="00036B1B" w:rsidP="00036B1B">
      <w:pPr>
        <w:ind w:left="2919"/>
        <w:rPr>
          <w:b/>
          <w:bCs/>
          <w:sz w:val="24"/>
          <w:szCs w:val="24"/>
        </w:rPr>
      </w:pPr>
      <w:r w:rsidRPr="00036B1B">
        <w:rPr>
          <w:rFonts w:hint="cs"/>
          <w:b/>
          <w:bCs/>
          <w:sz w:val="24"/>
          <w:szCs w:val="24"/>
          <w:rtl/>
        </w:rPr>
        <w:t>ע"י ב"כ עו"ד ליטל סגל-מלכה</w:t>
      </w:r>
    </w:p>
    <w:p w14:paraId="5C4DFD88" w14:textId="77777777" w:rsidR="00465D84" w:rsidRPr="00465D84" w:rsidRDefault="00B0780A" w:rsidP="000D0158">
      <w:pPr>
        <w:spacing w:before="480"/>
        <w:jc w:val="center"/>
        <w:outlineLvl w:val="0"/>
        <w:rPr>
          <w:b/>
          <w:bCs/>
          <w:u w:val="single"/>
          <w:rtl/>
        </w:rPr>
      </w:pPr>
      <w:r w:rsidRPr="00465D84">
        <w:rPr>
          <w:rFonts w:hint="cs"/>
          <w:b/>
          <w:bCs/>
          <w:szCs w:val="24"/>
          <w:u w:val="single"/>
          <w:rtl/>
        </w:rPr>
        <w:t>החלטה</w:t>
      </w:r>
    </w:p>
    <w:p w14:paraId="37041FD3" w14:textId="77777777" w:rsidR="00465D84" w:rsidRPr="00465D84" w:rsidRDefault="00B0780A" w:rsidP="00465D84">
      <w:pPr>
        <w:rPr>
          <w:rtl/>
        </w:rPr>
      </w:pPr>
      <w:r w:rsidRPr="00465D84">
        <w:rPr>
          <w:rFonts w:hint="cs"/>
          <w:szCs w:val="24"/>
          <w:rtl/>
        </w:rPr>
        <w:t>ערר על החלטת בית המשפט השלום (בשבתו כבית מ</w:t>
      </w:r>
      <w:r>
        <w:rPr>
          <w:rFonts w:hint="cs"/>
          <w:szCs w:val="24"/>
          <w:rtl/>
        </w:rPr>
        <w:t xml:space="preserve">שפט לנוער) בראשון לציון, כב' השופט יובל קדר, מיום 08.01.26, </w:t>
      </w:r>
      <w:r w:rsidRPr="00465D84">
        <w:rPr>
          <w:rFonts w:hint="cs"/>
          <w:szCs w:val="24"/>
          <w:rtl/>
        </w:rPr>
        <w:t xml:space="preserve">במסגרתה הורה על מעצרו עד תום ההליכים של העורר. </w:t>
      </w:r>
    </w:p>
    <w:p w14:paraId="3445BE31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 xml:space="preserve">נגד העורר, תושב </w:t>
      </w:r>
      <w:r>
        <w:rPr>
          <w:rFonts w:hint="cs"/>
          <w:szCs w:val="24"/>
        </w:rPr>
        <w:t>XXX</w:t>
      </w:r>
      <w:r w:rsidRPr="00465D84">
        <w:rPr>
          <w:rFonts w:hint="cs"/>
          <w:szCs w:val="24"/>
          <w:rtl/>
        </w:rPr>
        <w:t xml:space="preserve"> בשומרון, קטין, כבן 18 חסר חודש, הוגש כתב אישום, המייחס לו עבירות כדלקמן</w:t>
      </w:r>
      <w:r w:rsidRPr="00465D84">
        <w:rPr>
          <w:rFonts w:hint="cs"/>
          <w:szCs w:val="24"/>
          <w:rtl/>
        </w:rPr>
        <w:t>:</w:t>
      </w:r>
    </w:p>
    <w:p w14:paraId="729E1DC9" w14:textId="77777777" w:rsidR="00465D84" w:rsidRPr="00465D84" w:rsidRDefault="00B0780A" w:rsidP="00465D84">
      <w:pPr>
        <w:numPr>
          <w:ilvl w:val="0"/>
          <w:numId w:val="1"/>
        </w:numPr>
        <w:rPr>
          <w:rtl/>
        </w:rPr>
      </w:pPr>
      <w:r w:rsidRPr="00465D84">
        <w:rPr>
          <w:rFonts w:hint="cs"/>
          <w:szCs w:val="24"/>
          <w:rtl/>
        </w:rPr>
        <w:t>גניבת רכב בצוותא, בניגוד לסעיף 413ב', ביחד עם סעיף 29(א) לחוק העונשין, תשל"ז - 1977;</w:t>
      </w:r>
    </w:p>
    <w:p w14:paraId="36E9ACDE" w14:textId="77777777" w:rsidR="00465D84" w:rsidRPr="00465D84" w:rsidRDefault="00B0780A" w:rsidP="00465D84">
      <w:pPr>
        <w:numPr>
          <w:ilvl w:val="0"/>
          <w:numId w:val="1"/>
        </w:numPr>
      </w:pPr>
      <w:r w:rsidRPr="00465D84">
        <w:rPr>
          <w:rFonts w:hint="cs"/>
          <w:szCs w:val="24"/>
          <w:rtl/>
        </w:rPr>
        <w:t>פריצה לרכב בכוונה לגנוב, בצוותא, בניגוד לסעיף 413ו', ביחד עם סעיף 29(א) לאותו חוק;</w:t>
      </w:r>
    </w:p>
    <w:p w14:paraId="3D999C70" w14:textId="77777777" w:rsidR="00465D84" w:rsidRPr="00465D84" w:rsidRDefault="00B0780A" w:rsidP="00465D84">
      <w:pPr>
        <w:numPr>
          <w:ilvl w:val="0"/>
          <w:numId w:val="1"/>
        </w:numPr>
      </w:pPr>
      <w:r w:rsidRPr="00465D84">
        <w:rPr>
          <w:rFonts w:hint="cs"/>
          <w:szCs w:val="24"/>
          <w:rtl/>
        </w:rPr>
        <w:t>חבלה במזיד ברכב בצוותא, בניגוד לסעיף 413ה', ביחד עם סעיף 29(א) לאותו חוק;</w:t>
      </w:r>
    </w:p>
    <w:p w14:paraId="49133BB8" w14:textId="77777777" w:rsidR="00465D84" w:rsidRPr="00465D84" w:rsidRDefault="00B0780A" w:rsidP="00465D84">
      <w:pPr>
        <w:numPr>
          <w:ilvl w:val="0"/>
          <w:numId w:val="1"/>
        </w:numPr>
      </w:pPr>
      <w:r>
        <w:rPr>
          <w:rFonts w:hint="cs"/>
          <w:szCs w:val="24"/>
          <w:rtl/>
        </w:rPr>
        <w:t>שהי</w:t>
      </w:r>
      <w:r w:rsidRPr="00465D84">
        <w:rPr>
          <w:rFonts w:hint="cs"/>
          <w:szCs w:val="24"/>
          <w:rtl/>
        </w:rPr>
        <w:t xml:space="preserve">ה שלא </w:t>
      </w:r>
      <w:r w:rsidRPr="00465D84">
        <w:rPr>
          <w:rFonts w:hint="cs"/>
          <w:szCs w:val="24"/>
          <w:rtl/>
        </w:rPr>
        <w:t>כדין, בניגוד לסעיף 12(א)(1) – (4) לחוק הכניסה לישראל, תשי"ב – 1952.</w:t>
      </w:r>
    </w:p>
    <w:p w14:paraId="01E6E32E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>בהתאם לעובדות כתב האישום, מיוחס לעורר, כי בתאריך 21.12.25, סמוך לשעה 05:50 לפנות בוקר, הגיע העורר, בצוותא עם אחר, שפרטיו ידועים, לרחוב מגורים בעיר באר יעקב, תוך שאינו מורשה לשהות מחוץ לאזו</w:t>
      </w:r>
      <w:r w:rsidRPr="00465D84">
        <w:rPr>
          <w:rFonts w:hint="cs"/>
          <w:szCs w:val="24"/>
          <w:rtl/>
        </w:rPr>
        <w:t>ר יהודה ושומרון.</w:t>
      </w:r>
    </w:p>
    <w:p w14:paraId="11A60D51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 xml:space="preserve">השניים ניפצו שמשת החלון בדלת אחורית שמאלית של רכב מסוג יונדאי ל"ז 400-39-702, בבעלות </w:t>
      </w:r>
      <w:r>
        <w:rPr>
          <w:szCs w:val="24"/>
        </w:rPr>
        <w:t>xxx</w:t>
      </w:r>
      <w:r w:rsidRPr="00465D84">
        <w:rPr>
          <w:rFonts w:hint="cs"/>
          <w:szCs w:val="24"/>
          <w:rtl/>
        </w:rPr>
        <w:t>; נכנסו לרכב; הניעו אותו בדרך שאינה ידועה לתביעה; ונסעו מהמקום, לכיוון אזור יהודה ושומרון</w:t>
      </w:r>
      <w:r>
        <w:rPr>
          <w:rFonts w:hint="cs"/>
          <w:szCs w:val="24"/>
          <w:rtl/>
        </w:rPr>
        <w:t>,</w:t>
      </w:r>
      <w:r w:rsidRPr="00465D84">
        <w:rPr>
          <w:rFonts w:hint="cs"/>
          <w:szCs w:val="24"/>
          <w:rtl/>
        </w:rPr>
        <w:t xml:space="preserve"> כש</w:t>
      </w:r>
      <w:r>
        <w:rPr>
          <w:rFonts w:hint="cs"/>
          <w:szCs w:val="24"/>
          <w:rtl/>
        </w:rPr>
        <w:t>ה</w:t>
      </w:r>
      <w:r w:rsidRPr="00465D84">
        <w:rPr>
          <w:rFonts w:hint="cs"/>
          <w:szCs w:val="24"/>
          <w:rtl/>
        </w:rPr>
        <w:t>אחר נוהג ברכב.</w:t>
      </w:r>
    </w:p>
    <w:p w14:paraId="2A599959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 xml:space="preserve">העורר והאחר נתפסו וברכב, כשמחזיקים </w:t>
      </w:r>
      <w:r w:rsidRPr="00465D84">
        <w:rPr>
          <w:rFonts w:hint="cs"/>
          <w:szCs w:val="24"/>
          <w:rtl/>
        </w:rPr>
        <w:t>במכשירים אלקטרוניים שונים לרבות שלטים אוניברסליים, טאבלט שחור ומכשיר אלקטרוני נוסף.</w:t>
      </w:r>
    </w:p>
    <w:p w14:paraId="4A5CA94C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lastRenderedPageBreak/>
        <w:t>ההגנה כפרה בקיומן של ראיות לכאורה ובעילת המעצר.</w:t>
      </w:r>
    </w:p>
    <w:p w14:paraId="5FD7AAC4" w14:textId="77777777" w:rsidR="00465D84" w:rsidRPr="00465D84" w:rsidRDefault="00B0780A" w:rsidP="007F4C21">
      <w:pPr>
        <w:spacing w:before="600"/>
        <w:rPr>
          <w:rtl/>
        </w:rPr>
      </w:pPr>
      <w:r w:rsidRPr="00465D84">
        <w:rPr>
          <w:rFonts w:hint="cs"/>
          <w:szCs w:val="24"/>
          <w:rtl/>
        </w:rPr>
        <w:t>לאחר עיון בתיק החקירה, קבע בית משפט קמא, כי עלה בידי התביעה לבסס קיומן של ראיות לכאורה וכי קיימת עילת מעצר ועל כן – הורה, כא</w:t>
      </w:r>
      <w:r w:rsidRPr="00465D84">
        <w:rPr>
          <w:rFonts w:hint="cs"/>
          <w:szCs w:val="24"/>
          <w:rtl/>
        </w:rPr>
        <w:t>מור, על מעצרם של העורר, וכן האחר, עד תום ההליכים.</w:t>
      </w:r>
    </w:p>
    <w:p w14:paraId="6FBEF917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 xml:space="preserve">הגנה משיגה על החלטת בית משפט קמא. לשיטתה – הראיה היחידה העומדת כלפי העורר דנן היא עצם נוכחותו ברכב ואין די בכך כדי לעשותו שותף לעבירות. </w:t>
      </w:r>
    </w:p>
    <w:p w14:paraId="0C66EA09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>לאחר עיון בתיק החקירה – לא נמצא דופי בקביעת בית משפט קמא בנוגע לקיומן</w:t>
      </w:r>
      <w:r w:rsidRPr="00465D84">
        <w:rPr>
          <w:rFonts w:hint="cs"/>
          <w:szCs w:val="24"/>
          <w:rtl/>
        </w:rPr>
        <w:t xml:space="preserve"> של ראיות לכאורה. העורר לא נתפס </w:t>
      </w:r>
      <w:r>
        <w:rPr>
          <w:rFonts w:hint="cs"/>
          <w:szCs w:val="24"/>
          <w:rtl/>
        </w:rPr>
        <w:t xml:space="preserve">כך </w:t>
      </w:r>
      <w:r w:rsidRPr="00465D84">
        <w:rPr>
          <w:rFonts w:hint="cs"/>
          <w:szCs w:val="24"/>
          <w:rtl/>
        </w:rPr>
        <w:t xml:space="preserve">סתם ברכב, אלא המדובר ברכב ששמשתו וכן חלקים בדופן הקדמית הפנימית ("דשבורד") </w:t>
      </w:r>
      <w:r>
        <w:rPr>
          <w:rFonts w:hint="cs"/>
          <w:szCs w:val="24"/>
          <w:rtl/>
        </w:rPr>
        <w:t xml:space="preserve">שלו, היו </w:t>
      </w:r>
      <w:r w:rsidRPr="00465D84">
        <w:rPr>
          <w:rFonts w:hint="cs"/>
          <w:szCs w:val="24"/>
          <w:rtl/>
        </w:rPr>
        <w:t>שבורים או מפורקים. ברשות העורר והאחר נמצא מכשור אלקטרוני מתוחכם, אשר עשוי לשמש לפתיחה או הנעה של כלי רכב. יתר על כן</w:t>
      </w:r>
      <w:r>
        <w:rPr>
          <w:rFonts w:hint="cs"/>
          <w:szCs w:val="24"/>
          <w:rtl/>
        </w:rPr>
        <w:t>, העורר</w:t>
      </w:r>
      <w:r w:rsidRPr="00465D84">
        <w:rPr>
          <w:rFonts w:hint="cs"/>
          <w:szCs w:val="24"/>
          <w:rtl/>
        </w:rPr>
        <w:t xml:space="preserve"> אף קשר עצמו לר</w:t>
      </w:r>
      <w:r w:rsidRPr="00465D84">
        <w:rPr>
          <w:rFonts w:hint="cs"/>
          <w:szCs w:val="24"/>
          <w:rtl/>
        </w:rPr>
        <w:t xml:space="preserve">כב, כשבאמרתו הראשונה, מיום 22.12.25, אף אישר (לאחר היוועצות בעורך דין) כי </w:t>
      </w:r>
      <w:r>
        <w:rPr>
          <w:rFonts w:hint="cs"/>
          <w:szCs w:val="24"/>
          <w:rtl/>
        </w:rPr>
        <w:t>נ</w:t>
      </w:r>
      <w:r w:rsidRPr="00465D84">
        <w:rPr>
          <w:rFonts w:hint="cs"/>
          <w:szCs w:val="24"/>
          <w:rtl/>
        </w:rPr>
        <w:t xml:space="preserve">תבקש ע"י האחר להגיע לרכב מונע ולנהוג ברכב, בתמורה לאתנן כספי, אם כי טען, כי סירב לכך ובשל כך - האחר נהג ברכב. </w:t>
      </w:r>
      <w:r>
        <w:rPr>
          <w:rFonts w:hint="cs"/>
          <w:szCs w:val="24"/>
          <w:rtl/>
        </w:rPr>
        <w:t>כל</w:t>
      </w:r>
      <w:r w:rsidRPr="00465D84">
        <w:rPr>
          <w:rFonts w:hint="cs"/>
          <w:szCs w:val="24"/>
          <w:rtl/>
        </w:rPr>
        <w:t xml:space="preserve">עומת גרסתו הראשונית (לאחר מכן מסר גרסה אחרת) עומדת גרסת האחר, אשר אף </w:t>
      </w:r>
      <w:r w:rsidRPr="00465D84">
        <w:rPr>
          <w:rFonts w:hint="cs"/>
          <w:szCs w:val="24"/>
          <w:rtl/>
        </w:rPr>
        <w:t>טוען, כי העורר הוא הרוח החיה בפרשה ואילו אותו אחר רק שעה להוראותיו. אך אין צורך להכריע בשאלת אמיתות הג</w:t>
      </w:r>
      <w:r>
        <w:rPr>
          <w:rFonts w:hint="cs"/>
          <w:szCs w:val="24"/>
          <w:rtl/>
        </w:rPr>
        <w:t>רסות הללו (הכרעה שממילא אינה ענ</w:t>
      </w:r>
      <w:r w:rsidRPr="00465D84">
        <w:rPr>
          <w:rFonts w:hint="cs"/>
          <w:szCs w:val="24"/>
          <w:rtl/>
        </w:rPr>
        <w:t>ין לשלב הדיוני הנוכחי), שכן עצם הימצאות העורר ברכב הגנוב, אשר אף פרץ מחסום משטרתי, בנסיבות שפורטו לעיל – מבססת, בוודאי באופ</w:t>
      </w:r>
      <w:r w:rsidRPr="00465D84">
        <w:rPr>
          <w:rFonts w:hint="cs"/>
          <w:szCs w:val="24"/>
          <w:rtl/>
        </w:rPr>
        <w:t xml:space="preserve">ן מספק לשלב דיוני זה, ראיה לכאורה בדבר מודעותו לכך, שהמדובר ברכב גנוב. </w:t>
      </w:r>
    </w:p>
    <w:p w14:paraId="632D065A" w14:textId="77777777" w:rsidR="00465D84" w:rsidRPr="00465D84" w:rsidRDefault="00B0780A" w:rsidP="00465D84">
      <w:pPr>
        <w:spacing w:before="436"/>
        <w:rPr>
          <w:rtl/>
        </w:rPr>
      </w:pPr>
      <w:r>
        <w:rPr>
          <w:rFonts w:hint="cs"/>
          <w:szCs w:val="24"/>
          <w:rtl/>
        </w:rPr>
        <w:t>נ</w:t>
      </w:r>
      <w:r w:rsidRPr="00465D84">
        <w:rPr>
          <w:rFonts w:hint="cs"/>
          <w:szCs w:val="24"/>
          <w:rtl/>
        </w:rPr>
        <w:t>סיון החיים מלמד, שמי שעובר עבירות חמורות, לא יקח עימו אדם אחר, באופן מזדמן</w:t>
      </w:r>
      <w:r>
        <w:rPr>
          <w:rFonts w:hint="cs"/>
          <w:szCs w:val="24"/>
          <w:rtl/>
        </w:rPr>
        <w:t>,</w:t>
      </w:r>
      <w:r w:rsidRPr="00465D84">
        <w:rPr>
          <w:rFonts w:hint="cs"/>
          <w:szCs w:val="24"/>
          <w:rtl/>
        </w:rPr>
        <w:t xml:space="preserve"> ועל נוכחות העורר, ביחד עם האחר, ברכב הגנוב</w:t>
      </w:r>
      <w:r>
        <w:rPr>
          <w:rFonts w:hint="cs"/>
          <w:szCs w:val="24"/>
          <w:rtl/>
        </w:rPr>
        <w:t>,</w:t>
      </w:r>
      <w:r w:rsidRPr="00465D84">
        <w:rPr>
          <w:rFonts w:hint="cs"/>
          <w:szCs w:val="24"/>
          <w:rtl/>
        </w:rPr>
        <w:t xml:space="preserve"> יפים גם היו</w:t>
      </w:r>
      <w:r>
        <w:rPr>
          <w:rFonts w:hint="cs"/>
          <w:szCs w:val="24"/>
          <w:rtl/>
        </w:rPr>
        <w:t xml:space="preserve">ם </w:t>
      </w:r>
      <w:r w:rsidRPr="00465D84">
        <w:rPr>
          <w:rFonts w:hint="cs"/>
          <w:szCs w:val="24"/>
          <w:rtl/>
        </w:rPr>
        <w:t>דבריו של הנביא עמוס, שנאמרו לפני קרוב ל – 3,000 שנ</w:t>
      </w:r>
      <w:r w:rsidRPr="00465D84">
        <w:rPr>
          <w:rFonts w:hint="cs"/>
          <w:szCs w:val="24"/>
          <w:rtl/>
        </w:rPr>
        <w:t>ה:</w:t>
      </w:r>
    </w:p>
    <w:p w14:paraId="5159958B" w14:textId="77777777" w:rsidR="00465D84" w:rsidRPr="00465D84" w:rsidRDefault="00B0780A" w:rsidP="00465D84">
      <w:pPr>
        <w:jc w:val="center"/>
        <w:rPr>
          <w:rFonts w:cs="Guttman Mantova-Decor"/>
          <w:rtl/>
        </w:rPr>
      </w:pPr>
      <w:r w:rsidRPr="00465D84">
        <w:rPr>
          <w:rFonts w:cs="Guttman Mantova-Decor"/>
          <w:rtl/>
        </w:rPr>
        <w:t>הֲיֵלְכ֥וּ שְׁנַ֖יִם יַחְדָּ֑ו בִּלְתִּ֖י אִם־נוֹעָֽדוּ׃ (עמוס ג', ג').</w:t>
      </w:r>
    </w:p>
    <w:p w14:paraId="74CAD015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>אשר לעילת המעצר</w:t>
      </w:r>
      <w:r>
        <w:rPr>
          <w:rFonts w:hint="cs"/>
          <w:szCs w:val="24"/>
          <w:rtl/>
        </w:rPr>
        <w:t>,</w:t>
      </w:r>
      <w:r w:rsidRPr="00465D84">
        <w:rPr>
          <w:rFonts w:hint="cs"/>
          <w:szCs w:val="24"/>
          <w:rtl/>
        </w:rPr>
        <w:t xml:space="preserve"> המעשים המתוארים בכתב האישום מלמדים על מעורבות עומק בעולם העברייני ומקימים עילת מעצר מובהקת, של מסוכנות לשלום הציבור: המדובר בהתארגנות של לפחות שני אנשים שונים (לנוכ</w:t>
      </w:r>
      <w:r w:rsidRPr="00465D84">
        <w:rPr>
          <w:rFonts w:hint="cs"/>
          <w:szCs w:val="24"/>
          <w:rtl/>
        </w:rPr>
        <w:t>ח קיומה של טביעת אצבע שאינה מתאימה לאף אחד מהם, מסתבר בהחלט, כי היה גם מעורב אחד נוסף לפחות); במסגרת התארגנות זו, הגיעו השניים מרחוק, מחלקו הצפוני של אזור השומרון</w:t>
      </w:r>
      <w:r>
        <w:rPr>
          <w:rFonts w:hint="cs"/>
          <w:szCs w:val="24"/>
          <w:rtl/>
        </w:rPr>
        <w:t>,</w:t>
      </w:r>
      <w:r w:rsidRPr="00465D84">
        <w:rPr>
          <w:rFonts w:hint="cs"/>
          <w:szCs w:val="24"/>
          <w:rtl/>
        </w:rPr>
        <w:t xml:space="preserve"> עד לעיר באר יעקב, שהיא בשפלה הדרומית; השניים הגיעו, כאמור,  מצוידים במכשור אלקטרוני מתוחכם; </w:t>
      </w:r>
      <w:r w:rsidRPr="00465D84">
        <w:rPr>
          <w:rFonts w:hint="cs"/>
          <w:szCs w:val="24"/>
          <w:rtl/>
        </w:rPr>
        <w:t>עלה בידיהם להניע כלי רכב מנועי חדיש - שעל פי מספר הרישוי שלו, יוצר בשנים האחרונות ממש - בתוך פרק זמן קצר ביותר; השניים לא נרתעו מלפרוץ מחסום משטרתי (לעורר דנן לא יוחסה שותפות לעבירה של נהיגה פוחזת, אשר יוחסה למעורב הנוסף, אך בהחלט ניתן היה לייחס עבירה זו ג</w:t>
      </w:r>
      <w:r w:rsidRPr="00465D84">
        <w:rPr>
          <w:rFonts w:hint="cs"/>
          <w:szCs w:val="24"/>
          <w:rtl/>
        </w:rPr>
        <w:t>ם כלפיו). המעורב הנוסף נהג ברכב המנועי ללא הכשרה מתאימה, ללא רשיון וללא ביטוח. כל אלה מלמדים על תעוזה של ממש; שילובן של כלל הנסיבות מקים, כאמור, עילת מעצר בעצימות גבוה מאוד.</w:t>
      </w:r>
    </w:p>
    <w:p w14:paraId="239DA69F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>רק לאחרונה, נקטע פתיל חייהם של מספר שוטרים בעקבות ניסיון לעצור עבריינים כדוגמת העו</w:t>
      </w:r>
      <w:r w:rsidRPr="00465D84">
        <w:rPr>
          <w:rFonts w:hint="cs"/>
          <w:szCs w:val="24"/>
          <w:rtl/>
        </w:rPr>
        <w:t xml:space="preserve">רר והמעורב הנוסף, אשר נסעו ברכב גנוב לכיוון אזור יהודה ושומרון ופרצו מחסום. חלק ניכר מפורצי מחסום אלה היו אף הם קטינים. בכגון דא, דווקא הגיל הצעיר הוא פרמטר, </w:t>
      </w:r>
      <w:r w:rsidRPr="00465D84">
        <w:rPr>
          <w:rFonts w:hint="cs"/>
          <w:szCs w:val="24"/>
          <w:rtl/>
        </w:rPr>
        <w:lastRenderedPageBreak/>
        <w:t>העשוי להעלות את רף המסוכנות, שכן בגילאים כאלה נעדרים הצעירים תחושת פחד או מחשבה מעמיקה בדבר השלכות</w:t>
      </w:r>
      <w:r w:rsidRPr="00465D84">
        <w:rPr>
          <w:rFonts w:hint="cs"/>
          <w:szCs w:val="24"/>
          <w:rtl/>
        </w:rPr>
        <w:t xml:space="preserve"> מעשיהם, כך שהתעוזה שמפגינים היא גבוהה מאוד.</w:t>
      </w:r>
    </w:p>
    <w:p w14:paraId="720DF84D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>בית המשפט שם לנגד עיניו את היותו של העורר, באופן פורמלי, קטין (</w:t>
      </w:r>
      <w:r>
        <w:rPr>
          <w:rFonts w:hint="cs"/>
          <w:szCs w:val="24"/>
          <w:rtl/>
        </w:rPr>
        <w:t>א</w:t>
      </w:r>
      <w:r w:rsidRPr="00465D84">
        <w:rPr>
          <w:rFonts w:hint="cs"/>
          <w:szCs w:val="24"/>
          <w:rtl/>
        </w:rPr>
        <w:t>ם כי, כאמור, כחודש לפני שהפך לבגיר). ברגיל, קבע המחוקק, כי ככל שמדובר בקטין – המעצר הוא האמצעי האחרון. אך כבר נאמר</w:t>
      </w:r>
      <w:r>
        <w:rPr>
          <w:rFonts w:hint="cs"/>
          <w:szCs w:val="24"/>
          <w:rtl/>
        </w:rPr>
        <w:t>,</w:t>
      </w:r>
      <w:r w:rsidRPr="00465D84">
        <w:rPr>
          <w:rFonts w:hint="cs"/>
          <w:szCs w:val="24"/>
          <w:rtl/>
        </w:rPr>
        <w:t xml:space="preserve"> בפסיקת בתי המשפט, כי קטינות אינ</w:t>
      </w:r>
      <w:r w:rsidRPr="00465D84">
        <w:rPr>
          <w:rFonts w:hint="cs"/>
          <w:szCs w:val="24"/>
          <w:rtl/>
        </w:rPr>
        <w:t>נה בגדר חסינות</w:t>
      </w:r>
      <w:r>
        <w:rPr>
          <w:rFonts w:hint="cs"/>
          <w:szCs w:val="24"/>
          <w:rtl/>
        </w:rPr>
        <w:t>;</w:t>
      </w:r>
      <w:r w:rsidRPr="00465D84">
        <w:rPr>
          <w:rFonts w:hint="cs"/>
          <w:szCs w:val="24"/>
          <w:rtl/>
        </w:rPr>
        <w:t xml:space="preserve"> וכאשר המדובר בהתארגנות עבריינית, שיש בה כיד ליצור מסוכנתו רבתי לשלומם, חייהם ולרכושם של אזרחים שומרי חוק – נסוגות אחור הנסיבות האישיות ויש מקום להבטיח את שלום הציבור על ידי הרחקת עבריינים מסוג זה </w:t>
      </w:r>
      <w:r>
        <w:rPr>
          <w:rFonts w:hint="cs"/>
          <w:szCs w:val="24"/>
          <w:rtl/>
        </w:rPr>
        <w:t>מ</w:t>
      </w:r>
      <w:r w:rsidRPr="00465D84">
        <w:rPr>
          <w:rFonts w:hint="cs"/>
          <w:szCs w:val="24"/>
          <w:rtl/>
        </w:rPr>
        <w:t>החברה.</w:t>
      </w:r>
    </w:p>
    <w:p w14:paraId="1CFB9A4F" w14:textId="77777777" w:rsidR="00465D84" w:rsidRPr="00465D84" w:rsidRDefault="00B0780A" w:rsidP="00465D84">
      <w:pPr>
        <w:spacing w:before="436"/>
        <w:rPr>
          <w:rtl/>
        </w:rPr>
      </w:pPr>
      <w:r>
        <w:rPr>
          <w:rFonts w:hint="cs"/>
          <w:szCs w:val="24"/>
          <w:rtl/>
        </w:rPr>
        <w:t>תחושת הב</w:t>
      </w:r>
      <w:r w:rsidRPr="00465D84">
        <w:rPr>
          <w:rFonts w:hint="cs"/>
          <w:szCs w:val="24"/>
          <w:rtl/>
        </w:rPr>
        <w:t>טחון של אזרחים שומרי חוק באר</w:t>
      </w:r>
      <w:r w:rsidRPr="00465D84">
        <w:rPr>
          <w:rFonts w:hint="cs"/>
          <w:szCs w:val="24"/>
          <w:rtl/>
        </w:rPr>
        <w:t>ץ פוחתת מיום ליום. בית המשפט אינו רשאי להישאר אדיש לכך ועליו להתאים את מדיניות המעצרים וכן את רף הענישה, כדי לאפשר מאבק אמיתי, לא רק במישור הרטורי, בעבריינות המשתוללת.</w:t>
      </w:r>
    </w:p>
    <w:p w14:paraId="7B5B97BF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>לעילת המסוכנות מתווספת, במקרה דנן</w:t>
      </w:r>
      <w:r>
        <w:rPr>
          <w:rFonts w:hint="cs"/>
          <w:szCs w:val="24"/>
          <w:rtl/>
        </w:rPr>
        <w:t>,</w:t>
      </w:r>
      <w:r w:rsidRPr="00465D84">
        <w:rPr>
          <w:rFonts w:hint="cs"/>
          <w:szCs w:val="24"/>
          <w:rtl/>
        </w:rPr>
        <w:t xml:space="preserve"> גם העילה של ה</w:t>
      </w:r>
      <w:r>
        <w:rPr>
          <w:rFonts w:hint="cs"/>
          <w:szCs w:val="24"/>
          <w:rtl/>
        </w:rPr>
        <w:t>ימלטות מהדין, בהיות העורר תושב האוטונומי</w:t>
      </w:r>
      <w:r>
        <w:rPr>
          <w:rFonts w:hint="cs"/>
          <w:szCs w:val="24"/>
          <w:rtl/>
        </w:rPr>
        <w:t>ה ב</w:t>
      </w:r>
      <w:r w:rsidRPr="00465D84">
        <w:rPr>
          <w:rFonts w:hint="cs"/>
          <w:szCs w:val="24"/>
          <w:rtl/>
        </w:rPr>
        <w:t>אזור יהודה ושומרון, כאשר הבאתו לדין, אם לא יתייצב למשפטו, תדרוש משאבים מיוחדים ולא תמיד תהיה אפשרית.</w:t>
      </w:r>
    </w:p>
    <w:p w14:paraId="03D96C6E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>ההקלה המיוחדת שקבע המחוקק בעניינם של קטינים, נועדה, בעיקר, לעבירות מזדמנות, כאלה המאופיינות בחוסר שיקול דעת אותו ניתן לקשר לגילו הצעיר של הנאשם הקטין, ל</w:t>
      </w:r>
      <w:r w:rsidRPr="00465D84">
        <w:rPr>
          <w:rFonts w:hint="cs"/>
          <w:szCs w:val="24"/>
          <w:rtl/>
        </w:rPr>
        <w:t>משל שימוש מזדמן בסמים מסוכנים או עבירות רכוש קלות. הקלות אלה מאבדות מטעמן</w:t>
      </w:r>
      <w:r>
        <w:rPr>
          <w:rFonts w:hint="cs"/>
          <w:szCs w:val="24"/>
          <w:rtl/>
        </w:rPr>
        <w:t>,</w:t>
      </w:r>
      <w:r w:rsidRPr="00465D84">
        <w:rPr>
          <w:rFonts w:hint="cs"/>
          <w:szCs w:val="24"/>
          <w:rtl/>
        </w:rPr>
        <w:t xml:space="preserve"> כאשר המדובר בהתארגנות עבריינית מובהקת, כמו במקרה דנן, ובמי שהוא על גבול הקטינות. </w:t>
      </w:r>
    </w:p>
    <w:p w14:paraId="47217D1F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>תסקיר שירות המבחן לנוער אף אינו מגלה מצוקה חריגה כלשהי או קשיים מיוחדים של העורר בהיותו במעצר.</w:t>
      </w:r>
    </w:p>
    <w:p w14:paraId="6AC9DAD6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>לאור</w:t>
      </w:r>
      <w:r w:rsidRPr="00465D84">
        <w:rPr>
          <w:rFonts w:hint="cs"/>
          <w:szCs w:val="24"/>
          <w:rtl/>
        </w:rPr>
        <w:t xml:space="preserve"> כל האמור – מתאימה החלטת בית משפט קמא לעובדות ולנסיבות במקרה דנן והיא תעמוד על כנה. </w:t>
      </w:r>
    </w:p>
    <w:p w14:paraId="5CDD3602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 xml:space="preserve">הערר – נדחה. </w:t>
      </w:r>
    </w:p>
    <w:p w14:paraId="2D6DC4B8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szCs w:val="24"/>
          <w:rtl/>
        </w:rPr>
        <w:t xml:space="preserve">חומר החקירה מוחזר לתביעה. </w:t>
      </w:r>
    </w:p>
    <w:p w14:paraId="67208016" w14:textId="77777777" w:rsidR="00465D84" w:rsidRPr="00465D84" w:rsidRDefault="00B0780A" w:rsidP="00465D84">
      <w:pPr>
        <w:spacing w:before="436"/>
        <w:rPr>
          <w:rtl/>
        </w:rPr>
      </w:pPr>
      <w:r w:rsidRPr="00465D84">
        <w:rPr>
          <w:rFonts w:hint="cs"/>
          <w:b/>
          <w:bCs/>
          <w:szCs w:val="24"/>
          <w:rtl/>
        </w:rPr>
        <w:t xml:space="preserve">ניתנה והודעה היום </w:t>
      </w:r>
      <w:sdt>
        <w:sdtPr>
          <w:rPr>
            <w:rFonts w:hint="cs"/>
            <w:rtl/>
          </w:rPr>
          <w:alias w:val="2207"/>
          <w:tag w:val="2207"/>
          <w:id w:val="1329636924"/>
          <w:text w:multiLine="1"/>
        </w:sdtPr>
        <w:sdtEndPr/>
        <w:sdtContent>
          <w:r w:rsidRPr="00465D84">
            <w:rPr>
              <w:rFonts w:hint="cs"/>
              <w:szCs w:val="24"/>
              <w:rtl/>
            </w:rPr>
            <w:t>כ"ו טבת תשפ"ו</w:t>
          </w:r>
        </w:sdtContent>
      </w:sdt>
      <w:r w:rsidRPr="00465D84">
        <w:rPr>
          <w:rFonts w:hint="cs"/>
          <w:b/>
          <w:bCs/>
          <w:szCs w:val="24"/>
          <w:rtl/>
        </w:rPr>
        <w:t xml:space="preserve">, </w:t>
      </w:r>
      <w:sdt>
        <w:sdtPr>
          <w:rPr>
            <w:rFonts w:hint="cs"/>
            <w:rtl/>
          </w:rPr>
          <w:alias w:val="2206"/>
          <w:tag w:val="2206"/>
          <w:id w:val="-1474593809"/>
          <w:text w:multiLine="1"/>
        </w:sdtPr>
        <w:sdtEndPr/>
        <w:sdtContent>
          <w:r w:rsidRPr="00465D84">
            <w:rPr>
              <w:rFonts w:hint="cs"/>
              <w:szCs w:val="24"/>
            </w:rPr>
            <w:t>15/01/2026</w:t>
          </w:r>
        </w:sdtContent>
      </w:sdt>
      <w:r w:rsidRPr="00465D84">
        <w:rPr>
          <w:rFonts w:hint="cs"/>
          <w:b/>
          <w:bCs/>
          <w:szCs w:val="24"/>
          <w:rtl/>
        </w:rPr>
        <w:t xml:space="preserve"> במעמד הנוכחים.</w:t>
      </w:r>
    </w:p>
    <w:p w14:paraId="64DEC380" w14:textId="77777777" w:rsidR="00465D84" w:rsidRPr="00465D84" w:rsidRDefault="00B0780A" w:rsidP="00465D84">
      <w:pPr>
        <w:spacing w:before="436" w:after="0"/>
        <w:rPr>
          <w:rtl/>
        </w:rPr>
      </w:pPr>
      <w:sdt>
        <w:sdtPr>
          <w:rPr>
            <w:rtl/>
          </w:rPr>
          <w:alias w:val="MergeField"/>
          <w:tag w:val="2144"/>
          <w:id w:val="1532786822"/>
        </w:sdtPr>
        <w:sdtEndPr/>
        <w:sdtContent>
          <w:r w:rsidRPr="00465D84">
            <w:rPr>
              <w:noProof/>
            </w:rPr>
            <w:drawing>
              <wp:inline distT="0" distB="0" distL="0" distR="0" wp14:anchorId="04AFF10F" wp14:editId="0A0686BF">
                <wp:extent cx="1321435" cy="475615"/>
                <wp:effectExtent l="0" t="0" r="0" b="635"/>
                <wp:docPr id="1" name="תמונה 1" descr="חתימת רון סולקין- שופט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1" descr="חתימת רון סולקין- שופט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143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0FEFAD6" w14:textId="77777777" w:rsidR="00465D84" w:rsidRPr="00465D84" w:rsidRDefault="00B0780A" w:rsidP="00465D84">
      <w:pPr>
        <w:spacing w:after="0"/>
        <w:rPr>
          <w:b/>
          <w:bCs/>
          <w:rtl/>
        </w:rPr>
      </w:pPr>
      <w:sdt>
        <w:sdtPr>
          <w:rPr>
            <w:b/>
            <w:bCs/>
            <w:rtl/>
          </w:rPr>
          <w:alias w:val="2141"/>
          <w:tag w:val="2141"/>
          <w:id w:val="1989732850"/>
          <w:placeholder>
            <w:docPart w:val="98EB7DA3E0A24C9BBB55D159315C1ABB"/>
          </w:placeholder>
          <w:text w:multiLine="1"/>
        </w:sdtPr>
        <w:sdtEndPr/>
        <w:sdtContent>
          <w:r w:rsidRPr="00465D84">
            <w:rPr>
              <w:b/>
              <w:bCs/>
              <w:szCs w:val="24"/>
              <w:rtl/>
            </w:rPr>
            <w:t>רון</w:t>
          </w:r>
        </w:sdtContent>
      </w:sdt>
      <w:r w:rsidRPr="00465D84">
        <w:rPr>
          <w:rFonts w:hint="cs"/>
          <w:b/>
          <w:bCs/>
          <w:szCs w:val="24"/>
          <w:rtl/>
        </w:rPr>
        <w:t xml:space="preserve"> </w:t>
      </w:r>
      <w:sdt>
        <w:sdtPr>
          <w:rPr>
            <w:b/>
            <w:bCs/>
            <w:rtl/>
          </w:rPr>
          <w:alias w:val="2142"/>
          <w:tag w:val="2142"/>
          <w:id w:val="1058944927"/>
          <w:placeholder>
            <w:docPart w:val="B28B79D8DA6740F39DBB99171C521E8B"/>
          </w:placeholder>
          <w:text w:multiLine="1"/>
        </w:sdtPr>
        <w:sdtEndPr/>
        <w:sdtContent>
          <w:r w:rsidRPr="00465D84">
            <w:rPr>
              <w:b/>
              <w:bCs/>
              <w:szCs w:val="24"/>
              <w:rtl/>
            </w:rPr>
            <w:t>סולקין</w:t>
          </w:r>
        </w:sdtContent>
      </w:sdt>
      <w:r w:rsidRPr="00465D84">
        <w:rPr>
          <w:rFonts w:hint="cs"/>
          <w:b/>
          <w:bCs/>
          <w:szCs w:val="24"/>
          <w:rtl/>
        </w:rPr>
        <w:t xml:space="preserve">, </w:t>
      </w:r>
      <w:sdt>
        <w:sdtPr>
          <w:rPr>
            <w:b/>
            <w:bCs/>
            <w:rtl/>
          </w:rPr>
          <w:alias w:val="2143"/>
          <w:tag w:val="2143"/>
          <w:id w:val="96979404"/>
          <w:placeholder>
            <w:docPart w:val="B00F44A97A7943EFA1E44178635E2286"/>
          </w:placeholder>
          <w:text w:multiLine="1"/>
        </w:sdtPr>
        <w:sdtEndPr/>
        <w:sdtContent>
          <w:r w:rsidRPr="00465D84">
            <w:rPr>
              <w:b/>
              <w:bCs/>
              <w:szCs w:val="24"/>
              <w:rtl/>
            </w:rPr>
            <w:t>שופט</w:t>
          </w:r>
        </w:sdtContent>
      </w:sdt>
    </w:p>
    <w:p w14:paraId="60E9CED0" w14:textId="77777777" w:rsidR="00465D84" w:rsidRPr="00465D84" w:rsidRDefault="00B0780A" w:rsidP="00465D84">
      <w:pPr>
        <w:pageBreakBefore/>
        <w:spacing w:after="596"/>
        <w:rPr>
          <w:rtl/>
        </w:rPr>
      </w:pPr>
      <w:r w:rsidRPr="00465D84">
        <w:rPr>
          <w:rFonts w:hint="cs"/>
          <w:szCs w:val="24"/>
          <w:rtl/>
        </w:rPr>
        <w:lastRenderedPageBreak/>
        <w:t>הוקלד</w:t>
      </w:r>
      <w:r w:rsidRPr="00465D84">
        <w:rPr>
          <w:rFonts w:hint="cs"/>
          <w:szCs w:val="24"/>
        </w:rPr>
        <w:t xml:space="preserve"> </w:t>
      </w:r>
      <w:r w:rsidRPr="00465D84">
        <w:rPr>
          <w:rFonts w:hint="cs"/>
          <w:szCs w:val="24"/>
          <w:rtl/>
        </w:rPr>
        <w:t>על</w:t>
      </w:r>
      <w:r w:rsidRPr="00465D84">
        <w:rPr>
          <w:rFonts w:hint="cs"/>
          <w:szCs w:val="24"/>
        </w:rPr>
        <w:t xml:space="preserve"> </w:t>
      </w:r>
      <w:r w:rsidRPr="00465D84">
        <w:rPr>
          <w:rFonts w:hint="cs"/>
          <w:szCs w:val="24"/>
          <w:rtl/>
        </w:rPr>
        <w:t>ידי</w:t>
      </w:r>
      <w:r w:rsidRPr="00465D84">
        <w:rPr>
          <w:rFonts w:hint="cs"/>
          <w:szCs w:val="24"/>
        </w:rPr>
        <w:t xml:space="preserve"> </w:t>
      </w:r>
      <w:r w:rsidRPr="00465D84">
        <w:rPr>
          <w:rFonts w:hint="cs"/>
          <w:szCs w:val="24"/>
          <w:rtl/>
        </w:rPr>
        <w:t>שובל</w:t>
      </w:r>
      <w:r w:rsidRPr="00465D84">
        <w:rPr>
          <w:rFonts w:hint="cs"/>
          <w:szCs w:val="24"/>
        </w:rPr>
        <w:t xml:space="preserve"> </w:t>
      </w:r>
      <w:r w:rsidRPr="00465D84">
        <w:rPr>
          <w:rFonts w:hint="cs"/>
          <w:szCs w:val="24"/>
          <w:rtl/>
        </w:rPr>
        <w:t>ימיני</w:t>
      </w:r>
    </w:p>
    <w:sectPr w:rsidR="00465D84" w:rsidRPr="00465D84" w:rsidSect="00F050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333"/>
    <w:multiLevelType w:val="hybridMultilevel"/>
    <w:tmpl w:val="71A2AD8E"/>
    <w:lvl w:ilvl="0" w:tplc="8AE2A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88D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2E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68F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F49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E8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CE9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46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84"/>
    <w:rsid w:val="00036B1B"/>
    <w:rsid w:val="000D0158"/>
    <w:rsid w:val="001208EB"/>
    <w:rsid w:val="001D02E1"/>
    <w:rsid w:val="003F1E8E"/>
    <w:rsid w:val="004161AD"/>
    <w:rsid w:val="00465D84"/>
    <w:rsid w:val="004C2899"/>
    <w:rsid w:val="005E01F8"/>
    <w:rsid w:val="0065280A"/>
    <w:rsid w:val="006D52AD"/>
    <w:rsid w:val="00760538"/>
    <w:rsid w:val="007F4C21"/>
    <w:rsid w:val="008D4EB6"/>
    <w:rsid w:val="009C6267"/>
    <w:rsid w:val="00B0780A"/>
    <w:rsid w:val="00D21E1D"/>
    <w:rsid w:val="00F0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A131B"/>
  <w15:chartTrackingRefBased/>
  <w15:docId w15:val="{D37C6CED-07F7-4248-8B70-D3896540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\\hbm-storage\Sherut\&#1502;&#1512;&#1499;&#1494;%20&#1502;&#1497;&#1491;&#1506;\&#1506;&#1491;&#1499;&#1493;&#1503;%20&#1488;&#1514;&#1512;\&#1504;&#1490;&#1497;&#1513;&#1493;&#1514;%202025\&#1502;&#1505;&#1502;&#1499;&#1497;&#1501;%20&#1513;&#1492;&#1493;&#1506;&#1489;&#1512;&#1493;%20&#1500;&#1492;&#1504;&#1490;&#1513;&#1492;%20&#1495;&#1489;&#1512;%20&#1514;&#1512;&#1490;&#1493;&#1502;&#1497;&#1501;%2021\&#1511;&#1489;&#1510;&#1497;&#1501;%20&#1502;&#1495;&#1489;&#1512;%20&#1495;&#1500;&#1511;%201\accessibledocs.ai\%3futm_source=document_icon&amp;utm_medium=file_embedded&amp;utm_campaign=template_processing&amp;utm_content=icon_top_right&amp;document_id=99f9285c-20d3-4f34-85cd-885d92c38ada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EB7DA3E0A24C9BBB55D159315C1A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C9977D-DF8E-4DC2-BD5F-66B94FB3B245}"/>
      </w:docPartPr>
      <w:docPartBody>
        <w:p w:rsidR="004161AD" w:rsidRDefault="004A485B" w:rsidP="001D02E1">
          <w:pPr>
            <w:pStyle w:val="98EB7DA3E0A24C9BBB55D159315C1ABB"/>
          </w:pPr>
          <w:r>
            <w:rPr>
              <w:rFonts w:cs="David"/>
              <w:b/>
              <w:bCs/>
              <w:rtl/>
            </w:rPr>
            <w:t>שם פרטי חותם</w:t>
          </w:r>
        </w:p>
      </w:docPartBody>
    </w:docPart>
    <w:docPart>
      <w:docPartPr>
        <w:name w:val="B28B79D8DA6740F39DBB99171C521E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327924-7A41-4F44-A304-835A19650177}"/>
      </w:docPartPr>
      <w:docPartBody>
        <w:p w:rsidR="004161AD" w:rsidRDefault="004A485B" w:rsidP="001D02E1">
          <w:pPr>
            <w:pStyle w:val="B28B79D8DA6740F39DBB99171C521E8B"/>
          </w:pPr>
          <w:r>
            <w:rPr>
              <w:rFonts w:cs="David"/>
              <w:b/>
              <w:bCs/>
              <w:rtl/>
            </w:rPr>
            <w:t>שם משפחה חותם</w:t>
          </w:r>
        </w:p>
      </w:docPartBody>
    </w:docPart>
    <w:docPart>
      <w:docPartPr>
        <w:name w:val="B00F44A97A7943EFA1E44178635E22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D03242-03FC-412D-8B90-B3BF26BD9846}"/>
      </w:docPartPr>
      <w:docPartBody>
        <w:p w:rsidR="004161AD" w:rsidRDefault="004A485B" w:rsidP="001D02E1">
          <w:pPr>
            <w:pStyle w:val="B00F44A97A7943EFA1E44178635E2286"/>
          </w:pPr>
          <w:r>
            <w:rPr>
              <w:rFonts w:cs="David"/>
              <w:b/>
              <w:bCs/>
              <w:rtl/>
            </w:rPr>
            <w:t>מעמד חותם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E1"/>
    <w:rsid w:val="000200B9"/>
    <w:rsid w:val="001208EB"/>
    <w:rsid w:val="00131EAD"/>
    <w:rsid w:val="001D02E1"/>
    <w:rsid w:val="003F1E8E"/>
    <w:rsid w:val="004161AD"/>
    <w:rsid w:val="004A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EB7DA3E0A24C9BBB55D159315C1ABB">
    <w:name w:val="98EB7DA3E0A24C9BBB55D159315C1ABB"/>
    <w:rsid w:val="001D02E1"/>
    <w:pPr>
      <w:bidi/>
    </w:pPr>
  </w:style>
  <w:style w:type="paragraph" w:customStyle="1" w:styleId="B28B79D8DA6740F39DBB99171C521E8B">
    <w:name w:val="B28B79D8DA6740F39DBB99171C521E8B"/>
    <w:rsid w:val="001D02E1"/>
    <w:pPr>
      <w:bidi/>
    </w:pPr>
  </w:style>
  <w:style w:type="paragraph" w:customStyle="1" w:styleId="B00F44A97A7943EFA1E44178635E2286">
    <w:name w:val="B00F44A97A7943EFA1E44178635E2286"/>
    <w:rsid w:val="001D02E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בית המשפט המחוזי מרכז - לוד</vt:lpstr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בית המשפט המחוזי מרכז - לוד</dc:title>
  <dc:creator>רון סולקין</dc:creator>
  <cp:lastModifiedBy>איסרא אקעיק</cp:lastModifiedBy>
  <cp:revision>2</cp:revision>
  <cp:lastPrinted>2026-02-23T12:42:00Z</cp:lastPrinted>
  <dcterms:created xsi:type="dcterms:W3CDTF">2026-03-09T13:31:00Z</dcterms:created>
  <dcterms:modified xsi:type="dcterms:W3CDTF">2026-03-09T13:31:00Z</dcterms:modified>
</cp:coreProperties>
</file>