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1D2" w:rsidRPr="001501D2" w:rsidRDefault="001501D2" w:rsidP="001501D2">
      <w:pPr>
        <w:jc w:val="center"/>
        <w:rPr>
          <w:rFonts w:ascii="FrankRuehl" w:hAnsi="FrankRuehl" w:cs="FrankRuehl"/>
          <w:b/>
          <w:bCs/>
          <w:color w:val="002060"/>
          <w:sz w:val="28"/>
          <w:szCs w:val="28"/>
          <w:u w:val="single"/>
          <w:rtl/>
        </w:rPr>
      </w:pPr>
      <w:r w:rsidRPr="001501D2">
        <w:rPr>
          <w:rFonts w:ascii="FrankRuehl" w:hAnsi="FrankRuehl" w:cs="FrankRuehl"/>
          <w:b/>
          <w:bCs/>
          <w:color w:val="002060"/>
          <w:sz w:val="28"/>
          <w:szCs w:val="28"/>
          <w:u w:val="single"/>
          <w:rtl/>
        </w:rPr>
        <w:t>תקציר החלטה</w:t>
      </w:r>
    </w:p>
    <w:p w:rsidR="001501D2" w:rsidRPr="001501D2" w:rsidRDefault="001501D2" w:rsidP="001501D2">
      <w:pPr>
        <w:jc w:val="both"/>
        <w:rPr>
          <w:rFonts w:ascii="FrankRuehl" w:hAnsi="FrankRuehl" w:cs="FrankRuehl"/>
          <w:b/>
          <w:bCs/>
          <w:color w:val="002060"/>
          <w:sz w:val="28"/>
          <w:szCs w:val="28"/>
          <w:rtl/>
        </w:rPr>
      </w:pPr>
      <w:proofErr w:type="spellStart"/>
      <w:r w:rsidRPr="001501D2">
        <w:rPr>
          <w:rFonts w:ascii="FrankRuehl" w:hAnsi="FrankRuehl" w:cs="FrankRuehl"/>
          <w:b/>
          <w:bCs/>
          <w:color w:val="002060"/>
          <w:sz w:val="28"/>
          <w:szCs w:val="28"/>
          <w:u w:val="single"/>
          <w:rtl/>
        </w:rPr>
        <w:t>חדל"ת</w:t>
      </w:r>
      <w:proofErr w:type="spellEnd"/>
      <w:r w:rsidRPr="001501D2">
        <w:rPr>
          <w:rFonts w:ascii="FrankRuehl" w:hAnsi="FrankRuehl" w:cs="FrankRuehl"/>
          <w:b/>
          <w:bCs/>
          <w:color w:val="002060"/>
          <w:sz w:val="28"/>
          <w:szCs w:val="28"/>
          <w:u w:val="single"/>
          <w:rtl/>
        </w:rPr>
        <w:t xml:space="preserve"> </w:t>
      </w:r>
      <w:bookmarkStart w:id="0" w:name="_GoBack"/>
      <w:r w:rsidRPr="001501D2">
        <w:rPr>
          <w:rFonts w:ascii="FrankRuehl" w:hAnsi="FrankRuehl" w:cs="FrankRuehl"/>
          <w:b/>
          <w:bCs/>
          <w:color w:val="002060"/>
          <w:sz w:val="28"/>
          <w:szCs w:val="28"/>
          <w:u w:val="single"/>
          <w:rtl/>
        </w:rPr>
        <w:t>31708-10-23</w:t>
      </w:r>
      <w:bookmarkEnd w:id="0"/>
      <w:r w:rsidRPr="001501D2">
        <w:rPr>
          <w:rFonts w:ascii="FrankRuehl" w:hAnsi="FrankRuehl" w:cs="FrankRuehl"/>
          <w:b/>
          <w:bCs/>
          <w:color w:val="002060"/>
          <w:sz w:val="28"/>
          <w:szCs w:val="28"/>
          <w:rtl/>
        </w:rPr>
        <w:t xml:space="preserve"> פורת ניהול מלונות בע"מ ואח' נ' בנק לאומי לישראל בע"מ יהודה הלוי 24, תל אביב(נושה) ואח'</w:t>
      </w:r>
    </w:p>
    <w:p w:rsidR="001501D2" w:rsidRPr="001501D2" w:rsidRDefault="001501D2" w:rsidP="001501D2">
      <w:pPr>
        <w:rPr>
          <w:rFonts w:ascii="FrankRuehl" w:hAnsi="FrankRuehl" w:cs="FrankRuehl"/>
          <w:b/>
          <w:bCs/>
          <w:color w:val="002060"/>
          <w:sz w:val="28"/>
          <w:szCs w:val="28"/>
          <w:rtl/>
        </w:rPr>
      </w:pPr>
      <w:proofErr w:type="spellStart"/>
      <w:r w:rsidRPr="001501D2">
        <w:rPr>
          <w:rFonts w:ascii="FrankRuehl" w:hAnsi="FrankRuehl" w:cs="FrankRuehl"/>
          <w:b/>
          <w:bCs/>
          <w:color w:val="002060"/>
          <w:sz w:val="28"/>
          <w:szCs w:val="28"/>
          <w:u w:val="single"/>
          <w:rtl/>
        </w:rPr>
        <w:t>חדל"ת</w:t>
      </w:r>
      <w:proofErr w:type="spellEnd"/>
      <w:r w:rsidRPr="001501D2">
        <w:rPr>
          <w:rFonts w:ascii="FrankRuehl" w:hAnsi="FrankRuehl" w:cs="FrankRuehl"/>
          <w:b/>
          <w:bCs/>
          <w:color w:val="002060"/>
          <w:sz w:val="28"/>
          <w:szCs w:val="28"/>
          <w:u w:val="single"/>
          <w:rtl/>
        </w:rPr>
        <w:t xml:space="preserve"> 31698-10-23</w:t>
      </w:r>
      <w:r w:rsidRPr="001501D2">
        <w:rPr>
          <w:rFonts w:ascii="FrankRuehl" w:hAnsi="FrankRuehl" w:cs="FrankRuehl"/>
          <w:b/>
          <w:bCs/>
          <w:color w:val="002060"/>
          <w:sz w:val="28"/>
          <w:szCs w:val="28"/>
          <w:rtl/>
        </w:rPr>
        <w:t xml:space="preserve"> פורת מלונות 2022 בע"מ נ' אייקון </w:t>
      </w:r>
      <w:proofErr w:type="spellStart"/>
      <w:r w:rsidRPr="001501D2">
        <w:rPr>
          <w:rFonts w:ascii="FrankRuehl" w:hAnsi="FrankRuehl" w:cs="FrankRuehl"/>
          <w:b/>
          <w:bCs/>
          <w:color w:val="002060"/>
          <w:sz w:val="28"/>
          <w:szCs w:val="28"/>
          <w:rtl/>
        </w:rPr>
        <w:t>גרופ</w:t>
      </w:r>
      <w:proofErr w:type="spellEnd"/>
      <w:r w:rsidRPr="001501D2">
        <w:rPr>
          <w:rFonts w:ascii="FrankRuehl" w:hAnsi="FrankRuehl" w:cs="FrankRuehl"/>
          <w:b/>
          <w:bCs/>
          <w:color w:val="002060"/>
          <w:sz w:val="28"/>
          <w:szCs w:val="28"/>
          <w:rtl/>
        </w:rPr>
        <w:t xml:space="preserve"> בע"מ(נושה) ואח'</w:t>
      </w:r>
    </w:p>
    <w:p w:rsidR="00554F57" w:rsidRDefault="001501D2" w:rsidP="001501D2">
      <w:pPr>
        <w:jc w:val="center"/>
        <w:rPr>
          <w:rFonts w:ascii="FrankRuehl" w:hAnsi="FrankRuehl" w:cs="FrankRuehl"/>
          <w:b/>
          <w:bCs/>
          <w:color w:val="002060"/>
          <w:sz w:val="28"/>
          <w:szCs w:val="28"/>
          <w:u w:val="single"/>
          <w:rtl/>
        </w:rPr>
      </w:pPr>
      <w:r w:rsidRPr="001501D2">
        <w:rPr>
          <w:rFonts w:ascii="FrankRuehl" w:hAnsi="FrankRuehl" w:cs="FrankRuehl"/>
          <w:b/>
          <w:bCs/>
          <w:color w:val="002060"/>
          <w:sz w:val="28"/>
          <w:szCs w:val="28"/>
          <w:u w:val="single"/>
          <w:rtl/>
        </w:rPr>
        <w:t>בפני כב' סגנית הנשיא השופטת בטינה טאובר</w:t>
      </w:r>
    </w:p>
    <w:p w:rsidR="001501D2" w:rsidRDefault="001501D2" w:rsidP="001501D2">
      <w:pPr>
        <w:spacing w:after="0" w:line="360" w:lineRule="auto"/>
        <w:jc w:val="both"/>
        <w:rPr>
          <w:rFonts w:ascii="David" w:hAnsi="David" w:cs="David"/>
          <w:sz w:val="24"/>
          <w:szCs w:val="24"/>
          <w:rtl/>
        </w:rPr>
      </w:pPr>
      <w:r w:rsidRPr="001501D2">
        <w:rPr>
          <w:rFonts w:ascii="David" w:hAnsi="David" w:cs="David"/>
          <w:sz w:val="24"/>
          <w:szCs w:val="24"/>
          <w:rtl/>
        </w:rPr>
        <w:t>ביום 24/10/23 ולאחר דיון דחוף שהתקיים בנוכחות בא כוח החברות, בעל המניות, בא כוח העובדים באי כוח הנושים ובאת כוח הממונה על חדלות פירעון, ניתן בבית המשפט המחוזי בחיפה צו פתיחת הליכים על דרך של הבראה ושיקום לרשת מלונות אוליב רימונים – המנוהלות בין היתר באמצעות חברת פורת ניהול מלונות בע"מ ופורת מלונות 2002 בע"מ. במסגרת צו פתיחת ההליכים מונו עורכי הדין ארז חבר ורון חכים כנאמנים.</w:t>
      </w:r>
    </w:p>
    <w:p w:rsidR="001501D2" w:rsidRPr="001501D2" w:rsidRDefault="001501D2" w:rsidP="001501D2">
      <w:pPr>
        <w:spacing w:after="0" w:line="360" w:lineRule="auto"/>
        <w:jc w:val="both"/>
        <w:rPr>
          <w:rFonts w:ascii="David" w:hAnsi="David" w:cs="David"/>
          <w:sz w:val="24"/>
          <w:szCs w:val="24"/>
        </w:rPr>
      </w:pPr>
    </w:p>
    <w:p w:rsidR="001501D2" w:rsidRDefault="001501D2" w:rsidP="001501D2">
      <w:pPr>
        <w:spacing w:after="0" w:line="360" w:lineRule="auto"/>
        <w:jc w:val="both"/>
        <w:rPr>
          <w:rFonts w:ascii="David" w:hAnsi="David" w:cs="David"/>
          <w:sz w:val="24"/>
          <w:szCs w:val="24"/>
          <w:rtl/>
        </w:rPr>
      </w:pPr>
      <w:r w:rsidRPr="001501D2">
        <w:rPr>
          <w:rFonts w:ascii="David" w:hAnsi="David" w:cs="David"/>
          <w:sz w:val="24"/>
          <w:szCs w:val="24"/>
          <w:rtl/>
        </w:rPr>
        <w:t>הרשת הוקמה לפני כשני עשורים על ידי מר עמית פורת על מנת לשמש כרשת לאירוח כפרי ברחבי הארץ. עם השנים הרחיבה הרשת את פעילותה ונכנסה גם לתחום המלונאות העירונית. בתקופת השיא הפעילה הרשת כ-18מלונות ברחבי הארץ.</w:t>
      </w:r>
    </w:p>
    <w:p w:rsidR="001501D2" w:rsidRPr="001501D2" w:rsidRDefault="001501D2" w:rsidP="001501D2">
      <w:pPr>
        <w:spacing w:after="0" w:line="360" w:lineRule="auto"/>
        <w:jc w:val="both"/>
        <w:rPr>
          <w:rFonts w:ascii="David" w:hAnsi="David" w:cs="David"/>
          <w:sz w:val="24"/>
          <w:szCs w:val="24"/>
          <w:rtl/>
        </w:rPr>
      </w:pPr>
    </w:p>
    <w:p w:rsidR="001501D2" w:rsidRDefault="001501D2" w:rsidP="001501D2">
      <w:pPr>
        <w:spacing w:after="0" w:line="360" w:lineRule="auto"/>
        <w:jc w:val="both"/>
        <w:rPr>
          <w:rFonts w:ascii="David" w:hAnsi="David" w:cs="David"/>
          <w:sz w:val="24"/>
          <w:szCs w:val="24"/>
          <w:rtl/>
        </w:rPr>
      </w:pPr>
      <w:r w:rsidRPr="001501D2">
        <w:rPr>
          <w:rFonts w:ascii="David" w:hAnsi="David" w:cs="David"/>
          <w:sz w:val="24"/>
          <w:szCs w:val="24"/>
          <w:rtl/>
        </w:rPr>
        <w:t xml:space="preserve">עד סמוך להגשת הבקשה למתן צו פתיחת הליכים הפעילה הרשת כ-7 מלונות בלבד וביניהם מלון רימונים מדיסון בנהריה, רימונים שני בעיר ירושלים, מלון אקוודוקט בקיבוץ רגבה, מלון אוליב בגלבוע, מלון שבטים בכפר תבור, מלון אוליב וכן מלון </w:t>
      </w:r>
      <w:proofErr w:type="spellStart"/>
      <w:r w:rsidRPr="001501D2">
        <w:rPr>
          <w:rFonts w:ascii="David" w:hAnsi="David" w:cs="David"/>
          <w:sz w:val="24"/>
          <w:szCs w:val="24"/>
          <w:rtl/>
        </w:rPr>
        <w:t>גורדונס</w:t>
      </w:r>
      <w:proofErr w:type="spellEnd"/>
      <w:r w:rsidRPr="001501D2">
        <w:rPr>
          <w:rFonts w:ascii="David" w:hAnsi="David" w:cs="David"/>
          <w:sz w:val="24"/>
          <w:szCs w:val="24"/>
          <w:rtl/>
        </w:rPr>
        <w:t xml:space="preserve"> ספא.</w:t>
      </w:r>
    </w:p>
    <w:p w:rsidR="001501D2" w:rsidRPr="001501D2" w:rsidRDefault="001501D2" w:rsidP="001501D2">
      <w:pPr>
        <w:spacing w:after="0" w:line="360" w:lineRule="auto"/>
        <w:jc w:val="both"/>
        <w:rPr>
          <w:rFonts w:ascii="David" w:hAnsi="David" w:cs="David"/>
          <w:sz w:val="24"/>
          <w:szCs w:val="24"/>
          <w:rtl/>
        </w:rPr>
      </w:pPr>
    </w:p>
    <w:p w:rsidR="001501D2" w:rsidRDefault="001501D2" w:rsidP="001501D2">
      <w:pPr>
        <w:spacing w:after="0" w:line="360" w:lineRule="auto"/>
        <w:jc w:val="both"/>
        <w:rPr>
          <w:rFonts w:ascii="David" w:hAnsi="David" w:cs="David"/>
          <w:sz w:val="24"/>
          <w:szCs w:val="24"/>
          <w:rtl/>
        </w:rPr>
      </w:pPr>
      <w:r w:rsidRPr="001501D2">
        <w:rPr>
          <w:rFonts w:ascii="David" w:hAnsi="David" w:cs="David"/>
          <w:sz w:val="24"/>
          <w:szCs w:val="24"/>
          <w:rtl/>
        </w:rPr>
        <w:t xml:space="preserve">עם מתן צו פתיחת ההליכים וכניסתם של הנאמנים לתפקידם, נדרשו הנאמנים לתת מענה מידי לפעילות בתי המלון המאכלסים בימים אלה אזרחים מפונים מיישובי הגבול וכן אנשי כוחות הביטחון. אלה זקוקים למתן שירותי אירוח, כלכלה ומזון. </w:t>
      </w:r>
    </w:p>
    <w:p w:rsidR="001501D2" w:rsidRPr="001501D2" w:rsidRDefault="001501D2" w:rsidP="001501D2">
      <w:pPr>
        <w:spacing w:after="0" w:line="360" w:lineRule="auto"/>
        <w:jc w:val="both"/>
        <w:rPr>
          <w:rFonts w:ascii="David" w:hAnsi="David" w:cs="David"/>
          <w:sz w:val="24"/>
          <w:szCs w:val="24"/>
          <w:rtl/>
        </w:rPr>
      </w:pPr>
      <w:r w:rsidRPr="001501D2">
        <w:rPr>
          <w:rFonts w:ascii="David" w:hAnsi="David" w:cs="David"/>
          <w:sz w:val="24"/>
          <w:szCs w:val="24"/>
          <w:rtl/>
        </w:rPr>
        <w:t>זה ולבקשת הנאמנים קיים בית המשפט עוד ביום 25/10/23 דיון דחוף נוסף בנוכחות הנאמן עו"ד רון חכים בו אישר בית המשפט לבקשת הנאמן נטילת מימון ראשוני בסך של 250,000 ₪ מבנק דיסקונט לישראל בע"מ, שהינו הנושה הבנקאי הגדול והמובטח של החברות, על מנת לאפשר אספקת שירותי אירוח ומזון למפונים.</w:t>
      </w:r>
    </w:p>
    <w:p w:rsidR="001501D2" w:rsidRPr="001501D2" w:rsidRDefault="001501D2" w:rsidP="001501D2">
      <w:pPr>
        <w:spacing w:after="0" w:line="360" w:lineRule="auto"/>
        <w:jc w:val="both"/>
        <w:rPr>
          <w:rFonts w:ascii="David" w:hAnsi="David" w:cs="David"/>
          <w:sz w:val="24"/>
          <w:szCs w:val="24"/>
          <w:rtl/>
        </w:rPr>
      </w:pPr>
      <w:r w:rsidRPr="001501D2">
        <w:rPr>
          <w:rFonts w:ascii="David" w:hAnsi="David" w:cs="David"/>
          <w:sz w:val="24"/>
          <w:szCs w:val="24"/>
          <w:rtl/>
        </w:rPr>
        <w:t xml:space="preserve">בהמשך, לבקשת הנאמנים נעתר בית המשפט לבקשה דחופה שהוגשה על ידי הנאמנים ביום ששי ה-27/10/23 בהסכמת הממונה על חדלות פירעון ואשר תאפשר את המשך הפעלת מלונות הרשת המאכלסים כיום בעיקר מפונים מקווי העימות ואנשי כוחות ביטחון, תוך מתן אישור להמשך </w:t>
      </w:r>
      <w:proofErr w:type="spellStart"/>
      <w:r w:rsidRPr="001501D2">
        <w:rPr>
          <w:rFonts w:ascii="David" w:hAnsi="David" w:cs="David"/>
          <w:sz w:val="24"/>
          <w:szCs w:val="24"/>
          <w:rtl/>
        </w:rPr>
        <w:t>איכלוסם</w:t>
      </w:r>
      <w:proofErr w:type="spellEnd"/>
      <w:r w:rsidRPr="001501D2">
        <w:rPr>
          <w:rFonts w:ascii="David" w:hAnsi="David" w:cs="David"/>
          <w:sz w:val="24"/>
          <w:szCs w:val="24"/>
          <w:rtl/>
        </w:rPr>
        <w:t xml:space="preserve"> של בתי המלון במפונים ואנשי כוחות הביטחון, גם אם עלולה הפעלה זו להסתמן כגרעונית בסוף הדרך. בהקשר זה נשקל בין היתר הצורך החיוני העומד על הפרק על רקע המצב </w:t>
      </w:r>
      <w:r w:rsidRPr="001501D2">
        <w:rPr>
          <w:rFonts w:ascii="David" w:hAnsi="David" w:cs="David" w:hint="cs"/>
          <w:sz w:val="24"/>
          <w:szCs w:val="24"/>
          <w:rtl/>
        </w:rPr>
        <w:t>הביטחונ</w:t>
      </w:r>
      <w:r w:rsidRPr="001501D2">
        <w:rPr>
          <w:rFonts w:ascii="David" w:hAnsi="David" w:cs="David" w:hint="eastAsia"/>
          <w:sz w:val="24"/>
          <w:szCs w:val="24"/>
          <w:rtl/>
        </w:rPr>
        <w:t>י</w:t>
      </w:r>
      <w:r w:rsidRPr="001501D2">
        <w:rPr>
          <w:rFonts w:ascii="David" w:hAnsi="David" w:cs="David"/>
          <w:sz w:val="24"/>
          <w:szCs w:val="24"/>
          <w:rtl/>
        </w:rPr>
        <w:t xml:space="preserve"> והמחייב לאפשר את אכלוסם של המפונים בבתי המלון של הרשת</w:t>
      </w:r>
      <w:r>
        <w:rPr>
          <w:rFonts w:ascii="David" w:hAnsi="David" w:cs="David" w:hint="cs"/>
          <w:sz w:val="24"/>
          <w:szCs w:val="24"/>
          <w:rtl/>
        </w:rPr>
        <w:t>.</w:t>
      </w:r>
    </w:p>
    <w:p w:rsidR="001501D2" w:rsidRPr="001501D2" w:rsidRDefault="001501D2" w:rsidP="001501D2">
      <w:pPr>
        <w:jc w:val="center"/>
        <w:rPr>
          <w:rFonts w:ascii="FrankRuehl" w:hAnsi="FrankRuehl" w:cs="FrankRuehl"/>
          <w:b/>
          <w:bCs/>
          <w:color w:val="002060"/>
          <w:sz w:val="28"/>
          <w:szCs w:val="28"/>
          <w:u w:val="single"/>
        </w:rPr>
      </w:pPr>
    </w:p>
    <w:sectPr w:rsidR="001501D2" w:rsidRPr="001501D2" w:rsidSect="007A3B8A">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1D2" w:rsidRDefault="001501D2" w:rsidP="001501D2">
      <w:pPr>
        <w:spacing w:after="0" w:line="240" w:lineRule="auto"/>
      </w:pPr>
      <w:r>
        <w:separator/>
      </w:r>
    </w:p>
  </w:endnote>
  <w:endnote w:type="continuationSeparator" w:id="0">
    <w:p w:rsidR="001501D2" w:rsidRDefault="001501D2" w:rsidP="0015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1D2" w:rsidRDefault="001501D2" w:rsidP="001501D2">
      <w:pPr>
        <w:spacing w:after="0" w:line="240" w:lineRule="auto"/>
      </w:pPr>
      <w:r>
        <w:separator/>
      </w:r>
    </w:p>
  </w:footnote>
  <w:footnote w:type="continuationSeparator" w:id="0">
    <w:p w:rsidR="001501D2" w:rsidRDefault="001501D2" w:rsidP="00150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1D2" w:rsidRDefault="001501D2" w:rsidP="001501D2">
    <w:pPr>
      <w:pStyle w:val="a3"/>
      <w:tabs>
        <w:tab w:val="clear" w:pos="8306"/>
      </w:tabs>
      <w:jc w:val="center"/>
      <w:rPr>
        <w:rtl/>
      </w:rPr>
    </w:pPr>
    <w:r>
      <w:rPr>
        <w:noProof/>
      </w:rPr>
      <w:drawing>
        <wp:inline distT="0" distB="0" distL="0" distR="0" wp14:anchorId="0B98BBEE" wp14:editId="7D6E466A">
          <wp:extent cx="516890" cy="572770"/>
          <wp:effectExtent l="0" t="0" r="0" b="0"/>
          <wp:docPr id="5" name="Picture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890" cy="572770"/>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6"/>
    </w:tblGrid>
    <w:tr w:rsidR="001501D2" w:rsidTr="001501D2">
      <w:trPr>
        <w:trHeight w:hRule="exact" w:val="418"/>
        <w:jc w:val="center"/>
      </w:trPr>
      <w:sdt>
        <w:sdtPr>
          <w:rPr>
            <w:rtl/>
          </w:rPr>
          <w:alias w:val="162"/>
          <w:tag w:val="162"/>
          <w:id w:val="1282998781"/>
          <w:text w:multiLine="1"/>
        </w:sdtPr>
        <w:sdtEndPr/>
        <w:sdtContent>
          <w:tc>
            <w:tcPr>
              <w:tcW w:w="8306" w:type="dxa"/>
            </w:tcPr>
            <w:p w:rsidR="001501D2" w:rsidRDefault="001501D2" w:rsidP="001501D2">
              <w:pPr>
                <w:pStyle w:val="a3"/>
                <w:tabs>
                  <w:tab w:val="clear" w:pos="8306"/>
                </w:tabs>
                <w:jc w:val="center"/>
                <w:rPr>
                  <w:rFonts w:ascii="Tahoma" w:hAnsi="Tahoma" w:cs="Tahoma"/>
                  <w:b/>
                  <w:bCs/>
                  <w:color w:val="000080"/>
                  <w:sz w:val="20"/>
                  <w:szCs w:val="20"/>
                  <w:rtl/>
                </w:rPr>
              </w:pPr>
              <w:r>
                <w:rPr>
                  <w:rFonts w:ascii="Tahoma" w:hAnsi="Tahoma" w:cs="Tahoma"/>
                  <w:b/>
                  <w:bCs/>
                  <w:color w:val="000080"/>
                  <w:sz w:val="20"/>
                  <w:szCs w:val="20"/>
                  <w:rtl/>
                </w:rPr>
                <w:t>בית המשפט המחוזי בחיפה</w:t>
              </w:r>
            </w:p>
          </w:tc>
        </w:sdtContent>
      </w:sdt>
    </w:tr>
  </w:tbl>
  <w:p w:rsidR="001501D2" w:rsidRDefault="001501D2" w:rsidP="001501D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1D2"/>
    <w:rsid w:val="000A42FD"/>
    <w:rsid w:val="001501D2"/>
    <w:rsid w:val="00554F57"/>
    <w:rsid w:val="007A3B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1739F-B185-49B8-98CF-A9BD82071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01D2"/>
    <w:pPr>
      <w:tabs>
        <w:tab w:val="center" w:pos="4153"/>
        <w:tab w:val="right" w:pos="8306"/>
      </w:tabs>
      <w:spacing w:after="0" w:line="240" w:lineRule="auto"/>
    </w:pPr>
  </w:style>
  <w:style w:type="character" w:customStyle="1" w:styleId="a4">
    <w:name w:val="כותרת עליונה תו"/>
    <w:basedOn w:val="a0"/>
    <w:link w:val="a3"/>
    <w:uiPriority w:val="99"/>
    <w:rsid w:val="001501D2"/>
  </w:style>
  <w:style w:type="paragraph" w:styleId="a5">
    <w:name w:val="footer"/>
    <w:basedOn w:val="a"/>
    <w:link w:val="a6"/>
    <w:uiPriority w:val="99"/>
    <w:unhideWhenUsed/>
    <w:rsid w:val="001501D2"/>
    <w:pPr>
      <w:tabs>
        <w:tab w:val="center" w:pos="4153"/>
        <w:tab w:val="right" w:pos="8306"/>
      </w:tabs>
      <w:spacing w:after="0" w:line="240" w:lineRule="auto"/>
    </w:pPr>
  </w:style>
  <w:style w:type="character" w:customStyle="1" w:styleId="a6">
    <w:name w:val="כותרת תחתונה תו"/>
    <w:basedOn w:val="a0"/>
    <w:link w:val="a5"/>
    <w:uiPriority w:val="99"/>
    <w:rsid w:val="00150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11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1663</Characters>
  <Application>Microsoft Office Word</Application>
  <DocSecurity>4</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רותם כהן</dc:creator>
  <cp:keywords/>
  <dc:description/>
  <cp:lastModifiedBy>גרמאו מנגיסטו</cp:lastModifiedBy>
  <cp:revision>2</cp:revision>
  <dcterms:created xsi:type="dcterms:W3CDTF">2023-11-01T13:07:00Z</dcterms:created>
  <dcterms:modified xsi:type="dcterms:W3CDTF">2023-11-01T13:07:00Z</dcterms:modified>
</cp:coreProperties>
</file>