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5"/>
        <w:bidiVisual/>
        <w:tblW w:w="8802" w:type="dxa"/>
        <w:tblInd w:w="-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8"/>
        <w:gridCol w:w="2852"/>
        <w:gridCol w:w="5866"/>
        <w:gridCol w:w="56"/>
      </w:tblGrid>
      <w:tr w:rsidR="007C78FD" w:rsidTr="007C78FD">
        <w:trPr>
          <w:gridBefore w:val="1"/>
          <w:gridAfter w:val="1"/>
          <w:wBefore w:w="28" w:type="dxa"/>
          <w:wAfter w:w="56" w:type="dxa"/>
        </w:trPr>
        <w:tc>
          <w:tcPr>
            <w:tcW w:w="8718" w:type="dxa"/>
            <w:gridSpan w:val="2"/>
            <w:hideMark/>
          </w:tcPr>
          <w:p w:rsidR="007C78FD" w:rsidRDefault="007C78FD" w:rsidP="007C78FD">
            <w:pPr>
              <w:spacing w:line="360" w:lineRule="auto"/>
              <w:rPr>
                <w:rFonts w:ascii="Times New Roman" w:hAnsi="Times New Roman"/>
                <w:b/>
                <w:bCs/>
                <w:sz w:val="26"/>
                <w:szCs w:val="26"/>
                <w:rtl/>
              </w:rPr>
            </w:pPr>
            <w:bookmarkStart w:id="0" w:name="_GoBack"/>
            <w:bookmarkEnd w:id="0"/>
            <w:r>
              <w:rPr>
                <w:rFonts w:hint="cs"/>
                <w:b/>
                <w:bCs/>
                <w:sz w:val="26"/>
                <w:szCs w:val="26"/>
                <w:rtl/>
              </w:rPr>
              <w:t>בפני:  כבוד ה</w:t>
            </w:r>
            <w:sdt>
              <w:sdtPr>
                <w:rPr>
                  <w:rtl/>
                </w:rPr>
                <w:alias w:val="165"/>
                <w:tag w:val="165"/>
                <w:id w:val="319463490"/>
                <w:text w:multiLine="1"/>
              </w:sdtPr>
              <w:sdtEndPr/>
              <w:sdtContent>
                <w:r>
                  <w:rPr>
                    <w:b/>
                    <w:bCs/>
                    <w:sz w:val="26"/>
                    <w:szCs w:val="26"/>
                    <w:rtl/>
                  </w:rPr>
                  <w:t>שופט דניאל בן טולילה – אב"ד</w:t>
                </w:r>
                <w:r>
                  <w:rPr>
                    <w:b/>
                    <w:bCs/>
                    <w:sz w:val="26"/>
                    <w:szCs w:val="26"/>
                    <w:rtl/>
                  </w:rPr>
                  <w:br/>
                  <w:t xml:space="preserve">        </w:t>
                </w:r>
                <w:r>
                  <w:rPr>
                    <w:rFonts w:hint="cs"/>
                    <w:b/>
                    <w:bCs/>
                    <w:sz w:val="26"/>
                    <w:szCs w:val="26"/>
                    <w:rtl/>
                  </w:rPr>
                  <w:t xml:space="preserve">   </w:t>
                </w:r>
                <w:r>
                  <w:rPr>
                    <w:b/>
                    <w:bCs/>
                    <w:sz w:val="26"/>
                    <w:szCs w:val="26"/>
                    <w:rtl/>
                  </w:rPr>
                  <w:t xml:space="preserve">כבוד השופטת טל לחיאני שהם </w:t>
                </w:r>
                <w:r>
                  <w:rPr>
                    <w:b/>
                    <w:bCs/>
                    <w:sz w:val="26"/>
                    <w:szCs w:val="26"/>
                    <w:rtl/>
                  </w:rPr>
                  <w:br/>
                  <w:t xml:space="preserve">        </w:t>
                </w:r>
                <w:r>
                  <w:rPr>
                    <w:rFonts w:hint="cs"/>
                    <w:b/>
                    <w:bCs/>
                    <w:sz w:val="26"/>
                    <w:szCs w:val="26"/>
                    <w:rtl/>
                  </w:rPr>
                  <w:t xml:space="preserve">   </w:t>
                </w:r>
                <w:r>
                  <w:rPr>
                    <w:b/>
                    <w:bCs/>
                    <w:sz w:val="26"/>
                    <w:szCs w:val="26"/>
                    <w:rtl/>
                  </w:rPr>
                  <w:t>כבוד השופט יואב עטר</w:t>
                </w:r>
              </w:sdtContent>
            </w:sdt>
            <w:r>
              <w:rPr>
                <w:rStyle w:val="TimesNewRomanTimesNewRoman"/>
                <w:rtl/>
              </w:rPr>
              <w:t xml:space="preserve"> </w:t>
            </w:r>
          </w:p>
        </w:tc>
      </w:tr>
      <w:tr w:rsidR="007C78FD" w:rsidTr="007C78FD">
        <w:trPr>
          <w:cantSplit/>
          <w:trHeight w:val="724"/>
        </w:trPr>
        <w:tc>
          <w:tcPr>
            <w:tcW w:w="2880" w:type="dxa"/>
            <w:gridSpan w:val="2"/>
          </w:tcPr>
          <w:p w:rsidR="007C78FD" w:rsidRDefault="007C78FD">
            <w:pPr>
              <w:ind w:left="26"/>
              <w:rPr>
                <w:rFonts w:ascii="Times New Roman" w:hAnsi="Times New Roman"/>
                <w:b/>
                <w:bCs/>
                <w:sz w:val="26"/>
                <w:szCs w:val="26"/>
                <w:rtl/>
              </w:rPr>
            </w:pPr>
          </w:p>
          <w:p w:rsidR="007C78FD" w:rsidRDefault="007C78FD">
            <w:pPr>
              <w:ind w:left="26"/>
              <w:rPr>
                <w:b/>
                <w:bCs/>
                <w:sz w:val="26"/>
                <w:szCs w:val="26"/>
                <w:rtl/>
              </w:rPr>
            </w:pPr>
            <w:r>
              <w:rPr>
                <w:rFonts w:hint="cs"/>
                <w:b/>
                <w:bCs/>
                <w:sz w:val="26"/>
                <w:szCs w:val="26"/>
                <w:rtl/>
              </w:rPr>
              <w:t>ה</w:t>
            </w:r>
            <w:sdt>
              <w:sdtPr>
                <w:rPr>
                  <w:b/>
                  <w:bCs/>
                  <w:sz w:val="26"/>
                  <w:szCs w:val="26"/>
                  <w:rtl/>
                </w:rPr>
                <w:alias w:val="1264"/>
                <w:tag w:val="1264"/>
                <w:id w:val="-678505577"/>
                <w:placeholder>
                  <w:docPart w:val="547083FA95984873A5D85E58CEB98D61"/>
                </w:placeholder>
                <w:text w:multiLine="1"/>
              </w:sdtPr>
              <w:sdtEndPr/>
              <w:sdtContent>
                <w:r>
                  <w:rPr>
                    <w:b/>
                    <w:bCs/>
                    <w:sz w:val="26"/>
                    <w:szCs w:val="26"/>
                    <w:rtl/>
                  </w:rPr>
                  <w:t>מאשימה</w:t>
                </w:r>
              </w:sdtContent>
            </w:sdt>
          </w:p>
        </w:tc>
        <w:tc>
          <w:tcPr>
            <w:tcW w:w="5922" w:type="dxa"/>
            <w:gridSpan w:val="2"/>
          </w:tcPr>
          <w:p w:rsidR="007C78FD" w:rsidRDefault="007C78FD">
            <w:pPr>
              <w:rPr>
                <w:rFonts w:cs="Times New Roman"/>
                <w:rtl/>
              </w:rPr>
            </w:pPr>
          </w:p>
          <w:p w:rsidR="007C78FD" w:rsidRDefault="007C78FD">
            <w:pPr>
              <w:rPr>
                <w:b/>
                <w:bCs/>
                <w:sz w:val="26"/>
                <w:szCs w:val="26"/>
                <w:rtl/>
              </w:rPr>
            </w:pPr>
            <w:r>
              <w:rPr>
                <w:rtl/>
              </w:rPr>
              <w:t xml:space="preserve"> </w:t>
            </w:r>
            <w:sdt>
              <w:sdtPr>
                <w:rPr>
                  <w:rtl/>
                </w:rPr>
                <w:alias w:val="825"/>
                <w:tag w:val="825"/>
                <w:id w:val="-2140873446"/>
                <w:text w:multiLine="1"/>
              </w:sdtPr>
              <w:sdtEndPr/>
              <w:sdtContent>
                <w:r>
                  <w:rPr>
                    <w:b/>
                    <w:bCs/>
                    <w:sz w:val="26"/>
                    <w:szCs w:val="26"/>
                    <w:rtl/>
                  </w:rPr>
                  <w:t>מדינת ישראל</w:t>
                </w:r>
              </w:sdtContent>
            </w:sdt>
            <w:r>
              <w:rPr>
                <w:rFonts w:ascii="Times New Roman" w:hAnsi="Times New Roman" w:hint="cs"/>
                <w:b/>
                <w:bCs/>
                <w:sz w:val="26"/>
                <w:szCs w:val="26"/>
                <w:rtl/>
              </w:rPr>
              <w:t xml:space="preserve">  </w:t>
            </w:r>
            <w:sdt>
              <w:sdtPr>
                <w:rPr>
                  <w:rFonts w:ascii="David" w:hAnsi="David"/>
                  <w:rtl/>
                </w:rPr>
                <w:alias w:val="2688"/>
                <w:tag w:val="2688"/>
                <w:id w:val="-1957249425"/>
                <w:placeholder>
                  <w:docPart w:val="103992DE65A8434EB35686ECF0E43572"/>
                </w:placeholder>
                <w:text w:multiLine="1"/>
              </w:sdtPr>
              <w:sdtEndPr/>
              <w:sdtContent>
                <w:r w:rsidRPr="007C78FD">
                  <w:rPr>
                    <w:rFonts w:ascii="David" w:hAnsi="David"/>
                    <w:rtl/>
                  </w:rPr>
                  <w:br/>
                  <w:t>ע"י ב"כ עוה"ד</w:t>
                </w:r>
                <w:r w:rsidRPr="007C78FD">
                  <w:rPr>
                    <w:rFonts w:ascii="David" w:hAnsi="David" w:hint="cs"/>
                    <w:rtl/>
                  </w:rPr>
                  <w:t xml:space="preserve"> טל אדיר כהן</w:t>
                </w:r>
              </w:sdtContent>
            </w:sdt>
          </w:p>
        </w:tc>
      </w:tr>
      <w:tr w:rsidR="007C78FD" w:rsidTr="007C78FD">
        <w:tc>
          <w:tcPr>
            <w:tcW w:w="8802" w:type="dxa"/>
            <w:gridSpan w:val="4"/>
            <w:vAlign w:val="center"/>
          </w:tcPr>
          <w:p w:rsidR="007C78FD" w:rsidRDefault="007C78FD">
            <w:pPr>
              <w:jc w:val="center"/>
              <w:rPr>
                <w:rFonts w:ascii="Arial" w:hAnsi="Arial"/>
                <w:b/>
                <w:bCs/>
                <w:sz w:val="26"/>
                <w:szCs w:val="26"/>
                <w:rtl/>
              </w:rPr>
            </w:pPr>
          </w:p>
          <w:p w:rsidR="007C78FD" w:rsidRDefault="007C78FD">
            <w:pPr>
              <w:jc w:val="center"/>
              <w:rPr>
                <w:rFonts w:ascii="Arial" w:hAnsi="Arial"/>
                <w:b/>
                <w:bCs/>
                <w:sz w:val="26"/>
                <w:szCs w:val="26"/>
                <w:rtl/>
              </w:rPr>
            </w:pPr>
            <w:r>
              <w:rPr>
                <w:rFonts w:ascii="Arial" w:hAnsi="Arial" w:hint="cs"/>
                <w:b/>
                <w:bCs/>
                <w:sz w:val="26"/>
                <w:szCs w:val="26"/>
                <w:rtl/>
              </w:rPr>
              <w:t>נגד</w:t>
            </w:r>
          </w:p>
          <w:p w:rsidR="007C78FD" w:rsidRDefault="007C78FD">
            <w:pPr>
              <w:rPr>
                <w:rFonts w:ascii="Arial" w:hAnsi="Arial"/>
                <w:b/>
                <w:bCs/>
                <w:sz w:val="26"/>
                <w:szCs w:val="26"/>
                <w:rtl/>
              </w:rPr>
            </w:pPr>
          </w:p>
        </w:tc>
      </w:tr>
      <w:tr w:rsidR="007C78FD" w:rsidTr="007C78FD">
        <w:tc>
          <w:tcPr>
            <w:tcW w:w="2880" w:type="dxa"/>
            <w:gridSpan w:val="2"/>
            <w:hideMark/>
          </w:tcPr>
          <w:p w:rsidR="007C78FD" w:rsidRDefault="007C78FD">
            <w:pPr>
              <w:ind w:left="26"/>
              <w:rPr>
                <w:rFonts w:ascii="Times New Roman" w:hAnsi="Times New Roman"/>
                <w:b/>
                <w:bCs/>
                <w:sz w:val="26"/>
                <w:szCs w:val="26"/>
              </w:rPr>
            </w:pPr>
            <w:r>
              <w:rPr>
                <w:rFonts w:hint="cs"/>
                <w:b/>
                <w:bCs/>
                <w:sz w:val="26"/>
                <w:szCs w:val="26"/>
                <w:rtl/>
              </w:rPr>
              <w:t>ה</w:t>
            </w:r>
            <w:sdt>
              <w:sdtPr>
                <w:rPr>
                  <w:b/>
                  <w:bCs/>
                  <w:sz w:val="26"/>
                  <w:szCs w:val="26"/>
                  <w:rtl/>
                </w:rPr>
                <w:alias w:val="1265"/>
                <w:tag w:val="1265"/>
                <w:id w:val="-275248279"/>
                <w:placeholder>
                  <w:docPart w:val="1AC23BB223994E6AA5E6B485E9F4FCF1"/>
                </w:placeholder>
                <w:text w:multiLine="1"/>
              </w:sdtPr>
              <w:sdtEndPr/>
              <w:sdtContent>
                <w:r>
                  <w:rPr>
                    <w:b/>
                    <w:bCs/>
                    <w:sz w:val="26"/>
                    <w:szCs w:val="26"/>
                    <w:rtl/>
                  </w:rPr>
                  <w:t>נאשם</w:t>
                </w:r>
              </w:sdtContent>
            </w:sdt>
          </w:p>
        </w:tc>
        <w:tc>
          <w:tcPr>
            <w:tcW w:w="5922" w:type="dxa"/>
            <w:gridSpan w:val="2"/>
          </w:tcPr>
          <w:p w:rsidR="007C78FD" w:rsidRDefault="007C78FD" w:rsidP="007C78FD">
            <w:pPr>
              <w:rPr>
                <w:rFonts w:ascii="Times New Roman" w:hAnsi="Times New Roman"/>
                <w:b/>
                <w:bCs/>
                <w:sz w:val="26"/>
                <w:szCs w:val="26"/>
                <w:rtl/>
              </w:rPr>
            </w:pPr>
            <w:r>
              <w:rPr>
                <w:rtl/>
              </w:rPr>
              <w:t xml:space="preserve"> </w:t>
            </w:r>
            <w:sdt>
              <w:sdtPr>
                <w:rPr>
                  <w:rtl/>
                </w:rPr>
                <w:alias w:val="1266"/>
                <w:tag w:val="1266"/>
                <w:id w:val="-1527786861"/>
                <w:text w:multiLine="1"/>
              </w:sdtPr>
              <w:sdtEndPr/>
              <w:sdtContent>
                <w:r>
                  <w:rPr>
                    <w:b/>
                    <w:bCs/>
                    <w:sz w:val="26"/>
                    <w:szCs w:val="26"/>
                    <w:rtl/>
                  </w:rPr>
                  <w:t>מחמד מסעד (עציר)</w:t>
                </w:r>
              </w:sdtContent>
            </w:sdt>
            <w:r>
              <w:rPr>
                <w:rFonts w:ascii="Times New Roman" w:hAnsi="Times New Roman" w:cs="Times New Roman"/>
                <w:rtl/>
              </w:rPr>
              <w:t xml:space="preserve"> </w:t>
            </w:r>
          </w:p>
          <w:p w:rsidR="007C78FD" w:rsidRPr="00123C93" w:rsidRDefault="007C78FD" w:rsidP="007C78FD">
            <w:pPr>
              <w:rPr>
                <w:rtl/>
              </w:rPr>
            </w:pPr>
            <w:r w:rsidRPr="00123C93">
              <w:rPr>
                <w:rFonts w:hint="cs"/>
                <w:rtl/>
              </w:rPr>
              <w:t>ע"</w:t>
            </w:r>
            <w:r w:rsidR="00123C93" w:rsidRPr="00123C93">
              <w:rPr>
                <w:rFonts w:hint="cs"/>
                <w:rtl/>
              </w:rPr>
              <w:t xml:space="preserve"> ב"כ עוה"ד ימימה אברמוביץ'</w:t>
            </w:r>
          </w:p>
        </w:tc>
      </w:tr>
    </w:tbl>
    <w:p w:rsidR="00870F64" w:rsidRDefault="00870F64">
      <w:pPr>
        <w:rPr>
          <w:rFonts w:ascii="Arial" w:hAnsi="Arial"/>
          <w:b/>
          <w:bCs/>
          <w:u w:val="single"/>
          <w:rtl/>
        </w:rPr>
      </w:pPr>
    </w:p>
    <w:p w:rsidR="00123C93" w:rsidRDefault="00123C93">
      <w:pPr>
        <w:rPr>
          <w:rtl/>
        </w:rPr>
      </w:pPr>
    </w:p>
    <w:tbl>
      <w:tblPr>
        <w:tblStyle w:val="a5"/>
        <w:bidiVisual/>
        <w:tblW w:w="8820" w:type="dxa"/>
        <w:jc w:val="center"/>
        <w:tblLook w:val="01E0" w:firstRow="1" w:lastRow="1" w:firstColumn="1" w:lastColumn="1" w:noHBand="0" w:noVBand="0"/>
      </w:tblPr>
      <w:tblGrid>
        <w:gridCol w:w="8820"/>
      </w:tblGrid>
      <w:tr w:rsidR="00870F64">
        <w:trPr>
          <w:trHeight w:val="355"/>
          <w:jc w:val="center"/>
        </w:trPr>
        <w:tc>
          <w:tcPr>
            <w:tcW w:w="8820" w:type="dxa"/>
            <w:tcBorders>
              <w:top w:val="nil"/>
              <w:left w:val="nil"/>
              <w:bottom w:val="nil"/>
              <w:right w:val="nil"/>
            </w:tcBorders>
          </w:tcPr>
          <w:p w:rsidR="00870F64" w:rsidRPr="00B949CB" w:rsidRDefault="0051562C">
            <w:pPr>
              <w:jc w:val="center"/>
              <w:rPr>
                <w:rFonts w:ascii="Arial" w:hAnsi="Arial"/>
                <w:sz w:val="28"/>
                <w:szCs w:val="28"/>
                <w:u w:val="single"/>
                <w:rtl/>
              </w:rPr>
            </w:pPr>
            <w:r w:rsidRPr="00B949CB">
              <w:rPr>
                <w:rFonts w:ascii="Arial" w:hAnsi="Arial"/>
                <w:b/>
                <w:bCs/>
                <w:sz w:val="28"/>
                <w:szCs w:val="28"/>
                <w:u w:val="single"/>
                <w:rtl/>
              </w:rPr>
              <w:t>הכרעת דין</w:t>
            </w:r>
          </w:p>
        </w:tc>
      </w:tr>
    </w:tbl>
    <w:p w:rsidR="00870F64" w:rsidRPr="00587C90" w:rsidRDefault="00870F64">
      <w:pPr>
        <w:rPr>
          <w:rFonts w:ascii="David" w:hAnsi="David"/>
          <w:sz w:val="26"/>
          <w:szCs w:val="26"/>
          <w:rtl/>
        </w:rPr>
      </w:pPr>
    </w:p>
    <w:p w:rsidR="00123C93" w:rsidRDefault="00123C93" w:rsidP="00123C93">
      <w:pPr>
        <w:spacing w:before="120" w:after="120" w:line="360" w:lineRule="auto"/>
        <w:jc w:val="both"/>
        <w:rPr>
          <w:rFonts w:ascii="David" w:hAnsi="David"/>
          <w:b/>
          <w:bCs/>
          <w:u w:val="single"/>
        </w:rPr>
      </w:pPr>
      <w:r>
        <w:rPr>
          <w:rFonts w:ascii="David" w:hAnsi="David"/>
          <w:b/>
          <w:bCs/>
          <w:u w:val="single"/>
          <w:rtl/>
        </w:rPr>
        <w:t>כב' הש' דניאל בן טולילה</w:t>
      </w:r>
      <w:r>
        <w:rPr>
          <w:rFonts w:ascii="David" w:hAnsi="David"/>
          <w:b/>
          <w:bCs/>
          <w:rtl/>
        </w:rPr>
        <w:t>:</w:t>
      </w:r>
    </w:p>
    <w:p w:rsidR="00987F99" w:rsidRPr="00987F99" w:rsidRDefault="00987F99" w:rsidP="00987F99">
      <w:pPr>
        <w:spacing w:after="160" w:line="360" w:lineRule="auto"/>
        <w:jc w:val="both"/>
        <w:rPr>
          <w:rFonts w:ascii="David" w:eastAsia="Calibri" w:hAnsi="David"/>
          <w:b/>
          <w:bCs/>
          <w:u w:val="single"/>
          <w:rtl/>
        </w:rPr>
      </w:pPr>
      <w:r w:rsidRPr="00987F99">
        <w:rPr>
          <w:rFonts w:ascii="David" w:eastAsia="Calibri" w:hAnsi="David"/>
          <w:b/>
          <w:bCs/>
          <w:u w:val="single"/>
          <w:rtl/>
        </w:rPr>
        <w:t>מבוא:</w:t>
      </w:r>
    </w:p>
    <w:p w:rsidR="00987F99" w:rsidRPr="00987F99" w:rsidRDefault="00987F99" w:rsidP="008E5FF0">
      <w:pPr>
        <w:spacing w:after="160" w:line="360" w:lineRule="auto"/>
        <w:jc w:val="both"/>
        <w:rPr>
          <w:rFonts w:ascii="David" w:eastAsia="Calibri" w:hAnsi="David"/>
          <w:rtl/>
        </w:rPr>
      </w:pPr>
      <w:r w:rsidRPr="00987F99">
        <w:rPr>
          <w:rFonts w:ascii="David" w:eastAsia="Calibri" w:hAnsi="David"/>
          <w:rtl/>
        </w:rPr>
        <w:t>ביום 6.</w:t>
      </w:r>
      <w:r w:rsidR="008E5FF0">
        <w:rPr>
          <w:rFonts w:ascii="David" w:eastAsia="Calibri" w:hAnsi="David" w:hint="cs"/>
          <w:rtl/>
        </w:rPr>
        <w:t>1</w:t>
      </w:r>
      <w:r w:rsidRPr="00987F99">
        <w:rPr>
          <w:rFonts w:ascii="David" w:eastAsia="Calibri" w:hAnsi="David"/>
          <w:rtl/>
        </w:rPr>
        <w:t>.15</w:t>
      </w:r>
      <w:r w:rsidR="00CC6733">
        <w:rPr>
          <w:rFonts w:ascii="David" w:eastAsia="Calibri" w:hAnsi="David" w:hint="cs"/>
          <w:rtl/>
        </w:rPr>
        <w:t>,</w:t>
      </w:r>
      <w:r w:rsidRPr="00987F99">
        <w:rPr>
          <w:rFonts w:ascii="David" w:eastAsia="Calibri" w:hAnsi="David"/>
          <w:rtl/>
        </w:rPr>
        <w:t xml:space="preserve"> במשרדי המועצה ערערה בנגב, ירה הנאשם מאקדחו ירייה אחת לעבר ראשו של מנהל מחלקת הגביה של המועצה, ת</w:t>
      </w:r>
      <w:r w:rsidR="00CC6733">
        <w:rPr>
          <w:rFonts w:ascii="David" w:eastAsia="Calibri" w:hAnsi="David" w:hint="cs"/>
          <w:rtl/>
        </w:rPr>
        <w:t>.מ</w:t>
      </w:r>
      <w:r w:rsidRPr="00987F99">
        <w:rPr>
          <w:rFonts w:ascii="David" w:eastAsia="Calibri" w:hAnsi="David"/>
          <w:rtl/>
        </w:rPr>
        <w:t xml:space="preserve"> ז"ל (להלן: "</w:t>
      </w:r>
      <w:r w:rsidR="00CC6733">
        <w:rPr>
          <w:rFonts w:ascii="David" w:eastAsia="Calibri" w:hAnsi="David"/>
          <w:b/>
          <w:bCs/>
          <w:rtl/>
        </w:rPr>
        <w:t>ת</w:t>
      </w:r>
      <w:r w:rsidR="00CC6733">
        <w:rPr>
          <w:rFonts w:ascii="David" w:eastAsia="Calibri" w:hAnsi="David" w:hint="cs"/>
          <w:b/>
          <w:bCs/>
          <w:rtl/>
        </w:rPr>
        <w:t>.מ</w:t>
      </w:r>
      <w:r w:rsidRPr="00987F99">
        <w:rPr>
          <w:rFonts w:ascii="David" w:eastAsia="Calibri" w:hAnsi="David"/>
          <w:rtl/>
        </w:rPr>
        <w:t>" או "</w:t>
      </w:r>
      <w:r w:rsidRPr="00987F99">
        <w:rPr>
          <w:rFonts w:ascii="David" w:eastAsia="Calibri" w:hAnsi="David"/>
          <w:b/>
          <w:bCs/>
          <w:rtl/>
        </w:rPr>
        <w:t>המנוח</w:t>
      </w:r>
      <w:r w:rsidRPr="00987F99">
        <w:rPr>
          <w:rFonts w:ascii="David" w:eastAsia="Calibri" w:hAnsi="David"/>
          <w:rtl/>
        </w:rPr>
        <w:t xml:space="preserve">") ופצע אותו קשות. </w:t>
      </w:r>
      <w:r w:rsidR="00CC6733">
        <w:rPr>
          <w:rFonts w:ascii="David" w:eastAsia="Calibri" w:hAnsi="David"/>
          <w:rtl/>
        </w:rPr>
        <w:t>ת.מ</w:t>
      </w:r>
      <w:r w:rsidRPr="00987F99">
        <w:rPr>
          <w:rFonts w:ascii="David" w:eastAsia="Calibri" w:hAnsi="David"/>
          <w:rtl/>
        </w:rPr>
        <w:t xml:space="preserve"> שרד את הירי בראשו ואולם נותר במצב סיעודי. בחלוף חמש שנים, ביום 20.</w:t>
      </w:r>
      <w:r>
        <w:rPr>
          <w:rFonts w:ascii="David" w:eastAsia="Calibri" w:hAnsi="David" w:hint="cs"/>
          <w:rtl/>
        </w:rPr>
        <w:t>2</w:t>
      </w:r>
      <w:r w:rsidRPr="00987F99">
        <w:rPr>
          <w:rFonts w:ascii="David" w:eastAsia="Calibri" w:hAnsi="David"/>
          <w:rtl/>
        </w:rPr>
        <w:t xml:space="preserve">.20, בעקבות דלקת ריאות שהביאה לקריסת ריאותיו, </w:t>
      </w:r>
      <w:r w:rsidR="00CC6733">
        <w:rPr>
          <w:rFonts w:ascii="David" w:eastAsia="Calibri" w:hAnsi="David"/>
          <w:rtl/>
        </w:rPr>
        <w:t>ת.מ</w:t>
      </w:r>
      <w:r w:rsidRPr="00987F99">
        <w:rPr>
          <w:rFonts w:ascii="David" w:eastAsia="Calibri" w:hAnsi="David"/>
          <w:rtl/>
        </w:rPr>
        <w:t xml:space="preserve"> נפטר. </w:t>
      </w:r>
    </w:p>
    <w:p w:rsidR="00987F99" w:rsidRPr="00987F99" w:rsidRDefault="00987F99" w:rsidP="00987F99">
      <w:pPr>
        <w:spacing w:after="160" w:line="360" w:lineRule="auto"/>
        <w:jc w:val="both"/>
        <w:rPr>
          <w:rFonts w:ascii="David" w:eastAsia="Calibri" w:hAnsi="David"/>
          <w:rtl/>
        </w:rPr>
      </w:pPr>
      <w:r w:rsidRPr="00987F99">
        <w:rPr>
          <w:rFonts w:ascii="David" w:eastAsia="Calibri" w:hAnsi="David"/>
          <w:rtl/>
        </w:rPr>
        <w:t xml:space="preserve">לטענת המאשימה, מותו של </w:t>
      </w:r>
      <w:r w:rsidR="00CC6733">
        <w:rPr>
          <w:rFonts w:ascii="David" w:eastAsia="Calibri" w:hAnsi="David"/>
          <w:rtl/>
        </w:rPr>
        <w:t>ת.מ</w:t>
      </w:r>
      <w:r w:rsidRPr="00987F99">
        <w:rPr>
          <w:rFonts w:ascii="David" w:eastAsia="Calibri" w:hAnsi="David"/>
          <w:rtl/>
        </w:rPr>
        <w:t xml:space="preserve"> בשנת 2020 נגרם כתוצאה מהירייה בראשו בשנת 2015. לטענת ההגנה, הגם שאין חולק שהנאשם ירה בראשו של </w:t>
      </w:r>
      <w:r w:rsidR="00CC6733">
        <w:rPr>
          <w:rFonts w:ascii="David" w:eastAsia="Calibri" w:hAnsi="David"/>
          <w:rtl/>
        </w:rPr>
        <w:t>ת.מ</w:t>
      </w:r>
      <w:r w:rsidRPr="00987F99">
        <w:rPr>
          <w:rFonts w:ascii="David" w:eastAsia="Calibri" w:hAnsi="David"/>
          <w:rtl/>
        </w:rPr>
        <w:t xml:space="preserve">, אין קשר סיבתי עובדתי או משפטי בין הירי לבין המוות. זו היא השאלה העיקרית לה אנו נדרשים במסגרת הכרעת דין זו. </w:t>
      </w:r>
    </w:p>
    <w:p w:rsidR="00987F99" w:rsidRPr="00987F99" w:rsidRDefault="00987F99" w:rsidP="00987F99">
      <w:pPr>
        <w:spacing w:after="160" w:line="360" w:lineRule="auto"/>
        <w:jc w:val="both"/>
        <w:rPr>
          <w:rFonts w:ascii="David" w:eastAsia="Calibri" w:hAnsi="David"/>
          <w:b/>
          <w:bCs/>
          <w:u w:val="single"/>
          <w:rtl/>
        </w:rPr>
      </w:pPr>
      <w:r w:rsidRPr="00987F99">
        <w:rPr>
          <w:rFonts w:ascii="David" w:eastAsia="Calibri" w:hAnsi="David"/>
          <w:b/>
          <w:bCs/>
          <w:u w:val="single"/>
          <w:rtl/>
        </w:rPr>
        <w:t>השתלשלות ההליכים המשפטיים בתיק:</w:t>
      </w:r>
    </w:p>
    <w:p w:rsidR="00987F99" w:rsidRPr="00987F99" w:rsidRDefault="00987F99" w:rsidP="00987F99">
      <w:pPr>
        <w:spacing w:after="160" w:line="360" w:lineRule="auto"/>
        <w:jc w:val="both"/>
        <w:rPr>
          <w:rFonts w:ascii="David" w:eastAsia="Calibri" w:hAnsi="David"/>
          <w:rtl/>
        </w:rPr>
      </w:pPr>
      <w:r w:rsidRPr="00987F99">
        <w:rPr>
          <w:rFonts w:ascii="David" w:eastAsia="Calibri" w:hAnsi="David"/>
          <w:rtl/>
        </w:rPr>
        <w:t xml:space="preserve">ביום 25.01.15 הוגש נגד הנאשם כתב אישום במסגרת תפ"ח 51088-01-15 (מחוזי באר-שבע) המייחס לו עבירה של ניסיון רצח, בהתאם להוראת </w:t>
      </w:r>
      <w:r w:rsidRPr="00987F99">
        <w:rPr>
          <w:rFonts w:ascii="David" w:eastAsia="Calibri" w:hAnsi="David"/>
          <w:b/>
          <w:bCs/>
          <w:rtl/>
        </w:rPr>
        <w:t>סעיף 305(1) לחוק העונשין, התשל"ז-1977</w:t>
      </w:r>
      <w:r w:rsidRPr="00987F99">
        <w:rPr>
          <w:rFonts w:ascii="David" w:eastAsia="Calibri" w:hAnsi="David"/>
          <w:rtl/>
        </w:rPr>
        <w:t xml:space="preserve"> (להלן: "</w:t>
      </w:r>
      <w:r w:rsidRPr="00987F99">
        <w:rPr>
          <w:rFonts w:ascii="David" w:eastAsia="Calibri" w:hAnsi="David"/>
          <w:b/>
          <w:bCs/>
          <w:rtl/>
        </w:rPr>
        <w:t>החוק</w:t>
      </w:r>
      <w:r w:rsidRPr="00987F99">
        <w:rPr>
          <w:rFonts w:ascii="David" w:eastAsia="Calibri" w:hAnsi="David"/>
          <w:rtl/>
        </w:rPr>
        <w:t xml:space="preserve">"). לאחר שנוהלו הוכחות, נשמעו עדי התביעה וההגנה, ניתנה ביום 29.01.17 הכרעת הדין במסגרתה הורשע הנאשם בעבירה שיוחסה לו. ביום 6.04.17 גזר בית המשפט על הנאשם 18 שנות מאסר לריצוי בפועל, מאסר מותנה ופיצוי למשפחת המנוח בסך 258,000 ₪. </w:t>
      </w:r>
    </w:p>
    <w:p w:rsidR="00987F99" w:rsidRPr="00987F99" w:rsidRDefault="00987F99" w:rsidP="00987F99">
      <w:pPr>
        <w:spacing w:after="160" w:line="360" w:lineRule="auto"/>
        <w:jc w:val="both"/>
        <w:rPr>
          <w:rFonts w:ascii="David" w:eastAsia="Calibri" w:hAnsi="David"/>
          <w:rtl/>
        </w:rPr>
      </w:pPr>
      <w:r w:rsidRPr="00987F99">
        <w:rPr>
          <w:rFonts w:ascii="David" w:eastAsia="Calibri" w:hAnsi="David"/>
          <w:rtl/>
        </w:rPr>
        <w:t xml:space="preserve">הנאשם לא השלים עם תוצאה זו והגיש ערעור על הכרעת הדין ועל גזר הדין לבית המשפט העליון. לאחר שנערך דיון בערעור, ולאור המלצת בית המשפט העליון, הודיע הנאשם באמצעות בא כוחו כי </w:t>
      </w:r>
      <w:r w:rsidRPr="00987F99">
        <w:rPr>
          <w:rFonts w:ascii="David" w:eastAsia="Calibri" w:hAnsi="David"/>
          <w:rtl/>
        </w:rPr>
        <w:lastRenderedPageBreak/>
        <w:t xml:space="preserve">הוא מבקש לחזור בו מערעורו ולמחקו וכך נעשה. (ר' </w:t>
      </w:r>
      <w:r w:rsidRPr="00987F99">
        <w:rPr>
          <w:rFonts w:ascii="David" w:eastAsia="Calibri" w:hAnsi="David"/>
          <w:b/>
          <w:bCs/>
          <w:rtl/>
        </w:rPr>
        <w:t>ע"פ 3810/17</w:t>
      </w:r>
      <w:r w:rsidRPr="00987F99">
        <w:rPr>
          <w:rFonts w:ascii="David" w:eastAsia="Calibri" w:hAnsi="David"/>
          <w:rtl/>
        </w:rPr>
        <w:t xml:space="preserve"> פסק דין מיום 5.8.19) (הכל ביחד ולשם הנוחות: </w:t>
      </w:r>
      <w:r w:rsidRPr="00987F99">
        <w:rPr>
          <w:rFonts w:ascii="David" w:eastAsia="Calibri" w:hAnsi="David"/>
          <w:b/>
          <w:bCs/>
          <w:rtl/>
        </w:rPr>
        <w:t>"תיק ניסיון הרצח"</w:t>
      </w:r>
      <w:r w:rsidRPr="00987F99">
        <w:rPr>
          <w:rFonts w:ascii="David" w:eastAsia="Calibri" w:hAnsi="David"/>
          <w:rtl/>
        </w:rPr>
        <w:t xml:space="preserve">). </w:t>
      </w:r>
    </w:p>
    <w:p w:rsidR="00987F99" w:rsidRPr="00987F99" w:rsidRDefault="00987F99" w:rsidP="00987F99">
      <w:pPr>
        <w:spacing w:after="160" w:line="360" w:lineRule="auto"/>
        <w:jc w:val="both"/>
        <w:rPr>
          <w:rFonts w:ascii="David" w:eastAsia="Calibri" w:hAnsi="David"/>
          <w:rtl/>
        </w:rPr>
      </w:pPr>
      <w:r w:rsidRPr="00987F99">
        <w:rPr>
          <w:rFonts w:ascii="David" w:eastAsia="Calibri" w:hAnsi="David"/>
          <w:rtl/>
        </w:rPr>
        <w:t xml:space="preserve">ביום </w:t>
      </w:r>
      <w:r w:rsidRPr="00987F99">
        <w:rPr>
          <w:rFonts w:ascii="David" w:eastAsia="Calibri" w:hAnsi="David"/>
          <w:u w:val="single"/>
          <w:rtl/>
        </w:rPr>
        <w:t>20.02.20</w:t>
      </w:r>
      <w:r w:rsidRPr="00987F99">
        <w:rPr>
          <w:rFonts w:ascii="David" w:eastAsia="Calibri" w:hAnsi="David"/>
          <w:rtl/>
        </w:rPr>
        <w:t xml:space="preserve">, חמש שנים לאחר שנורה בראשו, </w:t>
      </w:r>
      <w:r w:rsidR="00CC6733">
        <w:rPr>
          <w:rFonts w:ascii="David" w:eastAsia="Calibri" w:hAnsi="David"/>
          <w:rtl/>
        </w:rPr>
        <w:t>ת.מ</w:t>
      </w:r>
      <w:r w:rsidRPr="00987F99">
        <w:rPr>
          <w:rFonts w:ascii="David" w:eastAsia="Calibri" w:hAnsi="David"/>
          <w:rtl/>
        </w:rPr>
        <w:t xml:space="preserve"> נפטר. לאור האמור, בהתאם להוראת </w:t>
      </w:r>
      <w:r w:rsidRPr="00987F99">
        <w:rPr>
          <w:rFonts w:ascii="David" w:eastAsia="Calibri" w:hAnsi="David"/>
          <w:b/>
          <w:bCs/>
          <w:rtl/>
        </w:rPr>
        <w:t>סעיף 5 לחוק סדר הדין הפלילי [נוסח משולב], התשמ"ב-1982</w:t>
      </w:r>
      <w:r w:rsidRPr="00987F99">
        <w:rPr>
          <w:rFonts w:ascii="David" w:eastAsia="Calibri" w:hAnsi="David"/>
          <w:rtl/>
        </w:rPr>
        <w:t xml:space="preserve">, הנאשם הועמד לדין פעם נוספת, במסגרת תיקנו, ובזו הפעם בגין עבירת רצח בהתאם להוראת </w:t>
      </w:r>
      <w:r w:rsidRPr="00987F99">
        <w:rPr>
          <w:rFonts w:ascii="David" w:eastAsia="Calibri" w:hAnsi="David"/>
          <w:b/>
          <w:bCs/>
          <w:rtl/>
        </w:rPr>
        <w:t>סעיף 300(א) לחוק</w:t>
      </w:r>
      <w:r w:rsidRPr="00987F99">
        <w:rPr>
          <w:rFonts w:ascii="David" w:eastAsia="Calibri" w:hAnsi="David"/>
          <w:rtl/>
        </w:rPr>
        <w:t xml:space="preserve">. </w:t>
      </w:r>
    </w:p>
    <w:p w:rsidR="00987F99" w:rsidRPr="00987F99" w:rsidRDefault="00987F99" w:rsidP="00987F99">
      <w:pPr>
        <w:spacing w:after="160" w:line="256" w:lineRule="auto"/>
        <w:jc w:val="center"/>
        <w:rPr>
          <w:rFonts w:ascii="David" w:eastAsia="Calibri" w:hAnsi="David"/>
          <w:b/>
          <w:bCs/>
          <w:u w:val="single"/>
          <w:rtl/>
        </w:rPr>
      </w:pPr>
      <w:r w:rsidRPr="00987F99">
        <w:rPr>
          <w:rFonts w:ascii="David" w:eastAsia="Calibri" w:hAnsi="David"/>
          <w:b/>
          <w:bCs/>
          <w:u w:val="single"/>
          <w:rtl/>
        </w:rPr>
        <w:t>כתב האישום בעבירת הרצח:</w:t>
      </w:r>
    </w:p>
    <w:p w:rsidR="00987F99" w:rsidRPr="00987F99" w:rsidRDefault="00987F99" w:rsidP="00987F99">
      <w:pPr>
        <w:spacing w:after="160" w:line="256" w:lineRule="auto"/>
        <w:jc w:val="both"/>
        <w:rPr>
          <w:rFonts w:ascii="David" w:eastAsia="Calibri" w:hAnsi="David"/>
          <w:b/>
          <w:bCs/>
          <w:rtl/>
        </w:rPr>
      </w:pPr>
      <w:r w:rsidRPr="00987F99">
        <w:rPr>
          <w:rFonts w:ascii="David" w:eastAsia="Calibri" w:hAnsi="David"/>
          <w:b/>
          <w:bCs/>
          <w:u w:val="single"/>
          <w:rtl/>
        </w:rPr>
        <w:t>פרק כללי</w:t>
      </w:r>
      <w:r w:rsidRPr="00987F99">
        <w:rPr>
          <w:rFonts w:ascii="David" w:eastAsia="Calibri" w:hAnsi="David"/>
          <w:b/>
          <w:bCs/>
          <w:rtl/>
        </w:rPr>
        <w:t>:</w:t>
      </w:r>
    </w:p>
    <w:p w:rsidR="00987F99" w:rsidRPr="00987F99" w:rsidRDefault="00CC6733" w:rsidP="00CC6733">
      <w:pPr>
        <w:spacing w:after="160" w:line="360" w:lineRule="auto"/>
        <w:jc w:val="both"/>
        <w:rPr>
          <w:rFonts w:ascii="David" w:eastAsia="Calibri" w:hAnsi="David"/>
          <w:rtl/>
        </w:rPr>
      </w:pPr>
      <w:r>
        <w:rPr>
          <w:rFonts w:ascii="David" w:eastAsia="Calibri" w:hAnsi="David"/>
          <w:rtl/>
        </w:rPr>
        <w:t>ת.מ</w:t>
      </w:r>
      <w:r w:rsidR="00987F99" w:rsidRPr="00987F99">
        <w:rPr>
          <w:rFonts w:ascii="David" w:eastAsia="Calibri" w:hAnsi="David"/>
          <w:rtl/>
        </w:rPr>
        <w:t xml:space="preserve"> שימש, במועד הרלוונטי לכתב האישום כמנהל הגבייה, אכיפה והוצאה לפועל, מטעם חברת מילגם, במועצה מקומית ערוער (להלן: "</w:t>
      </w:r>
      <w:r w:rsidR="00987F99" w:rsidRPr="00987F99">
        <w:rPr>
          <w:rFonts w:ascii="David" w:eastAsia="Calibri" w:hAnsi="David"/>
          <w:b/>
          <w:bCs/>
          <w:rtl/>
        </w:rPr>
        <w:t>הגבייה</w:t>
      </w:r>
      <w:r w:rsidR="00987F99" w:rsidRPr="00987F99">
        <w:rPr>
          <w:rFonts w:ascii="David" w:eastAsia="Calibri" w:hAnsi="David"/>
          <w:rtl/>
        </w:rPr>
        <w:t>", ו"</w:t>
      </w:r>
      <w:r w:rsidR="00987F99" w:rsidRPr="00987F99">
        <w:rPr>
          <w:rFonts w:ascii="David" w:eastAsia="Calibri" w:hAnsi="David"/>
          <w:b/>
          <w:bCs/>
          <w:rtl/>
        </w:rPr>
        <w:t>המועצה</w:t>
      </w:r>
      <w:r w:rsidR="00987F99" w:rsidRPr="00987F99">
        <w:rPr>
          <w:rFonts w:ascii="David" w:eastAsia="Calibri" w:hAnsi="David"/>
          <w:rtl/>
        </w:rPr>
        <w:t xml:space="preserve">"). </w:t>
      </w:r>
    </w:p>
    <w:p w:rsidR="00987F99" w:rsidRPr="00987F99" w:rsidRDefault="00987F99" w:rsidP="00987F99">
      <w:pPr>
        <w:spacing w:after="160" w:line="360" w:lineRule="auto"/>
        <w:jc w:val="both"/>
        <w:rPr>
          <w:rFonts w:ascii="David" w:eastAsia="Calibri" w:hAnsi="David"/>
          <w:rtl/>
        </w:rPr>
      </w:pPr>
      <w:r w:rsidRPr="00987F99">
        <w:rPr>
          <w:rFonts w:ascii="David" w:eastAsia="Calibri" w:hAnsi="David"/>
          <w:rtl/>
        </w:rPr>
        <w:t>הנאשם הוא הבעלים הרשום של מגרש שעליו עומדים שני בתים, הרשום כמספר 62, בשכונה 3 בערוער. באחד הבתים מתגוררת גרושתו של הנאשם, יחד עם בנותיה וכן אחד מבניה עם משפחתו. בבית הנוסף על המגרש, מתגוררים שני בנים של הנאשם (להלן: "</w:t>
      </w:r>
      <w:r w:rsidRPr="00987F99">
        <w:rPr>
          <w:rFonts w:ascii="David" w:eastAsia="Calibri" w:hAnsi="David"/>
          <w:b/>
          <w:bCs/>
          <w:rtl/>
        </w:rPr>
        <w:t>המגרש</w:t>
      </w:r>
      <w:r w:rsidRPr="00987F99">
        <w:rPr>
          <w:rFonts w:ascii="David" w:eastAsia="Calibri" w:hAnsi="David"/>
          <w:rtl/>
        </w:rPr>
        <w:t xml:space="preserve">"). קיים חוב למועצה, באשר לתשלומי חובה שונים, לעניין שני הבתים שעל המגרש. </w:t>
      </w:r>
    </w:p>
    <w:p w:rsidR="00987F99" w:rsidRPr="00987F99" w:rsidRDefault="00987F99" w:rsidP="00987F99">
      <w:pPr>
        <w:spacing w:after="160" w:line="360" w:lineRule="auto"/>
        <w:jc w:val="both"/>
        <w:rPr>
          <w:rFonts w:ascii="David" w:eastAsia="Calibri" w:hAnsi="David"/>
          <w:rtl/>
        </w:rPr>
      </w:pPr>
      <w:r w:rsidRPr="00987F99">
        <w:rPr>
          <w:rFonts w:ascii="David" w:eastAsia="Calibri" w:hAnsi="David"/>
          <w:rtl/>
        </w:rPr>
        <w:t xml:space="preserve">הנאשם במועדים הרלוונטיים לכתב האישום, החזיק ברישיון אקדח מסוג טאורוס, שמספרו הסידורי </w:t>
      </w:r>
      <w:r w:rsidRPr="00987F99">
        <w:rPr>
          <w:rFonts w:ascii="David" w:eastAsia="Calibri" w:hAnsi="David"/>
        </w:rPr>
        <w:t>TND69354</w:t>
      </w:r>
      <w:r w:rsidRPr="00987F99">
        <w:rPr>
          <w:rFonts w:ascii="David" w:eastAsia="Calibri" w:hAnsi="David"/>
          <w:rtl/>
        </w:rPr>
        <w:t xml:space="preserve"> קליבר 9 מ"מ (להלן: "</w:t>
      </w:r>
      <w:r w:rsidRPr="00987F99">
        <w:rPr>
          <w:rFonts w:ascii="David" w:eastAsia="Calibri" w:hAnsi="David"/>
          <w:b/>
          <w:bCs/>
          <w:rtl/>
        </w:rPr>
        <w:t>האקדח</w:t>
      </w:r>
      <w:r w:rsidRPr="00987F99">
        <w:rPr>
          <w:rFonts w:ascii="David" w:eastAsia="Calibri" w:hAnsi="David"/>
          <w:rtl/>
        </w:rPr>
        <w:t xml:space="preserve">"). </w:t>
      </w:r>
    </w:p>
    <w:p w:rsidR="00987F99" w:rsidRPr="00987F99" w:rsidRDefault="00987F99" w:rsidP="00987F99">
      <w:pPr>
        <w:spacing w:after="160" w:line="360" w:lineRule="auto"/>
        <w:jc w:val="both"/>
        <w:rPr>
          <w:rFonts w:ascii="David" w:eastAsia="Calibri" w:hAnsi="David"/>
          <w:b/>
          <w:bCs/>
          <w:rtl/>
        </w:rPr>
      </w:pPr>
      <w:r w:rsidRPr="00987F99">
        <w:rPr>
          <w:rFonts w:ascii="David" w:eastAsia="Calibri" w:hAnsi="David"/>
          <w:b/>
          <w:bCs/>
          <w:rtl/>
        </w:rPr>
        <w:t>העובדות:</w:t>
      </w:r>
    </w:p>
    <w:p w:rsidR="00987F99" w:rsidRPr="00987F99" w:rsidRDefault="00987F99" w:rsidP="008E5FF0">
      <w:pPr>
        <w:numPr>
          <w:ilvl w:val="0"/>
          <w:numId w:val="7"/>
        </w:numPr>
        <w:spacing w:after="160" w:line="360" w:lineRule="auto"/>
        <w:contextualSpacing/>
        <w:jc w:val="both"/>
        <w:rPr>
          <w:rFonts w:ascii="David" w:eastAsia="Calibri" w:hAnsi="David"/>
          <w:rtl/>
        </w:rPr>
      </w:pPr>
      <w:r w:rsidRPr="00987F99">
        <w:rPr>
          <w:rFonts w:ascii="David" w:eastAsia="Calibri" w:hAnsi="David"/>
          <w:rtl/>
        </w:rPr>
        <w:t>ביום 6.</w:t>
      </w:r>
      <w:r w:rsidR="008E5FF0">
        <w:rPr>
          <w:rFonts w:ascii="David" w:eastAsia="Calibri" w:hAnsi="David" w:hint="cs"/>
          <w:rtl/>
        </w:rPr>
        <w:t>1</w:t>
      </w:r>
      <w:r w:rsidRPr="00987F99">
        <w:rPr>
          <w:rFonts w:ascii="David" w:eastAsia="Calibri" w:hAnsi="David"/>
          <w:rtl/>
        </w:rPr>
        <w:t xml:space="preserve">.15, לפי תכנון מראש, במהלך הבוקר, הגיעו צוות מעקלים ושוטרים שעבדו בשכר, על מנת לעקל רכוש מהבית בו מתגוררת גרושתו של הנאשם, על חשבון החוב. </w:t>
      </w:r>
    </w:p>
    <w:p w:rsidR="00987F99" w:rsidRPr="00987F99" w:rsidRDefault="00987F99" w:rsidP="00987F99">
      <w:pPr>
        <w:numPr>
          <w:ilvl w:val="0"/>
          <w:numId w:val="7"/>
        </w:numPr>
        <w:spacing w:after="160" w:line="360" w:lineRule="auto"/>
        <w:contextualSpacing/>
        <w:jc w:val="both"/>
        <w:rPr>
          <w:rFonts w:ascii="David" w:eastAsia="Calibri" w:hAnsi="David"/>
        </w:rPr>
      </w:pPr>
      <w:r w:rsidRPr="00987F99">
        <w:rPr>
          <w:rFonts w:ascii="David" w:eastAsia="Calibri" w:hAnsi="David"/>
          <w:rtl/>
        </w:rPr>
        <w:t xml:space="preserve">בתו של הנאשם התקשרה אליו ודיווחה אודות העיקול, והנאשם שוחח בטלפון עם המעקלים וטען כי החוב שולם. לאחר בירור עם המנוח, נמשך העיקול, והוצא רכוש מהבית במסגרת הצו. </w:t>
      </w:r>
    </w:p>
    <w:p w:rsidR="00987F99" w:rsidRPr="00987F99" w:rsidRDefault="00987F99" w:rsidP="00987F99">
      <w:pPr>
        <w:numPr>
          <w:ilvl w:val="0"/>
          <w:numId w:val="7"/>
        </w:numPr>
        <w:spacing w:after="160" w:line="360" w:lineRule="auto"/>
        <w:contextualSpacing/>
        <w:jc w:val="both"/>
        <w:rPr>
          <w:rFonts w:ascii="David" w:eastAsia="Calibri" w:hAnsi="David"/>
        </w:rPr>
      </w:pPr>
      <w:r w:rsidRPr="00987F99">
        <w:rPr>
          <w:rFonts w:ascii="David" w:eastAsia="Calibri" w:hAnsi="David"/>
          <w:rtl/>
        </w:rPr>
        <w:t xml:space="preserve">סמוך לפני השעה 13:00, הנאשם הגיע למשרדי הגבייה, כשהוא מצויד באקדח ובתחמושת, ומסתיר את האקדח בבגדיו כשהוא טעון. </w:t>
      </w:r>
    </w:p>
    <w:p w:rsidR="00987F99" w:rsidRPr="00987F99" w:rsidRDefault="00987F99" w:rsidP="00987F99">
      <w:pPr>
        <w:numPr>
          <w:ilvl w:val="0"/>
          <w:numId w:val="7"/>
        </w:numPr>
        <w:spacing w:after="160" w:line="360" w:lineRule="auto"/>
        <w:contextualSpacing/>
        <w:jc w:val="both"/>
        <w:rPr>
          <w:rFonts w:ascii="David" w:eastAsia="Calibri" w:hAnsi="David"/>
        </w:rPr>
      </w:pPr>
      <w:r w:rsidRPr="00987F99">
        <w:rPr>
          <w:rFonts w:ascii="David" w:eastAsia="Calibri" w:hAnsi="David"/>
          <w:rtl/>
        </w:rPr>
        <w:t>הנאשם שוחח עם המנוח במשרדו והתווכח עמו על החוב, ולאחר מכן, הלכו השניים למשרדו של גזבר המועצה (להלן: "</w:t>
      </w:r>
      <w:r w:rsidRPr="00987F99">
        <w:rPr>
          <w:rFonts w:ascii="David" w:eastAsia="Calibri" w:hAnsi="David"/>
          <w:b/>
          <w:bCs/>
          <w:rtl/>
        </w:rPr>
        <w:t>הגזבר</w:t>
      </w:r>
      <w:r w:rsidRPr="00987F99">
        <w:rPr>
          <w:rFonts w:ascii="David" w:eastAsia="Calibri" w:hAnsi="David"/>
          <w:rtl/>
        </w:rPr>
        <w:t>"), בו ישב באותה עת גם סגן ראש המועצה.</w:t>
      </w:r>
    </w:p>
    <w:p w:rsidR="00987F99" w:rsidRPr="00987F99" w:rsidRDefault="00987F99" w:rsidP="00987F99">
      <w:pPr>
        <w:numPr>
          <w:ilvl w:val="0"/>
          <w:numId w:val="7"/>
        </w:numPr>
        <w:spacing w:after="160" w:line="360" w:lineRule="auto"/>
        <w:contextualSpacing/>
        <w:jc w:val="both"/>
        <w:rPr>
          <w:rFonts w:ascii="David" w:eastAsia="Calibri" w:hAnsi="David"/>
        </w:rPr>
      </w:pPr>
      <w:r w:rsidRPr="00987F99">
        <w:rPr>
          <w:rFonts w:ascii="David" w:eastAsia="Calibri" w:hAnsi="David"/>
          <w:rtl/>
        </w:rPr>
        <w:t>לאחר ששוחחו, התווכחו, הוחלט לפי הצעתו של סגן ראש המועצה, כי תכונס מחר ישיבה בנוכחות ראש המועצה, גזבר המועצה, מנהל הגבייה של המועצה והמנוח, ובה יפתרו את המחלוקות והבעיות, יצא המנוח מהמשרד, לכיוון חדר המזכירות, שם ישבו באותה עת חמש עובדות של המועצה.</w:t>
      </w:r>
    </w:p>
    <w:p w:rsidR="00987F99" w:rsidRPr="00987F99" w:rsidRDefault="00987F99" w:rsidP="00987F99">
      <w:pPr>
        <w:numPr>
          <w:ilvl w:val="0"/>
          <w:numId w:val="7"/>
        </w:numPr>
        <w:spacing w:after="160" w:line="360" w:lineRule="auto"/>
        <w:contextualSpacing/>
        <w:jc w:val="both"/>
        <w:rPr>
          <w:rFonts w:ascii="David" w:eastAsia="Calibri" w:hAnsi="David"/>
        </w:rPr>
      </w:pPr>
      <w:r w:rsidRPr="00987F99">
        <w:rPr>
          <w:rFonts w:ascii="David" w:eastAsia="Calibri" w:hAnsi="David"/>
          <w:rtl/>
        </w:rPr>
        <w:lastRenderedPageBreak/>
        <w:t>הנאשם הלך אחרי המנוח, כשהוא שולף את האקדח הטעון שהיה מוסתר בבגדיו. הנאשם כיוון את האקדח לעבר ראשו של המנוח, בכוונה לפגוע בו ולגרום למותו.</w:t>
      </w:r>
    </w:p>
    <w:p w:rsidR="00987F99" w:rsidRPr="00987F99" w:rsidRDefault="00987F99" w:rsidP="00987F99">
      <w:pPr>
        <w:numPr>
          <w:ilvl w:val="0"/>
          <w:numId w:val="7"/>
        </w:numPr>
        <w:spacing w:after="160" w:line="360" w:lineRule="auto"/>
        <w:contextualSpacing/>
        <w:jc w:val="both"/>
        <w:rPr>
          <w:rFonts w:ascii="David" w:eastAsia="Calibri" w:hAnsi="David"/>
        </w:rPr>
      </w:pPr>
      <w:r w:rsidRPr="00987F99">
        <w:rPr>
          <w:rFonts w:ascii="David" w:eastAsia="Calibri" w:hAnsi="David"/>
          <w:rtl/>
        </w:rPr>
        <w:t xml:space="preserve">כשהמנוח נכנס לחדר המזכירות, והנאשם עמד ליד הדלת המחברת בין החדרים, במרחק של כמטר מהמנוח, קרא הנאשם דבר מה לעבר המנוח. המנוח החל להסתובב לאחור לכיוון הנאשם, ואז הנאשם כיוון את האקדח לראשו של המנוח וירה במנוח באקדח ירייה אחת, שפגעה בראשו ובפניו של המנוח, אשר נפל על הרצפה. </w:t>
      </w:r>
    </w:p>
    <w:p w:rsidR="00987F99" w:rsidRPr="00987F99" w:rsidRDefault="00987F99" w:rsidP="00987F99">
      <w:pPr>
        <w:numPr>
          <w:ilvl w:val="0"/>
          <w:numId w:val="7"/>
        </w:numPr>
        <w:spacing w:after="160" w:line="360" w:lineRule="auto"/>
        <w:contextualSpacing/>
        <w:jc w:val="both"/>
        <w:rPr>
          <w:rFonts w:ascii="David" w:eastAsia="Calibri" w:hAnsi="David"/>
        </w:rPr>
      </w:pPr>
      <w:r w:rsidRPr="00987F99">
        <w:rPr>
          <w:rFonts w:ascii="David" w:eastAsia="Calibri" w:hAnsi="David"/>
          <w:rtl/>
        </w:rPr>
        <w:t xml:space="preserve">הקליע חדר מאזור הלסת של המנוח ליד העין בצד ימין, ויצא מהרקה השמאלית, כשבדרכו פגע בעצמות הפנים, פגע בשתי העיניים, ובכלי דם ראשיים של המוח, וריסק חלק מעצמות הגולגולת. בשל פגיעת הקליע, נגרמו שברים בגולגולת, ונגרמו לנפגע דימומים מוחיים רבים. </w:t>
      </w:r>
    </w:p>
    <w:p w:rsidR="00987F99" w:rsidRPr="00987F99" w:rsidRDefault="00987F99" w:rsidP="00987F99">
      <w:pPr>
        <w:numPr>
          <w:ilvl w:val="0"/>
          <w:numId w:val="7"/>
        </w:numPr>
        <w:spacing w:after="160" w:line="360" w:lineRule="auto"/>
        <w:contextualSpacing/>
        <w:jc w:val="both"/>
        <w:rPr>
          <w:rFonts w:ascii="David" w:eastAsia="Calibri" w:hAnsi="David"/>
        </w:rPr>
      </w:pPr>
      <w:r w:rsidRPr="00987F99">
        <w:rPr>
          <w:rFonts w:ascii="David" w:eastAsia="Calibri" w:hAnsi="David"/>
          <w:rtl/>
        </w:rPr>
        <w:t xml:space="preserve">לאחר מכן, חזר הנאשם לחדרו של הגזבר, שם היו סגן ראש המועצה והגזבר, כשהוא מחזיק את האקדח בידו. סגן ראש המועצה ניגש במהירות לנאשם, ואחז בידו הימנית של הנאשם, שבה היה האקדח, וטלטל את היד, עד שהנאשם הפיל את האקדח. לאחר מכן, בסיוע עובדים נוספים, הצליחו להשתלט על הנאשם ונעלו אותו בחדר אחר, עד הגעת המשטרה. </w:t>
      </w:r>
    </w:p>
    <w:p w:rsidR="00987F99" w:rsidRPr="00987F99" w:rsidRDefault="00987F99" w:rsidP="00987F99">
      <w:pPr>
        <w:numPr>
          <w:ilvl w:val="0"/>
          <w:numId w:val="7"/>
        </w:numPr>
        <w:spacing w:after="160" w:line="360" w:lineRule="auto"/>
        <w:contextualSpacing/>
        <w:jc w:val="both"/>
        <w:rPr>
          <w:rFonts w:ascii="David" w:eastAsia="Calibri" w:hAnsi="David"/>
        </w:rPr>
      </w:pPr>
      <w:r w:rsidRPr="00987F99">
        <w:rPr>
          <w:rFonts w:ascii="David" w:eastAsia="Calibri" w:hAnsi="David"/>
          <w:rtl/>
        </w:rPr>
        <w:t xml:space="preserve">המנוח הובהל למרכז הרפואי סורוקה, שם בוצע בו ניתוח חירום, במהלכו הוצאו חלק מעצמות הגולגולת על מנת להקל על הלחץ התוך גולגלתי. המנוח נזקק לניתוחים נוספים ואושפז בבתי חולים שונים. </w:t>
      </w:r>
    </w:p>
    <w:p w:rsidR="00987F99" w:rsidRPr="00987F99" w:rsidRDefault="00987F99" w:rsidP="00987F99">
      <w:pPr>
        <w:numPr>
          <w:ilvl w:val="0"/>
          <w:numId w:val="7"/>
        </w:numPr>
        <w:spacing w:after="160" w:line="360" w:lineRule="auto"/>
        <w:contextualSpacing/>
        <w:jc w:val="both"/>
        <w:rPr>
          <w:rFonts w:ascii="David" w:eastAsia="Calibri" w:hAnsi="David"/>
        </w:rPr>
      </w:pPr>
      <w:r w:rsidRPr="00987F99">
        <w:rPr>
          <w:rFonts w:ascii="David" w:eastAsia="Calibri" w:hAnsi="David"/>
          <w:rtl/>
        </w:rPr>
        <w:t xml:space="preserve">מעשיו של הנאשם גרמו למנוח פגיעות קשות בשתי העיניים, המוערכות כעיוורון דו צדדי מלא, שברים בעצמות הגולגולת, כולל בארובות העיניים, ואניוריזמה (מפרצת) בכלי הדם של המנוח. </w:t>
      </w:r>
    </w:p>
    <w:p w:rsidR="00987F99" w:rsidRPr="00987F99" w:rsidRDefault="00987F99" w:rsidP="00987F99">
      <w:pPr>
        <w:numPr>
          <w:ilvl w:val="0"/>
          <w:numId w:val="7"/>
        </w:numPr>
        <w:spacing w:after="160" w:line="360" w:lineRule="auto"/>
        <w:contextualSpacing/>
        <w:jc w:val="both"/>
        <w:rPr>
          <w:rFonts w:ascii="David" w:eastAsia="Calibri" w:hAnsi="David"/>
        </w:rPr>
      </w:pPr>
      <w:r w:rsidRPr="00987F99">
        <w:rPr>
          <w:rFonts w:ascii="David" w:eastAsia="Calibri" w:hAnsi="David"/>
          <w:rtl/>
        </w:rPr>
        <w:t xml:space="preserve">בהמשך, אושפז המנוח תקופות ממושכות בבית חולים שיקומי בית לוונשטיין, והיה במעקב וטיפול במרפאת שיקום בבית החולים סורוקה וזאת מבלי יכולת לתקשר, כשהוא סובל מפגיעה מוחית חמורה שגרמה לקושי בשליטה בדרכי האוויר ובהפרשות מהן. בעקבות מצב זה היה המנוח חשוף לאורך השנים למספר אירועים זיהומיים של דרכי האוויר והריאות אשר גרמו בתאריך 16.02.20 לדלקת ריאות חריפה עם כשל נשימתי שהצריך חיבור למכונת הנשמה והעברתו של המנוח ליחידה לטיפול נמרץ שם נפטר בתאריך 20.02.20, וזאת בשל הפגיעה בראשו כתוצאה ממעשי הנאשם. </w:t>
      </w:r>
    </w:p>
    <w:p w:rsidR="00CC6733" w:rsidRDefault="00CC6733" w:rsidP="0095140D">
      <w:pPr>
        <w:spacing w:before="120" w:after="120" w:line="360" w:lineRule="auto"/>
        <w:jc w:val="both"/>
        <w:rPr>
          <w:rFonts w:ascii="David" w:eastAsia="Calibri" w:hAnsi="David"/>
          <w:b/>
          <w:bCs/>
          <w:u w:val="single"/>
          <w:rtl/>
        </w:rPr>
      </w:pPr>
    </w:p>
    <w:p w:rsidR="00987F99" w:rsidRPr="00987F99" w:rsidRDefault="00CC6733" w:rsidP="0095140D">
      <w:pPr>
        <w:spacing w:before="120" w:after="120" w:line="360" w:lineRule="auto"/>
        <w:jc w:val="both"/>
        <w:rPr>
          <w:rFonts w:ascii="David" w:eastAsia="Calibri" w:hAnsi="David"/>
          <w:b/>
          <w:bCs/>
          <w:u w:val="single"/>
        </w:rPr>
      </w:pPr>
      <w:r>
        <w:rPr>
          <w:rFonts w:ascii="David" w:eastAsia="Calibri" w:hAnsi="David"/>
          <w:b/>
          <w:bCs/>
          <w:u w:val="single"/>
          <w:rtl/>
        </w:rPr>
        <w:t>הורא</w:t>
      </w:r>
      <w:r w:rsidR="00987F99" w:rsidRPr="00987F99">
        <w:rPr>
          <w:rFonts w:ascii="David" w:eastAsia="Calibri" w:hAnsi="David"/>
          <w:b/>
          <w:bCs/>
          <w:u w:val="single"/>
          <w:rtl/>
        </w:rPr>
        <w:t xml:space="preserve">ת </w:t>
      </w:r>
      <w:r>
        <w:rPr>
          <w:rFonts w:ascii="David" w:eastAsia="Calibri" w:hAnsi="David" w:hint="cs"/>
          <w:b/>
          <w:bCs/>
          <w:u w:val="single"/>
          <w:rtl/>
        </w:rPr>
        <w:t>ה</w:t>
      </w:r>
      <w:r w:rsidR="00987F99" w:rsidRPr="00987F99">
        <w:rPr>
          <w:rFonts w:ascii="David" w:eastAsia="Calibri" w:hAnsi="David"/>
          <w:b/>
          <w:bCs/>
          <w:u w:val="single"/>
          <w:rtl/>
        </w:rPr>
        <w:t>חיקוק:</w:t>
      </w:r>
    </w:p>
    <w:p w:rsidR="00987F99" w:rsidRPr="00987F99" w:rsidRDefault="00987F99" w:rsidP="0095140D">
      <w:pPr>
        <w:spacing w:before="120" w:after="120" w:line="256" w:lineRule="auto"/>
        <w:rPr>
          <w:rFonts w:ascii="David" w:eastAsia="Calibri" w:hAnsi="David"/>
          <w:rtl/>
        </w:rPr>
      </w:pPr>
      <w:r w:rsidRPr="00987F99">
        <w:rPr>
          <w:rFonts w:ascii="David" w:eastAsia="Calibri" w:hAnsi="David"/>
          <w:rtl/>
        </w:rPr>
        <w:t>רצח – עבירה לפי סעיף 300(א) לחוק העונשין, התשל"ז-1977 (בנוסחו מיום 1.7.19).</w:t>
      </w:r>
    </w:p>
    <w:p w:rsidR="00CC6733" w:rsidRDefault="00CC6733" w:rsidP="0095140D">
      <w:pPr>
        <w:spacing w:before="160" w:after="160" w:line="256" w:lineRule="auto"/>
        <w:jc w:val="center"/>
        <w:rPr>
          <w:rFonts w:ascii="David" w:eastAsia="Calibri" w:hAnsi="David"/>
          <w:b/>
          <w:bCs/>
          <w:u w:val="single"/>
          <w:rtl/>
        </w:rPr>
      </w:pPr>
    </w:p>
    <w:p w:rsidR="00CC6733" w:rsidRDefault="00CC6733" w:rsidP="0095140D">
      <w:pPr>
        <w:spacing w:before="160" w:after="160" w:line="256" w:lineRule="auto"/>
        <w:jc w:val="center"/>
        <w:rPr>
          <w:rFonts w:ascii="David" w:eastAsia="Calibri" w:hAnsi="David"/>
          <w:b/>
          <w:bCs/>
          <w:u w:val="single"/>
          <w:rtl/>
        </w:rPr>
      </w:pPr>
    </w:p>
    <w:p w:rsidR="00CC6733" w:rsidRDefault="00CC6733" w:rsidP="0095140D">
      <w:pPr>
        <w:spacing w:before="160" w:after="160" w:line="256" w:lineRule="auto"/>
        <w:jc w:val="center"/>
        <w:rPr>
          <w:rFonts w:ascii="David" w:eastAsia="Calibri" w:hAnsi="David"/>
          <w:b/>
          <w:bCs/>
          <w:u w:val="single"/>
          <w:rtl/>
        </w:rPr>
      </w:pPr>
    </w:p>
    <w:p w:rsidR="00CC6733" w:rsidRDefault="00CC6733" w:rsidP="0095140D">
      <w:pPr>
        <w:spacing w:before="160" w:after="160" w:line="256" w:lineRule="auto"/>
        <w:jc w:val="center"/>
        <w:rPr>
          <w:rFonts w:ascii="David" w:eastAsia="Calibri" w:hAnsi="David"/>
          <w:b/>
          <w:bCs/>
          <w:u w:val="single"/>
          <w:rtl/>
        </w:rPr>
      </w:pPr>
    </w:p>
    <w:p w:rsidR="00987F99" w:rsidRPr="00987F99" w:rsidRDefault="00987F99" w:rsidP="0095140D">
      <w:pPr>
        <w:spacing w:before="160" w:after="160" w:line="256" w:lineRule="auto"/>
        <w:jc w:val="center"/>
        <w:rPr>
          <w:rFonts w:ascii="David" w:eastAsia="Calibri" w:hAnsi="David"/>
          <w:b/>
          <w:bCs/>
          <w:u w:val="single"/>
          <w:rtl/>
        </w:rPr>
      </w:pPr>
      <w:r w:rsidRPr="00987F99">
        <w:rPr>
          <w:rFonts w:ascii="David" w:eastAsia="Calibri" w:hAnsi="David"/>
          <w:b/>
          <w:bCs/>
          <w:u w:val="single"/>
          <w:rtl/>
        </w:rPr>
        <w:t>עיקרי הכרעת הדין במסגרת תיק ניסיון הרצח (תפ"ח 51088-01-15):</w:t>
      </w:r>
    </w:p>
    <w:p w:rsidR="00987F99" w:rsidRPr="00987F99" w:rsidRDefault="00987F99" w:rsidP="00CC6733">
      <w:pPr>
        <w:spacing w:before="160" w:after="160" w:line="360" w:lineRule="auto"/>
        <w:jc w:val="both"/>
        <w:rPr>
          <w:rFonts w:ascii="David" w:eastAsia="Calibri" w:hAnsi="David"/>
          <w:rtl/>
        </w:rPr>
      </w:pPr>
      <w:r w:rsidRPr="00987F99">
        <w:rPr>
          <w:rFonts w:ascii="David" w:eastAsia="Calibri" w:hAnsi="David"/>
          <w:rtl/>
        </w:rPr>
        <w:t>בית המשפט קבע במסגרת הכרעת הדין כי הוא רוחש אמון לעדות הראיה לילך דוד ורווית בן ברוך, עובדות המועצה, שנכחו במקום והבחינו במעשיו של הנאשם: "</w:t>
      </w:r>
      <w:r w:rsidRPr="00987F99">
        <w:rPr>
          <w:rFonts w:ascii="David" w:eastAsia="Calibri" w:hAnsi="David"/>
          <w:b/>
          <w:bCs/>
          <w:rtl/>
        </w:rPr>
        <w:t xml:space="preserve">עדויותיהן של לילך ורווית עומדות, כל אחת על רגליה והן תומכות זו בזו הדדי לגבי נסיבות הירי </w:t>
      </w:r>
      <w:r w:rsidR="00CC6733">
        <w:rPr>
          <w:rFonts w:ascii="David" w:eastAsia="Calibri" w:hAnsi="David" w:hint="cs"/>
          <w:b/>
          <w:bCs/>
          <w:rtl/>
        </w:rPr>
        <w:t>ב</w:t>
      </w:r>
      <w:r w:rsidR="00CC6733" w:rsidRPr="00CC6733">
        <w:rPr>
          <w:rFonts w:ascii="David" w:eastAsia="Calibri" w:hAnsi="David" w:hint="cs"/>
          <w:rtl/>
        </w:rPr>
        <w:t>[ת.מ]</w:t>
      </w:r>
      <w:r w:rsidRPr="00987F99">
        <w:rPr>
          <w:rFonts w:ascii="David" w:eastAsia="Calibri" w:hAnsi="David"/>
          <w:b/>
          <w:bCs/>
          <w:rtl/>
        </w:rPr>
        <w:t xml:space="preserve">; עדויות אלה מהוות ראיה רבת עוצמה לכך שהנאשם כיוון את אקדחו, ממרחק קצר, לעבר ראשו של </w:t>
      </w:r>
      <w:r w:rsidR="00CC6733" w:rsidRPr="00CC6733">
        <w:rPr>
          <w:rFonts w:ascii="David" w:eastAsia="Calibri" w:hAnsi="David"/>
          <w:rtl/>
        </w:rPr>
        <w:t>[ת.מ]</w:t>
      </w:r>
      <w:r w:rsidRPr="00987F99">
        <w:rPr>
          <w:rFonts w:ascii="David" w:eastAsia="Calibri" w:hAnsi="David"/>
          <w:b/>
          <w:bCs/>
          <w:rtl/>
        </w:rPr>
        <w:t xml:space="preserve"> וביצע ירי של כדור אחד, כאשר מיד לאחריו התמוטט </w:t>
      </w:r>
      <w:r w:rsidR="00CC6733" w:rsidRPr="00CC6733">
        <w:rPr>
          <w:rFonts w:ascii="David" w:eastAsia="Calibri" w:hAnsi="David"/>
          <w:rtl/>
        </w:rPr>
        <w:t>[ת.מ]</w:t>
      </w:r>
      <w:r w:rsidRPr="00CC6733">
        <w:rPr>
          <w:rFonts w:ascii="David" w:eastAsia="Calibri" w:hAnsi="David"/>
          <w:rtl/>
        </w:rPr>
        <w:t>,</w:t>
      </w:r>
      <w:r w:rsidRPr="00987F99">
        <w:rPr>
          <w:rFonts w:ascii="David" w:eastAsia="Calibri" w:hAnsi="David"/>
          <w:b/>
          <w:bCs/>
          <w:rtl/>
        </w:rPr>
        <w:t xml:space="preserve"> ונפל על הרצפה, פצוע אנושות, במקום בו נורה</w:t>
      </w:r>
      <w:r w:rsidRPr="00987F99">
        <w:rPr>
          <w:rFonts w:ascii="David" w:eastAsia="Calibri" w:hAnsi="David"/>
          <w:rtl/>
        </w:rPr>
        <w:t>" (עמ' 70 להכרעת הדין).</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מנגד, בית המשפט דחה את גרסת הנאשם בציינו: "</w:t>
      </w:r>
      <w:r w:rsidRPr="00987F99">
        <w:rPr>
          <w:rFonts w:ascii="David" w:eastAsia="Calibri" w:hAnsi="David"/>
          <w:b/>
          <w:bCs/>
          <w:rtl/>
        </w:rPr>
        <w:t>עדותו של הנאשם הותירה רושם עגום מאוד, כמי שהרחיק עצמו בעקביות מאמירת אמת בכל שלבי החקירה ובמהלך עדותו</w:t>
      </w:r>
      <w:r w:rsidRPr="00987F99">
        <w:rPr>
          <w:rFonts w:ascii="David" w:eastAsia="Calibri" w:hAnsi="David"/>
          <w:rtl/>
        </w:rPr>
        <w:t>" (שם, עמ' 70). כך, בהתייחס לטענת הנאשם לפיה הירי בוצע מפתח חדר הגזבר ולא ממקום אחר, נקבע כי: "</w:t>
      </w:r>
      <w:r w:rsidRPr="00987F99">
        <w:rPr>
          <w:rFonts w:ascii="David" w:eastAsia="Calibri" w:hAnsi="David"/>
          <w:b/>
          <w:bCs/>
          <w:rtl/>
        </w:rPr>
        <w:t>טענתו זו של הנאשם התנפצה למעשה, נוכח דברי הסיכום של ההגנה כי הנאשם אכן ירה על ספו של חדר הנהלת החשבונות באופן שהיה גלוי לעיניהן של עדות הראיה ומוסתר מעיניהם של אלשאמי ואבו גויעד, כפי שאכן נמסר בעדויות עדים אלו</w:t>
      </w:r>
      <w:r w:rsidRPr="00987F99">
        <w:rPr>
          <w:rFonts w:ascii="David" w:eastAsia="Calibri" w:hAnsi="David"/>
          <w:rtl/>
        </w:rPr>
        <w:t>" (שם, עמ' 71).</w:t>
      </w:r>
    </w:p>
    <w:p w:rsidR="00987F99" w:rsidRPr="00987F99" w:rsidRDefault="00987F99" w:rsidP="0095140D">
      <w:pPr>
        <w:spacing w:before="120" w:after="120" w:line="360" w:lineRule="auto"/>
        <w:jc w:val="both"/>
        <w:rPr>
          <w:rFonts w:ascii="David" w:eastAsia="Calibri" w:hAnsi="David"/>
          <w:rtl/>
        </w:rPr>
      </w:pPr>
      <w:r w:rsidRPr="00987F99">
        <w:rPr>
          <w:rFonts w:ascii="David" w:eastAsia="Calibri" w:hAnsi="David"/>
          <w:rtl/>
        </w:rPr>
        <w:t>בית המשפט דחה את טענת הנאשם לפיה מסר גרסאות מבולבלות במהלך החקירה בשל מצבו הנפשי והבריאותי: "</w:t>
      </w:r>
      <w:r w:rsidRPr="00987F99">
        <w:rPr>
          <w:rFonts w:ascii="David" w:eastAsia="Calibri" w:hAnsi="David"/>
          <w:b/>
          <w:bCs/>
          <w:rtl/>
        </w:rPr>
        <w:t xml:space="preserve">הטענה כי הנאשם התבלבל בחקירתו לעניין המקום אליו כיוון אקדחו, אינה יכולה להתקבל. אי הבהירות העולה מבליל הגרסאות הסותרות שמסר הנאשם בעניין זה, אין בה כדי להפיג את ההתרשמות כי הנאשם ביקש במכוון לערפל את הנסיבות ו'להרחיק' עצמו מביצוע ירי מתוכנן לעבר </w:t>
      </w:r>
      <w:r w:rsidR="00CC6733" w:rsidRPr="00CC6733">
        <w:rPr>
          <w:rFonts w:ascii="David" w:eastAsia="Calibri" w:hAnsi="David"/>
          <w:rtl/>
        </w:rPr>
        <w:t>[ת.מ]</w:t>
      </w:r>
      <w:r w:rsidRPr="00987F99">
        <w:rPr>
          <w:rFonts w:ascii="David" w:eastAsia="Calibri" w:hAnsi="David"/>
          <w:b/>
          <w:bCs/>
          <w:rtl/>
        </w:rPr>
        <w:t xml:space="preserve">... טענתו החוזרת של הנאשם בחקירה, בדבר ביצוע הירי מפתח חדר הגזבר, כאשר החדר האמצעי מפריד בין שני החדרים, ובעת שדמותו של </w:t>
      </w:r>
      <w:r w:rsidR="00CC6733" w:rsidRPr="00CC6733">
        <w:rPr>
          <w:rFonts w:ascii="David" w:eastAsia="Calibri" w:hAnsi="David"/>
          <w:rtl/>
        </w:rPr>
        <w:t>[ת.מ]</w:t>
      </w:r>
      <w:r w:rsidRPr="00CC6733">
        <w:rPr>
          <w:rFonts w:ascii="David" w:eastAsia="Calibri" w:hAnsi="David"/>
          <w:rtl/>
        </w:rPr>
        <w:t xml:space="preserve"> </w:t>
      </w:r>
      <w:r w:rsidRPr="00987F99">
        <w:rPr>
          <w:rFonts w:ascii="David" w:eastAsia="Calibri" w:hAnsi="David"/>
          <w:b/>
          <w:bCs/>
          <w:rtl/>
        </w:rPr>
        <w:t>נבלעה כבר בחדר הנהלת החשבונות, 'אפשרה' לנאשם לעלות שלל גרסאות בדבר המקום 'המשוער' אליו כיוון את האקדח ובדבר פגיעה 'עקיפה' ולא מתוכננת ב</w:t>
      </w:r>
      <w:r w:rsidR="00CC6733">
        <w:rPr>
          <w:rFonts w:ascii="David" w:eastAsia="Calibri" w:hAnsi="David"/>
          <w:b/>
          <w:bCs/>
          <w:rtl/>
        </w:rPr>
        <w:t>[ת.מ]</w:t>
      </w:r>
      <w:r w:rsidRPr="00987F99">
        <w:rPr>
          <w:rFonts w:ascii="David" w:eastAsia="Calibri" w:hAnsi="David"/>
          <w:rtl/>
        </w:rPr>
        <w:t xml:space="preserve">" (שם, עמ' </w:t>
      </w:r>
      <w:r w:rsidR="0095140D">
        <w:rPr>
          <w:rFonts w:ascii="David" w:eastAsia="Calibri" w:hAnsi="David" w:hint="cs"/>
          <w:rtl/>
        </w:rPr>
        <w:t>72-71</w:t>
      </w:r>
      <w:r w:rsidRPr="00987F99">
        <w:rPr>
          <w:rFonts w:ascii="David" w:eastAsia="Calibri" w:hAnsi="David"/>
          <w:rtl/>
        </w:rPr>
        <w:t xml:space="preserve">). </w:t>
      </w:r>
    </w:p>
    <w:p w:rsidR="00987F99" w:rsidRPr="00987F99" w:rsidRDefault="00987F99" w:rsidP="0095140D">
      <w:pPr>
        <w:spacing w:before="120" w:after="120" w:line="360" w:lineRule="auto"/>
        <w:jc w:val="both"/>
        <w:rPr>
          <w:rFonts w:ascii="David" w:eastAsia="Calibri" w:hAnsi="David"/>
          <w:rtl/>
        </w:rPr>
      </w:pPr>
      <w:r w:rsidRPr="00987F99">
        <w:rPr>
          <w:rFonts w:ascii="David" w:eastAsia="Calibri" w:hAnsi="David"/>
          <w:rtl/>
        </w:rPr>
        <w:t>בית המשפט מצא את גרסתו של הנאשם בנוגע לנסיבות הקשורות לנשיאת האקדח כבלתי מהימנה. טענת הנאשם לפיה הוציא את האקדח מתוך תיק שהיה בתא המטען בעת שתדלק את הרכב מספר שעות לפני הירי נמצאה "חסרת שחר". בהקשר לכך, צוין על ידי בית המשפט כי: "</w:t>
      </w:r>
      <w:r w:rsidRPr="00987F99">
        <w:rPr>
          <w:rFonts w:ascii="David" w:eastAsia="Calibri" w:hAnsi="David"/>
          <w:b/>
          <w:bCs/>
          <w:rtl/>
        </w:rPr>
        <w:t>מובן כי לשאלת עיתוי הוצאת האקדח ונשיאתו על ידי הנאשם, קיימת חשיבות ברורה, שכן אם נשא הנאשם את האקדח על גופו לפני אירועי העיקול, הרי ש'הופעת' האקדח בשלב מוקדם זה, בתחנת הדלק לא רמזה עדיין על מה שעתיד יהיה להתחולל מספר שעות</w:t>
      </w:r>
      <w:r w:rsidRPr="00987F99">
        <w:rPr>
          <w:rFonts w:ascii="David" w:eastAsia="Calibri" w:hAnsi="David"/>
          <w:rtl/>
        </w:rPr>
        <w:t xml:space="preserve">" (שם, עמ' </w:t>
      </w:r>
      <w:r w:rsidR="0095140D">
        <w:rPr>
          <w:rFonts w:ascii="David" w:eastAsia="Calibri" w:hAnsi="David" w:hint="cs"/>
          <w:rtl/>
        </w:rPr>
        <w:t>73-72</w:t>
      </w:r>
      <w:r w:rsidRPr="00987F99">
        <w:rPr>
          <w:rFonts w:ascii="David" w:eastAsia="Calibri" w:hAnsi="David"/>
          <w:rtl/>
        </w:rPr>
        <w:t xml:space="preserve">). </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 xml:space="preserve">הטענה לפיה נהג לשאת עליו את האקדח בכל העת נשללה, בין היתר, תוך הסתמכות על הודעות בניו של הנאשם שהוגשו בהסכמה ולפיהן הנאשם כלל אינו נוהג לשאת עליו את הנשק. בדומה, בית המשפט מצא את גרסת הנאשם בנוגע לעיתוי דריכת הנשק כשקרית. אף שכך ובסופם של דברים, ראה בית </w:t>
      </w:r>
      <w:r w:rsidRPr="00987F99">
        <w:rPr>
          <w:rFonts w:ascii="David" w:eastAsia="Calibri" w:hAnsi="David"/>
          <w:rtl/>
        </w:rPr>
        <w:lastRenderedPageBreak/>
        <w:t>המשפט לציין כי: "</w:t>
      </w:r>
      <w:r w:rsidRPr="00987F99">
        <w:rPr>
          <w:rFonts w:ascii="David" w:eastAsia="Calibri" w:hAnsi="David"/>
          <w:b/>
          <w:bCs/>
          <w:rtl/>
        </w:rPr>
        <w:t>...חרף שקריו של הנאשם, אין לשלול אפשרות כי הנאשם דרך נשקו בשלב בו נע בחדר האמצעי לעבר חדר הנהלת החשבונות, כשהוא מוסתר מעיני העדים, וכי ייתכן – ולו מחמת הספק – כי העדים בחדר הנהלת החשבונות ובחדר הגזבר, שעסקו בענייניהם ולא צפו מטבע הדברים, את העומד להתרחש, ולא קלטו אותה עת את קול דריכת הנשק</w:t>
      </w:r>
      <w:r w:rsidRPr="00987F99">
        <w:rPr>
          <w:rFonts w:ascii="David" w:eastAsia="Calibri" w:hAnsi="David"/>
          <w:rtl/>
        </w:rPr>
        <w:t>" (שם, עמ' 73).</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 xml:space="preserve">בית המשפט דחה את טענת ההגנה ולפיה הקליע שנורה מאקדחו של הנאשם פגע קודם לכן בקיר, ומשם ניתז לעבר ראשו של הנפגע וקבע כי הקליע נורה ישירות לעבר ראשו של הנפגע, זאת בין היתר, תוך הסתמכות על עדויותיהם של לילך, רווית, ד"ר חן קוגל ורפ"ק אביגדורי (ר' עמ' 77-74 להכרעת הדין). </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 xml:space="preserve">בסיכום ממצאי העובדה נקבע על ידי בית המשפט: </w:t>
      </w:r>
    </w:p>
    <w:p w:rsidR="00987F99" w:rsidRPr="00987F99" w:rsidRDefault="00987F99" w:rsidP="00987F99">
      <w:pPr>
        <w:spacing w:before="120" w:after="120"/>
        <w:ind w:left="509" w:right="426"/>
        <w:jc w:val="both"/>
        <w:rPr>
          <w:rFonts w:ascii="David" w:eastAsia="Calibri" w:hAnsi="David"/>
          <w:b/>
          <w:bCs/>
          <w:rtl/>
        </w:rPr>
      </w:pPr>
      <w:r w:rsidRPr="00987F99">
        <w:rPr>
          <w:rFonts w:ascii="David" w:eastAsia="Calibri" w:hAnsi="David"/>
          <w:rtl/>
        </w:rPr>
        <w:t>"</w:t>
      </w:r>
      <w:r w:rsidRPr="00987F99">
        <w:rPr>
          <w:rFonts w:ascii="David" w:eastAsia="Calibri" w:hAnsi="David"/>
          <w:b/>
          <w:bCs/>
          <w:rtl/>
        </w:rPr>
        <w:t xml:space="preserve">הנאשם שניצב על מפתן דלת החדר האמצעי, או סמוך מאד אליו בתוך חדר הנהלת החשבונות, כיוון את אקדחו לעבר ראשו של </w:t>
      </w:r>
      <w:r w:rsidR="00CC6733" w:rsidRPr="00CC6733">
        <w:rPr>
          <w:rFonts w:ascii="David" w:eastAsia="Calibri" w:hAnsi="David"/>
          <w:rtl/>
        </w:rPr>
        <w:t>[ת.מ]</w:t>
      </w:r>
      <w:r w:rsidRPr="00CC6733">
        <w:rPr>
          <w:rFonts w:ascii="David" w:eastAsia="Calibri" w:hAnsi="David"/>
          <w:rtl/>
        </w:rPr>
        <w:t xml:space="preserve">, </w:t>
      </w:r>
      <w:r w:rsidRPr="00987F99">
        <w:rPr>
          <w:rFonts w:ascii="David" w:eastAsia="Calibri" w:hAnsi="David"/>
          <w:b/>
          <w:bCs/>
          <w:rtl/>
        </w:rPr>
        <w:t>ממרחק של מטר או שניים, וירה לעברו כדור אחד, שפגע בראשו והביא להתמוטטותו המידית בעקבות הפציעה האנושה שהסב לו הקליע, שחלף מצדו האחד של הראש לצדו השני. דחינו את גרסת הנאשם, שטען כי ביצע את הירי ממפתן דלת חדר הגזבר, כי כיוון את האקדח באופן ערטילאי לעבר קיר כלשהו או כי לא ראה את הפצוע מיד לאחר נפילתו לקרקע. עוד קבענו, כי ניתן לסמוך על עדותה של רוית בדבר האמירה שהטיח הנאשם ב</w:t>
      </w:r>
      <w:r w:rsidR="00CC6733" w:rsidRPr="00CC6733">
        <w:rPr>
          <w:rFonts w:ascii="David" w:eastAsia="Calibri" w:hAnsi="David"/>
          <w:rtl/>
        </w:rPr>
        <w:t>[ת.מ]</w:t>
      </w:r>
      <w:r w:rsidRPr="00987F99">
        <w:rPr>
          <w:rFonts w:ascii="David" w:eastAsia="Calibri" w:hAnsi="David"/>
          <w:b/>
          <w:bCs/>
          <w:rtl/>
        </w:rPr>
        <w:t xml:space="preserve"> - "מי אתה שתגיד לי מה לשלם", או בדומה לכך -  בשניות לפני ביצוע הירי. בנוסף, דחינו את התזה שהועלתה על ידי פרופ' היס, המומחה מטעם ההגנה, כי הירי כוון לעבר הקיר המערבי, וכי הקליע פגע לראשונה בקיר זה, ורק לאחר מכן הותז ממנו ופגע בראשו של הנפגע</w:t>
      </w:r>
      <w:r w:rsidRPr="00987F99">
        <w:rPr>
          <w:rFonts w:ascii="David" w:eastAsia="Calibri" w:hAnsi="David"/>
          <w:rtl/>
        </w:rPr>
        <w:t>" (עמ' 80).</w:t>
      </w:r>
      <w:r w:rsidRPr="00987F99">
        <w:rPr>
          <w:rFonts w:ascii="David" w:eastAsia="Calibri" w:hAnsi="David"/>
          <w:b/>
          <w:bCs/>
          <w:rtl/>
        </w:rPr>
        <w:t xml:space="preserve"> </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באשר ליסוד הנפשי, בית המשפט עמד על כך כי בהתאם לחוק והפסיקה יש להוכיח את קיומו של היסוד הנפשי הנדרש לעבירה המוגמרת אותה ניסה לבצע הנאשם, היינו עבירת רצח כאמור ב</w:t>
      </w:r>
      <w:r w:rsidRPr="00987F99">
        <w:rPr>
          <w:rFonts w:ascii="David" w:eastAsia="Calibri" w:hAnsi="David"/>
          <w:b/>
          <w:bCs/>
          <w:rtl/>
        </w:rPr>
        <w:t>סעיפים 300(א)(2) לחוק</w:t>
      </w:r>
      <w:r w:rsidRPr="00987F99">
        <w:rPr>
          <w:rFonts w:ascii="David" w:eastAsia="Calibri" w:hAnsi="David"/>
          <w:rtl/>
        </w:rPr>
        <w:t xml:space="preserve"> יחד עם הוראת </w:t>
      </w:r>
      <w:r w:rsidRPr="00987F99">
        <w:rPr>
          <w:rFonts w:ascii="David" w:eastAsia="Calibri" w:hAnsi="David"/>
          <w:b/>
          <w:bCs/>
          <w:rtl/>
        </w:rPr>
        <w:t>סעיף 301(א)</w:t>
      </w:r>
      <w:r w:rsidRPr="00987F99">
        <w:rPr>
          <w:rFonts w:ascii="David" w:eastAsia="Calibri" w:hAnsi="David"/>
          <w:rtl/>
        </w:rPr>
        <w:t xml:space="preserve"> כפי ניסוחם טרם תיקון 137 לחוק. בהתאם לכך, יש להוכיח שלושה תנאים מצטברים: "החלטה להמית", "הכנה" ו"העדר קנטור". באשר לרכיב </w:t>
      </w:r>
      <w:r w:rsidRPr="00987F99">
        <w:rPr>
          <w:rFonts w:ascii="David" w:eastAsia="Calibri" w:hAnsi="David"/>
          <w:u w:val="single"/>
          <w:rtl/>
        </w:rPr>
        <w:t>ההחלטה להמית</w:t>
      </w:r>
      <w:r w:rsidRPr="00987F99">
        <w:rPr>
          <w:rFonts w:ascii="David" w:eastAsia="Calibri" w:hAnsi="David"/>
          <w:rtl/>
        </w:rPr>
        <w:t xml:space="preserve"> נקבע כי: "</w:t>
      </w:r>
      <w:r w:rsidRPr="00987F99">
        <w:rPr>
          <w:rFonts w:ascii="David" w:eastAsia="Calibri" w:hAnsi="David"/>
          <w:b/>
          <w:bCs/>
          <w:rtl/>
        </w:rPr>
        <w:t xml:space="preserve">אנו מוכנים לצאת מתוך הנחה כי ההחלטה לבצע ירי גמלה בליבו של הנאשם רק בעקבות הוויכוח שהתקיים במשרד הגזבר ותגובתו של </w:t>
      </w:r>
      <w:r w:rsidR="00CC6733" w:rsidRPr="00CC6733">
        <w:rPr>
          <w:rFonts w:ascii="David" w:eastAsia="Calibri" w:hAnsi="David"/>
          <w:rtl/>
        </w:rPr>
        <w:t>[ת.מ]</w:t>
      </w:r>
      <w:r w:rsidRPr="00987F99">
        <w:rPr>
          <w:rFonts w:ascii="David" w:eastAsia="Calibri" w:hAnsi="David"/>
          <w:rtl/>
        </w:rPr>
        <w:t xml:space="preserve">". בנוגע לרכיב </w:t>
      </w:r>
      <w:r w:rsidRPr="00987F99">
        <w:rPr>
          <w:rFonts w:ascii="David" w:eastAsia="Calibri" w:hAnsi="David"/>
          <w:u w:val="single"/>
          <w:rtl/>
        </w:rPr>
        <w:t>ההכנה</w:t>
      </w:r>
      <w:r w:rsidRPr="00987F99">
        <w:rPr>
          <w:rFonts w:ascii="David" w:eastAsia="Calibri" w:hAnsi="David"/>
          <w:rtl/>
        </w:rPr>
        <w:t xml:space="preserve"> נקבע: "</w:t>
      </w:r>
      <w:r w:rsidRPr="00987F99">
        <w:rPr>
          <w:rFonts w:ascii="David" w:eastAsia="Calibri" w:hAnsi="David"/>
          <w:b/>
          <w:bCs/>
          <w:rtl/>
        </w:rPr>
        <w:t>...אדם השולף את נשקו, דורכו – הנאשם לא חלק כי ביצע פעולות אלה – מכוונו לאחר, ולוחץ על ההדק לצורך ביצוע ירייה, מבצע את מלוא הפעולות המכינות לצורך השלמת הפגיעה...</w:t>
      </w:r>
      <w:r w:rsidRPr="00987F99">
        <w:rPr>
          <w:rFonts w:ascii="David" w:eastAsia="Calibri" w:hAnsi="David"/>
          <w:rtl/>
        </w:rPr>
        <w:t>". עוד נקבע כי: "</w:t>
      </w:r>
      <w:r w:rsidRPr="00987F99">
        <w:rPr>
          <w:rFonts w:ascii="David" w:eastAsia="Calibri" w:hAnsi="David"/>
          <w:b/>
          <w:bCs/>
          <w:rtl/>
        </w:rPr>
        <w:t xml:space="preserve">נוכח הקביעה העובדתית, המתבססת על ראיות ישירות, כי הנאשם כיוון נשקו וירה לעבר </w:t>
      </w:r>
      <w:r w:rsidR="00CC6733" w:rsidRPr="00CC6733">
        <w:rPr>
          <w:rFonts w:ascii="David" w:eastAsia="Calibri" w:hAnsi="David"/>
          <w:rtl/>
        </w:rPr>
        <w:t>[ת.מ]</w:t>
      </w:r>
      <w:r w:rsidRPr="00987F99">
        <w:rPr>
          <w:rFonts w:ascii="David" w:eastAsia="Calibri" w:hAnsi="David"/>
          <w:b/>
          <w:bCs/>
          <w:rtl/>
        </w:rPr>
        <w:t xml:space="preserve">, הרי שחזקת הכוונה מלמדת כי הנאשם התכוון לרצוח את </w:t>
      </w:r>
      <w:r w:rsidR="00CC6733">
        <w:rPr>
          <w:rFonts w:ascii="David" w:eastAsia="Calibri" w:hAnsi="David"/>
          <w:b/>
          <w:bCs/>
          <w:rtl/>
        </w:rPr>
        <w:t>[ת.מ]</w:t>
      </w:r>
      <w:r w:rsidRPr="00987F99">
        <w:rPr>
          <w:rFonts w:ascii="David" w:eastAsia="Calibri" w:hAnsi="David"/>
          <w:b/>
          <w:bCs/>
          <w:rtl/>
        </w:rPr>
        <w:t xml:space="preserve"> בירי לעברו... וחזקה עליו שאם ביצע ירי בנסיבות אלה הרי שצפה את התוצאה הקטלנית שעלול הירי להסב, ואף רצה במימוש התוצאה הקטלנית...</w:t>
      </w:r>
      <w:r w:rsidRPr="00987F99">
        <w:rPr>
          <w:rFonts w:ascii="David" w:eastAsia="Calibri" w:hAnsi="David"/>
          <w:rtl/>
        </w:rPr>
        <w:t xml:space="preserve">" (עמ' 81). </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 xml:space="preserve">באשר לרכיב "העדר הקנטור", זה יפורט באריכות בהמשכה של הכרעת הדין. בשלב זה רק נציין כי בית המשפט קבע כי גם אם לצורך הדיון תתקבל ההנחה לפיה הנאשם הושפע סובייקטיבית מאירועי אותו יום, הרי שמבחינה אובייקטיבית אין לקבל כי "אדם סביר" עשוי היה לנסות ולקפח חייו של אחר בשל רוגזו על הליכי עיקול לא מוצדקים לתפיסתו. </w:t>
      </w:r>
    </w:p>
    <w:p w:rsidR="00987F99" w:rsidRPr="00987F99" w:rsidRDefault="00987F99" w:rsidP="00987F99">
      <w:pPr>
        <w:spacing w:before="120" w:after="120" w:line="360" w:lineRule="auto"/>
        <w:jc w:val="center"/>
        <w:rPr>
          <w:rFonts w:ascii="David" w:eastAsia="Calibri" w:hAnsi="David"/>
          <w:b/>
          <w:bCs/>
          <w:u w:val="single"/>
          <w:rtl/>
        </w:rPr>
      </w:pPr>
      <w:r w:rsidRPr="00987F99">
        <w:rPr>
          <w:rFonts w:ascii="David" w:eastAsia="Calibri" w:hAnsi="David"/>
          <w:b/>
          <w:bCs/>
          <w:u w:val="single"/>
          <w:rtl/>
        </w:rPr>
        <w:lastRenderedPageBreak/>
        <w:t>ראיות הצדדים בתיק שלפנינו:</w:t>
      </w:r>
    </w:p>
    <w:p w:rsidR="00987F99" w:rsidRPr="00987F99" w:rsidRDefault="00987F99" w:rsidP="00CC6733">
      <w:pPr>
        <w:spacing w:before="120" w:after="120" w:line="360" w:lineRule="auto"/>
        <w:jc w:val="both"/>
        <w:rPr>
          <w:rFonts w:ascii="David" w:eastAsia="Calibri" w:hAnsi="David"/>
          <w:rtl/>
        </w:rPr>
      </w:pPr>
      <w:r w:rsidRPr="00987F99">
        <w:rPr>
          <w:rFonts w:ascii="David" w:eastAsia="Calibri" w:hAnsi="David"/>
          <w:rtl/>
        </w:rPr>
        <w:t>מתוך שהכרעת הדין בתיק ניסיון הרצח היא חלוטה, המאשימה ביקשה להתבסס על קביעותיו העובדתיות והמשפטיות של בית המשפט. בהקשר לשאלת הקשר הסיבתי עובדתי, המאשימה העידה את המומחה מטעמה, פרופ' נמרוד מימון וכן את אשת המנוח, הגב' י</w:t>
      </w:r>
      <w:r w:rsidR="00CC6733">
        <w:rPr>
          <w:rFonts w:ascii="David" w:eastAsia="Calibri" w:hAnsi="David" w:hint="cs"/>
          <w:rtl/>
        </w:rPr>
        <w:t>.מ</w:t>
      </w:r>
      <w:r w:rsidRPr="00987F99">
        <w:rPr>
          <w:rFonts w:ascii="David" w:eastAsia="Calibri" w:hAnsi="David"/>
          <w:rtl/>
        </w:rPr>
        <w:t xml:space="preserve">. מטעם ההגנה לא נשמעו עדים. המוצגים שהוגשו במסגרת תיק ניסיון הרצח שימשו כמוצגים גם במסגרת תיקנו. בנוסף, הוגשו בהסכמה מסמכים רפואיים מאשפוזים קודמים של המנוח וכן מהאשפוז האחרון במהלכו נפטר (ת/21-ת/29, נ/1).  </w:t>
      </w:r>
    </w:p>
    <w:p w:rsidR="00987F99" w:rsidRPr="00987F99" w:rsidRDefault="00987F99" w:rsidP="00987F99">
      <w:pPr>
        <w:spacing w:after="160" w:line="256" w:lineRule="auto"/>
        <w:rPr>
          <w:rFonts w:ascii="David" w:eastAsia="Calibri" w:hAnsi="David"/>
          <w:b/>
          <w:bCs/>
          <w:u w:val="single"/>
          <w:rtl/>
        </w:rPr>
      </w:pPr>
      <w:r w:rsidRPr="00987F99">
        <w:rPr>
          <w:rFonts w:ascii="David" w:eastAsia="Calibri" w:hAnsi="David"/>
          <w:b/>
          <w:bCs/>
          <w:u w:val="single"/>
          <w:rtl/>
        </w:rPr>
        <w:t>חוות הדעת של פרופ' נמרוד מימון- ת/4 (ביחס לקשר הסיבתי העובדתי):</w:t>
      </w:r>
    </w:p>
    <w:p w:rsidR="00987F99" w:rsidRPr="00987F99" w:rsidRDefault="00987F99" w:rsidP="0095140D">
      <w:pPr>
        <w:spacing w:before="120" w:after="120" w:line="360" w:lineRule="auto"/>
        <w:jc w:val="both"/>
        <w:rPr>
          <w:rFonts w:ascii="David" w:eastAsia="Calibri" w:hAnsi="David"/>
          <w:rtl/>
        </w:rPr>
      </w:pPr>
      <w:r w:rsidRPr="00987F99">
        <w:rPr>
          <w:rFonts w:ascii="David" w:eastAsia="Calibri" w:hAnsi="David"/>
          <w:rtl/>
        </w:rPr>
        <w:t xml:space="preserve">חוות דעתו הכתובה של פרופ' מימון הוגשה חלף עדות ראשית וסומנה ת/4. בהתייחסו לפציעתו של </w:t>
      </w:r>
      <w:r w:rsidR="00CC6733">
        <w:rPr>
          <w:rFonts w:ascii="David" w:eastAsia="Calibri" w:hAnsi="David"/>
          <w:rtl/>
        </w:rPr>
        <w:t>ת.מ</w:t>
      </w:r>
      <w:r w:rsidRPr="00987F99">
        <w:rPr>
          <w:rFonts w:ascii="David" w:eastAsia="Calibri" w:hAnsi="David"/>
          <w:rtl/>
        </w:rPr>
        <w:t xml:space="preserve"> כתוצאה מהירי בראשו מפורט:</w:t>
      </w:r>
    </w:p>
    <w:p w:rsidR="00987F99" w:rsidRPr="00987F99" w:rsidRDefault="00987F99" w:rsidP="0095140D">
      <w:pPr>
        <w:spacing w:before="120" w:after="120"/>
        <w:jc w:val="both"/>
        <w:rPr>
          <w:rFonts w:ascii="David" w:eastAsia="Calibri" w:hAnsi="David"/>
          <w:b/>
          <w:bCs/>
          <w:rtl/>
        </w:rPr>
      </w:pPr>
      <w:r w:rsidRPr="00987F99">
        <w:rPr>
          <w:rFonts w:ascii="David" w:eastAsia="Calibri" w:hAnsi="David"/>
          <w:rtl/>
        </w:rPr>
        <w:t>"</w:t>
      </w:r>
      <w:r w:rsidRPr="00987F99">
        <w:rPr>
          <w:rFonts w:ascii="David" w:eastAsia="Calibri" w:hAnsi="David"/>
          <w:b/>
          <w:bCs/>
          <w:rtl/>
        </w:rPr>
        <w:t xml:space="preserve">בן 44, נ+3, מטופל סיעודי לאחר פצע ירי, מתגורר בבית עם אשתו וילדיו, עם מטפל 24 שעות, נמצא במועדון ליד הבית בשעות היום. מצב לאחר קרניאקטומיה ב-1/2015 לאחר פצע ירי מוחי ועיוורון בעקבות כך. במצבו הבסיסי אינו מדבר אך מגיב לקול ומבצע פקודות פשוטות לסירוגין. היה ב-29/09/2016 במהלך של ניסיון שיקום בבית החולים השיקומי – לווינשטיין ברעננה. מאז שחרורו – ובארבע השנים האחרונות נמצא במעקב מרפאת שיקום, כלכלה מקבל דרך </w:t>
      </w:r>
      <w:r w:rsidRPr="00987F99">
        <w:rPr>
          <w:rFonts w:ascii="David" w:eastAsia="Calibri" w:hAnsi="David"/>
          <w:b/>
          <w:bCs/>
          <w:sz w:val="20"/>
          <w:szCs w:val="20"/>
        </w:rPr>
        <w:t>PEG</w:t>
      </w:r>
      <w:r w:rsidRPr="00987F99">
        <w:rPr>
          <w:rFonts w:ascii="David" w:eastAsia="Calibri" w:hAnsi="David"/>
          <w:b/>
          <w:bCs/>
          <w:rtl/>
        </w:rPr>
        <w:t>. מטופל באופן קבוע ב-</w:t>
      </w:r>
      <w:r w:rsidRPr="00987F99">
        <w:rPr>
          <w:rFonts w:ascii="David" w:eastAsia="Calibri" w:hAnsi="David"/>
          <w:b/>
          <w:bCs/>
          <w:sz w:val="20"/>
          <w:szCs w:val="20"/>
        </w:rPr>
        <w:t>TEGRETOL</w:t>
      </w:r>
      <w:r w:rsidRPr="00987F99">
        <w:rPr>
          <w:rFonts w:ascii="David" w:eastAsia="Calibri" w:hAnsi="David"/>
          <w:b/>
          <w:bCs/>
          <w:rtl/>
        </w:rPr>
        <w:t xml:space="preserve"> עקב התקפים אפילפטיים</w:t>
      </w:r>
      <w:r w:rsidRPr="00987F99">
        <w:rPr>
          <w:rFonts w:ascii="David" w:eastAsia="Calibri" w:hAnsi="David"/>
          <w:rtl/>
        </w:rPr>
        <w:t>".</w:t>
      </w:r>
      <w:r w:rsidRPr="00987F99">
        <w:rPr>
          <w:rFonts w:ascii="David" w:eastAsia="Calibri" w:hAnsi="David"/>
          <w:b/>
          <w:bCs/>
          <w:rtl/>
        </w:rPr>
        <w:t xml:space="preserve">  </w:t>
      </w:r>
    </w:p>
    <w:p w:rsidR="00987F99" w:rsidRPr="00987F99" w:rsidRDefault="00987F99" w:rsidP="0095140D">
      <w:pPr>
        <w:spacing w:before="120" w:after="120"/>
        <w:jc w:val="both"/>
        <w:rPr>
          <w:rFonts w:ascii="David" w:eastAsia="Calibri" w:hAnsi="David"/>
          <w:rtl/>
        </w:rPr>
      </w:pPr>
      <w:r w:rsidRPr="00987F99">
        <w:rPr>
          <w:rFonts w:ascii="David" w:eastAsia="Calibri" w:hAnsi="David"/>
          <w:rtl/>
        </w:rPr>
        <w:t>בפרק "מהלך האשפוז הנוכחי" מפורט:</w:t>
      </w:r>
    </w:p>
    <w:p w:rsidR="00987F99" w:rsidRPr="00987F99" w:rsidRDefault="00987F99" w:rsidP="0095140D">
      <w:pPr>
        <w:spacing w:before="120" w:after="120"/>
        <w:jc w:val="both"/>
        <w:rPr>
          <w:rFonts w:ascii="David" w:eastAsia="Calibri" w:hAnsi="David"/>
          <w:rtl/>
        </w:rPr>
      </w:pPr>
      <w:r w:rsidRPr="00987F99">
        <w:rPr>
          <w:rFonts w:ascii="David" w:eastAsia="Calibri" w:hAnsi="David"/>
          <w:rtl/>
        </w:rPr>
        <w:t xml:space="preserve"> "</w:t>
      </w:r>
      <w:r w:rsidRPr="00987F99">
        <w:rPr>
          <w:rFonts w:ascii="David" w:eastAsia="Calibri" w:hAnsi="David"/>
          <w:b/>
          <w:bCs/>
          <w:rtl/>
        </w:rPr>
        <w:t xml:space="preserve">בהעדר יכולת לתקשר עם המטופל – גם בשל מצבו הבסיסי וגם בשל ההחמרה הנוכחית – האנמנזה נלקחה מפי המטפלת ואשתו: התקבל ב-14/02/2020 למחלקתי לאחר ירידה במצבו הכללי. תואר שמיום פנייתו הופיעו חרחורים גסים ונמדד בבית חום גוף נמוך של 32.6, לאחר חימום נרשמה עלייה בחום הגוף ל-34, תוארה גם דה-סטורציה של 84%. אשתו מציינת כי במיון הייתה אספירציה (שאיפת תוכן הפה לתוך דרכי האוויר) ונמצאה כמות גדולה של נוזל האכלה מסוג </w:t>
      </w:r>
      <w:r w:rsidRPr="00987F99">
        <w:rPr>
          <w:rFonts w:ascii="David" w:eastAsia="Calibri" w:hAnsi="David"/>
          <w:b/>
          <w:bCs/>
          <w:sz w:val="20"/>
          <w:szCs w:val="20"/>
        </w:rPr>
        <w:t>JEVITY</w:t>
      </w:r>
      <w:r w:rsidRPr="00987F99">
        <w:rPr>
          <w:rFonts w:ascii="David" w:eastAsia="Calibri" w:hAnsi="David"/>
          <w:b/>
          <w:bCs/>
          <w:sz w:val="20"/>
          <w:szCs w:val="20"/>
          <w:rtl/>
        </w:rPr>
        <w:t xml:space="preserve"> </w:t>
      </w:r>
      <w:r w:rsidRPr="00987F99">
        <w:rPr>
          <w:rFonts w:ascii="David" w:eastAsia="Calibri" w:hAnsi="David"/>
          <w:b/>
          <w:bCs/>
          <w:rtl/>
        </w:rPr>
        <w:t>בחלל הפה ועל הבגדים. לציין, לפני כשבוע סיים קורס של אוגמנטין וחודש קודם לכן קורס נוסף אנטיביוטי בשל אירועים זיהומיים נשימתיים. עוד לציין כי לפני כשבוע אירוע של פרכוס משני לאי נטילת טרגטול בגלל מחסור של התרופה בבית המרקחת</w:t>
      </w:r>
      <w:r w:rsidRPr="00987F99">
        <w:rPr>
          <w:rFonts w:ascii="David" w:eastAsia="Calibri" w:hAnsi="David"/>
          <w:rtl/>
        </w:rPr>
        <w:t xml:space="preserve">". </w:t>
      </w:r>
    </w:p>
    <w:p w:rsidR="00987F99" w:rsidRPr="00987F99" w:rsidRDefault="00987F99" w:rsidP="0095140D">
      <w:pPr>
        <w:spacing w:before="120" w:after="120" w:line="360" w:lineRule="auto"/>
        <w:contextualSpacing/>
        <w:jc w:val="both"/>
        <w:rPr>
          <w:rFonts w:ascii="David" w:eastAsia="Calibri" w:hAnsi="David"/>
          <w:rtl/>
        </w:rPr>
      </w:pPr>
      <w:r w:rsidRPr="00987F99">
        <w:rPr>
          <w:rFonts w:ascii="David" w:eastAsia="Calibri" w:hAnsi="David"/>
          <w:rtl/>
        </w:rPr>
        <w:t xml:space="preserve">בפרק "אשפוזי העבר" מפורט: </w:t>
      </w:r>
    </w:p>
    <w:p w:rsidR="00987F99" w:rsidRPr="00987F99" w:rsidRDefault="00987F99" w:rsidP="0095140D">
      <w:pPr>
        <w:spacing w:before="120" w:after="120"/>
        <w:contextualSpacing/>
        <w:jc w:val="both"/>
        <w:rPr>
          <w:rFonts w:ascii="David" w:eastAsia="Calibri" w:hAnsi="David"/>
          <w:b/>
          <w:bCs/>
          <w:rtl/>
        </w:rPr>
      </w:pPr>
      <w:r w:rsidRPr="00987F99">
        <w:rPr>
          <w:rFonts w:ascii="David" w:eastAsia="Calibri" w:hAnsi="David"/>
          <w:rtl/>
        </w:rPr>
        <w:t>"</w:t>
      </w:r>
      <w:r w:rsidRPr="00987F99">
        <w:rPr>
          <w:rFonts w:ascii="David" w:eastAsia="Calibri" w:hAnsi="David"/>
          <w:b/>
          <w:bCs/>
          <w:rtl/>
        </w:rPr>
        <w:t xml:space="preserve">אשפוז ממנו שוחרר ב-02/2017 – אז התייצג עם נתרן 115 ופרכוס... הטיפול במינרין הופסק והנתרן השתפר – 126 סוכם על ידי ד"ר האוזמן כי ההיפונרתמיה כנראה נגרמה עקב עליה ברמות מינרין או עקב גורם אחר כדוגמת הפרכוס. הטיפול במינרין חודש בשחרור. האירוע הפרכוסי היה חד פעמי, גורם אפשרי – רמת טרגטול שהייתה מעט נמוכה... מקור אפשרי נוסף היפונרתמיה הוא תהליך זיהומי – במהלך האשפוז היו דה-סטורציות, ליחה, ליקופניה... בצילום חזה – הצללה באונה שמאלית, ככל הנראה משני לאספירציה טופל בפלג'יל וציפרוקסין. </w:t>
      </w:r>
    </w:p>
    <w:p w:rsidR="00987F99" w:rsidRPr="00987F99" w:rsidRDefault="00987F99" w:rsidP="0095140D">
      <w:pPr>
        <w:spacing w:before="120" w:after="120"/>
        <w:jc w:val="both"/>
        <w:rPr>
          <w:rFonts w:ascii="David" w:eastAsia="Calibri" w:hAnsi="David"/>
          <w:b/>
          <w:bCs/>
          <w:rtl/>
        </w:rPr>
      </w:pPr>
      <w:r w:rsidRPr="00987F99">
        <w:rPr>
          <w:rFonts w:ascii="David" w:eastAsia="Calibri" w:hAnsi="David"/>
          <w:b/>
          <w:bCs/>
          <w:rtl/>
        </w:rPr>
        <w:t xml:space="preserve">אשפוז ב-01/2017 –  התקבל להשגחה לאחר החלפת פג שהסתבכה, במהלך השאיפה נקרעה פטריית הפג הבלויה. לאור חשש לאספירציה של הפטרייה... בוצעה הרדמה כללית... בוצעה לבסוף שליפה של הפטרייה מחלל הקיבה. בסיום הפעולה החולה עבר אקסטובציה מוצלחת. </w:t>
      </w:r>
    </w:p>
    <w:p w:rsidR="00987F99" w:rsidRPr="00987F99" w:rsidRDefault="00987F99" w:rsidP="0095140D">
      <w:pPr>
        <w:spacing w:before="120" w:after="120"/>
        <w:jc w:val="both"/>
        <w:rPr>
          <w:rFonts w:ascii="David" w:eastAsia="Calibri" w:hAnsi="David"/>
          <w:b/>
          <w:bCs/>
          <w:rtl/>
        </w:rPr>
      </w:pPr>
      <w:r w:rsidRPr="00987F99">
        <w:rPr>
          <w:rFonts w:ascii="David" w:eastAsia="Calibri" w:hAnsi="David"/>
          <w:b/>
          <w:bCs/>
          <w:rtl/>
        </w:rPr>
        <w:t xml:space="preserve">אשפוז ב-12/2016 – הגיע עם מחלת חום היפונתרמיה, הופעת פרכוסים והקאות עם תוכן </w:t>
      </w:r>
      <w:r w:rsidRPr="00987F99">
        <w:rPr>
          <w:rFonts w:ascii="David" w:eastAsia="Calibri" w:hAnsi="David"/>
          <w:b/>
          <w:bCs/>
          <w:sz w:val="20"/>
          <w:szCs w:val="20"/>
        </w:rPr>
        <w:t>COFFEE GROUND</w:t>
      </w:r>
      <w:r w:rsidRPr="00987F99">
        <w:rPr>
          <w:rFonts w:ascii="David" w:eastAsia="Calibri" w:hAnsi="David"/>
          <w:b/>
          <w:bCs/>
          <w:rtl/>
        </w:rPr>
        <w:t>. בוצע סי טי מוח שהיה ללא שינוי יחסית לסי טי קודם...</w:t>
      </w:r>
    </w:p>
    <w:p w:rsidR="00987F99" w:rsidRPr="00987F99" w:rsidRDefault="00987F99" w:rsidP="0095140D">
      <w:pPr>
        <w:spacing w:before="120" w:after="120"/>
        <w:jc w:val="both"/>
        <w:rPr>
          <w:rFonts w:ascii="David" w:eastAsia="Calibri" w:hAnsi="David"/>
          <w:rtl/>
        </w:rPr>
      </w:pPr>
      <w:r w:rsidRPr="00987F99">
        <w:rPr>
          <w:rFonts w:ascii="David" w:eastAsia="Calibri" w:hAnsi="David"/>
          <w:b/>
          <w:bCs/>
          <w:rtl/>
        </w:rPr>
        <w:t>המהלך הרפואי החל בשישי לינואר 2015 כשהובא לבית החולים לאחר פצע ירי בראש. באותה פגיעת ראש עבר מספר התערבויות ניתוחיות...</w:t>
      </w:r>
      <w:r w:rsidRPr="00987F99">
        <w:rPr>
          <w:rFonts w:ascii="David" w:eastAsia="Calibri" w:hAnsi="David"/>
          <w:rtl/>
        </w:rPr>
        <w:t xml:space="preserve">". </w:t>
      </w:r>
    </w:p>
    <w:p w:rsidR="00987F99" w:rsidRPr="00987F99" w:rsidRDefault="00987F99" w:rsidP="0095140D">
      <w:pPr>
        <w:spacing w:before="120" w:after="120"/>
        <w:jc w:val="both"/>
        <w:rPr>
          <w:rFonts w:ascii="David" w:eastAsia="Calibri" w:hAnsi="David"/>
          <w:rtl/>
        </w:rPr>
      </w:pPr>
      <w:r w:rsidRPr="00987F99">
        <w:rPr>
          <w:rFonts w:ascii="David" w:eastAsia="Calibri" w:hAnsi="David"/>
          <w:rtl/>
        </w:rPr>
        <w:lastRenderedPageBreak/>
        <w:t>בפרק הסיכום מפורט:</w:t>
      </w:r>
    </w:p>
    <w:p w:rsidR="00987F99" w:rsidRPr="00987F99" w:rsidRDefault="00987F99" w:rsidP="00CC6733">
      <w:pPr>
        <w:spacing w:before="120" w:after="120"/>
        <w:jc w:val="both"/>
        <w:rPr>
          <w:rFonts w:ascii="David" w:eastAsia="Calibri" w:hAnsi="David"/>
          <w:rtl/>
        </w:rPr>
      </w:pPr>
      <w:r w:rsidRPr="00987F99">
        <w:rPr>
          <w:rFonts w:ascii="David" w:eastAsia="Calibri" w:hAnsi="David"/>
          <w:rtl/>
        </w:rPr>
        <w:t>"</w:t>
      </w:r>
      <w:r w:rsidRPr="00987F99">
        <w:rPr>
          <w:rFonts w:ascii="David" w:eastAsia="Calibri" w:hAnsi="David"/>
          <w:b/>
          <w:bCs/>
          <w:rtl/>
        </w:rPr>
        <w:t xml:space="preserve">מר </w:t>
      </w:r>
      <w:r w:rsidR="00CC6733" w:rsidRPr="00CC6733">
        <w:rPr>
          <w:rFonts w:ascii="David" w:eastAsia="Calibri" w:hAnsi="David" w:hint="cs"/>
          <w:rtl/>
        </w:rPr>
        <w:t>[מ']</w:t>
      </w:r>
      <w:r w:rsidRPr="00987F99">
        <w:rPr>
          <w:rFonts w:ascii="David" w:eastAsia="Calibri" w:hAnsi="David"/>
          <w:b/>
          <w:bCs/>
          <w:rtl/>
        </w:rPr>
        <w:t xml:space="preserve"> ללא מחלות רקע קודמות הפך בחמש השנים האחרונות לנכה, מוגבל בתפקודו היומיומי ובעקבות השכיבה הממושכת והנטייה להתקפי אפילפסיה פיתח אירועים חוזרים של זיהומים נשימתיים משניים לאספירציות חוזרות. במהלך האשפוז הנוכחי לאחר שלושה אירועי אספירציה שאחד מהם התרחש ממש לנגד עיני הצוות, פיתח כשל נשימתי, היה צורך לחברו למכונת ההנשמה והועבר במצב ספטי להמשך טיפול במסגרת טיפול נמרץ כללי. שם, חרף מאמצי היחידה לנסות ולעזור לו – כשל ונפטר בתאריך 20.02.2020</w:t>
      </w:r>
      <w:r w:rsidRPr="00987F99">
        <w:rPr>
          <w:rFonts w:ascii="David" w:eastAsia="Calibri" w:hAnsi="David"/>
          <w:rtl/>
        </w:rPr>
        <w:t>".</w:t>
      </w:r>
    </w:p>
    <w:p w:rsidR="00987F99" w:rsidRPr="00987F99" w:rsidRDefault="00987F99" w:rsidP="0095140D">
      <w:pPr>
        <w:spacing w:before="120" w:after="120" w:line="360" w:lineRule="auto"/>
        <w:jc w:val="both"/>
        <w:rPr>
          <w:rFonts w:ascii="David" w:eastAsia="Calibri" w:hAnsi="David"/>
          <w:rtl/>
        </w:rPr>
      </w:pPr>
      <w:r w:rsidRPr="00987F99">
        <w:rPr>
          <w:rFonts w:ascii="David" w:eastAsia="Calibri" w:hAnsi="David"/>
          <w:rtl/>
        </w:rPr>
        <w:t xml:space="preserve">בפרק "הדיון" מפורט: </w:t>
      </w:r>
    </w:p>
    <w:p w:rsidR="00987F99" w:rsidRPr="00987F99" w:rsidRDefault="00987F99" w:rsidP="0095140D">
      <w:pPr>
        <w:spacing w:before="120" w:after="120"/>
        <w:jc w:val="both"/>
        <w:rPr>
          <w:rFonts w:ascii="David" w:eastAsia="Calibri" w:hAnsi="David"/>
          <w:b/>
          <w:bCs/>
          <w:rtl/>
        </w:rPr>
      </w:pPr>
      <w:r w:rsidRPr="00987F99">
        <w:rPr>
          <w:rFonts w:ascii="David" w:eastAsia="Calibri" w:hAnsi="David"/>
          <w:rtl/>
        </w:rPr>
        <w:t>"</w:t>
      </w:r>
      <w:r w:rsidRPr="00987F99">
        <w:rPr>
          <w:rFonts w:ascii="David" w:eastAsia="Calibri" w:hAnsi="David"/>
          <w:b/>
          <w:bCs/>
          <w:rtl/>
        </w:rPr>
        <w:t xml:space="preserve">לאחר עיון קפדני במסמכים הרפואיים שעמדו לרשותי, התרשמתי ש- </w:t>
      </w:r>
    </w:p>
    <w:p w:rsidR="00987F99" w:rsidRPr="00987F99" w:rsidRDefault="00987F99" w:rsidP="008E5FF0">
      <w:pPr>
        <w:numPr>
          <w:ilvl w:val="0"/>
          <w:numId w:val="8"/>
        </w:numPr>
        <w:spacing w:before="120" w:after="120" w:line="256" w:lineRule="auto"/>
        <w:jc w:val="both"/>
        <w:rPr>
          <w:rFonts w:ascii="David" w:eastAsia="Calibri" w:hAnsi="David"/>
          <w:b/>
          <w:bCs/>
          <w:rtl/>
        </w:rPr>
      </w:pPr>
      <w:r w:rsidRPr="00987F99">
        <w:rPr>
          <w:rFonts w:ascii="David" w:eastAsia="Calibri" w:hAnsi="David"/>
          <w:b/>
          <w:bCs/>
          <w:rtl/>
        </w:rPr>
        <w:t xml:space="preserve">מר </w:t>
      </w:r>
      <w:r w:rsidR="00CC6733" w:rsidRPr="00CC6733">
        <w:rPr>
          <w:rFonts w:ascii="David" w:eastAsia="Calibri" w:hAnsi="David" w:hint="cs"/>
          <w:rtl/>
        </w:rPr>
        <w:t>[</w:t>
      </w:r>
      <w:r w:rsidR="008E5FF0">
        <w:rPr>
          <w:rFonts w:ascii="David" w:eastAsia="Calibri" w:hAnsi="David" w:hint="cs"/>
          <w:rtl/>
        </w:rPr>
        <w:t>מ'</w:t>
      </w:r>
      <w:r w:rsidR="00CC6733" w:rsidRPr="00CC6733">
        <w:rPr>
          <w:rFonts w:ascii="David" w:eastAsia="Calibri" w:hAnsi="David" w:hint="cs"/>
          <w:rtl/>
        </w:rPr>
        <w:t>]</w:t>
      </w:r>
      <w:r w:rsidRPr="00987F99">
        <w:rPr>
          <w:rFonts w:ascii="David" w:eastAsia="Calibri" w:hAnsi="David"/>
          <w:b/>
          <w:bCs/>
          <w:rtl/>
        </w:rPr>
        <w:t xml:space="preserve"> סבל מפגיעה מוחית חמורה שהביאה לקושי בשליטה בדרכי האוויר ובהפרשות מהן.</w:t>
      </w:r>
    </w:p>
    <w:p w:rsidR="00987F99" w:rsidRPr="00987F99" w:rsidRDefault="00987F99" w:rsidP="0095140D">
      <w:pPr>
        <w:numPr>
          <w:ilvl w:val="0"/>
          <w:numId w:val="8"/>
        </w:numPr>
        <w:spacing w:before="120" w:after="120" w:line="256" w:lineRule="auto"/>
        <w:contextualSpacing/>
        <w:jc w:val="both"/>
        <w:rPr>
          <w:rFonts w:ascii="David" w:eastAsia="Calibri" w:hAnsi="David"/>
          <w:b/>
          <w:bCs/>
        </w:rPr>
      </w:pPr>
      <w:r w:rsidRPr="00987F99">
        <w:rPr>
          <w:rFonts w:ascii="David" w:eastAsia="Calibri" w:hAnsi="David"/>
          <w:b/>
          <w:bCs/>
          <w:rtl/>
        </w:rPr>
        <w:t xml:space="preserve">בעקבות בעיה זאת היה חשוף לאורך השנים למספר אירועים זיהומיים של דרכי האוויר והריאות שהביאו אותו להזדקק לאשפוז מספר פעמים. </w:t>
      </w:r>
    </w:p>
    <w:p w:rsidR="00987F99" w:rsidRPr="00987F99" w:rsidRDefault="00987F99" w:rsidP="0095140D">
      <w:pPr>
        <w:numPr>
          <w:ilvl w:val="0"/>
          <w:numId w:val="8"/>
        </w:numPr>
        <w:spacing w:before="120" w:after="120" w:line="256" w:lineRule="auto"/>
        <w:contextualSpacing/>
        <w:jc w:val="both"/>
        <w:rPr>
          <w:rFonts w:ascii="David" w:eastAsia="Calibri" w:hAnsi="David"/>
          <w:b/>
          <w:bCs/>
        </w:rPr>
      </w:pPr>
      <w:r w:rsidRPr="00987F99">
        <w:rPr>
          <w:rFonts w:ascii="David" w:eastAsia="Calibri" w:hAnsi="David"/>
          <w:b/>
          <w:bCs/>
          <w:rtl/>
        </w:rPr>
        <w:t xml:space="preserve">האשפוז האחרון נבע מאירוע דלקת ריאות נוסף שנבע מאספירציה. במהלך האשפוז במחלקתי התרחשו מספר אירועי אספירציה נוספים שהאחרון ביניהם התרחש ב- 16/02/2016 ממש אל מול עיניי – בעת שאיבחנתי את הכשל הנשימתי לא נותרה לי ברירה אלא לחברו למכונת ההנשמה ולהעבירו ליחידה לטיפול נמרץ שם נפטר לאחר מספר ימים. </w:t>
      </w:r>
    </w:p>
    <w:p w:rsidR="00987F99" w:rsidRPr="00987F99" w:rsidRDefault="00987F99" w:rsidP="0095140D">
      <w:pPr>
        <w:spacing w:before="120" w:after="120"/>
        <w:jc w:val="both"/>
        <w:rPr>
          <w:rFonts w:ascii="David" w:eastAsia="Calibri" w:hAnsi="David"/>
          <w:b/>
          <w:bCs/>
        </w:rPr>
      </w:pPr>
      <w:r w:rsidRPr="00987F99">
        <w:rPr>
          <w:rFonts w:ascii="David" w:eastAsia="Calibri" w:hAnsi="David"/>
          <w:b/>
          <w:bCs/>
          <w:rtl/>
        </w:rPr>
        <w:t xml:space="preserve">האבחנה של </w:t>
      </w:r>
      <w:r w:rsidRPr="00987F99">
        <w:rPr>
          <w:rFonts w:ascii="David" w:eastAsia="Calibri" w:hAnsi="David"/>
          <w:b/>
          <w:bCs/>
          <w:sz w:val="20"/>
          <w:szCs w:val="20"/>
        </w:rPr>
        <w:t>ASPIRATION PNEUMONIA</w:t>
      </w:r>
      <w:r w:rsidRPr="00987F99">
        <w:rPr>
          <w:rFonts w:ascii="David" w:eastAsia="Calibri" w:hAnsi="David"/>
          <w:b/>
          <w:bCs/>
          <w:rtl/>
        </w:rPr>
        <w:t xml:space="preserve"> נתמכת בסימפטומים (שיעול פרודוקטיבי, חנק), סימניו החיוניים (ירידה בסטורציה ועליית חום הגוף) בדיקתו הגופית – (חרחורים גסים והאזנה לריאות) המראה הרדיולוגי של צילום החזה והתרשמות ישירה מאירוע אספירציה שהביא לכשל נשימתי וצורך באינטובציה. </w:t>
      </w:r>
    </w:p>
    <w:p w:rsidR="00987F99" w:rsidRPr="00987F99" w:rsidRDefault="00987F99" w:rsidP="00CC6733">
      <w:pPr>
        <w:spacing w:after="160"/>
        <w:jc w:val="both"/>
        <w:rPr>
          <w:rFonts w:ascii="David" w:eastAsia="Calibri" w:hAnsi="David"/>
          <w:b/>
          <w:bCs/>
          <w:rtl/>
        </w:rPr>
      </w:pPr>
      <w:r w:rsidRPr="00987F99">
        <w:rPr>
          <w:rFonts w:ascii="David" w:eastAsia="Calibri" w:hAnsi="David"/>
          <w:b/>
          <w:bCs/>
          <w:rtl/>
        </w:rPr>
        <w:t xml:space="preserve">לסיכום, היות ונדיר מאוד לצפות דלקות ריאה חוזרות ואספירציות באדם צעיר אקבע שבמר </w:t>
      </w:r>
      <w:r w:rsidR="00CC6733" w:rsidRPr="00CC6733">
        <w:rPr>
          <w:rFonts w:ascii="David" w:eastAsia="Calibri" w:hAnsi="David" w:hint="cs"/>
          <w:rtl/>
        </w:rPr>
        <w:t>[מ']</w:t>
      </w:r>
      <w:r w:rsidR="00CC6733" w:rsidRPr="00987F99">
        <w:rPr>
          <w:rFonts w:ascii="David" w:eastAsia="Calibri" w:hAnsi="David"/>
          <w:b/>
          <w:bCs/>
          <w:rtl/>
        </w:rPr>
        <w:t xml:space="preserve"> </w:t>
      </w:r>
      <w:r w:rsidRPr="00987F99">
        <w:rPr>
          <w:rFonts w:ascii="David" w:eastAsia="Calibri" w:hAnsi="David"/>
          <w:b/>
          <w:bCs/>
          <w:rtl/>
        </w:rPr>
        <w:t>התקיימו מספר תנאים שהביאו למותו מכשל נשימתי משני לדלקת ריאות :</w:t>
      </w:r>
    </w:p>
    <w:p w:rsidR="00987F99" w:rsidRPr="00987F99" w:rsidRDefault="00987F99" w:rsidP="00987F99">
      <w:pPr>
        <w:numPr>
          <w:ilvl w:val="0"/>
          <w:numId w:val="9"/>
        </w:numPr>
        <w:spacing w:after="160" w:line="256" w:lineRule="auto"/>
        <w:contextualSpacing/>
        <w:jc w:val="both"/>
        <w:rPr>
          <w:rFonts w:ascii="David" w:eastAsia="Calibri" w:hAnsi="David"/>
          <w:b/>
          <w:bCs/>
          <w:rtl/>
        </w:rPr>
      </w:pPr>
      <w:r w:rsidRPr="00987F99">
        <w:rPr>
          <w:rFonts w:ascii="David" w:eastAsia="Calibri" w:hAnsi="David"/>
          <w:b/>
          <w:bCs/>
          <w:rtl/>
        </w:rPr>
        <w:t xml:space="preserve">הנטייה להתפתחות דלקות ריאה חוזרות משניות לאספירציה היא בעקבות מצבו הנוירולוגי והיותו מרותק למיטה. </w:t>
      </w:r>
    </w:p>
    <w:p w:rsidR="00987F99" w:rsidRPr="00987F99" w:rsidRDefault="00987F99" w:rsidP="00987F99">
      <w:pPr>
        <w:numPr>
          <w:ilvl w:val="0"/>
          <w:numId w:val="9"/>
        </w:numPr>
        <w:spacing w:after="160" w:line="256" w:lineRule="auto"/>
        <w:contextualSpacing/>
        <w:jc w:val="both"/>
        <w:rPr>
          <w:rFonts w:ascii="David" w:eastAsia="Calibri" w:hAnsi="David"/>
          <w:b/>
          <w:bCs/>
        </w:rPr>
      </w:pPr>
      <w:r w:rsidRPr="00987F99">
        <w:rPr>
          <w:rFonts w:ascii="David" w:eastAsia="Calibri" w:hAnsi="David"/>
          <w:b/>
          <w:bCs/>
          <w:rtl/>
        </w:rPr>
        <w:t xml:space="preserve">הריתוק למיטה היה משני לירי בראש מלפני חמש שנים. </w:t>
      </w:r>
    </w:p>
    <w:p w:rsidR="00987F99" w:rsidRPr="00987F99" w:rsidRDefault="00987F99" w:rsidP="0095140D">
      <w:pPr>
        <w:numPr>
          <w:ilvl w:val="0"/>
          <w:numId w:val="9"/>
        </w:numPr>
        <w:spacing w:before="120" w:after="120" w:line="256" w:lineRule="auto"/>
        <w:jc w:val="both"/>
        <w:rPr>
          <w:rFonts w:ascii="David" w:eastAsia="Calibri" w:hAnsi="David"/>
          <w:b/>
          <w:bCs/>
        </w:rPr>
      </w:pPr>
      <w:r w:rsidRPr="00987F99">
        <w:rPr>
          <w:rFonts w:ascii="David" w:eastAsia="Calibri" w:hAnsi="David"/>
          <w:b/>
          <w:bCs/>
          <w:rtl/>
        </w:rPr>
        <w:t>לכן אני קובע שהירייה בראשו מלפני חמש שנים – הביאה בהשתלשלות האירועים למותו בתאריך 20/02/2020</w:t>
      </w:r>
      <w:r w:rsidRPr="00987F99">
        <w:rPr>
          <w:rFonts w:ascii="David" w:eastAsia="Calibri" w:hAnsi="David"/>
          <w:rtl/>
        </w:rPr>
        <w:t>".</w:t>
      </w:r>
    </w:p>
    <w:p w:rsidR="00987F99" w:rsidRPr="00987F99" w:rsidRDefault="00987F99" w:rsidP="00CC6733">
      <w:pPr>
        <w:spacing w:before="120" w:after="120" w:line="360" w:lineRule="auto"/>
        <w:jc w:val="both"/>
        <w:rPr>
          <w:rFonts w:ascii="David" w:eastAsia="Calibri" w:hAnsi="David"/>
          <w:b/>
          <w:bCs/>
          <w:u w:val="single"/>
        </w:rPr>
      </w:pPr>
      <w:r w:rsidRPr="00987F99">
        <w:rPr>
          <w:rFonts w:ascii="David" w:eastAsia="Calibri" w:hAnsi="David"/>
          <w:b/>
          <w:bCs/>
          <w:u w:val="single"/>
          <w:rtl/>
        </w:rPr>
        <w:t>עדות אשת המנוח – י</w:t>
      </w:r>
      <w:r w:rsidR="00CC6733">
        <w:rPr>
          <w:rFonts w:ascii="David" w:eastAsia="Calibri" w:hAnsi="David" w:hint="cs"/>
          <w:b/>
          <w:bCs/>
          <w:u w:val="single"/>
          <w:rtl/>
        </w:rPr>
        <w:t>.מ</w:t>
      </w:r>
      <w:r w:rsidRPr="00987F99">
        <w:rPr>
          <w:rFonts w:ascii="David" w:eastAsia="Calibri" w:hAnsi="David"/>
          <w:b/>
          <w:bCs/>
          <w:u w:val="single"/>
          <w:rtl/>
        </w:rPr>
        <w:t>:</w:t>
      </w:r>
    </w:p>
    <w:p w:rsidR="00987F99" w:rsidRPr="00987F99" w:rsidRDefault="00987F99" w:rsidP="00CC6733">
      <w:pPr>
        <w:spacing w:before="120" w:after="120" w:line="360" w:lineRule="auto"/>
        <w:jc w:val="both"/>
        <w:rPr>
          <w:rFonts w:ascii="David" w:eastAsia="Calibri" w:hAnsi="David"/>
          <w:rtl/>
        </w:rPr>
      </w:pPr>
      <w:r w:rsidRPr="00987F99">
        <w:rPr>
          <w:rFonts w:ascii="David" w:eastAsia="Calibri" w:hAnsi="David"/>
          <w:rtl/>
        </w:rPr>
        <w:t>אשת המנוח, י</w:t>
      </w:r>
      <w:r w:rsidR="00CC6733">
        <w:rPr>
          <w:rFonts w:ascii="David" w:eastAsia="Calibri" w:hAnsi="David" w:hint="cs"/>
          <w:rtl/>
        </w:rPr>
        <w:t>.מ</w:t>
      </w:r>
      <w:r w:rsidRPr="00987F99">
        <w:rPr>
          <w:rFonts w:ascii="David" w:eastAsia="Calibri" w:hAnsi="David"/>
          <w:rtl/>
        </w:rPr>
        <w:t xml:space="preserve">, מסרה הודעה במשטרה ביום 22.4.20 שהוגשה בהסכמה (ת/1). בהודעה זו היא מפרטת את מצבו הבריאותי של </w:t>
      </w:r>
      <w:r w:rsidR="00CC6733">
        <w:rPr>
          <w:rFonts w:ascii="David" w:eastAsia="Calibri" w:hAnsi="David"/>
          <w:rtl/>
        </w:rPr>
        <w:t>ת.מ</w:t>
      </w:r>
      <w:r w:rsidRPr="00987F99">
        <w:rPr>
          <w:rFonts w:ascii="David" w:eastAsia="Calibri" w:hAnsi="David"/>
          <w:rtl/>
        </w:rPr>
        <w:t xml:space="preserve"> לפני הפציעה ולאחריה. לדבריה, טרם הפציעה, המנוח היה אדם בריא לחלוטין. י</w:t>
      </w:r>
      <w:r w:rsidR="00CC6733">
        <w:rPr>
          <w:rFonts w:ascii="David" w:eastAsia="Calibri" w:hAnsi="David" w:hint="cs"/>
          <w:rtl/>
        </w:rPr>
        <w:t>.מ</w:t>
      </w:r>
      <w:r w:rsidRPr="00987F99">
        <w:rPr>
          <w:rFonts w:ascii="David" w:eastAsia="Calibri" w:hAnsi="David"/>
          <w:rtl/>
        </w:rPr>
        <w:t xml:space="preserve"> שללה כי </w:t>
      </w:r>
      <w:r w:rsidR="00CC6733">
        <w:rPr>
          <w:rFonts w:ascii="David" w:eastAsia="Calibri" w:hAnsi="David"/>
          <w:rtl/>
        </w:rPr>
        <w:t>ת.מ</w:t>
      </w:r>
      <w:r w:rsidRPr="00987F99">
        <w:rPr>
          <w:rFonts w:ascii="David" w:eastAsia="Calibri" w:hAnsi="David"/>
          <w:rtl/>
        </w:rPr>
        <w:t xml:space="preserve"> חלה בעבר בדלקת ריאות או סבל מפגיעת ראש: "</w:t>
      </w:r>
      <w:r w:rsidRPr="00987F99">
        <w:rPr>
          <w:rFonts w:ascii="David" w:eastAsia="Calibri" w:hAnsi="David"/>
          <w:b/>
          <w:bCs/>
          <w:rtl/>
        </w:rPr>
        <w:t xml:space="preserve">לפני הפציעה היה אדם בריא לחלוטין, אף </w:t>
      </w:r>
      <w:r w:rsidRPr="00987F99">
        <w:rPr>
          <w:rFonts w:ascii="David" w:eastAsia="Calibri" w:hAnsi="David"/>
          <w:rtl/>
        </w:rPr>
        <w:t xml:space="preserve">(פעם) </w:t>
      </w:r>
      <w:r w:rsidRPr="00987F99">
        <w:rPr>
          <w:rFonts w:ascii="David" w:eastAsia="Calibri" w:hAnsi="David"/>
          <w:b/>
          <w:bCs/>
          <w:rtl/>
        </w:rPr>
        <w:t>לא ביקר במרפאה, לעולם, אולי פעם אחת הייתה לו דלקת גרון, אפשר לבדוק זאת אני רוצה לציין שהוא היה ספורטאי פעיל ואדם חזק מאוד</w:t>
      </w:r>
      <w:r w:rsidRPr="00987F99">
        <w:rPr>
          <w:rFonts w:ascii="David" w:eastAsia="Calibri" w:hAnsi="David"/>
          <w:rtl/>
        </w:rPr>
        <w:t>".</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 xml:space="preserve">לדבריה בעקבות הפציעה </w:t>
      </w:r>
      <w:r w:rsidR="00CC6733">
        <w:rPr>
          <w:rFonts w:ascii="David" w:eastAsia="Calibri" w:hAnsi="David"/>
          <w:rtl/>
        </w:rPr>
        <w:t>ת.מ</w:t>
      </w:r>
      <w:r w:rsidRPr="00987F99">
        <w:rPr>
          <w:rFonts w:ascii="David" w:eastAsia="Calibri" w:hAnsi="David"/>
          <w:rtl/>
        </w:rPr>
        <w:t xml:space="preserve"> "</w:t>
      </w:r>
      <w:r w:rsidRPr="00987F99">
        <w:rPr>
          <w:rFonts w:ascii="David" w:eastAsia="Calibri" w:hAnsi="David"/>
          <w:b/>
          <w:bCs/>
          <w:rtl/>
        </w:rPr>
        <w:t xml:space="preserve">היה סיעודי מורכב, כפועל ישיר של הפציעה הקשה </w:t>
      </w:r>
      <w:r w:rsidR="00CC6733" w:rsidRPr="008E5FF0">
        <w:rPr>
          <w:rFonts w:ascii="David" w:eastAsia="Calibri" w:hAnsi="David"/>
          <w:rtl/>
        </w:rPr>
        <w:t>[ת.מ]</w:t>
      </w:r>
      <w:r w:rsidRPr="00987F99">
        <w:rPr>
          <w:rFonts w:ascii="David" w:eastAsia="Calibri" w:hAnsi="David"/>
          <w:b/>
          <w:bCs/>
          <w:rtl/>
        </w:rPr>
        <w:t xml:space="preserve"> נותר ללא עיניים, ללא יכולת לדבר, משותק בצד שמאל ולמעשה סיעודי באופן מלא מוחלט למעט הכרה שהייתה במרבית הזמן זמנית ותלויה במצבו הרפואי, מאז פציעתו </w:t>
      </w:r>
      <w:r w:rsidR="00CC6733" w:rsidRPr="008E5FF0">
        <w:rPr>
          <w:rFonts w:ascii="David" w:eastAsia="Calibri" w:hAnsi="David"/>
          <w:rtl/>
        </w:rPr>
        <w:t>[ת.מ]</w:t>
      </w:r>
      <w:r w:rsidRPr="00987F99">
        <w:rPr>
          <w:rFonts w:ascii="David" w:eastAsia="Calibri" w:hAnsi="David"/>
          <w:b/>
          <w:bCs/>
          <w:rtl/>
        </w:rPr>
        <w:t xml:space="preserve"> שהה במספר בתי חולים ובתום כשנתיים הגיע הביתה וטופל על ידי עובד זר באופן מלא</w:t>
      </w:r>
      <w:r w:rsidRPr="00987F99">
        <w:rPr>
          <w:rFonts w:ascii="David" w:eastAsia="Calibri" w:hAnsi="David"/>
          <w:rtl/>
        </w:rPr>
        <w:t xml:space="preserve">". </w:t>
      </w:r>
      <w:r w:rsidR="00CC6733">
        <w:rPr>
          <w:rFonts w:ascii="David" w:eastAsia="Calibri" w:hAnsi="David"/>
          <w:rtl/>
        </w:rPr>
        <w:t>ת.מ</w:t>
      </w:r>
      <w:r w:rsidRPr="00987F99">
        <w:rPr>
          <w:rFonts w:ascii="David" w:eastAsia="Calibri" w:hAnsi="David"/>
          <w:rtl/>
        </w:rPr>
        <w:t xml:space="preserve"> נפטר כתוצאה מדלקת ריאות </w:t>
      </w:r>
      <w:r w:rsidRPr="00987F99">
        <w:rPr>
          <w:rFonts w:ascii="David" w:eastAsia="Calibri" w:hAnsi="David"/>
          <w:rtl/>
        </w:rPr>
        <w:lastRenderedPageBreak/>
        <w:t>ואספירציות: "</w:t>
      </w:r>
      <w:r w:rsidRPr="00987F99">
        <w:rPr>
          <w:rFonts w:ascii="David" w:eastAsia="Calibri" w:hAnsi="David"/>
          <w:b/>
          <w:bCs/>
          <w:rtl/>
        </w:rPr>
        <w:t>עצם היותו פגוע ראש מעמיד אותו בפני האופציה לחלות בדלקת ריאות יותר מבן אדם רגיל יש מחקרים רבים על הדברים האלו</w:t>
      </w:r>
      <w:r w:rsidRPr="00987F99">
        <w:rPr>
          <w:rFonts w:ascii="David" w:eastAsia="Calibri" w:hAnsi="David"/>
          <w:rtl/>
        </w:rPr>
        <w:t xml:space="preserve">". </w:t>
      </w:r>
    </w:p>
    <w:p w:rsidR="00987F99" w:rsidRPr="00987F99" w:rsidRDefault="00CC6733" w:rsidP="00987F99">
      <w:pPr>
        <w:spacing w:before="120" w:after="120" w:line="360" w:lineRule="auto"/>
        <w:jc w:val="both"/>
        <w:rPr>
          <w:rFonts w:ascii="David" w:eastAsia="Calibri" w:hAnsi="David"/>
          <w:rtl/>
        </w:rPr>
      </w:pPr>
      <w:r>
        <w:rPr>
          <w:rFonts w:ascii="David" w:eastAsia="Calibri" w:hAnsi="David"/>
          <w:rtl/>
        </w:rPr>
        <w:t>ת.מ</w:t>
      </w:r>
      <w:r w:rsidR="00987F99" w:rsidRPr="00987F99">
        <w:rPr>
          <w:rFonts w:ascii="David" w:eastAsia="Calibri" w:hAnsi="David"/>
          <w:rtl/>
        </w:rPr>
        <w:t xml:space="preserve"> פונה במהלך שהייתו בבית מספר פעמים לטיפול בדלקות ריאות חוזרות ונשנות ולא סבל מפגיעת ראש חוזרת או מאוחרת לזו שנגרמה לו כתוצאה מהירייה: "</w:t>
      </w:r>
      <w:r w:rsidR="00987F99" w:rsidRPr="00987F99">
        <w:rPr>
          <w:rFonts w:ascii="David" w:eastAsia="Calibri" w:hAnsi="David"/>
          <w:b/>
          <w:bCs/>
          <w:rtl/>
        </w:rPr>
        <w:t>...שמרנו עליו כמו על יהלום, במשך שנתיים הוא לא אושפז פעם אחת בסורוקה, בשנתיים האחרונות בשנת 2018 טיפלתי בו בבית, תמיד מנעתי את האשפוז בטיפול נכון בבית</w:t>
      </w:r>
      <w:r w:rsidR="00987F99" w:rsidRPr="00987F99">
        <w:rPr>
          <w:rFonts w:ascii="David" w:eastAsia="Calibri" w:hAnsi="David"/>
          <w:rtl/>
        </w:rPr>
        <w:t xml:space="preserve">". </w:t>
      </w:r>
    </w:p>
    <w:p w:rsidR="00987F99" w:rsidRPr="00987F99" w:rsidRDefault="00987F99" w:rsidP="00CC6733">
      <w:pPr>
        <w:spacing w:before="120" w:after="120" w:line="360" w:lineRule="auto"/>
        <w:jc w:val="both"/>
        <w:rPr>
          <w:rFonts w:ascii="David" w:eastAsia="Calibri" w:hAnsi="David"/>
          <w:rtl/>
        </w:rPr>
      </w:pPr>
      <w:r w:rsidRPr="00987F99">
        <w:rPr>
          <w:rFonts w:ascii="David" w:eastAsia="Calibri" w:hAnsi="David"/>
          <w:rtl/>
        </w:rPr>
        <w:t>במכתב אותו צירפה להודעתה במשטרה שהוגש אף הוא בהסכמה (סומן א.א1). י</w:t>
      </w:r>
      <w:r w:rsidR="00CC6733">
        <w:rPr>
          <w:rFonts w:ascii="David" w:eastAsia="Calibri" w:hAnsi="David" w:hint="cs"/>
          <w:rtl/>
        </w:rPr>
        <w:t xml:space="preserve">.מ </w:t>
      </w:r>
      <w:r w:rsidRPr="00987F99">
        <w:rPr>
          <w:rFonts w:ascii="David" w:eastAsia="Calibri" w:hAnsi="David"/>
          <w:rtl/>
        </w:rPr>
        <w:t xml:space="preserve"> חוזרת על הדברים אותם פירטה בהודעתה ומציינת, בין היתר, כי בשל העובדה ש</w:t>
      </w:r>
      <w:r w:rsidR="00CC6733">
        <w:rPr>
          <w:rFonts w:ascii="David" w:eastAsia="Calibri" w:hAnsi="David"/>
          <w:rtl/>
        </w:rPr>
        <w:t>ת.מ</w:t>
      </w:r>
      <w:r w:rsidRPr="00987F99">
        <w:rPr>
          <w:rFonts w:ascii="David" w:eastAsia="Calibri" w:hAnsi="David"/>
          <w:rtl/>
        </w:rPr>
        <w:t xml:space="preserve"> היה סיעודי, הוא חלה פעמים רבות בדלקת ריאות: "</w:t>
      </w:r>
      <w:r w:rsidRPr="00987F99">
        <w:rPr>
          <w:rFonts w:ascii="David" w:eastAsia="Calibri" w:hAnsi="David"/>
          <w:b/>
          <w:bCs/>
          <w:rtl/>
        </w:rPr>
        <w:t xml:space="preserve">מצבו הרפואי כתוצאה מהפציעה הלך והתדרדר המחלות הקבועות שתקפו אותו, החמירו את מצבו עד שגופו לא יכל להתמודד יותר </w:t>
      </w:r>
      <w:r w:rsidR="00CC6733" w:rsidRPr="00CC6733">
        <w:rPr>
          <w:rFonts w:ascii="David" w:eastAsia="Calibri" w:hAnsi="David"/>
          <w:rtl/>
        </w:rPr>
        <w:t>[ת.מ]</w:t>
      </w:r>
      <w:r w:rsidRPr="00987F99">
        <w:rPr>
          <w:rFonts w:ascii="David" w:eastAsia="Calibri" w:hAnsi="David"/>
          <w:b/>
          <w:bCs/>
          <w:rtl/>
        </w:rPr>
        <w:t xml:space="preserve"> נפטר</w:t>
      </w:r>
      <w:r w:rsidRPr="00987F99">
        <w:rPr>
          <w:rFonts w:ascii="David" w:eastAsia="Calibri" w:hAnsi="David"/>
          <w:rtl/>
        </w:rPr>
        <w:t xml:space="preserve">". </w:t>
      </w:r>
    </w:p>
    <w:p w:rsidR="00987F99" w:rsidRPr="00987F99" w:rsidRDefault="00987F99" w:rsidP="00987F99">
      <w:pPr>
        <w:spacing w:after="160" w:line="256" w:lineRule="auto"/>
        <w:jc w:val="center"/>
        <w:rPr>
          <w:rFonts w:ascii="David" w:eastAsia="Calibri" w:hAnsi="David"/>
          <w:b/>
          <w:bCs/>
          <w:u w:val="single"/>
          <w:rtl/>
        </w:rPr>
      </w:pPr>
      <w:r w:rsidRPr="00987F99">
        <w:rPr>
          <w:rFonts w:ascii="David" w:eastAsia="Calibri" w:hAnsi="David"/>
          <w:b/>
          <w:bCs/>
          <w:u w:val="single"/>
          <w:rtl/>
        </w:rPr>
        <w:t>עיקר</w:t>
      </w:r>
      <w:r w:rsidR="00CC6733">
        <w:rPr>
          <w:rFonts w:ascii="David" w:eastAsia="Calibri" w:hAnsi="David" w:hint="cs"/>
          <w:b/>
          <w:bCs/>
          <w:u w:val="single"/>
          <w:rtl/>
        </w:rPr>
        <w:t>י</w:t>
      </w:r>
      <w:r w:rsidRPr="00987F99">
        <w:rPr>
          <w:rFonts w:ascii="David" w:eastAsia="Calibri" w:hAnsi="David"/>
          <w:b/>
          <w:bCs/>
          <w:u w:val="single"/>
          <w:rtl/>
        </w:rPr>
        <w:t xml:space="preserve"> טיעוני הצדדים:</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u w:val="single"/>
          <w:rtl/>
        </w:rPr>
        <w:t>ב"כ המאשימה</w:t>
      </w:r>
      <w:r w:rsidRPr="00987F99">
        <w:rPr>
          <w:rFonts w:ascii="David" w:eastAsia="Calibri" w:hAnsi="David"/>
          <w:rtl/>
        </w:rPr>
        <w:t xml:space="preserve"> עתרה לבית המשפט במסגרת סיכומיה לראות בנאשם כמי שרצח את </w:t>
      </w:r>
      <w:r w:rsidR="00CC6733">
        <w:rPr>
          <w:rFonts w:ascii="David" w:eastAsia="Calibri" w:hAnsi="David"/>
          <w:rtl/>
        </w:rPr>
        <w:t>ת.מ</w:t>
      </w:r>
      <w:r w:rsidRPr="00987F99">
        <w:rPr>
          <w:rFonts w:ascii="David" w:eastAsia="Calibri" w:hAnsi="David"/>
          <w:rtl/>
        </w:rPr>
        <w:t xml:space="preserve"> ביום 06.01.15 בעוד תוצאות מעשיו התרחשו כמספר שנים מאוחר יותר. לדבריה, במהלך חמש השנים שעברו מאז הירי, </w:t>
      </w:r>
      <w:r w:rsidR="00CC6733">
        <w:rPr>
          <w:rFonts w:ascii="David" w:eastAsia="Calibri" w:hAnsi="David"/>
          <w:rtl/>
        </w:rPr>
        <w:t>ת.מ</w:t>
      </w:r>
      <w:r w:rsidRPr="00987F99">
        <w:rPr>
          <w:rFonts w:ascii="David" w:eastAsia="Calibri" w:hAnsi="David"/>
          <w:rtl/>
        </w:rPr>
        <w:t xml:space="preserve"> היה בבחינת "חי-מת מהלך" כאשר הישארותו בחיים היא בבחינת נס רפואי שנמשך בעקבות טיפול רפואי וסיעודי מסור אותו קיבל. הובהר כי על פי החוק בנוסחו הנוכחי (לאחר תיקון 137), מדובר ברצח בסיסי "בקטגוריה של בכוונה" לפי </w:t>
      </w:r>
      <w:r w:rsidRPr="00987F99">
        <w:rPr>
          <w:rFonts w:ascii="David" w:eastAsia="Calibri" w:hAnsi="David"/>
          <w:b/>
          <w:bCs/>
          <w:rtl/>
        </w:rPr>
        <w:t>סעיף 300(א) רישא</w:t>
      </w:r>
      <w:r w:rsidRPr="00987F99">
        <w:rPr>
          <w:rFonts w:ascii="David" w:eastAsia="Calibri" w:hAnsi="David"/>
          <w:rtl/>
        </w:rPr>
        <w:t xml:space="preserve"> </w:t>
      </w:r>
      <w:r w:rsidRPr="00987F99">
        <w:rPr>
          <w:rFonts w:ascii="David" w:eastAsia="Calibri" w:hAnsi="David"/>
          <w:b/>
          <w:bCs/>
          <w:rtl/>
        </w:rPr>
        <w:t>לחוק</w:t>
      </w:r>
      <w:r w:rsidRPr="00987F99">
        <w:rPr>
          <w:rFonts w:ascii="David" w:eastAsia="Calibri" w:hAnsi="David"/>
          <w:rtl/>
        </w:rPr>
        <w:t xml:space="preserve">, היינו רצח שעונשו עד מאסר עולם. </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 xml:space="preserve">באשר לשאלת </w:t>
      </w:r>
      <w:r w:rsidRPr="00987F99">
        <w:rPr>
          <w:rFonts w:ascii="David" w:eastAsia="Calibri" w:hAnsi="David"/>
          <w:u w:val="single"/>
          <w:rtl/>
        </w:rPr>
        <w:t>הקשר הסיבתי העובדתי</w:t>
      </w:r>
      <w:r w:rsidRPr="00987F99">
        <w:rPr>
          <w:rFonts w:ascii="David" w:eastAsia="Calibri" w:hAnsi="David"/>
          <w:rtl/>
        </w:rPr>
        <w:t xml:space="preserve">, המאשימה נסמכת על חוות הדעת של המומחה מטעמה, פרופ' נמרוד מימון. נטען כי אף שאין המדובר ברופא פתולוג, יש בחוות דעתו של פרופ' נמרוד משום "ערך מוסף משמעותי" שכן, מדובר במי שהיה הרופא המטפל של </w:t>
      </w:r>
      <w:r w:rsidR="00CC6733">
        <w:rPr>
          <w:rFonts w:ascii="David" w:eastAsia="Calibri" w:hAnsi="David"/>
          <w:rtl/>
        </w:rPr>
        <w:t>ת.מ</w:t>
      </w:r>
      <w:r w:rsidRPr="00987F99">
        <w:rPr>
          <w:rFonts w:ascii="David" w:eastAsia="Calibri" w:hAnsi="David"/>
          <w:rtl/>
        </w:rPr>
        <w:t xml:space="preserve">, מנהל המחלקה, שהכיר אותו לאורך זמן והיה מודע לבעיות הרפואיות מהן סבל. נטען כי פרופ' מימון היה חד משמעי בקביעותיו, הסביר לפרטי פרטים את המנגנון שגרם לאשפוזיו הקודמים של </w:t>
      </w:r>
      <w:r w:rsidR="00CC6733">
        <w:rPr>
          <w:rFonts w:ascii="David" w:eastAsia="Calibri" w:hAnsi="David"/>
          <w:rtl/>
        </w:rPr>
        <w:t>ת.מ</w:t>
      </w:r>
      <w:r w:rsidRPr="00987F99">
        <w:rPr>
          <w:rFonts w:ascii="David" w:eastAsia="Calibri" w:hAnsi="David"/>
          <w:rtl/>
        </w:rPr>
        <w:t xml:space="preserve"> ובסופם של דברים, גם הביא למותו. לטענת המאשימה, קביעת הקשר הסיבתי העובדתי אינה מורכבת, בפרט כאשר אין טענה של "גורם מתערב זר" בדמות הימנעות מטיפול נדרש או קבלת טיפול רפואי שאינו ראוי.     </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 xml:space="preserve">אליבא  דמאשימה, המסמכים הרפואיים שהוגשו בעניינו של </w:t>
      </w:r>
      <w:r w:rsidR="00CC6733">
        <w:rPr>
          <w:rFonts w:ascii="David" w:eastAsia="Calibri" w:hAnsi="David"/>
          <w:rtl/>
        </w:rPr>
        <w:t>ת.מ</w:t>
      </w:r>
      <w:r w:rsidRPr="00987F99">
        <w:rPr>
          <w:rFonts w:ascii="David" w:eastAsia="Calibri" w:hAnsi="David"/>
          <w:rtl/>
        </w:rPr>
        <w:t xml:space="preserve"> מעידים כי מרבית אשפוזיו הקודמים נעשו בשל בעיות נשימה, הקאות, פרכוסים וחרחורים. כך גם באשפוזו האחרון. כל אלה הנם תוצר ישיר של הפגיעה בראשו. אף שלא נערכה נתיחה לאחר המוות, ניתן לקבוע את סיבתו על בסיס מסמכים רפואיים והפסיקה גם הכירה בכך. לחיזוק טענה זו, הפנתה המאשימה להתייחסותו של מנהל המכון לרפואה משפטית, ד"ר חן קוגל (ת/3), שבה הוא כותב במפורש כי מבחינתו ישנה קביעה בנוגע לסיבת המוות ומשכך אין צורך בעריכתה של חוות דעת נוספת מטעמו (נוכח התשומות הרבות שהדבר ידרוש). </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lastRenderedPageBreak/>
        <w:t xml:space="preserve">באשר </w:t>
      </w:r>
      <w:r w:rsidRPr="00987F99">
        <w:rPr>
          <w:rFonts w:ascii="David" w:eastAsia="Calibri" w:hAnsi="David"/>
          <w:u w:val="single"/>
          <w:rtl/>
        </w:rPr>
        <w:t>לטענת הקנטור,</w:t>
      </w:r>
      <w:r w:rsidRPr="00987F99">
        <w:rPr>
          <w:rFonts w:ascii="David" w:eastAsia="Calibri" w:hAnsi="David"/>
          <w:rtl/>
        </w:rPr>
        <w:t xml:space="preserve"> נטען כי מלכתחילה ספק האם היה מקום, גם במסגרת תיק ניסיון הרצח, להידרש לרכיב זה שכן הנאשם כפר בכך שכיוון וירה לעבר המנוח בכוונה לפגוע בו או לגרום למותו. טענתו של הנאשם, אז כהיום, היא, כי ירה ירייה אחת "לצורך הרתעה" ללא כוונת פגיעה או גרימת מוות. </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נטען כי הדין החדש לאחר תיקון 137 הנוגע לטענת הקנטור "הוא דין מעט שונה אבל הוא לא דין מקל". למעלה מן הצורך, גם אם נבחן את התנהלותו של הנאשם לפי הנוסח החדש, הוא  אינו נכנס לגדרו של הקנטור.</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u w:val="single"/>
          <w:rtl/>
        </w:rPr>
        <w:t>באת כוח הנאשם</w:t>
      </w:r>
      <w:r w:rsidRPr="00987F99">
        <w:rPr>
          <w:rFonts w:ascii="David" w:eastAsia="Calibri" w:hAnsi="David"/>
          <w:rtl/>
        </w:rPr>
        <w:t xml:space="preserve"> מנגד, טענה בסיכומיה בע"פ (ובהשלמה בכתב) כי ככל שהדבר נוגע להוכחת הקשר הסיבתי העובדתי, היא אינה טוענת לרשלנות בטיפול הרפואי או קיומו של "גורם זר" שהביא לניתוקו. אף שכך, אין באמור לפטור את המדינה מהחובה הרובצת לפתחה, להוכיח קשר סיבתי בין המעשה לתוצאה - חובה שבה לא עמדה.</w:t>
      </w:r>
    </w:p>
    <w:p w:rsidR="00987F99" w:rsidRPr="00987F99" w:rsidRDefault="00987F99" w:rsidP="00987F99">
      <w:pPr>
        <w:spacing w:after="160" w:line="360" w:lineRule="auto"/>
        <w:jc w:val="both"/>
        <w:rPr>
          <w:rFonts w:ascii="David" w:eastAsia="Calibri" w:hAnsi="David"/>
          <w:rtl/>
        </w:rPr>
      </w:pPr>
      <w:r w:rsidRPr="00987F99">
        <w:rPr>
          <w:rFonts w:ascii="David" w:eastAsia="Calibri" w:hAnsi="David"/>
          <w:rtl/>
        </w:rPr>
        <w:t xml:space="preserve">כך ובתמצית, נטען כי חלפה תקופה ממושכת של חמש שנים מקרות האירוע ועד מותו של המנוח מבלי שנערכה נתיחה שלאחר המוות. </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 xml:space="preserve">נטען כי חוות הדעת של פרופ' מימון נכתבה מבלי שהיה בידיעתו הטיפול שקיבל המנוח בין התאריכים 16.02.20-20.02.20 במחלקה לטיפול נמרץ. מדובר בימי חייו האחרונים של המנוח, והם בעלי חשיבות רבה להבנת סיבת המוות. </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 xml:space="preserve">נטען כי מתוך המסמכים הרפואיים שהתקבלו מהמחלקה לטיפול נמרץ נלמד כי בשלב מסוים, הייתה הטבה במצבו של המנוח; חל צימוח של חיידקים שאינו קלאסי לאספירציה; עלה  צורך לעריכת סי-טי בטן ואין תמונה ברורה בנוגע לסיבת המוות. </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נטען כי כאשר מדובר בחוות דעת רפואית משפטית העוסקת בקשר הסיבתי שהביא למותו של אדם, היא אמורה להינתן על ידי אדם אובייקטיבי ולא באמצעות מי שהיה הרופא המטפל. בעניין זה, הוטעם כי המומחה היה בקשר עם המשפחה וכי: "</w:t>
      </w:r>
      <w:r w:rsidRPr="00987F99">
        <w:rPr>
          <w:rFonts w:ascii="David" w:eastAsia="Calibri" w:hAnsi="David"/>
          <w:b/>
          <w:bCs/>
          <w:rtl/>
        </w:rPr>
        <w:t>...אני חושבת שהיה לו איזה שהוא אינטרס, ואפילו גלוי, לקבוע שהמנוח נפטר מהירייה בראש, כי הוא גם אמר, חבל שהוא לא מת מהירי בפעם הראשונה</w:t>
      </w:r>
      <w:r w:rsidRPr="00987F99">
        <w:rPr>
          <w:rFonts w:ascii="David" w:eastAsia="Calibri" w:hAnsi="David"/>
          <w:rtl/>
        </w:rPr>
        <w:t>" (עמ' 43 לפרוט' מיום 6.7.23).</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 xml:space="preserve">גם אופן עריכתה של חוות הדעת על פי הנטען, פוגם במשקלה. מדובר במומחה שזו היא לו הפעם הראשונה בחייו שכתב חוות דעת. חוות הדעת לא נכתבה על פי הכללים המקובלים, כאשר אין תיק עבודה, אין תיעוד בנוגע לאיזה מסמכים היו מונחים בפניו, וישנו קושי של ממש להסתמך על זכרונו בנוגע למסמכים בהם צפה אם לאו. </w:t>
      </w:r>
    </w:p>
    <w:p w:rsidR="00CC6733" w:rsidRDefault="00CC6733" w:rsidP="00987F99">
      <w:pPr>
        <w:spacing w:before="120" w:after="120" w:line="360" w:lineRule="auto"/>
        <w:jc w:val="both"/>
        <w:rPr>
          <w:rFonts w:ascii="David" w:eastAsia="Calibri" w:hAnsi="David"/>
          <w:rtl/>
        </w:rPr>
      </w:pP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lastRenderedPageBreak/>
        <w:t>בעניינו של המנוח, התקבלו בהסכמה מהמוסדות בהם טופל "ארגזים" של מסמכים רפואיים, לצד דיסקים המכילים בדיקות דימות ואחרות. לצורך עריכת חוות הדעת היה מקום "</w:t>
      </w:r>
      <w:r w:rsidRPr="00987F99">
        <w:rPr>
          <w:rFonts w:ascii="David" w:eastAsia="Calibri" w:hAnsi="David"/>
          <w:b/>
          <w:bCs/>
          <w:rtl/>
        </w:rPr>
        <w:t>שמישהו יסתכל על המסמכים הרפואיים ויתרגם אותם לבית המשפט</w:t>
      </w:r>
      <w:r w:rsidRPr="00987F99">
        <w:rPr>
          <w:rFonts w:ascii="David" w:eastAsia="Calibri" w:hAnsi="David"/>
          <w:rtl/>
        </w:rPr>
        <w:t xml:space="preserve">". המאשימה אמנם הגישה מסמכים רפואיים אך אין בהם די שכן אלו נבחרו מתוך כלל המסמכים הרפואיים ועוסקים רק במקרים דומים למקרה שהתרחש באשפוז האחרון. </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 xml:space="preserve">מדובר בחוות דעת שנכתבה בחופזה, נתון המתחדד על רקע  עמדת המכון לרפואה משפטית שציין כי לצורך עריכת חוות דעת הוא נזקק לשבועיים מלאים. אין בידיעתנו מה בדיוק התבקש המומחה לבדוק, ונגזרת מכך איזה פעולות מצופה היה שיעשה. </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 xml:space="preserve">לטענת ההגנה נכון היה במקרה זה לשוב ולפנות למכון לרפואה משפטית ולהורות על הכנתה של חוות דעת, מהלך שהיה נעשה בהסכמת ההגנה. האופן בו נהגה המאשימה במקרים אחרים והתעקשה על איסוף מלוא החומרים הרפואיים, לרבות עריכת נתיחה לאחר המוות, מעיד אף הוא על הפגמים שנפלו בחוות הדעת של פרופסור מימון. אלה כאלה פוגמים בחוות הדעת ומקימים ספק של ממש בנוגע לקשר הסיבתי. </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 xml:space="preserve">באשר </w:t>
      </w:r>
      <w:r w:rsidRPr="00987F99">
        <w:rPr>
          <w:rFonts w:ascii="David" w:eastAsia="Calibri" w:hAnsi="David"/>
          <w:u w:val="single"/>
          <w:rtl/>
        </w:rPr>
        <w:t>לטענת הקנטור</w:t>
      </w:r>
      <w:r w:rsidRPr="00987F99">
        <w:rPr>
          <w:rFonts w:ascii="David" w:eastAsia="Calibri" w:hAnsi="David"/>
          <w:rtl/>
        </w:rPr>
        <w:t>, נטען כי במהלך שמיעת הראיות בתיק ניסיון הרצח, בית המשפט המחוזי ראה כי מחובתו לבחון את טענת הקנטור הגם שהנאשם עמד על חפותו ולא העלה טענה זו במפורש, שכן "</w:t>
      </w:r>
      <w:r w:rsidRPr="00987F99">
        <w:rPr>
          <w:rFonts w:ascii="David" w:eastAsia="Calibri" w:hAnsi="David"/>
          <w:b/>
          <w:bCs/>
          <w:rtl/>
        </w:rPr>
        <w:t>זה מה שהראיות דיברו</w:t>
      </w:r>
      <w:r w:rsidRPr="00987F99">
        <w:rPr>
          <w:rFonts w:ascii="David" w:eastAsia="Calibri" w:hAnsi="David"/>
          <w:rtl/>
        </w:rPr>
        <w:t>". על בסיס אותו רציונל יש חובה לעשות כן גם בשלב זה.</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 xml:space="preserve">הוטעם כי הקביעות העובדתיות אליהן הגיע בית המשפט במסגרת תיק ניסיון הרצח (לפיהן הנאשם מבחינה סובייקטיבית קונטר), אמורות לשמש אותנו גם כיום. בחינה זו מתחייבת בשים לב לכך שהדין החדש הוא בבחינת דין מקל. </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 xml:space="preserve">אם בעבר הושם הדגש על ה"מבחן האובייקטיבי" בדמות "האדם הסביר" כיום חל ה"מבחן הנורמטיבי" שהנו רחב יותר ומאפשר ליצוק לתוכו גם את הנתונים הקונקרטיים הנוגעים לנאשם ולנסיבות ביצוע העבירה. אכן, אין לראות בהתנהלות הנאשם ותגובתו הסובייקטיבית משום הצדקה לדפוס הפעולה בו נקט אך יש בכך "מיתון אשמתו" באופן המצדיק הקלה מסוימת כך שחלף עונש שיכול ויגיע למאסר עולם, הנאשם ייתן את הדין על עבירה שהעונש המקסימלי לצדה הינו 20 שנה. </w:t>
      </w:r>
    </w:p>
    <w:p w:rsidR="00987F99" w:rsidRPr="00987F99" w:rsidRDefault="00987F99" w:rsidP="00987F99">
      <w:pPr>
        <w:spacing w:before="120" w:after="120" w:line="360" w:lineRule="auto"/>
        <w:jc w:val="center"/>
        <w:rPr>
          <w:rFonts w:ascii="David" w:eastAsia="Calibri" w:hAnsi="David"/>
          <w:b/>
          <w:bCs/>
          <w:sz w:val="28"/>
          <w:szCs w:val="28"/>
          <w:u w:val="single"/>
          <w:rtl/>
        </w:rPr>
      </w:pPr>
      <w:r w:rsidRPr="00987F99">
        <w:rPr>
          <w:rFonts w:ascii="David" w:eastAsia="Calibri" w:hAnsi="David"/>
          <w:b/>
          <w:bCs/>
          <w:sz w:val="28"/>
          <w:szCs w:val="28"/>
          <w:u w:val="single"/>
          <w:rtl/>
        </w:rPr>
        <w:t>דיון והכרעה:</w:t>
      </w:r>
    </w:p>
    <w:p w:rsidR="00987F99" w:rsidRPr="00987F99" w:rsidRDefault="00987F99" w:rsidP="00987F99">
      <w:pPr>
        <w:spacing w:before="120" w:after="120" w:line="360" w:lineRule="auto"/>
        <w:jc w:val="both"/>
        <w:rPr>
          <w:rFonts w:ascii="David" w:eastAsia="Calibri" w:hAnsi="David"/>
          <w:b/>
          <w:bCs/>
          <w:u w:val="single"/>
          <w:rtl/>
        </w:rPr>
      </w:pPr>
      <w:r w:rsidRPr="00987F99">
        <w:rPr>
          <w:rFonts w:ascii="David" w:eastAsia="Calibri" w:hAnsi="David"/>
          <w:b/>
          <w:bCs/>
          <w:u w:val="single"/>
          <w:rtl/>
        </w:rPr>
        <w:t>קשר סיבתי – מסגרת נורמטיבית:</w:t>
      </w:r>
    </w:p>
    <w:p w:rsidR="00987F99" w:rsidRPr="00987F99" w:rsidRDefault="00987F99" w:rsidP="00987F99">
      <w:pPr>
        <w:spacing w:before="120" w:after="120" w:line="360" w:lineRule="auto"/>
        <w:rPr>
          <w:rFonts w:ascii="David" w:eastAsia="Calibri" w:hAnsi="David"/>
          <w:rtl/>
        </w:rPr>
      </w:pPr>
      <w:r w:rsidRPr="00987F99">
        <w:rPr>
          <w:rFonts w:ascii="David" w:eastAsia="Calibri" w:hAnsi="David"/>
          <w:rtl/>
        </w:rPr>
        <w:t>ז</w:t>
      </w:r>
      <w:r w:rsidRPr="00987F99">
        <w:rPr>
          <w:rFonts w:ascii="David" w:eastAsia="Calibri" w:hAnsi="David"/>
          <w:b/>
          <w:bCs/>
          <w:rtl/>
        </w:rPr>
        <w:t xml:space="preserve">והי הגדרתה של עבירת הרצח המיוחסת לנאשם </w:t>
      </w:r>
      <w:r w:rsidRPr="00987F99">
        <w:rPr>
          <w:rFonts w:ascii="David" w:eastAsia="Calibri" w:hAnsi="David"/>
          <w:rtl/>
        </w:rPr>
        <w:t>:</w:t>
      </w:r>
    </w:p>
    <w:p w:rsidR="00987F99" w:rsidRPr="00987F99" w:rsidRDefault="00987F99" w:rsidP="00987F99">
      <w:pPr>
        <w:spacing w:before="120" w:after="120" w:line="360" w:lineRule="auto"/>
        <w:rPr>
          <w:rFonts w:ascii="David" w:eastAsia="Calibri" w:hAnsi="David"/>
          <w:b/>
          <w:bCs/>
          <w:rtl/>
        </w:rPr>
      </w:pPr>
      <w:r w:rsidRPr="00987F99">
        <w:rPr>
          <w:rFonts w:ascii="David" w:eastAsia="Calibri" w:hAnsi="David"/>
          <w:b/>
          <w:bCs/>
          <w:rtl/>
        </w:rPr>
        <w:t xml:space="preserve">"300. (א)  </w:t>
      </w:r>
      <w:r w:rsidRPr="00987F99">
        <w:rPr>
          <w:rFonts w:ascii="David" w:eastAsia="Calibri" w:hAnsi="David"/>
          <w:b/>
          <w:bCs/>
          <w:u w:val="single"/>
          <w:rtl/>
        </w:rPr>
        <w:t xml:space="preserve">הגורם </w:t>
      </w:r>
      <w:r w:rsidRPr="00987F99">
        <w:rPr>
          <w:rFonts w:ascii="David" w:eastAsia="Calibri" w:hAnsi="David"/>
          <w:b/>
          <w:bCs/>
          <w:rtl/>
        </w:rPr>
        <w:t xml:space="preserve">בכוונה או באדישות </w:t>
      </w:r>
      <w:r w:rsidRPr="00987F99">
        <w:rPr>
          <w:rFonts w:ascii="David" w:eastAsia="Calibri" w:hAnsi="David"/>
          <w:b/>
          <w:bCs/>
          <w:u w:val="single"/>
          <w:rtl/>
        </w:rPr>
        <w:t xml:space="preserve">למותו </w:t>
      </w:r>
      <w:r w:rsidRPr="00987F99">
        <w:rPr>
          <w:rFonts w:ascii="David" w:eastAsia="Calibri" w:hAnsi="David"/>
          <w:b/>
          <w:bCs/>
          <w:rtl/>
        </w:rPr>
        <w:t>של אדם, דינו – מאסר עולם"</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הלכה היא מלפנינו כי בעבירה תוצאתית  יש להוכיח קיומו של "קשר סיבתי עובדתי" וקשר "סיבתי משפטי" בין ההתנהגות - "הגרימה", לבין התוצאה  - "מותו של אדם":</w:t>
      </w:r>
    </w:p>
    <w:p w:rsidR="00987F99" w:rsidRPr="00987F99" w:rsidRDefault="00987F99" w:rsidP="00987F99">
      <w:pPr>
        <w:shd w:val="clear" w:color="auto" w:fill="FFFFFF"/>
        <w:spacing w:before="120" w:after="120"/>
        <w:ind w:left="509" w:right="426"/>
        <w:jc w:val="both"/>
        <w:rPr>
          <w:rFonts w:ascii="David" w:eastAsia="Calibri" w:hAnsi="David"/>
          <w:rtl/>
        </w:rPr>
      </w:pPr>
      <w:r w:rsidRPr="00987F99">
        <w:rPr>
          <w:rFonts w:ascii="David" w:eastAsia="Calibri" w:hAnsi="David"/>
          <w:b/>
          <w:bCs/>
          <w:rtl/>
        </w:rPr>
        <w:lastRenderedPageBreak/>
        <w:t>"</w:t>
      </w:r>
      <w:r w:rsidRPr="00987F99">
        <w:rPr>
          <w:rFonts w:ascii="David" w:eastAsia="Calibri" w:hAnsi="David"/>
          <w:b/>
          <w:bCs/>
          <w:u w:val="single"/>
          <w:rtl/>
        </w:rPr>
        <w:t>דרישה לקשר סיבתי משמעה כי התנהגותו של הנאשם היוותה סיבה מהותית והכרחית, מנקודת ראות פיזית-אובייקטיבית, להתרחשות התוצאה</w:t>
      </w:r>
      <w:r w:rsidRPr="00987F99">
        <w:rPr>
          <w:rFonts w:ascii="David" w:eastAsia="Calibri" w:hAnsi="David"/>
          <w:b/>
          <w:bCs/>
          <w:rtl/>
        </w:rPr>
        <w:t xml:space="preserve">. בהתאם לכך, על התביעה להוכיח כי התנהגותו של הנאשם היוותה סיבה-בלעדיה-אין למות הקורבן. יודגש, כי התנהגותו של הנאשם אינה חייבת להיות הסיבה היחידה והתכופה להתרחשות המוות, אולם עליה להיות בעלת תרומה הכרחית להתרחשות התוצאה הקטלנית כפי שזו ארעה בפועל [...] קשר הסיבתי המשפטי בא על סיפוקו על פי מבחן הצפיות הסבירה, קרי: </w:t>
      </w:r>
      <w:r w:rsidRPr="00987F99">
        <w:rPr>
          <w:rFonts w:ascii="David" w:eastAsia="Calibri" w:hAnsi="David"/>
          <w:b/>
          <w:bCs/>
          <w:u w:val="single"/>
          <w:rtl/>
        </w:rPr>
        <w:t>הדרישה לקיומו של קשר סיבתי משפטי משמעה כי יש לבחון אם ניתן היה לצפות, באורח סביר ואובייקטיבי, את אפשרות התרחשותה של התוצאה הקטלנית</w:t>
      </w:r>
      <w:r w:rsidRPr="00987F99">
        <w:rPr>
          <w:rFonts w:ascii="David" w:eastAsia="Calibri" w:hAnsi="David"/>
          <w:b/>
          <w:bCs/>
          <w:rtl/>
        </w:rPr>
        <w:t xml:space="preserve">. נקבע בפסיקה כי כאשר מדובר בעבירות בהן נדרש יסוד נפשי של מודעות סובייקטיבית של הנאשם לרכיבים העובדתיים של העבירה, ובפרט לאפשרות גרימת התוצאה הקטלנית – כמו בעבירת ההריגה –אין צורך לבחון את שאלת הקשר הסיבתי המשפטי, ודי בקיומה של מודעות אישית –סובייקטיבית, לאפשרות של גרימת התוצאה הקטלנית (...) במילים אחרות, הקשר הסיבתי המשפטי 'נבלע' ביסוד הנפשי של עבירת ההריגה, ואין טעם בדיון מקדים בשאלת קיומו של היסוד האובייקטיבי". </w:t>
      </w:r>
      <w:r w:rsidRPr="00987F99">
        <w:rPr>
          <w:rFonts w:ascii="David" w:eastAsia="Calibri" w:hAnsi="David"/>
          <w:rtl/>
        </w:rPr>
        <w:t xml:space="preserve">(ע"פ 5656/11 </w:t>
      </w:r>
      <w:r w:rsidRPr="00987F99">
        <w:rPr>
          <w:rFonts w:ascii="David" w:eastAsia="Calibri" w:hAnsi="David"/>
          <w:b/>
          <w:bCs/>
          <w:rtl/>
        </w:rPr>
        <w:t xml:space="preserve">שולמן נ' מדינת ישראל </w:t>
      </w:r>
      <w:r w:rsidRPr="00987F99">
        <w:rPr>
          <w:rFonts w:ascii="David" w:eastAsia="Calibri" w:hAnsi="David"/>
          <w:rtl/>
        </w:rPr>
        <w:t>[פסקה 10 לפסק דינו של כב' הש' שהם](פורסם בנבו, 5.8.12) (להלן: "</w:t>
      </w:r>
      <w:r w:rsidRPr="00987F99">
        <w:rPr>
          <w:rFonts w:ascii="David" w:eastAsia="Calibri" w:hAnsi="David"/>
          <w:b/>
          <w:bCs/>
          <w:rtl/>
        </w:rPr>
        <w:t>עניין שולמן</w:t>
      </w:r>
      <w:r w:rsidRPr="00987F99">
        <w:rPr>
          <w:rFonts w:ascii="David" w:eastAsia="Calibri" w:hAnsi="David"/>
          <w:rtl/>
        </w:rPr>
        <w:t xml:space="preserve">")) (ההדגשות אינן במקור וכך גם מכאן ולהבא, ד.ב.ט). </w:t>
      </w:r>
    </w:p>
    <w:p w:rsidR="00987F99" w:rsidRPr="00987F99" w:rsidRDefault="00987F99" w:rsidP="00987F99">
      <w:pPr>
        <w:shd w:val="clear" w:color="auto" w:fill="FFFFFF"/>
        <w:tabs>
          <w:tab w:val="left" w:pos="8306"/>
        </w:tabs>
        <w:spacing w:before="120" w:after="120" w:line="360" w:lineRule="auto"/>
        <w:jc w:val="both"/>
        <w:rPr>
          <w:rFonts w:ascii="David" w:eastAsia="Calibri" w:hAnsi="David"/>
          <w:rtl/>
        </w:rPr>
      </w:pPr>
      <w:r w:rsidRPr="00987F99">
        <w:rPr>
          <w:rFonts w:ascii="David" w:eastAsia="Calibri" w:hAnsi="David"/>
          <w:rtl/>
        </w:rPr>
        <w:t xml:space="preserve">בדומה ר' ע"פ 10023/06 </w:t>
      </w:r>
      <w:r w:rsidRPr="00987F99">
        <w:rPr>
          <w:rFonts w:ascii="David" w:eastAsia="Calibri" w:hAnsi="David"/>
          <w:b/>
          <w:bCs/>
          <w:rtl/>
        </w:rPr>
        <w:t>מייסרה נ' מדינת ישראל</w:t>
      </w:r>
      <w:r w:rsidRPr="00987F99">
        <w:rPr>
          <w:rFonts w:ascii="David" w:eastAsia="Calibri" w:hAnsi="David"/>
          <w:rtl/>
        </w:rPr>
        <w:t xml:space="preserve"> [פסקה 4 לפסק דינו של כב' הש' הנדל] (פורסם בנבו, 9.12.09) (להלן: "</w:t>
      </w:r>
      <w:r w:rsidRPr="00987F99">
        <w:rPr>
          <w:rFonts w:ascii="David" w:eastAsia="Calibri" w:hAnsi="David"/>
          <w:b/>
          <w:bCs/>
          <w:rtl/>
        </w:rPr>
        <w:t>עניין מייסרה</w:t>
      </w:r>
      <w:r w:rsidRPr="00987F99">
        <w:rPr>
          <w:rFonts w:ascii="David" w:eastAsia="Calibri" w:hAnsi="David"/>
          <w:rtl/>
        </w:rPr>
        <w:t xml:space="preserve">"):  </w:t>
      </w:r>
    </w:p>
    <w:p w:rsidR="00987F99" w:rsidRPr="00987F99" w:rsidRDefault="00987F99" w:rsidP="0095140D">
      <w:pPr>
        <w:spacing w:before="120" w:after="120"/>
        <w:ind w:left="567" w:right="567"/>
        <w:jc w:val="both"/>
        <w:rPr>
          <w:rFonts w:ascii="David" w:eastAsia="Calibri" w:hAnsi="David"/>
          <w:b/>
          <w:bCs/>
          <w:u w:val="single"/>
          <w:rtl/>
        </w:rPr>
      </w:pPr>
      <w:r w:rsidRPr="00987F99">
        <w:rPr>
          <w:rFonts w:ascii="David" w:eastAsia="Calibri" w:hAnsi="David"/>
          <w:rtl/>
        </w:rPr>
        <w:t>"</w:t>
      </w:r>
      <w:r w:rsidRPr="00987F99">
        <w:rPr>
          <w:rFonts w:ascii="David" w:eastAsia="Calibri" w:hAnsi="David"/>
          <w:b/>
          <w:bCs/>
          <w:rtl/>
        </w:rPr>
        <w:t>תנאי בלתו אין להרשעת נאשם בעבירת המתה, הוא קיומו של קשר סיבתי בין מעשיו לבין תוצאת המוות. הפסיקה קבעה כי הקשר הסיבתי בעל שני רבדים: העובדתי והמשפטי. העובדתי – כשמו כן הוא – בדיקה היסטורית. המשפטי – נורמטיבי: קביעת מדיניות משפטית מתי, או ליתר דיוק עד לאיזה גבול, יהא אדם אחראי לקשר העובדתי שלו לאירוע מסוים. כדי להמחיש את העניין אצביע על דוגמת קצה: הרי, בלא לידת הרוצח – לא היה מתרחש הרצח. אך, כמובן שאין להאשים את הוריו במעשיו הפליליים. הפסיקה הגדירה את הקשר הסיבתי העובדתי באופן הבא: "</w:t>
      </w:r>
      <w:r w:rsidRPr="00987F99">
        <w:rPr>
          <w:rFonts w:ascii="David" w:eastAsia="Calibri" w:hAnsi="David"/>
          <w:b/>
          <w:bCs/>
          <w:u w:val="single"/>
          <w:rtl/>
        </w:rPr>
        <w:t>בבוחנו את דבר קיומו של קשר סיבתי עובדתי על בית-המשפט לקבוע אם ההתנהגות נשוא האישום מהווה סיבה פיזית הכרחית בשרשרת הסיבתית שהסתיימה בתוצאה הטראגית"</w:t>
      </w:r>
      <w:r w:rsidRPr="00987F99">
        <w:rPr>
          <w:rFonts w:ascii="David" w:eastAsia="Calibri" w:hAnsi="David"/>
          <w:b/>
          <w:bCs/>
          <w:rtl/>
        </w:rPr>
        <w:t xml:space="preserve"> (...) מבחן של "הסיבה בלעדיה אין".</w:t>
      </w:r>
      <w:r w:rsidRPr="00987F99">
        <w:rPr>
          <w:rFonts w:ascii="David" w:eastAsia="Calibri" w:hAnsi="David"/>
          <w:b/>
          <w:bCs/>
        </w:rPr>
        <w:t>  </w:t>
      </w:r>
      <w:r w:rsidRPr="00987F99">
        <w:rPr>
          <w:rFonts w:ascii="David" w:eastAsia="Calibri" w:hAnsi="David"/>
          <w:b/>
          <w:bCs/>
          <w:rtl/>
        </w:rPr>
        <w:t xml:space="preserve">הקשר הסיבתי המשפטי שזור במבחן הצפיות. המבחן בעבירת רצח הוא אובייקטיבי. די בכך שניתן היה </w:t>
      </w:r>
      <w:r w:rsidRPr="00987F99">
        <w:rPr>
          <w:rFonts w:ascii="David" w:eastAsia="Calibri" w:hAnsi="David"/>
          <w:b/>
          <w:bCs/>
          <w:u w:val="single"/>
          <w:rtl/>
        </w:rPr>
        <w:t>לצפות באורח סביר את התוצאה הקטלנית ושצריך היה לצפותה</w:t>
      </w:r>
      <w:r w:rsidRPr="00987F99">
        <w:rPr>
          <w:rFonts w:ascii="David" w:eastAsia="Calibri" w:hAnsi="David"/>
          <w:b/>
          <w:bCs/>
          <w:rtl/>
        </w:rPr>
        <w:t xml:space="preserve"> (שם</w:t>
      </w:r>
      <w:r w:rsidRPr="00987F99">
        <w:rPr>
          <w:rFonts w:ascii="David" w:eastAsia="Calibri" w:hAnsi="David"/>
          <w:b/>
          <w:bCs/>
        </w:rPr>
        <w:t>, </w:t>
      </w:r>
      <w:r w:rsidRPr="00987F99">
        <w:rPr>
          <w:rFonts w:ascii="David" w:eastAsia="Calibri" w:hAnsi="David"/>
          <w:b/>
          <w:bCs/>
          <w:rtl/>
        </w:rPr>
        <w:t xml:space="preserve">אבו ג'אנם). הדרישה לצפיות מופנית לתוצאה הקטלנית, לאו דווקא בדרך המסוימת שאליה התכוון המבצע. הקשר הסיבתי המשפטי "כולל צפייה של התוצאה". ככלל, די בהתקיימו של יסוד זה </w:t>
      </w:r>
      <w:r w:rsidRPr="00987F99">
        <w:rPr>
          <w:rFonts w:ascii="David" w:eastAsia="Calibri" w:hAnsi="David"/>
          <w:b/>
          <w:bCs/>
          <w:u w:val="single"/>
          <w:rtl/>
        </w:rPr>
        <w:t xml:space="preserve">ולכן גם אם התוצאה </w:t>
      </w:r>
      <w:r w:rsidRPr="00987F99">
        <w:rPr>
          <w:rFonts w:ascii="David" w:eastAsia="Calibri" w:hAnsi="David"/>
          <w:b/>
          <w:bCs/>
          <w:rtl/>
        </w:rPr>
        <w:t>הצפויה התרחשה באופן שונה מהצפוי, אין בכך כדי לנתק את הקשר הסיבתי.</w:t>
      </w:r>
      <w:r w:rsidRPr="00987F99">
        <w:rPr>
          <w:rFonts w:ascii="David" w:eastAsia="Calibri" w:hAnsi="David"/>
          <w:rtl/>
        </w:rPr>
        <w:t>"</w:t>
      </w:r>
    </w:p>
    <w:p w:rsidR="00CC6733" w:rsidRDefault="00CC6733" w:rsidP="00987F99">
      <w:pPr>
        <w:spacing w:before="120" w:after="120" w:line="360" w:lineRule="auto"/>
        <w:jc w:val="both"/>
        <w:rPr>
          <w:rFonts w:ascii="David" w:eastAsia="Calibri" w:hAnsi="David"/>
          <w:b/>
          <w:bCs/>
          <w:u w:val="single"/>
          <w:rtl/>
        </w:rPr>
      </w:pPr>
    </w:p>
    <w:p w:rsidR="00987F99" w:rsidRPr="00987F99" w:rsidRDefault="00987F99" w:rsidP="00987F99">
      <w:pPr>
        <w:spacing w:before="120" w:after="120" w:line="360" w:lineRule="auto"/>
        <w:jc w:val="both"/>
        <w:rPr>
          <w:rFonts w:ascii="David" w:eastAsia="Calibri" w:hAnsi="David"/>
          <w:b/>
          <w:bCs/>
          <w:u w:val="single"/>
          <w:rtl/>
        </w:rPr>
      </w:pPr>
      <w:r w:rsidRPr="00987F99">
        <w:rPr>
          <w:rFonts w:ascii="David" w:eastAsia="Calibri" w:hAnsi="David"/>
          <w:b/>
          <w:bCs/>
          <w:u w:val="single"/>
          <w:rtl/>
        </w:rPr>
        <w:t>מן הכלל אל הפרט :</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 xml:space="preserve">הוכח לפנינו קיומו של קשר סיבתי עובדתי ברור בין הירייה שירה הנאשם בראשו של </w:t>
      </w:r>
      <w:r w:rsidR="008E5FF0">
        <w:rPr>
          <w:rFonts w:ascii="David" w:eastAsia="Calibri" w:hAnsi="David"/>
          <w:rtl/>
        </w:rPr>
        <w:t>המנוח</w:t>
      </w:r>
      <w:r w:rsidRPr="00987F99">
        <w:rPr>
          <w:rFonts w:ascii="David" w:eastAsia="Calibri" w:hAnsi="David"/>
          <w:rtl/>
        </w:rPr>
        <w:t xml:space="preserve"> בשנת 2015 לבין מותו בשנת 2020. קביעתנו זו נסמכת בעיקרה על חוות דעתו של מומחה התביעה פרופ' מימון לה מצאנו לתת משקל רב, לצד "עובדות קשות" והחלתם של מבחני היגיון ושכל ישר. </w:t>
      </w:r>
    </w:p>
    <w:p w:rsidR="00A41D2A" w:rsidRDefault="00A41D2A" w:rsidP="00987F99">
      <w:pPr>
        <w:spacing w:before="120" w:after="120" w:line="360" w:lineRule="auto"/>
        <w:jc w:val="both"/>
        <w:rPr>
          <w:rFonts w:ascii="David" w:eastAsia="Calibri" w:hAnsi="David"/>
          <w:b/>
          <w:bCs/>
          <w:u w:val="single"/>
          <w:rtl/>
        </w:rPr>
      </w:pPr>
    </w:p>
    <w:p w:rsidR="00A41D2A" w:rsidRDefault="00A41D2A" w:rsidP="00987F99">
      <w:pPr>
        <w:spacing w:before="120" w:after="120" w:line="360" w:lineRule="auto"/>
        <w:jc w:val="both"/>
        <w:rPr>
          <w:rFonts w:ascii="David" w:eastAsia="Calibri" w:hAnsi="David"/>
          <w:b/>
          <w:bCs/>
          <w:u w:val="single"/>
          <w:rtl/>
        </w:rPr>
      </w:pP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b/>
          <w:bCs/>
          <w:u w:val="single"/>
          <w:rtl/>
        </w:rPr>
        <w:lastRenderedPageBreak/>
        <w:t xml:space="preserve">בהתאם לחוות דעתו של פרופ' מימון זהו קשר הסיבתי העובדתי שהביא למותו של </w:t>
      </w:r>
      <w:r w:rsidR="00CC6733">
        <w:rPr>
          <w:rFonts w:ascii="David" w:eastAsia="Calibri" w:hAnsi="David"/>
          <w:b/>
          <w:bCs/>
          <w:u w:val="single"/>
          <w:rtl/>
        </w:rPr>
        <w:t>ת.מ</w:t>
      </w:r>
      <w:r w:rsidRPr="00987F99">
        <w:rPr>
          <w:rFonts w:ascii="David" w:eastAsia="Calibri" w:hAnsi="David"/>
          <w:b/>
          <w:bCs/>
          <w:u w:val="single"/>
          <w:rtl/>
        </w:rPr>
        <w:t xml:space="preserve">: </w:t>
      </w:r>
    </w:p>
    <w:p w:rsidR="00987F99" w:rsidRPr="00987F99" w:rsidRDefault="00987F99" w:rsidP="00987F99">
      <w:pPr>
        <w:spacing w:after="120" w:line="360" w:lineRule="auto"/>
        <w:jc w:val="both"/>
        <w:rPr>
          <w:rFonts w:ascii="David" w:eastAsia="Calibri" w:hAnsi="David"/>
          <w:b/>
          <w:bCs/>
          <w:u w:val="single"/>
          <w:rtl/>
        </w:rPr>
      </w:pPr>
      <w:r w:rsidRPr="00987F99">
        <w:rPr>
          <w:rFonts w:ascii="Calibri" w:eastAsia="Calibri" w:hAnsi="Calibri" w:cs="Arial"/>
          <w:noProof/>
          <w:sz w:val="22"/>
          <w:szCs w:val="22"/>
          <w:rtl/>
        </w:rPr>
        <mc:AlternateContent>
          <mc:Choice Requires="wps">
            <w:drawing>
              <wp:anchor distT="0" distB="0" distL="114300" distR="114300" simplePos="0" relativeHeight="251659264" behindDoc="0" locked="0" layoutInCell="1" allowOverlap="1" wp14:anchorId="1BFD6B94" wp14:editId="52D1D51C">
                <wp:simplePos x="0" y="0"/>
                <wp:positionH relativeFrom="margin">
                  <wp:posOffset>4686300</wp:posOffset>
                </wp:positionH>
                <wp:positionV relativeFrom="paragraph">
                  <wp:posOffset>647700</wp:posOffset>
                </wp:positionV>
                <wp:extent cx="287020" cy="342900"/>
                <wp:effectExtent l="19050" t="0" r="17780" b="38100"/>
                <wp:wrapNone/>
                <wp:docPr id="8" name="חץ מעוקל שמאלה 1"/>
                <wp:cNvGraphicFramePr/>
                <a:graphic xmlns:a="http://schemas.openxmlformats.org/drawingml/2006/main">
                  <a:graphicData uri="http://schemas.microsoft.com/office/word/2010/wordprocessingShape">
                    <wps:wsp>
                      <wps:cNvSpPr/>
                      <wps:spPr>
                        <a:xfrm>
                          <a:off x="0" y="0"/>
                          <a:ext cx="287020" cy="342900"/>
                        </a:xfrm>
                        <a:prstGeom prst="curvedLef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type id="_x0000_t103" coordsize="21600,21600" o:spt="103" adj="12960,19440,7200" path="wr@22,0@21@3,,0@21@4@22@14@21@1@21@7@2@12l@2@13,0@8@2@11at@22,0@21@3@2@10@24@16@22@14@21@1@24@16,0@14xear@22@14@21@1@21@7@24@16nfe" w14:anchorId="0B9123F8">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textboxrect="@43,@41,@44,@42" o:connecttype="custom" o:connectlocs="0,@15;@2,@11;0,@8;@2,@13;@21,@16" o:connectangles="180,180,180,90,0" o:extrusionok="f"/>
                <v:handles>
                  <v:h position="topLeft,#0" yrange="@37,@27"/>
                  <v:h position="topLeft,#1" yrange="@25,@20"/>
                  <v:h position="#2,bottomRight" xrange="0,@40"/>
                </v:handles>
                <o:complex v:ext="view"/>
              </v:shapetype>
              <v:shape id="חץ מעוקל שמאלה 1" style="position:absolute;left:0;text-align:left;margin-left:369pt;margin-top:51pt;width:22.6pt;height:27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5b9bd5" strokecolor="#41719c" strokeweight="1pt" type="#_x0000_t103" adj="12560,19340,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">
                <w10:wrap anchorx="margin"/>
              </v:shape>
            </w:pict>
          </mc:Fallback>
        </mc:AlternateContent>
      </w:r>
      <w:r w:rsidRPr="00987F99">
        <w:rPr>
          <w:rFonts w:ascii="David" w:eastAsia="Calibri" w:hAnsi="David"/>
          <w:b/>
          <w:bCs/>
          <w:rtl/>
        </w:rPr>
        <w:t>הירייה בראש גרמה ל</w:t>
      </w:r>
      <w:r w:rsidR="00CC6733">
        <w:rPr>
          <w:rFonts w:ascii="David" w:eastAsia="Calibri" w:hAnsi="David"/>
          <w:b/>
          <w:bCs/>
          <w:rtl/>
        </w:rPr>
        <w:t>ת.מ</w:t>
      </w:r>
      <w:r w:rsidRPr="00987F99">
        <w:rPr>
          <w:rFonts w:ascii="David" w:eastAsia="Calibri" w:hAnsi="David"/>
          <w:b/>
          <w:bCs/>
          <w:rtl/>
        </w:rPr>
        <w:t xml:space="preserve"> חבלת ראש קשה, צמיתה, בעטיה הפך לסיעודי, שכוב ומרותק למיטה. בנוסף, חבלת הראש גרמה לכך ש</w:t>
      </w:r>
      <w:r w:rsidR="00CC6733">
        <w:rPr>
          <w:rFonts w:ascii="David" w:eastAsia="Calibri" w:hAnsi="David"/>
          <w:b/>
          <w:bCs/>
          <w:rtl/>
        </w:rPr>
        <w:t>ת.מ</w:t>
      </w:r>
      <w:r w:rsidRPr="00987F99">
        <w:rPr>
          <w:rFonts w:ascii="David" w:eastAsia="Calibri" w:hAnsi="David"/>
          <w:b/>
          <w:bCs/>
          <w:rtl/>
        </w:rPr>
        <w:t xml:space="preserve"> לא יכול היה לשלוט באופן עצמוני בדרכי האוויר העליונות ועל כן היה צורך בפתיחת פתח בקנה הנשימה</w:t>
      </w:r>
      <w:r w:rsidRPr="00987F99">
        <w:rPr>
          <w:rFonts w:ascii="David" w:eastAsia="Calibri" w:hAnsi="David"/>
          <w:rtl/>
        </w:rPr>
        <w:t>.</w:t>
      </w:r>
    </w:p>
    <w:p w:rsidR="00987F99" w:rsidRPr="00987F99" w:rsidRDefault="00987F99" w:rsidP="00987F99">
      <w:pPr>
        <w:spacing w:before="120" w:after="120" w:line="360" w:lineRule="auto"/>
        <w:jc w:val="both"/>
        <w:rPr>
          <w:rFonts w:ascii="David" w:eastAsia="Calibri" w:hAnsi="David"/>
          <w:b/>
          <w:bCs/>
          <w:u w:val="single"/>
          <w:rtl/>
        </w:rPr>
      </w:pPr>
    </w:p>
    <w:p w:rsidR="00987F99" w:rsidRPr="00987F99" w:rsidRDefault="00987F99" w:rsidP="00987F99">
      <w:pPr>
        <w:tabs>
          <w:tab w:val="left" w:pos="935"/>
        </w:tabs>
        <w:spacing w:after="120" w:line="360" w:lineRule="auto"/>
        <w:jc w:val="both"/>
        <w:rPr>
          <w:rFonts w:ascii="David" w:eastAsia="Calibri" w:hAnsi="David"/>
          <w:b/>
          <w:bCs/>
          <w:u w:val="single"/>
          <w:rtl/>
        </w:rPr>
      </w:pPr>
      <w:r w:rsidRPr="00987F99">
        <w:rPr>
          <w:rFonts w:ascii="Calibri" w:eastAsia="Calibri" w:hAnsi="Calibri" w:cs="Arial"/>
          <w:noProof/>
          <w:sz w:val="22"/>
          <w:szCs w:val="22"/>
          <w:rtl/>
        </w:rPr>
        <mc:AlternateContent>
          <mc:Choice Requires="wps">
            <w:drawing>
              <wp:anchor distT="0" distB="0" distL="114300" distR="114300" simplePos="0" relativeHeight="251660288" behindDoc="0" locked="0" layoutInCell="1" allowOverlap="1" wp14:anchorId="6414D30C" wp14:editId="36E1D6BA">
                <wp:simplePos x="0" y="0"/>
                <wp:positionH relativeFrom="margin">
                  <wp:posOffset>4706620</wp:posOffset>
                </wp:positionH>
                <wp:positionV relativeFrom="paragraph">
                  <wp:posOffset>405130</wp:posOffset>
                </wp:positionV>
                <wp:extent cx="287020" cy="400050"/>
                <wp:effectExtent l="19050" t="0" r="17780" b="38100"/>
                <wp:wrapNone/>
                <wp:docPr id="5" name="חץ מעוקל שמאלה 5"/>
                <wp:cNvGraphicFramePr/>
                <a:graphic xmlns:a="http://schemas.openxmlformats.org/drawingml/2006/main">
                  <a:graphicData uri="http://schemas.microsoft.com/office/word/2010/wordprocessingShape">
                    <wps:wsp>
                      <wps:cNvSpPr/>
                      <wps:spPr>
                        <a:xfrm>
                          <a:off x="0" y="0"/>
                          <a:ext cx="287020" cy="400050"/>
                        </a:xfrm>
                        <a:prstGeom prst="curvedLef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חץ מעוקל שמאלה 5" style="position:absolute;left:0;text-align:left;margin-left:370.6pt;margin-top:31.9pt;width:22.6pt;height:31.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5b9bd5" strokecolor="#41719c" strokeweight="1pt" type="#_x0000_t103" adj="13851,19663,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" w14:anchorId="6AEC8C99">
                <w10:wrap anchorx="margin"/>
              </v:shape>
            </w:pict>
          </mc:Fallback>
        </mc:AlternateContent>
      </w:r>
      <w:r w:rsidRPr="00987F99">
        <w:rPr>
          <w:rFonts w:ascii="David" w:eastAsia="Calibri" w:hAnsi="David"/>
          <w:b/>
          <w:bCs/>
          <w:u w:val="single"/>
          <w:rtl/>
        </w:rPr>
        <w:t xml:space="preserve">בשל מצבו של </w:t>
      </w:r>
      <w:r w:rsidR="00CC6733">
        <w:rPr>
          <w:rFonts w:ascii="David" w:eastAsia="Calibri" w:hAnsi="David"/>
          <w:b/>
          <w:bCs/>
          <w:u w:val="single"/>
          <w:rtl/>
        </w:rPr>
        <w:t>ת.מ</w:t>
      </w:r>
      <w:r w:rsidRPr="00987F99">
        <w:rPr>
          <w:rFonts w:ascii="David" w:eastAsia="Calibri" w:hAnsi="David"/>
          <w:b/>
          <w:bCs/>
          <w:u w:val="single"/>
          <w:rtl/>
        </w:rPr>
        <w:t xml:space="preserve"> (שכיבה ממושכת ופרכוסים) הוא פיתח נטייה גדולה מהרגיל לאספירציות (פליטות של חומרי קיבה אל תוך דרכי הנשימה) והצטברות הפרשות בדרכי הנשימה העליונות.</w:t>
      </w:r>
    </w:p>
    <w:p w:rsidR="00987F99" w:rsidRPr="00987F99" w:rsidRDefault="00987F99" w:rsidP="00987F99">
      <w:pPr>
        <w:spacing w:before="120" w:after="120" w:line="360" w:lineRule="auto"/>
        <w:jc w:val="both"/>
        <w:rPr>
          <w:rFonts w:ascii="David" w:eastAsia="Calibri" w:hAnsi="David"/>
          <w:b/>
          <w:bCs/>
          <w:u w:val="single"/>
          <w:rtl/>
        </w:rPr>
      </w:pPr>
    </w:p>
    <w:p w:rsidR="00987F99" w:rsidRPr="00987F99" w:rsidRDefault="00987F99" w:rsidP="00987F99">
      <w:pPr>
        <w:spacing w:after="120" w:line="360" w:lineRule="auto"/>
        <w:jc w:val="both"/>
        <w:rPr>
          <w:rFonts w:ascii="David" w:eastAsia="Calibri" w:hAnsi="David"/>
          <w:b/>
          <w:bCs/>
          <w:rtl/>
        </w:rPr>
      </w:pPr>
      <w:r w:rsidRPr="00987F99">
        <w:rPr>
          <w:rFonts w:ascii="Calibri" w:eastAsia="Calibri" w:hAnsi="Calibri" w:cs="Arial"/>
          <w:noProof/>
          <w:sz w:val="22"/>
          <w:szCs w:val="22"/>
          <w:rtl/>
        </w:rPr>
        <mc:AlternateContent>
          <mc:Choice Requires="wps">
            <w:drawing>
              <wp:anchor distT="0" distB="0" distL="114300" distR="114300" simplePos="0" relativeHeight="251661312" behindDoc="0" locked="0" layoutInCell="1" allowOverlap="1" wp14:anchorId="0DF15BBD" wp14:editId="61B7C8F0">
                <wp:simplePos x="0" y="0"/>
                <wp:positionH relativeFrom="margin">
                  <wp:posOffset>4686300</wp:posOffset>
                </wp:positionH>
                <wp:positionV relativeFrom="paragraph">
                  <wp:posOffset>635635</wp:posOffset>
                </wp:positionV>
                <wp:extent cx="287020" cy="390525"/>
                <wp:effectExtent l="19050" t="0" r="17780" b="47625"/>
                <wp:wrapNone/>
                <wp:docPr id="6" name="חץ מעוקל שמאלה 6"/>
                <wp:cNvGraphicFramePr/>
                <a:graphic xmlns:a="http://schemas.openxmlformats.org/drawingml/2006/main">
                  <a:graphicData uri="http://schemas.microsoft.com/office/word/2010/wordprocessingShape">
                    <wps:wsp>
                      <wps:cNvSpPr/>
                      <wps:spPr>
                        <a:xfrm>
                          <a:off x="0" y="0"/>
                          <a:ext cx="287020" cy="390525"/>
                        </a:xfrm>
                        <a:prstGeom prst="curvedLef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חץ מעוקל שמאלה 6" style="position:absolute;left:0;text-align:left;margin-left:369pt;margin-top:50.05pt;width:22.6pt;height:30.7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5b9bd5" strokecolor="#41719c" strokeweight="1pt" type="#_x0000_t103" adj="13662,19615,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" w14:anchorId="130AE071">
                <w10:wrap anchorx="margin"/>
              </v:shape>
            </w:pict>
          </mc:Fallback>
        </mc:AlternateContent>
      </w:r>
      <w:r w:rsidRPr="00987F99">
        <w:rPr>
          <w:rFonts w:ascii="David" w:eastAsia="Calibri" w:hAnsi="David"/>
          <w:b/>
          <w:bCs/>
          <w:rtl/>
        </w:rPr>
        <w:t xml:space="preserve">בעוד אדם בריא יכול לסלק אספירציות שחדרו לדרכי הנשימה העליונות בקלות רבה, כך למשל, על ידי שיעול, לא כך במקרה של </w:t>
      </w:r>
      <w:r w:rsidR="00CC6733">
        <w:rPr>
          <w:rFonts w:ascii="David" w:eastAsia="Calibri" w:hAnsi="David"/>
          <w:b/>
          <w:bCs/>
          <w:rtl/>
        </w:rPr>
        <w:t>ת.מ</w:t>
      </w:r>
      <w:r w:rsidRPr="00987F99">
        <w:rPr>
          <w:rFonts w:ascii="David" w:eastAsia="Calibri" w:hAnsi="David"/>
          <w:b/>
          <w:bCs/>
          <w:rtl/>
        </w:rPr>
        <w:t xml:space="preserve"> שהיה מרותק למיטה ונזקק לתמיכה חיצונית על מנת לעשות כן (בעיקר על ידי החדרת צינורות לקנה הנשימה וביצוע סקשן). </w:t>
      </w:r>
    </w:p>
    <w:p w:rsidR="00987F99" w:rsidRPr="00987F99" w:rsidRDefault="00987F99" w:rsidP="00987F99">
      <w:pPr>
        <w:spacing w:before="120" w:after="120" w:line="360" w:lineRule="auto"/>
        <w:jc w:val="both"/>
        <w:rPr>
          <w:rFonts w:ascii="David" w:eastAsia="Calibri" w:hAnsi="David"/>
          <w:b/>
          <w:bCs/>
          <w:rtl/>
        </w:rPr>
      </w:pPr>
    </w:p>
    <w:p w:rsidR="00987F99" w:rsidRPr="00987F99" w:rsidRDefault="00987F99" w:rsidP="00987F99">
      <w:pPr>
        <w:spacing w:after="120" w:line="360" w:lineRule="auto"/>
        <w:jc w:val="both"/>
        <w:rPr>
          <w:rFonts w:ascii="David" w:eastAsia="Calibri" w:hAnsi="David"/>
          <w:b/>
          <w:bCs/>
          <w:rtl/>
        </w:rPr>
      </w:pPr>
      <w:r w:rsidRPr="00987F99">
        <w:rPr>
          <w:rFonts w:ascii="Calibri" w:eastAsia="Calibri" w:hAnsi="Calibri" w:cs="Arial"/>
          <w:noProof/>
          <w:sz w:val="22"/>
          <w:szCs w:val="22"/>
          <w:rtl/>
        </w:rPr>
        <mc:AlternateContent>
          <mc:Choice Requires="wps">
            <w:drawing>
              <wp:anchor distT="0" distB="0" distL="114300" distR="114300" simplePos="0" relativeHeight="251662336" behindDoc="0" locked="0" layoutInCell="1" allowOverlap="1" wp14:anchorId="7F59161B" wp14:editId="654B5C6F">
                <wp:simplePos x="0" y="0"/>
                <wp:positionH relativeFrom="margin">
                  <wp:posOffset>4658995</wp:posOffset>
                </wp:positionH>
                <wp:positionV relativeFrom="paragraph">
                  <wp:posOffset>402590</wp:posOffset>
                </wp:positionV>
                <wp:extent cx="287020" cy="409575"/>
                <wp:effectExtent l="19050" t="0" r="17780" b="47625"/>
                <wp:wrapNone/>
                <wp:docPr id="7" name="חץ מעוקל שמאלה 7"/>
                <wp:cNvGraphicFramePr/>
                <a:graphic xmlns:a="http://schemas.openxmlformats.org/drawingml/2006/main">
                  <a:graphicData uri="http://schemas.microsoft.com/office/word/2010/wordprocessingShape">
                    <wps:wsp>
                      <wps:cNvSpPr/>
                      <wps:spPr>
                        <a:xfrm>
                          <a:off x="0" y="0"/>
                          <a:ext cx="287020" cy="409575"/>
                        </a:xfrm>
                        <a:prstGeom prst="curvedLef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חץ מעוקל שמאלה 7" style="position:absolute;left:0;text-align:left;margin-left:366.85pt;margin-top:31.7pt;width:22.6pt;height:32.2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5b9bd5" strokecolor="#41719c" strokeweight="1pt" type="#_x0000_t103" adj="14032,19708,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" w14:anchorId="673521B5">
                <w10:wrap anchorx="margin"/>
              </v:shape>
            </w:pict>
          </mc:Fallback>
        </mc:AlternateContent>
      </w:r>
      <w:r w:rsidRPr="00987F99">
        <w:rPr>
          <w:rFonts w:ascii="David" w:eastAsia="Calibri" w:hAnsi="David"/>
          <w:b/>
          <w:bCs/>
          <w:rtl/>
        </w:rPr>
        <w:t xml:space="preserve">הקושי האמור של </w:t>
      </w:r>
      <w:r w:rsidR="00CC6733">
        <w:rPr>
          <w:rFonts w:ascii="David" w:eastAsia="Calibri" w:hAnsi="David"/>
          <w:b/>
          <w:bCs/>
          <w:rtl/>
        </w:rPr>
        <w:t>ת.מ</w:t>
      </w:r>
      <w:r w:rsidRPr="00987F99">
        <w:rPr>
          <w:rFonts w:ascii="David" w:eastAsia="Calibri" w:hAnsi="David"/>
          <w:b/>
          <w:bCs/>
          <w:rtl/>
        </w:rPr>
        <w:t xml:space="preserve"> הביא לסילוק לא יעיל של אספירציות. הימצאות אספירציות בדרכי הנשימה הביאה להתפתחות דלקות ריאה חוזרות. </w:t>
      </w:r>
    </w:p>
    <w:p w:rsidR="00987F99" w:rsidRPr="00987F99" w:rsidRDefault="00987F99" w:rsidP="00987F99">
      <w:pPr>
        <w:spacing w:before="120" w:after="120" w:line="360" w:lineRule="auto"/>
        <w:jc w:val="both"/>
        <w:rPr>
          <w:rFonts w:ascii="David" w:eastAsia="Calibri" w:hAnsi="David"/>
          <w:b/>
          <w:bCs/>
          <w:u w:val="single"/>
          <w:rtl/>
        </w:rPr>
      </w:pPr>
    </w:p>
    <w:p w:rsidR="00987F99" w:rsidRPr="00987F99" w:rsidRDefault="00987F99" w:rsidP="00987F99">
      <w:pPr>
        <w:spacing w:before="120" w:after="120" w:line="360" w:lineRule="auto"/>
        <w:jc w:val="both"/>
        <w:rPr>
          <w:rFonts w:ascii="David" w:eastAsia="Calibri" w:hAnsi="David"/>
          <w:b/>
          <w:bCs/>
          <w:rtl/>
        </w:rPr>
      </w:pPr>
      <w:r w:rsidRPr="00987F99">
        <w:rPr>
          <w:rFonts w:ascii="David" w:eastAsia="Calibri" w:hAnsi="David"/>
          <w:b/>
          <w:bCs/>
          <w:rtl/>
        </w:rPr>
        <w:t xml:space="preserve">מנגנון זה התרחש גם באשפוזו האחרון: </w:t>
      </w:r>
      <w:r w:rsidR="00CC6733">
        <w:rPr>
          <w:rFonts w:ascii="David" w:eastAsia="Calibri" w:hAnsi="David"/>
          <w:b/>
          <w:bCs/>
          <w:rtl/>
        </w:rPr>
        <w:t>ת.מ</w:t>
      </w:r>
      <w:r w:rsidRPr="00987F99">
        <w:rPr>
          <w:rFonts w:ascii="David" w:eastAsia="Calibri" w:hAnsi="David"/>
          <w:b/>
          <w:bCs/>
          <w:rtl/>
        </w:rPr>
        <w:t xml:space="preserve"> סבל מאספירציה מסיבית שנכנסה אל תוך דרכי הנשימה העליונים שלו – </w:t>
      </w:r>
      <w:r w:rsidR="00CC6733">
        <w:rPr>
          <w:rFonts w:ascii="David" w:eastAsia="Calibri" w:hAnsi="David"/>
          <w:b/>
          <w:bCs/>
          <w:rtl/>
        </w:rPr>
        <w:t>ת.מ</w:t>
      </w:r>
      <w:r w:rsidRPr="00987F99">
        <w:rPr>
          <w:rFonts w:ascii="David" w:eastAsia="Calibri" w:hAnsi="David"/>
          <w:b/>
          <w:bCs/>
          <w:rtl/>
        </w:rPr>
        <w:t xml:space="preserve"> לא יכול היה לסלק את אותה אספירציה - כתוצאה מכך חלה ירידה חמורה בסטורציה (החימצון בדם)  - </w:t>
      </w:r>
      <w:r w:rsidR="00CC6733">
        <w:rPr>
          <w:rFonts w:ascii="David" w:eastAsia="Calibri" w:hAnsi="David"/>
          <w:b/>
          <w:bCs/>
          <w:rtl/>
        </w:rPr>
        <w:t>ת.מ</w:t>
      </w:r>
      <w:r w:rsidRPr="00987F99">
        <w:rPr>
          <w:rFonts w:ascii="David" w:eastAsia="Calibri" w:hAnsi="David"/>
          <w:b/>
          <w:bCs/>
          <w:rtl/>
        </w:rPr>
        <w:t xml:space="preserve"> פיתח דלקת ריאות שהמשכה כשל נשימתי  (</w:t>
      </w:r>
      <w:r w:rsidRPr="00987F99">
        <w:rPr>
          <w:rFonts w:ascii="David" w:eastAsia="Calibri" w:hAnsi="David"/>
          <w:b/>
          <w:bCs/>
        </w:rPr>
        <w:t>ADSR</w:t>
      </w:r>
      <w:r w:rsidRPr="00987F99">
        <w:rPr>
          <w:rFonts w:ascii="David" w:eastAsia="Calibri" w:hAnsi="David"/>
          <w:b/>
          <w:bCs/>
          <w:rtl/>
        </w:rPr>
        <w:t xml:space="preserve">) שהוביל לפטירתו. </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הדברים צוינו בתמצית בחוות הדעת הכתובה של פרופ' מימון ומצאו ביטוי נרחב בעדותו לפנינו.</w:t>
      </w:r>
    </w:p>
    <w:p w:rsidR="00987F99" w:rsidRPr="00987F99" w:rsidRDefault="00987F99" w:rsidP="00987F99">
      <w:pPr>
        <w:spacing w:before="120" w:after="120" w:line="360" w:lineRule="auto"/>
        <w:jc w:val="both"/>
        <w:rPr>
          <w:rFonts w:ascii="David" w:eastAsia="David" w:hAnsi="David"/>
          <w:b/>
          <w:bCs/>
          <w:rtl/>
        </w:rPr>
      </w:pPr>
      <w:r w:rsidRPr="00987F99">
        <w:rPr>
          <w:rFonts w:ascii="David" w:eastAsia="David" w:hAnsi="David"/>
          <w:rtl/>
        </w:rPr>
        <w:t xml:space="preserve">כך באופן כללי תיאר המומחה </w:t>
      </w:r>
      <w:r w:rsidRPr="00987F99">
        <w:rPr>
          <w:rFonts w:ascii="David" w:eastAsia="Calibri" w:hAnsi="David"/>
          <w:rtl/>
        </w:rPr>
        <w:t>את הקשר בין גילו ומצבו של המטופל לבין יכולתו לפנות את ההפרשות מדרכי הנשימה: "</w:t>
      </w:r>
      <w:r w:rsidRPr="00987F99">
        <w:rPr>
          <w:rFonts w:ascii="David" w:eastAsia="David" w:hAnsi="David"/>
          <w:b/>
          <w:bCs/>
          <w:rtl/>
        </w:rPr>
        <w:t xml:space="preserve">היכולת שלנו לפנות את ההפרשות שלנו מדרכי האוויר תלויה מאוד... תלויה מאוד בשליטה בדרכי האוויר העליונות. </w:t>
      </w:r>
      <w:r w:rsidRPr="00987F99">
        <w:rPr>
          <w:rFonts w:ascii="David" w:eastAsia="David" w:hAnsi="David"/>
          <w:b/>
          <w:bCs/>
          <w:u w:val="single"/>
          <w:rtl/>
        </w:rPr>
        <w:t>מי שעומד, יושב, מצבו הרבה יותר טוב ממי ששוכב</w:t>
      </w:r>
      <w:r w:rsidRPr="00987F99">
        <w:rPr>
          <w:rFonts w:ascii="David" w:eastAsia="David" w:hAnsi="David"/>
          <w:b/>
          <w:bCs/>
          <w:rtl/>
        </w:rPr>
        <w:t xml:space="preserve">. כל ההפרשות שקורות בדרכי האוויר העליונות מפונות החוצה באמצעות שיעול, ואפילו לפעמים שיעול קטנטן שהוא לא אפקטיבי באנשים ששוכבים, </w:t>
      </w:r>
      <w:r w:rsidRPr="00987F99">
        <w:rPr>
          <w:rFonts w:ascii="David" w:eastAsia="David" w:hAnsi="David"/>
          <w:b/>
          <w:bCs/>
          <w:u w:val="single"/>
          <w:rtl/>
        </w:rPr>
        <w:t>ולכן הנטייה שלך או של כולנו כאנשים צעירים לפתח אספירציות היא מאוד מאוד קטנה</w:t>
      </w:r>
      <w:r w:rsidRPr="00987F99">
        <w:rPr>
          <w:rFonts w:ascii="David" w:eastAsia="David" w:hAnsi="David"/>
          <w:b/>
          <w:bCs/>
          <w:rtl/>
        </w:rPr>
        <w:t xml:space="preserve">. הנטייה הזאת הולכת ועולה עד שאנחנו נהיים זקנים, כשאנחנו נהיים זקנים, והרבה פעמים לפני גם האנטיביוטיקה, כלומר הייתה קוטלת את הזקנים </w:t>
      </w:r>
      <w:r w:rsidRPr="00987F99">
        <w:rPr>
          <w:rFonts w:ascii="David" w:eastAsia="David" w:hAnsi="David"/>
          <w:b/>
          <w:bCs/>
          <w:u w:val="single"/>
          <w:rtl/>
        </w:rPr>
        <w:t>כי הם שוכבים במיטה וכל ההפרשות מופנות לתוך הריאות ואז מתפתחת דלקת ריאות</w:t>
      </w:r>
      <w:r w:rsidRPr="00987F99">
        <w:rPr>
          <w:rFonts w:ascii="David" w:eastAsia="David" w:hAnsi="David"/>
          <w:b/>
          <w:bCs/>
          <w:rtl/>
        </w:rPr>
        <w:t xml:space="preserve">. מי </w:t>
      </w:r>
      <w:r w:rsidRPr="00987F99">
        <w:rPr>
          <w:rFonts w:ascii="David" w:eastAsia="David" w:hAnsi="David"/>
          <w:b/>
          <w:bCs/>
          <w:u w:val="single"/>
          <w:rtl/>
        </w:rPr>
        <w:t xml:space="preserve">ששוכב כמו </w:t>
      </w:r>
      <w:r w:rsidR="00CC6733">
        <w:rPr>
          <w:rFonts w:ascii="David" w:eastAsia="David" w:hAnsi="David"/>
          <w:b/>
          <w:bCs/>
          <w:u w:val="single"/>
          <w:rtl/>
        </w:rPr>
        <w:t>[ת.מ]</w:t>
      </w:r>
      <w:r w:rsidRPr="00987F99">
        <w:rPr>
          <w:rFonts w:ascii="David" w:eastAsia="David" w:hAnsi="David"/>
          <w:b/>
          <w:bCs/>
          <w:u w:val="single"/>
          <w:rtl/>
        </w:rPr>
        <w:t xml:space="preserve"> במיטה עושה אספירציות כל הזמן, כל הזמן הוא עושה אספירציות.</w:t>
      </w:r>
      <w:r w:rsidRPr="00987F99">
        <w:rPr>
          <w:rFonts w:ascii="David" w:eastAsia="David" w:hAnsi="David"/>
          <w:b/>
          <w:bCs/>
          <w:rtl/>
        </w:rPr>
        <w:t xml:space="preserve"> יש לו (לא ברור) שמיועד </w:t>
      </w:r>
      <w:r w:rsidRPr="00987F99">
        <w:rPr>
          <w:rFonts w:ascii="David" w:eastAsia="David" w:hAnsi="David"/>
          <w:b/>
          <w:bCs/>
          <w:rtl/>
        </w:rPr>
        <w:lastRenderedPageBreak/>
        <w:t xml:space="preserve">לפינוי של הפרשות, אבל מבנה הריאות הוא כזה שהצינור שאתה מכניס לפינוי ההפרשות מגיע רק לדרכי האוויר העליונות, ויש לנו עוד 17 פיצולים קטנטנים שאין דרך להגיע אליהם בשום צורה שהיא, ואי אפשר באמת לנקות את הריאות. </w:t>
      </w:r>
      <w:r w:rsidRPr="00987F99">
        <w:rPr>
          <w:rFonts w:ascii="David" w:eastAsia="David" w:hAnsi="David"/>
          <w:b/>
          <w:bCs/>
          <w:u w:val="single"/>
          <w:rtl/>
        </w:rPr>
        <w:t>ומי שעושה אספירציות של תוכן קיבה ושל חיידקים, מועד לפתח דלקות ריאה</w:t>
      </w:r>
      <w:r w:rsidRPr="00987F99">
        <w:rPr>
          <w:rFonts w:ascii="David" w:eastAsia="David" w:hAnsi="David"/>
          <w:b/>
          <w:bCs/>
          <w:rtl/>
        </w:rPr>
        <w:t xml:space="preserve">..." </w:t>
      </w:r>
    </w:p>
    <w:p w:rsidR="00987F99" w:rsidRPr="00987F99" w:rsidRDefault="00987F99" w:rsidP="00987F99">
      <w:pPr>
        <w:spacing w:before="120" w:after="120" w:line="360" w:lineRule="auto"/>
        <w:jc w:val="both"/>
        <w:rPr>
          <w:rFonts w:ascii="David" w:eastAsia="David" w:hAnsi="David"/>
          <w:rtl/>
        </w:rPr>
      </w:pPr>
      <w:r w:rsidRPr="00987F99">
        <w:rPr>
          <w:rFonts w:ascii="David" w:eastAsia="David" w:hAnsi="David"/>
          <w:rtl/>
        </w:rPr>
        <w:t>בהמשך, המומחה הסביר על הקשר בין האספירציות לבין היווצרותה של דלקת ריאות: "</w:t>
      </w:r>
      <w:r w:rsidRPr="00987F99">
        <w:rPr>
          <w:rFonts w:ascii="David" w:eastAsia="David" w:hAnsi="David"/>
          <w:b/>
          <w:bCs/>
          <w:rtl/>
        </w:rPr>
        <w:t>מצב שבו אוכל עולה לחלל הפה, נשפך החוצה, חלקו גם נשאף לתוך הריאות ואוכל עצמו זה מוצר מלא בחיידקים, חוץ מזה תכולת קיבה מכילה חומצות בכמות גדולה והשילוב בין חומצות לבין חיידקים גורם לדלקת ריאות וזה מנגנון של אספיריישן</w:t>
      </w:r>
      <w:r w:rsidRPr="00987F99">
        <w:rPr>
          <w:rFonts w:ascii="David" w:eastAsia="David" w:hAnsi="David"/>
          <w:rtl/>
        </w:rPr>
        <w:t xml:space="preserve"> (לא ברור) </w:t>
      </w:r>
      <w:r w:rsidRPr="00987F99">
        <w:rPr>
          <w:rFonts w:ascii="David" w:eastAsia="David" w:hAnsi="David"/>
          <w:b/>
          <w:bCs/>
          <w:rtl/>
        </w:rPr>
        <w:t>מצב שבו תכולת קיבה חודרת לריאות</w:t>
      </w:r>
      <w:r w:rsidRPr="00987F99">
        <w:rPr>
          <w:rFonts w:ascii="David" w:eastAsia="David" w:hAnsi="David"/>
          <w:rtl/>
        </w:rPr>
        <w:t xml:space="preserve">." </w:t>
      </w:r>
    </w:p>
    <w:p w:rsidR="00987F99" w:rsidRPr="00987F99" w:rsidRDefault="00987F99" w:rsidP="00987F99">
      <w:pPr>
        <w:spacing w:before="120" w:after="120" w:line="360" w:lineRule="auto"/>
        <w:jc w:val="both"/>
        <w:rPr>
          <w:rFonts w:ascii="David" w:eastAsia="David" w:hAnsi="David"/>
          <w:rtl/>
        </w:rPr>
      </w:pPr>
      <w:r w:rsidRPr="00987F99">
        <w:rPr>
          <w:rFonts w:ascii="David" w:eastAsia="David" w:hAnsi="David"/>
          <w:rtl/>
        </w:rPr>
        <w:t>ובשלב הבא: "</w:t>
      </w:r>
      <w:r w:rsidRPr="00987F99">
        <w:rPr>
          <w:rFonts w:ascii="David" w:eastAsia="David" w:hAnsi="David"/>
          <w:b/>
          <w:bCs/>
          <w:rtl/>
        </w:rPr>
        <w:t>ברגע שאספירציה חודרת לתוך הריאות אז קורים תהליכים שהם סיסטמתיים. גם תגובה של הריאות למזון ולחומציות הזו בתוך הריאות, ואז הריאות הופכות להיות חולות מאוד, ויכולת החמצון שלהן נפגעת. חוץ מזה, חום הגוף עולה מאוד גבוה ואז יש תופעות של הפעלת כל המערכות הדלקתיות הסיסטמתיות של הגוף ואתה תפתח איזה שהיא תסמונת של כשל רב מערכתי</w:t>
      </w:r>
      <w:r w:rsidRPr="00987F99">
        <w:rPr>
          <w:rFonts w:ascii="David" w:eastAsia="David" w:hAnsi="David"/>
          <w:rtl/>
        </w:rPr>
        <w:t xml:space="preserve">" (עמ' 39). </w:t>
      </w:r>
      <w:r w:rsidRPr="00987F99">
        <w:rPr>
          <w:rFonts w:ascii="David" w:eastAsia="David" w:hAnsi="David"/>
          <w:b/>
          <w:bCs/>
          <w:rtl/>
        </w:rPr>
        <w:t xml:space="preserve"> </w:t>
      </w:r>
    </w:p>
    <w:p w:rsidR="00987F99" w:rsidRPr="00987F99" w:rsidRDefault="00987F99" w:rsidP="00987F99">
      <w:pPr>
        <w:spacing w:before="120" w:after="120" w:line="360" w:lineRule="auto"/>
        <w:jc w:val="both"/>
        <w:rPr>
          <w:rFonts w:ascii="David" w:eastAsia="David" w:hAnsi="David"/>
          <w:rtl/>
        </w:rPr>
      </w:pPr>
      <w:r w:rsidRPr="00987F99">
        <w:rPr>
          <w:rFonts w:ascii="David" w:eastAsia="David" w:hAnsi="David"/>
          <w:rtl/>
        </w:rPr>
        <w:t xml:space="preserve">אַחַר הסברים כלליים אלו, פרופ' מימון </w:t>
      </w:r>
      <w:r w:rsidRPr="00987F99">
        <w:rPr>
          <w:rFonts w:ascii="David" w:eastAsia="David" w:hAnsi="David"/>
          <w:u w:val="single"/>
          <w:rtl/>
        </w:rPr>
        <w:t>הסביר קונקרטית</w:t>
      </w:r>
      <w:r w:rsidRPr="00987F99">
        <w:rPr>
          <w:rFonts w:ascii="David" w:eastAsia="David" w:hAnsi="David"/>
          <w:rtl/>
        </w:rPr>
        <w:t>, כיצד חבלת הראש הקשה שנגרמה ל</w:t>
      </w:r>
      <w:r w:rsidR="008E5FF0">
        <w:rPr>
          <w:rFonts w:ascii="David" w:eastAsia="David" w:hAnsi="David"/>
          <w:rtl/>
        </w:rPr>
        <w:t>מנוח</w:t>
      </w:r>
      <w:r w:rsidRPr="00987F99">
        <w:rPr>
          <w:rFonts w:ascii="David" w:eastAsia="David" w:hAnsi="David"/>
          <w:rtl/>
        </w:rPr>
        <w:t xml:space="preserve"> בעקבות הירי בראשו הביאה לריבוי אספירציות, ופגעה ביכולתו לסלקן באופן יעיל: </w:t>
      </w:r>
      <w:r w:rsidRPr="00987F99">
        <w:rPr>
          <w:rFonts w:ascii="David" w:eastAsia="David" w:hAnsi="David"/>
          <w:b/>
          <w:bCs/>
          <w:rtl/>
        </w:rPr>
        <w:t>"...</w:t>
      </w:r>
      <w:r w:rsidRPr="00987F99">
        <w:rPr>
          <w:rFonts w:ascii="David" w:eastAsia="David" w:hAnsi="David"/>
          <w:b/>
          <w:bCs/>
          <w:u w:val="single"/>
          <w:rtl/>
        </w:rPr>
        <w:t xml:space="preserve">במקרה של </w:t>
      </w:r>
      <w:r w:rsidR="00CC6733">
        <w:rPr>
          <w:rFonts w:ascii="David" w:eastAsia="David" w:hAnsi="David"/>
          <w:b/>
          <w:bCs/>
          <w:u w:val="single"/>
          <w:rtl/>
        </w:rPr>
        <w:t>[ת.מ]</w:t>
      </w:r>
      <w:r w:rsidRPr="00987F99">
        <w:rPr>
          <w:rFonts w:ascii="David" w:eastAsia="David" w:hAnsi="David"/>
          <w:b/>
          <w:bCs/>
          <w:u w:val="single"/>
          <w:rtl/>
        </w:rPr>
        <w:t xml:space="preserve"> הוא נפצע בראשו ולכן לא ניתן היה לשלוט בדרכי האוויר, לא יכול היה לשלוט באופן עצמוני בדרכי האוויר העליונות</w:t>
      </w:r>
      <w:r w:rsidRPr="00987F99">
        <w:rPr>
          <w:rFonts w:ascii="David" w:eastAsia="David" w:hAnsi="David"/>
          <w:b/>
          <w:bCs/>
          <w:rtl/>
        </w:rPr>
        <w:t xml:space="preserve">, </w:t>
      </w:r>
      <w:r w:rsidRPr="00987F99">
        <w:rPr>
          <w:rFonts w:ascii="David" w:eastAsia="David" w:hAnsi="David"/>
          <w:b/>
          <w:bCs/>
          <w:u w:val="single"/>
          <w:rtl/>
        </w:rPr>
        <w:t>ולכן אתה פותח פתח לקנה ישיר על מנת שתוכל בעצמך באופן אקטיבי לנקות את ההפרשות</w:t>
      </w:r>
      <w:r w:rsidRPr="00987F99">
        <w:rPr>
          <w:rFonts w:ascii="David" w:eastAsia="David" w:hAnsi="David"/>
          <w:b/>
          <w:bCs/>
          <w:rtl/>
        </w:rPr>
        <w:t xml:space="preserve">... ומי שלא עושה את זה בצורה עצמאית, יכול להיחנק מההפרשות של עצמו...מי שיש לו </w:t>
      </w:r>
      <w:r w:rsidRPr="00987F99">
        <w:rPr>
          <w:rFonts w:ascii="David" w:eastAsia="David" w:hAnsi="David"/>
          <w:rtl/>
        </w:rPr>
        <w:t xml:space="preserve">(לא ברור) </w:t>
      </w:r>
      <w:r w:rsidRPr="00987F99">
        <w:rPr>
          <w:rFonts w:ascii="David" w:eastAsia="David" w:hAnsi="David"/>
          <w:b/>
          <w:bCs/>
          <w:rtl/>
        </w:rPr>
        <w:t>לא מסוגל לדבר, מכניסים לו צינורות כל הזמן וזה כואב מאוד על מנת לנקות את ההפרשות, וזה מהלך חייו במשך השנים האחרונות, מאז שהוא נפצע בראשו עד מותו ב-2020</w:t>
      </w:r>
      <w:r w:rsidRPr="00987F99">
        <w:rPr>
          <w:rFonts w:ascii="David" w:eastAsia="David" w:hAnsi="David"/>
          <w:rtl/>
        </w:rPr>
        <w:t xml:space="preserve">" (עמ' 36).  </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 xml:space="preserve">שרשרת אירועים דומה ובעלת קשר סיבתי עובדתי התרחשה גם באשפוז האחרון של </w:t>
      </w:r>
      <w:r w:rsidR="008E5FF0">
        <w:rPr>
          <w:rFonts w:ascii="David" w:eastAsia="Calibri" w:hAnsi="David"/>
          <w:rtl/>
        </w:rPr>
        <w:t>המנוח</w:t>
      </w:r>
      <w:r w:rsidRPr="00987F99">
        <w:rPr>
          <w:rFonts w:ascii="David" w:eastAsia="Calibri" w:hAnsi="David"/>
          <w:rtl/>
        </w:rPr>
        <w:t xml:space="preserve"> במהלכו הוא נפטר. לדברי פרופ' מימון הוא ראה במו עיניו כיצד </w:t>
      </w:r>
      <w:r w:rsidR="008E5FF0">
        <w:rPr>
          <w:rFonts w:ascii="David" w:eastAsia="Calibri" w:hAnsi="David"/>
          <w:rtl/>
        </w:rPr>
        <w:t>המנוח</w:t>
      </w:r>
      <w:r w:rsidRPr="00987F99">
        <w:rPr>
          <w:rFonts w:ascii="David" w:eastAsia="Calibri" w:hAnsi="David"/>
          <w:rtl/>
        </w:rPr>
        <w:t xml:space="preserve"> פלט כמות גדולה של הפרשות ואת ההתדרדרות במצבו: "</w:t>
      </w:r>
      <w:r w:rsidRPr="00987F99">
        <w:rPr>
          <w:rFonts w:ascii="David" w:eastAsia="Calibri" w:hAnsi="David"/>
          <w:b/>
          <w:bCs/>
          <w:rtl/>
        </w:rPr>
        <w:t xml:space="preserve">באתי לביקור בוקר, נכנסתי לחדר וראיתי את </w:t>
      </w:r>
      <w:r w:rsidR="00CC6733">
        <w:rPr>
          <w:rFonts w:ascii="David" w:eastAsia="Calibri" w:hAnsi="David"/>
          <w:b/>
          <w:bCs/>
          <w:rtl/>
        </w:rPr>
        <w:t>[ת.מ]</w:t>
      </w:r>
      <w:r w:rsidRPr="00987F99">
        <w:rPr>
          <w:rFonts w:ascii="David" w:eastAsia="Calibri" w:hAnsi="David"/>
          <w:b/>
          <w:bCs/>
          <w:rtl/>
        </w:rPr>
        <w:t xml:space="preserve"> מחרחר וגדוש ומפריש מתוך דרכי, מתוך הוושת שלו כמות גדולה של הפרשות וחלה ירידה חמורה בסטורציה בזמן הזה, והבנו שהחולה נחנק מההפרשות של עצמו</w:t>
      </w:r>
      <w:r w:rsidRPr="00987F99">
        <w:rPr>
          <w:rFonts w:ascii="David" w:eastAsia="Calibri" w:hAnsi="David"/>
          <w:rtl/>
        </w:rPr>
        <w:t xml:space="preserve">" (עמ' 40). נוכח האמור, ההתדרדרות המהירה במצבו של </w:t>
      </w:r>
      <w:r w:rsidR="008E5FF0">
        <w:rPr>
          <w:rFonts w:ascii="David" w:eastAsia="Calibri" w:hAnsi="David"/>
          <w:rtl/>
        </w:rPr>
        <w:t>המנוח</w:t>
      </w:r>
      <w:r w:rsidRPr="00987F99">
        <w:rPr>
          <w:rFonts w:ascii="David" w:eastAsia="Calibri" w:hAnsi="David"/>
          <w:rtl/>
        </w:rPr>
        <w:t xml:space="preserve">, הוא הועבר לטיפול נמרץ ביום 16.2.20 ונפטר ביום 20.2.20. </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 xml:space="preserve">פרופ' מימון לא יכול היה להסביר מדוע אותה אספירציה שהובילה למותו של </w:t>
      </w:r>
      <w:r w:rsidR="008E5FF0">
        <w:rPr>
          <w:rFonts w:ascii="David" w:eastAsia="Calibri" w:hAnsi="David"/>
          <w:rtl/>
        </w:rPr>
        <w:t>המנוח</w:t>
      </w:r>
      <w:r w:rsidRPr="00987F99">
        <w:rPr>
          <w:rFonts w:ascii="David" w:eastAsia="Calibri" w:hAnsi="David"/>
          <w:rtl/>
        </w:rPr>
        <w:t xml:space="preserve"> התרחשה במועד שהתרחשה ולא במועד אחר (מוקדם או מאוחר יותר). אף שכך, הלה הסביר כי השתלשלות האירועים שהובילה למותו של </w:t>
      </w:r>
      <w:r w:rsidR="008E5FF0">
        <w:rPr>
          <w:rFonts w:ascii="David" w:eastAsia="Calibri" w:hAnsi="David"/>
          <w:rtl/>
        </w:rPr>
        <w:t>המנוח</w:t>
      </w:r>
      <w:r w:rsidRPr="00987F99">
        <w:rPr>
          <w:rFonts w:ascii="David" w:eastAsia="Calibri" w:hAnsi="David"/>
          <w:rtl/>
        </w:rPr>
        <w:t xml:space="preserve"> היא זו שבהסתברות גבוהה הייתה מובילה למותו ולאלה שכמותו: "</w:t>
      </w:r>
      <w:r w:rsidRPr="00987F99">
        <w:rPr>
          <w:rFonts w:ascii="David" w:eastAsia="Calibri" w:hAnsi="David"/>
          <w:b/>
          <w:bCs/>
          <w:rtl/>
        </w:rPr>
        <w:t>...אז הפעם הכמות הייתה גדולה יותר מהכמות שקרתה בשנים שקדמו לכך</w:t>
      </w:r>
      <w:r w:rsidRPr="00987F99">
        <w:rPr>
          <w:rFonts w:ascii="David" w:eastAsia="Calibri" w:hAnsi="David"/>
          <w:rtl/>
        </w:rPr>
        <w:t xml:space="preserve"> (אספירציה של מזון, ד.ב.ט) </w:t>
      </w:r>
      <w:r w:rsidRPr="00987F99">
        <w:rPr>
          <w:rFonts w:ascii="David" w:eastAsia="Calibri" w:hAnsi="David"/>
          <w:b/>
          <w:bCs/>
          <w:rtl/>
        </w:rPr>
        <w:lastRenderedPageBreak/>
        <w:t xml:space="preserve">למה זה קרה באותו יום? אני לא יכול לדעת, אבל מראש אפשר להגיד כמומחה ריאות אני אומר את זה כמומחה רפואה פנימית כי מי שנמצא במצב של </w:t>
      </w:r>
      <w:r w:rsidR="00CC6733">
        <w:rPr>
          <w:rFonts w:ascii="David" w:eastAsia="Calibri" w:hAnsi="David"/>
          <w:b/>
          <w:bCs/>
          <w:rtl/>
        </w:rPr>
        <w:t>[ת.מ]</w:t>
      </w:r>
      <w:r w:rsidRPr="00987F99">
        <w:rPr>
          <w:rFonts w:ascii="David" w:eastAsia="Calibri" w:hAnsi="David"/>
          <w:b/>
          <w:bCs/>
          <w:rtl/>
        </w:rPr>
        <w:t>, מותו יגרם בסופו של דבר בסבירות גבוהה כתוצאה מאספירציה [...] זה קורה בדרך כלל באנשים פגועים מוחית, אנשים עם פיגור שכלי ששוכבים במוסדות</w:t>
      </w:r>
      <w:r w:rsidRPr="00987F99">
        <w:rPr>
          <w:rFonts w:ascii="David" w:eastAsia="Calibri" w:hAnsi="David"/>
          <w:rtl/>
        </w:rPr>
        <w:t>" (עמ' 37).</w:t>
      </w:r>
      <w:r w:rsidRPr="00987F99">
        <w:rPr>
          <w:rFonts w:ascii="Calibri" w:eastAsia="Calibri" w:hAnsi="Calibri" w:cs="Arial"/>
          <w:sz w:val="22"/>
          <w:szCs w:val="22"/>
          <w:rtl/>
        </w:rPr>
        <w:t xml:space="preserve"> </w:t>
      </w:r>
      <w:r w:rsidRPr="00987F99">
        <w:rPr>
          <w:rFonts w:ascii="David" w:eastAsia="Calibri" w:hAnsi="David"/>
          <w:rtl/>
        </w:rPr>
        <w:t>לדברי פרופ' מימון לא  ניתן לשלול שהאספירציה מיום 14.2.20 נגרמה בשל פרכוס שנוצר בשל כך שלא קיבל תרופה נגד פרכוס (עמ' 43-42). יצוין כי לדברי פרופ' מימון, פגיעת הראש מלכתחילה הביאה לכך ש</w:t>
      </w:r>
      <w:r w:rsidR="008E5FF0">
        <w:rPr>
          <w:rFonts w:ascii="David" w:eastAsia="Calibri" w:hAnsi="David"/>
          <w:rtl/>
        </w:rPr>
        <w:t>המנוח</w:t>
      </w:r>
      <w:r w:rsidRPr="00987F99">
        <w:rPr>
          <w:rFonts w:ascii="David" w:eastAsia="Calibri" w:hAnsi="David"/>
          <w:rtl/>
        </w:rPr>
        <w:t xml:space="preserve"> יסבול מפרכוסים. </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 xml:space="preserve">המומחה הסביר כי הכשל הנשימתי  - </w:t>
      </w:r>
      <w:r w:rsidRPr="00987F99">
        <w:rPr>
          <w:rFonts w:ascii="David" w:eastAsia="Calibri" w:hAnsi="David"/>
          <w:sz w:val="20"/>
          <w:szCs w:val="20"/>
        </w:rPr>
        <w:t>"ARDS"-  ACUTE RESPIRATORY DISTRESS</w:t>
      </w:r>
      <w:r w:rsidRPr="00987F99">
        <w:rPr>
          <w:rFonts w:ascii="David" w:eastAsia="Calibri" w:hAnsi="David"/>
        </w:rPr>
        <w:t xml:space="preserve"> </w:t>
      </w:r>
      <w:r w:rsidRPr="00987F99">
        <w:rPr>
          <w:rFonts w:ascii="David" w:eastAsia="Calibri" w:hAnsi="David"/>
          <w:sz w:val="20"/>
          <w:szCs w:val="20"/>
        </w:rPr>
        <w:t>SYNDROME</w:t>
      </w:r>
      <w:r w:rsidRPr="00987F99">
        <w:rPr>
          <w:rFonts w:ascii="David" w:eastAsia="Calibri" w:hAnsi="David"/>
        </w:rPr>
        <w:t xml:space="preserve"> </w:t>
      </w:r>
      <w:r w:rsidRPr="00987F99">
        <w:rPr>
          <w:rFonts w:ascii="David" w:eastAsia="Calibri" w:hAnsi="David"/>
          <w:rtl/>
        </w:rPr>
        <w:t xml:space="preserve"> </w:t>
      </w:r>
      <w:r w:rsidRPr="00987F99">
        <w:rPr>
          <w:rFonts w:ascii="David" w:eastAsia="Calibri" w:hAnsi="David" w:hint="cs"/>
          <w:rtl/>
        </w:rPr>
        <w:t xml:space="preserve"> - אינו אלא המשך ישיר של דלקת הריאות </w:t>
      </w:r>
      <w:r w:rsidRPr="00987F99">
        <w:rPr>
          <w:rFonts w:ascii="David" w:eastAsia="Calibri" w:hAnsi="David"/>
        </w:rPr>
        <w:t>:</w:t>
      </w:r>
      <w:r w:rsidRPr="00987F99">
        <w:rPr>
          <w:rFonts w:ascii="David" w:eastAsia="Calibri" w:hAnsi="David"/>
          <w:rtl/>
        </w:rPr>
        <w:t xml:space="preserve"> "</w:t>
      </w:r>
      <w:r w:rsidRPr="00987F99">
        <w:rPr>
          <w:rFonts w:ascii="David" w:eastAsia="Calibri" w:hAnsi="David"/>
          <w:b/>
          <w:bCs/>
          <w:rtl/>
        </w:rPr>
        <w:t>במקרה הספציפי הזה, התהליך החל כדלקת ריאות של אספירציה והתקדם הלאה ל-</w:t>
      </w:r>
      <w:r w:rsidRPr="00987F99">
        <w:rPr>
          <w:rFonts w:ascii="David" w:eastAsia="Calibri" w:hAnsi="David"/>
          <w:b/>
          <w:bCs/>
          <w:sz w:val="20"/>
          <w:szCs w:val="20"/>
        </w:rPr>
        <w:t>ARDS</w:t>
      </w:r>
      <w:r w:rsidRPr="00987F99">
        <w:rPr>
          <w:rFonts w:ascii="David" w:eastAsia="Calibri" w:hAnsi="David"/>
          <w:b/>
          <w:bCs/>
          <w:rtl/>
        </w:rPr>
        <w:t xml:space="preserve"> </w:t>
      </w:r>
      <w:r w:rsidRPr="00987F99">
        <w:rPr>
          <w:rFonts w:ascii="David" w:eastAsia="Calibri" w:hAnsi="David" w:hint="cs"/>
          <w:b/>
          <w:bCs/>
          <w:u w:val="single"/>
          <w:rtl/>
        </w:rPr>
        <w:t xml:space="preserve">[...] צפוי לגמרי שמי שמפתח דלקת ריאות של אספירציה יפתח בהמשך </w:t>
      </w:r>
      <w:r w:rsidRPr="00987F99">
        <w:rPr>
          <w:rFonts w:ascii="David" w:eastAsia="Calibri" w:hAnsi="David"/>
          <w:b/>
          <w:bCs/>
          <w:sz w:val="20"/>
          <w:szCs w:val="20"/>
          <w:u w:val="single"/>
        </w:rPr>
        <w:t>ARDS</w:t>
      </w:r>
      <w:r w:rsidRPr="00987F99">
        <w:rPr>
          <w:rFonts w:ascii="David" w:eastAsia="Calibri" w:hAnsi="David"/>
          <w:b/>
          <w:bCs/>
          <w:u w:val="single"/>
          <w:rtl/>
        </w:rPr>
        <w:t xml:space="preserve"> שיוביל למותו</w:t>
      </w:r>
      <w:r w:rsidRPr="00987F99">
        <w:rPr>
          <w:rFonts w:ascii="David" w:eastAsia="Calibri" w:hAnsi="David"/>
          <w:rtl/>
        </w:rPr>
        <w:t>" (עמ' 45).</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 xml:space="preserve">ובהמשך </w:t>
      </w:r>
      <w:r w:rsidRPr="00987F99">
        <w:rPr>
          <w:rFonts w:ascii="David" w:eastAsia="Calibri" w:hAnsi="David"/>
          <w:b/>
          <w:bCs/>
          <w:rtl/>
        </w:rPr>
        <w:t xml:space="preserve">: "זה מה שאני ראיתי ובסופו של דבר </w:t>
      </w:r>
      <w:r w:rsidRPr="00987F99">
        <w:rPr>
          <w:rFonts w:ascii="David" w:eastAsia="Calibri" w:hAnsi="David"/>
          <w:b/>
          <w:bCs/>
          <w:sz w:val="20"/>
          <w:szCs w:val="20"/>
        </w:rPr>
        <w:t>ARDS</w:t>
      </w:r>
      <w:r w:rsidRPr="00987F99">
        <w:rPr>
          <w:rFonts w:ascii="David" w:eastAsia="Calibri" w:hAnsi="David"/>
          <w:b/>
          <w:bCs/>
          <w:rtl/>
        </w:rPr>
        <w:t xml:space="preserve"> שהוא פיתח היה משני לאספירציה, זה לא ישנה את חוות דעתי. </w:t>
      </w:r>
      <w:r w:rsidRPr="00987F99">
        <w:rPr>
          <w:rFonts w:ascii="David" w:eastAsia="Calibri" w:hAnsi="David"/>
          <w:b/>
          <w:bCs/>
          <w:u w:val="single"/>
          <w:rtl/>
        </w:rPr>
        <w:t>אני קובע בוודאות, כי זה היה מול עיני</w:t>
      </w:r>
      <w:r w:rsidRPr="00987F99">
        <w:rPr>
          <w:rFonts w:ascii="David" w:eastAsia="Calibri" w:hAnsi="David"/>
          <w:b/>
          <w:bCs/>
          <w:rtl/>
        </w:rPr>
        <w:t xml:space="preserve">, </w:t>
      </w:r>
      <w:r w:rsidRPr="00987F99">
        <w:rPr>
          <w:rFonts w:ascii="David" w:eastAsia="Calibri" w:hAnsi="David"/>
          <w:b/>
          <w:bCs/>
          <w:u w:val="single"/>
          <w:rtl/>
        </w:rPr>
        <w:t>מותו נבע כתוצאה מאספירציה, זו הסיבה שהוא הגיע לבית החולים, זו הסיבה שהוא הועבר לטיפול נמרץ [...] הערכתי המקצועית היא שהוא מת כתוצאה מאספירציה, גם אחרי שראיתי את מכתב ההעברה מטיפול נמרץ."</w:t>
      </w:r>
      <w:r w:rsidRPr="00987F99">
        <w:rPr>
          <w:rFonts w:ascii="David" w:eastAsia="Calibri" w:hAnsi="David"/>
          <w:rtl/>
        </w:rPr>
        <w:t>.</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 xml:space="preserve">פרופ' מימון </w:t>
      </w:r>
      <w:r w:rsidRPr="00987F99">
        <w:rPr>
          <w:rFonts w:ascii="David" w:eastAsia="Calibri" w:hAnsi="David"/>
          <w:u w:val="single"/>
          <w:rtl/>
        </w:rPr>
        <w:t>שלל נחרצות תרחישים חלופיים</w:t>
      </w:r>
      <w:r w:rsidRPr="00987F99">
        <w:rPr>
          <w:rFonts w:ascii="David" w:eastAsia="Calibri" w:hAnsi="David"/>
          <w:rtl/>
        </w:rPr>
        <w:t xml:space="preserve"> והסביר כי זהו מהלך קליני ברור שעולה בקנה אחד עם ניסיונו רב השנים: </w:t>
      </w:r>
      <w:r w:rsidRPr="00987F99">
        <w:rPr>
          <w:rFonts w:ascii="David" w:eastAsia="Calibri" w:hAnsi="David"/>
          <w:b/>
          <w:bCs/>
          <w:rtl/>
        </w:rPr>
        <w:t xml:space="preserve">"המהלך הקליני היה חד משמעי עוד פעם, אתה תמיד יכול להגיד אולי הוא חטף התקף לב, אולי הוא חטף תסחיף, יש אלף דברים שיכולים לקרות ברפואה והם נדירים מאוד </w:t>
      </w:r>
      <w:r w:rsidRPr="00987F99">
        <w:rPr>
          <w:rFonts w:ascii="David" w:eastAsia="Calibri" w:hAnsi="David"/>
          <w:b/>
          <w:bCs/>
          <w:u w:val="single"/>
          <w:rtl/>
        </w:rPr>
        <w:t xml:space="preserve">המקרה הספציפי זה חולה שהגיע עם אספירציה הועבר לטיפול נמרץ עם אספירציה פיתח </w:t>
      </w:r>
      <w:r w:rsidRPr="00987F99">
        <w:rPr>
          <w:rFonts w:ascii="David" w:eastAsia="Calibri" w:hAnsi="David"/>
          <w:b/>
          <w:bCs/>
          <w:sz w:val="20"/>
          <w:szCs w:val="20"/>
          <w:u w:val="single"/>
        </w:rPr>
        <w:t>ARDS</w:t>
      </w:r>
      <w:r w:rsidRPr="00987F99">
        <w:rPr>
          <w:rFonts w:ascii="David" w:eastAsia="Calibri" w:hAnsi="David"/>
          <w:b/>
          <w:bCs/>
          <w:u w:val="single"/>
          <w:rtl/>
        </w:rPr>
        <w:t xml:space="preserve"> צפוי ובסופו של דבר נפטר. עוד לפני,</w:t>
      </w:r>
      <w:r w:rsidRPr="00987F99">
        <w:rPr>
          <w:rFonts w:ascii="David" w:eastAsia="Calibri" w:hAnsi="David"/>
          <w:b/>
          <w:bCs/>
          <w:rtl/>
        </w:rPr>
        <w:t xml:space="preserve"> </w:t>
      </w:r>
      <w:r w:rsidRPr="00987F99">
        <w:rPr>
          <w:rFonts w:ascii="David" w:eastAsia="Calibri" w:hAnsi="David"/>
          <w:b/>
          <w:bCs/>
          <w:u w:val="single"/>
          <w:rtl/>
        </w:rPr>
        <w:t>עוד לפני האירוע הזה אם היית שואלת אותי על חולה כזה ממה הוא הולך למות, הוא הולך למות מאספירציה. זה הסיפור הקליני הכי שכיח</w:t>
      </w:r>
      <w:r w:rsidRPr="00987F99">
        <w:rPr>
          <w:rFonts w:ascii="David" w:eastAsia="Calibri" w:hAnsi="David"/>
          <w:rtl/>
        </w:rPr>
        <w:t>" (עמ' 54).</w:t>
      </w:r>
    </w:p>
    <w:p w:rsidR="00987F99" w:rsidRPr="00987F99" w:rsidRDefault="00987F99" w:rsidP="008E5FF0">
      <w:pPr>
        <w:spacing w:before="120" w:after="120" w:line="360" w:lineRule="auto"/>
        <w:jc w:val="both"/>
        <w:rPr>
          <w:rFonts w:ascii="David" w:eastAsia="Calibri" w:hAnsi="David"/>
          <w:rtl/>
        </w:rPr>
      </w:pPr>
      <w:r w:rsidRPr="00987F99">
        <w:rPr>
          <w:rFonts w:ascii="David" w:eastAsia="Calibri" w:hAnsi="David"/>
          <w:rtl/>
        </w:rPr>
        <w:t xml:space="preserve"> הנה כי כן, הונחה לפנינו תשתית ראייתית ברורה בדבר קשר </w:t>
      </w:r>
      <w:r w:rsidR="00CC6733">
        <w:rPr>
          <w:rFonts w:ascii="David" w:eastAsia="Calibri" w:hAnsi="David"/>
          <w:rtl/>
        </w:rPr>
        <w:t xml:space="preserve">סיבתי עובדתי בין הירי של הנאשם </w:t>
      </w:r>
      <w:r w:rsidR="00CC6733">
        <w:rPr>
          <w:rFonts w:ascii="David" w:eastAsia="Calibri" w:hAnsi="David" w:hint="cs"/>
          <w:rtl/>
        </w:rPr>
        <w:t>ב</w:t>
      </w:r>
      <w:r w:rsidR="008E5FF0">
        <w:rPr>
          <w:rFonts w:ascii="David" w:eastAsia="Calibri" w:hAnsi="David"/>
          <w:rtl/>
        </w:rPr>
        <w:t>מנוח</w:t>
      </w:r>
      <w:r w:rsidRPr="00987F99">
        <w:rPr>
          <w:rFonts w:ascii="David" w:eastAsia="Calibri" w:hAnsi="David"/>
          <w:rtl/>
        </w:rPr>
        <w:t xml:space="preserve"> לבין מותו.</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 xml:space="preserve"> לא זו בלבד, מתוך האמור נלמד כי הקשר הסיבתי העובדתי נובע מכמה גורמים, </w:t>
      </w:r>
      <w:r w:rsidRPr="00987F99">
        <w:rPr>
          <w:rFonts w:ascii="David" w:eastAsia="Calibri" w:hAnsi="David"/>
          <w:u w:val="single"/>
          <w:rtl/>
        </w:rPr>
        <w:t>ביחד ולחוד</w:t>
      </w:r>
      <w:r w:rsidRPr="00987F99">
        <w:rPr>
          <w:rFonts w:ascii="David" w:eastAsia="Calibri" w:hAnsi="David"/>
          <w:rtl/>
        </w:rPr>
        <w:t>, כולם בעטיה של הפציעה הקשה לה גרם הנאשם במעשיו. ונסביר: די בכך שפגיעת הראש הביאה לכך ש</w:t>
      </w:r>
      <w:r w:rsidR="008E5FF0">
        <w:rPr>
          <w:rFonts w:ascii="David" w:eastAsia="Calibri" w:hAnsi="David"/>
          <w:rtl/>
        </w:rPr>
        <w:t>המנוח</w:t>
      </w:r>
      <w:r w:rsidRPr="00987F99">
        <w:rPr>
          <w:rFonts w:ascii="David" w:eastAsia="Calibri" w:hAnsi="David"/>
          <w:rtl/>
        </w:rPr>
        <w:t xml:space="preserve"> חרף גילו הצעיר, יסבול מאספירציות תכופות בשל הפרכוסים והשכיבה הממושכת – ללא קשר לשאלת יכולתו לסלקן - לצורך </w:t>
      </w:r>
      <w:r w:rsidRPr="008E5FF0">
        <w:rPr>
          <w:rFonts w:ascii="David" w:eastAsia="Calibri" w:hAnsi="David"/>
          <w:rtl/>
        </w:rPr>
        <w:t>הוכחת</w:t>
      </w:r>
      <w:r w:rsidRPr="00987F99">
        <w:rPr>
          <w:rFonts w:ascii="David" w:eastAsia="Calibri" w:hAnsi="David"/>
          <w:rtl/>
        </w:rPr>
        <w:t xml:space="preserve"> קיומו של קשר סיבתי. בדומה, די בכך ש</w:t>
      </w:r>
      <w:r w:rsidR="008E5FF0">
        <w:rPr>
          <w:rFonts w:ascii="David" w:eastAsia="Calibri" w:hAnsi="David"/>
          <w:rtl/>
        </w:rPr>
        <w:t>המנוח</w:t>
      </w:r>
      <w:r w:rsidRPr="00987F99">
        <w:rPr>
          <w:rFonts w:ascii="David" w:eastAsia="Calibri" w:hAnsi="David"/>
          <w:rtl/>
        </w:rPr>
        <w:t xml:space="preserve"> אינו מסוגל לסלק באופן יעיל אספירציות מדרכי הנשימה שלו בשל פגיעת הראש– אפילו סבל מאספירציות בודדות שאינן קשורות לפגיעת הראש  - לצורך הוכחת קיומו של קשר סיבתי עובדתי. </w:t>
      </w:r>
    </w:p>
    <w:p w:rsidR="00987F99" w:rsidRPr="00987F99" w:rsidRDefault="00987F99" w:rsidP="00987F99">
      <w:pPr>
        <w:spacing w:after="160" w:line="360" w:lineRule="auto"/>
        <w:jc w:val="both"/>
        <w:rPr>
          <w:rFonts w:ascii="David" w:eastAsia="Calibri" w:hAnsi="David"/>
          <w:rtl/>
        </w:rPr>
      </w:pPr>
      <w:r w:rsidRPr="00987F99">
        <w:rPr>
          <w:rFonts w:ascii="David" w:eastAsia="Calibri" w:hAnsi="David"/>
          <w:rtl/>
        </w:rPr>
        <w:t xml:space="preserve">הדברים הם בבחינת קל וחומר מקום בו הירי בראשו של </w:t>
      </w:r>
      <w:r w:rsidR="008E5FF0">
        <w:rPr>
          <w:rFonts w:ascii="David" w:eastAsia="Calibri" w:hAnsi="David"/>
          <w:rtl/>
        </w:rPr>
        <w:t>המנוח</w:t>
      </w:r>
      <w:r w:rsidRPr="00987F99">
        <w:rPr>
          <w:rFonts w:ascii="David" w:eastAsia="Calibri" w:hAnsi="David"/>
          <w:rtl/>
        </w:rPr>
        <w:t xml:space="preserve"> הביא הן לאספירציות מוגברות (יצירת סיכון מוגבר) ובה בעת נטרל את המנגנון הטבעי של הגוף להתמודד עמן (החלשת מנגנוני ההגנה). </w:t>
      </w:r>
    </w:p>
    <w:p w:rsidR="00A41D2A" w:rsidRDefault="00A41D2A" w:rsidP="00987F99">
      <w:pPr>
        <w:spacing w:before="120" w:after="120" w:line="360" w:lineRule="auto"/>
        <w:jc w:val="both"/>
        <w:rPr>
          <w:rFonts w:ascii="David" w:eastAsia="Calibri" w:hAnsi="David"/>
          <w:b/>
          <w:bCs/>
          <w:u w:val="single"/>
          <w:rtl/>
        </w:rPr>
      </w:pPr>
    </w:p>
    <w:p w:rsidR="00987F99" w:rsidRPr="00987F99" w:rsidRDefault="00987F99" w:rsidP="00987F99">
      <w:pPr>
        <w:spacing w:before="120" w:after="120" w:line="360" w:lineRule="auto"/>
        <w:jc w:val="both"/>
        <w:rPr>
          <w:rFonts w:ascii="David" w:eastAsia="Calibri" w:hAnsi="David"/>
          <w:b/>
          <w:bCs/>
          <w:u w:val="single"/>
          <w:rtl/>
        </w:rPr>
      </w:pPr>
      <w:r w:rsidRPr="00987F99">
        <w:rPr>
          <w:rFonts w:ascii="David" w:eastAsia="Calibri" w:hAnsi="David"/>
          <w:b/>
          <w:bCs/>
          <w:u w:val="single"/>
          <w:rtl/>
        </w:rPr>
        <w:lastRenderedPageBreak/>
        <w:t>הערכת עדותו של פרופ' מימון:</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אנו מקבלים את חוות דעתו של פרופ' מימון, ומעניקים לה את מלוא המשקל. אנו מוצאים את חוות הדעת משכנעת, הגיונית, מבוססת כדבעי, כזו שנמצאת בהלימה לתיעוד הרפואי, מבחני הגיון ושכל ישר כמו גם עם ראיות נוספות בתיק. התרשמנו מידענותו, מהימנותו ויושרתו המקצועיים לצד ניסיונו רב השנים. ובמה דברים אמורים.</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את עדותו של העד המומחה יש לבחון בשני מישורים: האחד, מישור המהימנות האישית במסגרתו נבחנת מהימנותו ככל עד אחר, והשני, מישור האמינות המקצועית במסגרתו נבחנת רמתו המקצועית, טיב ואופי התהליכים והבדיקות שערך שבסופם הגיע למסקנותיו:</w:t>
      </w:r>
    </w:p>
    <w:p w:rsidR="00987F99" w:rsidRPr="00987F99" w:rsidRDefault="00987F99" w:rsidP="00987F99">
      <w:pPr>
        <w:spacing w:before="120" w:after="120"/>
        <w:ind w:left="509" w:right="426"/>
        <w:jc w:val="both"/>
        <w:rPr>
          <w:rFonts w:ascii="David" w:eastAsia="Calibri" w:hAnsi="David"/>
          <w:b/>
          <w:bCs/>
          <w:rtl/>
        </w:rPr>
      </w:pPr>
      <w:r w:rsidRPr="00987F99">
        <w:rPr>
          <w:rFonts w:ascii="David" w:eastAsia="Calibri" w:hAnsi="David"/>
          <w:rtl/>
        </w:rPr>
        <w:t>"</w:t>
      </w:r>
      <w:r w:rsidRPr="00987F99">
        <w:rPr>
          <w:rFonts w:ascii="David" w:eastAsia="Calibri" w:hAnsi="David"/>
          <w:b/>
          <w:bCs/>
          <w:rtl/>
        </w:rPr>
        <w:t xml:space="preserve">יוצא אפוא כי לצורך הערכת משקלה של עדות מומחה, כל שכן לצורך הכרעה בין חוות דעת סותרות, יש לשקול ערב רב של שיקולים. ניתן לחלק את השיקולים לשתי קטיגוריות עיקריות: האחת, עניינה בשיקולים אשר נועדו לבחון את </w:t>
      </w:r>
      <w:r w:rsidRPr="00987F99">
        <w:rPr>
          <w:rFonts w:ascii="David" w:eastAsia="Calibri" w:hAnsi="David"/>
          <w:b/>
          <w:bCs/>
          <w:u w:val="single"/>
          <w:rtl/>
        </w:rPr>
        <w:t>מומחיותו של העד המומחה</w:t>
      </w:r>
      <w:r w:rsidRPr="00987F99">
        <w:rPr>
          <w:rFonts w:ascii="David" w:eastAsia="Calibri" w:hAnsi="David"/>
          <w:b/>
          <w:bCs/>
          <w:rtl/>
        </w:rPr>
        <w:t xml:space="preserve">; השנייה, עניינה </w:t>
      </w:r>
      <w:r w:rsidRPr="00987F99">
        <w:rPr>
          <w:rFonts w:ascii="David" w:eastAsia="Calibri" w:hAnsi="David"/>
          <w:b/>
          <w:bCs/>
          <w:u w:val="single"/>
          <w:rtl/>
        </w:rPr>
        <w:t>באמינותה, במהימנותה וברצינותה של חוות הדעת</w:t>
      </w:r>
      <w:r w:rsidRPr="00987F99">
        <w:rPr>
          <w:rFonts w:ascii="David" w:eastAsia="Calibri" w:hAnsi="David"/>
          <w:b/>
          <w:bCs/>
          <w:rtl/>
        </w:rPr>
        <w:t xml:space="preserve">. </w:t>
      </w:r>
    </w:p>
    <w:p w:rsidR="00987F99" w:rsidRPr="00987F99" w:rsidRDefault="00987F99" w:rsidP="00987F99">
      <w:pPr>
        <w:spacing w:before="120" w:after="120"/>
        <w:ind w:left="509" w:right="426"/>
        <w:jc w:val="both"/>
        <w:rPr>
          <w:rFonts w:ascii="David" w:eastAsia="Calibri" w:hAnsi="David"/>
          <w:b/>
          <w:bCs/>
          <w:rtl/>
        </w:rPr>
      </w:pPr>
      <w:r w:rsidRPr="00987F99">
        <w:rPr>
          <w:rFonts w:ascii="David" w:eastAsia="Calibri" w:hAnsi="David"/>
          <w:b/>
          <w:bCs/>
          <w:rtl/>
        </w:rPr>
        <w:t>בקטגוריה הראשונה יימנו השיקולים הבאים: הכשרתו המקצועית של העד המומחה ומעמדו המקצועי; ניסיונו המעשי; מידת הרלוונטיות של תחום התמחותו לעניין הנדון; טיב היכרותו של המומחה עם הממצאים הקונקרטיים; מידת היכרותו עם הספרות הרלוונטית בתחום; מעורבותו של העד המומחה במחקר בתחום; וכיו"ב. בקטגוריה השנייה יש לבחון את השיקולים הבאים: התשתית העובדתית שביסוד חוות הדעת; הלימה בין חוות הדעת לבין המארג הראייתי ומידת ההתאמה של מסקנות חוות הדעת למכלול הממצאים; אמינותה של הספרות המקצועית שעליה נשענת חוות הדעת; מידת ההתאמה של מסקנות חוות הדעת לספרות הרלוונטית בתחום; התמודדות חוות הדעת עם גישות מקצועיות מתחרות ועם תרחישים חריגים; איזון בחוות הדעת; וכיו"ב</w:t>
      </w:r>
      <w:r w:rsidRPr="00987F99">
        <w:rPr>
          <w:rFonts w:ascii="David" w:eastAsia="Calibri" w:hAnsi="David"/>
          <w:rtl/>
        </w:rPr>
        <w:t xml:space="preserve"> ( יניב ואקי, "דיני ראיות", כרך ב', עמ' 855-856). </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 xml:space="preserve">פרופ' מימון בעל ההשכלה והידע הרלוונטיים ביותר הנדרשים לבחינתה הסוגיה שהובאה לפתחנו. המדובר במומחה ברפואה פנימית וכן מומחה ברפואת ריאות. מומחיותו אינה רק מתוקף השכלתו האקדמאית (והיותו חבר סגל ומרצה בכיר בבית ספר לרפואה באוניברסיטת בן גוריון) אלא מבוססת גם על פרקטיקה ארוכת שנים. בהקשר לאמור, פרופ' מימון משמש כמנהל מחלקה פנימית ב' בבית החולים סורוקה מזה </w:t>
      </w:r>
      <w:r w:rsidRPr="00987F99">
        <w:rPr>
          <w:rFonts w:ascii="David" w:eastAsia="Calibri" w:hAnsi="David"/>
          <w:b/>
          <w:bCs/>
          <w:rtl/>
        </w:rPr>
        <w:t xml:space="preserve">כעשור </w:t>
      </w:r>
      <w:r w:rsidRPr="00987F99">
        <w:rPr>
          <w:rFonts w:ascii="David" w:eastAsia="Calibri" w:hAnsi="David"/>
          <w:rtl/>
        </w:rPr>
        <w:t xml:space="preserve">לצד ריכוז תחום הוראת הרפואה תקופה בת מספר שנים. </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 xml:space="preserve">מתוקף היותו מנהל מחלקה פנימית תקופה ממושכת (המצטרפת לתקופה בה נמנה על הסגל המטפל במחלקה), פשיטא כי הוא נדרש לתת במצטבר מענה רפואי לאלפי חולים, חלק לא מבוטל מהם סובל ממחלות ריאות, מרותקים למיטה, נדרשים להזנה מלאכותית ולענייננו: חולים המתמודדים עם בעיות רפואיות דומות לאלו שאיתם </w:t>
      </w:r>
      <w:r w:rsidR="008E5FF0">
        <w:rPr>
          <w:rFonts w:ascii="David" w:eastAsia="Calibri" w:hAnsi="David"/>
          <w:rtl/>
        </w:rPr>
        <w:t>המנוח</w:t>
      </w:r>
      <w:r w:rsidRPr="00987F99">
        <w:rPr>
          <w:rFonts w:ascii="David" w:eastAsia="Calibri" w:hAnsi="David"/>
          <w:rtl/>
        </w:rPr>
        <w:t xml:space="preserve"> התמודד.  </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 xml:space="preserve">חלק ניכר מהטיפול אותו קיבל </w:t>
      </w:r>
      <w:r w:rsidR="00CC6733">
        <w:rPr>
          <w:rFonts w:ascii="David" w:eastAsia="Calibri" w:hAnsi="David"/>
          <w:rtl/>
        </w:rPr>
        <w:t>ת.מ</w:t>
      </w:r>
      <w:r w:rsidRPr="00987F99">
        <w:rPr>
          <w:rFonts w:ascii="David" w:eastAsia="Calibri" w:hAnsi="David"/>
          <w:rtl/>
        </w:rPr>
        <w:t xml:space="preserve"> במהלך התקופה שלאחר פציעתו, נעשה במסגרת מחלקה פנימית ב' אותה ניהל פרופ' מימון. פרופ' מימון היה זה שבמישרין ובעקיפין עקב אחר מצבו של </w:t>
      </w:r>
      <w:r w:rsidR="00CC6733">
        <w:rPr>
          <w:rFonts w:ascii="David" w:eastAsia="Calibri" w:hAnsi="David"/>
          <w:rtl/>
        </w:rPr>
        <w:t>ת.מ</w:t>
      </w:r>
      <w:r w:rsidRPr="00987F99">
        <w:rPr>
          <w:rFonts w:ascii="David" w:eastAsia="Calibri" w:hAnsi="David"/>
          <w:rtl/>
        </w:rPr>
        <w:t xml:space="preserve"> ודאג למענה הרפואי הנדרש. כך היה גם באשפוזו האחרון של </w:t>
      </w:r>
      <w:r w:rsidR="00CC6733">
        <w:rPr>
          <w:rFonts w:ascii="David" w:eastAsia="Calibri" w:hAnsi="David"/>
          <w:rtl/>
        </w:rPr>
        <w:t>ת.מ</w:t>
      </w:r>
      <w:r w:rsidRPr="00987F99">
        <w:rPr>
          <w:rFonts w:ascii="David" w:eastAsia="Calibri" w:hAnsi="David"/>
          <w:rtl/>
        </w:rPr>
        <w:t xml:space="preserve"> במהלכו נפטר. </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lastRenderedPageBreak/>
        <w:t xml:space="preserve">יתרה מכך, פרופ' מימון היה עד ראייה לאותה אספירציה שהחלה שרשרת תהליכים בסופה </w:t>
      </w:r>
      <w:r w:rsidR="00CC6733">
        <w:rPr>
          <w:rFonts w:ascii="David" w:eastAsia="Calibri" w:hAnsi="David"/>
          <w:rtl/>
        </w:rPr>
        <w:t>ת.מ</w:t>
      </w:r>
      <w:r w:rsidRPr="00987F99">
        <w:rPr>
          <w:rFonts w:ascii="David" w:eastAsia="Calibri" w:hAnsi="David"/>
          <w:rtl/>
        </w:rPr>
        <w:t xml:space="preserve"> נפטר: "</w:t>
      </w:r>
      <w:r w:rsidRPr="00987F99">
        <w:rPr>
          <w:rFonts w:ascii="David" w:eastAsia="Calibri" w:hAnsi="David"/>
          <w:b/>
          <w:bCs/>
          <w:rtl/>
        </w:rPr>
        <w:t xml:space="preserve">... באתי לביקור בוקר, נכנסתי לחדר </w:t>
      </w:r>
      <w:r w:rsidRPr="00987F99">
        <w:rPr>
          <w:rFonts w:ascii="David" w:eastAsia="Calibri" w:hAnsi="David"/>
          <w:b/>
          <w:bCs/>
          <w:u w:val="single"/>
          <w:rtl/>
        </w:rPr>
        <w:t xml:space="preserve">וראיתי את </w:t>
      </w:r>
      <w:r w:rsidR="00CC6733" w:rsidRPr="008E5FF0">
        <w:rPr>
          <w:rFonts w:ascii="David" w:eastAsia="Calibri" w:hAnsi="David"/>
          <w:u w:val="single"/>
          <w:rtl/>
        </w:rPr>
        <w:t>[ת.מ]</w:t>
      </w:r>
      <w:r w:rsidRPr="00987F99">
        <w:rPr>
          <w:rFonts w:ascii="David" w:eastAsia="Calibri" w:hAnsi="David"/>
          <w:b/>
          <w:bCs/>
          <w:u w:val="single"/>
          <w:rtl/>
        </w:rPr>
        <w:t xml:space="preserve"> מחרחר וגדוש ומפריש מתוך דרכי</w:t>
      </w:r>
      <w:r w:rsidRPr="00987F99">
        <w:rPr>
          <w:rFonts w:ascii="David" w:eastAsia="Calibri" w:hAnsi="David"/>
          <w:b/>
          <w:bCs/>
          <w:rtl/>
        </w:rPr>
        <w:t>, מתוך הוושט שלו כמות גדולה של הפרשות וחלה ירידה חמורה בסטורציה בזמן הזה, והבנו שהחולה נחנק מההפרשות של עצמו</w:t>
      </w:r>
      <w:r w:rsidRPr="00987F99">
        <w:rPr>
          <w:rFonts w:ascii="David" w:eastAsia="Calibri" w:hAnsi="David"/>
          <w:rtl/>
        </w:rPr>
        <w:t>";"</w:t>
      </w:r>
      <w:r w:rsidRPr="00987F99">
        <w:rPr>
          <w:rFonts w:ascii="David" w:eastAsia="Calibri" w:hAnsi="David"/>
          <w:b/>
          <w:bCs/>
          <w:rtl/>
        </w:rPr>
        <w:t xml:space="preserve"> הסיפור הקליני הוא חד משמעי ברור הוא </w:t>
      </w:r>
      <w:r w:rsidRPr="00987F99">
        <w:rPr>
          <w:rFonts w:ascii="David" w:eastAsia="Calibri" w:hAnsi="David"/>
          <w:b/>
          <w:bCs/>
          <w:u w:val="single"/>
          <w:rtl/>
        </w:rPr>
        <w:t>אפילו בוצע במקרה הייתי בחדר בזמן שהוא עשה אספירציה וראיתי את זה מול עיני איך הוא עושה את האספירציה</w:t>
      </w:r>
      <w:r w:rsidRPr="00987F99">
        <w:rPr>
          <w:rFonts w:ascii="David" w:eastAsia="Calibri" w:hAnsi="David"/>
          <w:rtl/>
        </w:rPr>
        <w:t xml:space="preserve">". במובן זה, עדותו של פרופ' מימון הנה גם בבחינת "עד רגיל" בשילוב עם עד מומחה. </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 xml:space="preserve">בזיקה לתרחישים חלופיים שהועלו על ידי ההגנה (בכללם האפשרות לפיה </w:t>
      </w:r>
      <w:r w:rsidR="00CC6733">
        <w:rPr>
          <w:rFonts w:ascii="David" w:eastAsia="Calibri" w:hAnsi="David"/>
          <w:rtl/>
        </w:rPr>
        <w:t>ת.מ</w:t>
      </w:r>
      <w:r w:rsidRPr="00987F99">
        <w:rPr>
          <w:rFonts w:ascii="David" w:eastAsia="Calibri" w:hAnsi="David"/>
          <w:rtl/>
        </w:rPr>
        <w:t xml:space="preserve"> חלה בקורונה) נתנו דעתנו לכך שפרופ' מימון ניהל במקביל את מחלקת הקורונה באזור הנגב עם פרוץ המגיפה ושימש פרוייקטור ב-"מגן אבות" (תכנית לאומית להגנה על דיירי מוסדות הגיל השלישי מפני הקורונה,  ד.ב.ט). </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שילוב הדברים מוביל למסקנה כי מומחיותו של פרופ' מימון, ניסיונו המקצועי הכללי וזיקתו לטיפול הרפואי ש</w:t>
      </w:r>
      <w:r w:rsidR="008E5FF0">
        <w:rPr>
          <w:rFonts w:ascii="David" w:eastAsia="Calibri" w:hAnsi="David"/>
          <w:rtl/>
        </w:rPr>
        <w:t>המנוח</w:t>
      </w:r>
      <w:r w:rsidRPr="00987F99">
        <w:rPr>
          <w:rFonts w:ascii="David" w:eastAsia="Calibri" w:hAnsi="David"/>
          <w:rtl/>
        </w:rPr>
        <w:t xml:space="preserve"> נדרש לו במהלך השנים, רלוונטיים ביותר להכרעה בסוגיה שבמחלוקת, כשעמדתו המקצועית מתבקשת בנסיבות העניין. </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עדותו של פרופ' מימון הותירה רושם חיובי. תשובותיו היו ברורות, ישירות, חד משמעיות. פרופ' מימון לא הסתיר כי מדובר בחולה אותו מכיר אישית נוכח הטיפול רב השנים שהעניק לו במחלקתו ולמעשה, בשל אותו קשר שנוצר החליט באופן חריג לכתוב את חוות הדעת בהתנדבות. הלה ציין כי זו חוות הדעת הראשונה אותה כתב וגם האחרונה: "</w:t>
      </w:r>
      <w:r w:rsidRPr="00987F99">
        <w:rPr>
          <w:rFonts w:ascii="David" w:eastAsia="Calibri" w:hAnsi="David"/>
          <w:b/>
          <w:bCs/>
          <w:rtl/>
        </w:rPr>
        <w:t>אני לא גובה כסף, אני לא עובד ברפואה פרטית, אני עובד רק ברפואה ציבורית</w:t>
      </w:r>
      <w:r w:rsidRPr="00987F99">
        <w:rPr>
          <w:rFonts w:ascii="David" w:eastAsia="Calibri" w:hAnsi="David"/>
          <w:rtl/>
        </w:rPr>
        <w:t xml:space="preserve">". </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אכן, לא אחת זה דחה באופן נחרץ תזות חלופיות שהוצעו לו ואולם, הדבר לא נעשה מתוך יוהרה, אלא אך בשל כך שהתרחישים שהוצעו לו עמדו בסתירה בולטת לניסיונו והבנתו המקצועיים או הוצעו כהיפותזות ללא תשתית עובדתית מספקת (כך לדוגמא כאשר הוצעה לו האפשרות ש</w:t>
      </w:r>
      <w:r w:rsidR="008E5FF0">
        <w:rPr>
          <w:rFonts w:ascii="David" w:eastAsia="Calibri" w:hAnsi="David"/>
          <w:rtl/>
        </w:rPr>
        <w:t>המנוח</w:t>
      </w:r>
      <w:r w:rsidRPr="00987F99">
        <w:rPr>
          <w:rFonts w:ascii="David" w:eastAsia="Calibri" w:hAnsi="David"/>
          <w:rtl/>
        </w:rPr>
        <w:t xml:space="preserve"> בעצם חלה בקורונה עובר למותו).</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 xml:space="preserve">שרשרת התהליכים הרפואיים עליה עמד פרופ' מימון בזיקה לקשר הסיבתי הנה כזו שהיה עד לה פעמים רבות בחולים שסבלו מחבלות ראש קשות או בעניינם של מטופלים קשישים ודמנטיים או חולים סיעודיים אחרים שבשל מצבם היו במצב שכיבה רוב היום. מבחינתו שרשרת ההליכים שהובילה למותו של </w:t>
      </w:r>
      <w:r w:rsidR="008E5FF0">
        <w:rPr>
          <w:rFonts w:ascii="David" w:eastAsia="Calibri" w:hAnsi="David"/>
          <w:rtl/>
        </w:rPr>
        <w:t>המנוח</w:t>
      </w:r>
      <w:r w:rsidRPr="00987F99">
        <w:rPr>
          <w:rFonts w:ascii="David" w:eastAsia="Calibri" w:hAnsi="David"/>
          <w:rtl/>
        </w:rPr>
        <w:t xml:space="preserve"> לא רק שאינה נדירה אלא נמצאת בליבת התרחישים הצפויים מחולה הסובל מחוליים כפי אלו ש</w:t>
      </w:r>
      <w:r w:rsidR="008E5FF0">
        <w:rPr>
          <w:rFonts w:ascii="David" w:eastAsia="Calibri" w:hAnsi="David"/>
          <w:rtl/>
        </w:rPr>
        <w:t>המנוח</w:t>
      </w:r>
      <w:r w:rsidRPr="00987F99">
        <w:rPr>
          <w:rFonts w:ascii="David" w:eastAsia="Calibri" w:hAnsi="David"/>
          <w:rtl/>
        </w:rPr>
        <w:t xml:space="preserve"> סבל מהם. פרופ' מימון היה החלטי וחד משמעי בדבר מסקנותיו והדגיש כי מדובר במקרה ברור, שאינו מצריך חקר רב מידי או מומחיות רבה מידי: "</w:t>
      </w:r>
      <w:r w:rsidRPr="00987F99">
        <w:rPr>
          <w:rFonts w:ascii="David" w:eastAsia="Calibri" w:hAnsi="David"/>
          <w:b/>
          <w:bCs/>
          <w:u w:val="single"/>
          <w:rtl/>
        </w:rPr>
        <w:t>ברור לכל רופא, אפילו מתמחה או סטודנט, שיש קשר בין הדברים</w:t>
      </w:r>
      <w:r w:rsidRPr="00987F99">
        <w:rPr>
          <w:rFonts w:ascii="David" w:eastAsia="Calibri" w:hAnsi="David"/>
          <w:rtl/>
        </w:rPr>
        <w:t xml:space="preserve">" (עמ' 28); </w:t>
      </w:r>
      <w:r w:rsidRPr="00987F99">
        <w:rPr>
          <w:rFonts w:ascii="David" w:eastAsia="Calibri" w:hAnsi="David"/>
          <w:b/>
          <w:bCs/>
          <w:rtl/>
        </w:rPr>
        <w:t xml:space="preserve">"השאלה שנשאלתי </w:t>
      </w:r>
      <w:r w:rsidRPr="00987F99">
        <w:rPr>
          <w:rFonts w:ascii="David" w:eastAsia="Calibri" w:hAnsi="David"/>
          <w:b/>
          <w:bCs/>
          <w:u w:val="single"/>
          <w:rtl/>
        </w:rPr>
        <w:t>הייתה מאוד פשוטה</w:t>
      </w:r>
      <w:r w:rsidRPr="00987F99">
        <w:rPr>
          <w:rFonts w:ascii="David" w:eastAsia="Calibri" w:hAnsi="David"/>
          <w:b/>
          <w:bCs/>
          <w:rtl/>
        </w:rPr>
        <w:t>. חולה הגיע אלינו עם דלקת ריאות של אספירציה, ב</w:t>
      </w:r>
      <w:r w:rsidRPr="00987F99">
        <w:rPr>
          <w:rFonts w:ascii="David" w:eastAsia="Calibri" w:hAnsi="David"/>
          <w:b/>
          <w:bCs/>
          <w:u w:val="single"/>
          <w:rtl/>
        </w:rPr>
        <w:t>גיל 40-30 אין דלקות ריאה של אספירציות לאנשים נורמאליים</w:t>
      </w:r>
      <w:r w:rsidRPr="00987F99">
        <w:rPr>
          <w:rFonts w:ascii="David" w:eastAsia="Calibri" w:hAnsi="David"/>
          <w:b/>
          <w:bCs/>
          <w:rtl/>
        </w:rPr>
        <w:t xml:space="preserve">, </w:t>
      </w:r>
      <w:r w:rsidRPr="00987F99">
        <w:rPr>
          <w:rFonts w:ascii="David" w:eastAsia="Calibri" w:hAnsi="David"/>
          <w:b/>
          <w:bCs/>
          <w:u w:val="single"/>
          <w:rtl/>
        </w:rPr>
        <w:t>אין דבר כזה, אלא אם כן הם מאוד פגועים</w:t>
      </w:r>
      <w:r w:rsidRPr="00987F99">
        <w:rPr>
          <w:rFonts w:ascii="David" w:eastAsia="Calibri" w:hAnsi="David"/>
          <w:b/>
          <w:bCs/>
          <w:rtl/>
        </w:rPr>
        <w:t xml:space="preserve">. הדלקת ריאות של </w:t>
      </w:r>
      <w:r w:rsidRPr="00987F99">
        <w:rPr>
          <w:rFonts w:ascii="David" w:eastAsia="Calibri" w:hAnsi="David"/>
          <w:b/>
          <w:bCs/>
          <w:rtl/>
        </w:rPr>
        <w:lastRenderedPageBreak/>
        <w:t>אספירציה היא זאת שהביאה למותו</w:t>
      </w:r>
      <w:r w:rsidRPr="00987F99">
        <w:rPr>
          <w:rFonts w:ascii="David" w:eastAsia="Calibri" w:hAnsi="David"/>
          <w:rtl/>
        </w:rPr>
        <w:t>";</w:t>
      </w:r>
      <w:r w:rsidRPr="00987F99">
        <w:rPr>
          <w:rFonts w:ascii="David" w:eastAsia="Calibri" w:hAnsi="David"/>
        </w:rPr>
        <w:t xml:space="preserve"> </w:t>
      </w:r>
      <w:r w:rsidRPr="00987F99">
        <w:rPr>
          <w:rFonts w:ascii="David" w:eastAsia="Calibri" w:hAnsi="David"/>
          <w:b/>
          <w:bCs/>
          <w:rtl/>
        </w:rPr>
        <w:t>"</w:t>
      </w:r>
      <w:r w:rsidRPr="00987F99">
        <w:rPr>
          <w:rFonts w:ascii="David" w:eastAsia="Calibri" w:hAnsi="David"/>
          <w:b/>
          <w:bCs/>
          <w:u w:val="single"/>
          <w:rtl/>
        </w:rPr>
        <w:t>צפוי לגמרי</w:t>
      </w:r>
      <w:r w:rsidRPr="00987F99">
        <w:rPr>
          <w:rFonts w:ascii="David" w:eastAsia="Calibri" w:hAnsi="David"/>
          <w:b/>
          <w:bCs/>
          <w:rtl/>
        </w:rPr>
        <w:t xml:space="preserve"> שמי שמפתח דלקת ריאות של אספירציה יפתח בהמשך </w:t>
      </w:r>
      <w:r w:rsidRPr="00987F99">
        <w:rPr>
          <w:rFonts w:ascii="David" w:eastAsia="Calibri" w:hAnsi="David"/>
          <w:b/>
          <w:bCs/>
          <w:sz w:val="20"/>
          <w:szCs w:val="20"/>
        </w:rPr>
        <w:t>ARDS</w:t>
      </w:r>
      <w:r w:rsidRPr="00987F99">
        <w:rPr>
          <w:rFonts w:ascii="David" w:eastAsia="Calibri" w:hAnsi="David"/>
          <w:b/>
          <w:bCs/>
          <w:sz w:val="20"/>
          <w:szCs w:val="20"/>
          <w:rtl/>
        </w:rPr>
        <w:t xml:space="preserve"> </w:t>
      </w:r>
      <w:r w:rsidRPr="00987F99">
        <w:rPr>
          <w:rFonts w:ascii="David" w:eastAsia="Calibri" w:hAnsi="David"/>
          <w:b/>
          <w:bCs/>
          <w:rtl/>
        </w:rPr>
        <w:t>שיוביל למותו</w:t>
      </w:r>
      <w:r w:rsidRPr="00987F99">
        <w:rPr>
          <w:rFonts w:ascii="David" w:eastAsia="Calibri" w:hAnsi="David"/>
          <w:rtl/>
        </w:rPr>
        <w:t xml:space="preserve">" (עמ' 45). </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 xml:space="preserve">אכן, העובדה כי המומחה מעיד כי מדובר במקרה ברור וחד משמעי, אינה בבחינת חיזוק לעדותו ואולם גם אמירה כללית זו של המומחה בנוגע למובהקות המקרה, לא נסתרה על ידי מומחה מטעם ההגנה או בכלל.  </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 xml:space="preserve">התיעוד הרפואי הנוגע לאשפוזיו הקודמים של </w:t>
      </w:r>
      <w:r w:rsidR="008E5FF0">
        <w:rPr>
          <w:rFonts w:ascii="David" w:eastAsia="Calibri" w:hAnsi="David"/>
          <w:rtl/>
        </w:rPr>
        <w:t>המנוח</w:t>
      </w:r>
      <w:r w:rsidRPr="00987F99">
        <w:rPr>
          <w:rFonts w:ascii="David" w:eastAsia="Calibri" w:hAnsi="David"/>
          <w:rtl/>
        </w:rPr>
        <w:t xml:space="preserve"> תומך במסקנתו של פרופ' מימון ונמצא עמה בהלימה. כפי הנלמד, ברוב אשפוזיו הקודמים של </w:t>
      </w:r>
      <w:r w:rsidR="008E5FF0">
        <w:rPr>
          <w:rFonts w:ascii="David" w:eastAsia="Calibri" w:hAnsi="David"/>
          <w:rtl/>
        </w:rPr>
        <w:t>המנוח</w:t>
      </w:r>
      <w:r w:rsidRPr="00987F99">
        <w:rPr>
          <w:rFonts w:ascii="David" w:eastAsia="Calibri" w:hAnsi="David"/>
          <w:rtl/>
        </w:rPr>
        <w:t xml:space="preserve"> הייתה מעורבת אחת מהבעיות הבאות (ביחד או לחוד) הנובעות ממצבו הסיעודי כפי שתיאר פרופ' מימון: בעיה נשימתית (אי ספיקה וסטורציה נמוכה) , פרכוסים, אספירציות, הפרשות, דלקת ריאות.</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 xml:space="preserve">כך ולא באופן ממצה, באשפוז מחודש 06/15 (לגביו לא הוגש תיעוד נפרד אך הוא מתואר בת/21 וכן בת/22 בפרק הדן באשפוזים קודמים) מפורט כי </w:t>
      </w:r>
      <w:r w:rsidR="00CC6733">
        <w:rPr>
          <w:rFonts w:ascii="David" w:eastAsia="Calibri" w:hAnsi="David"/>
          <w:rtl/>
        </w:rPr>
        <w:t>ת.מ</w:t>
      </w:r>
      <w:r w:rsidRPr="00987F99">
        <w:rPr>
          <w:rFonts w:ascii="David" w:eastAsia="Calibri" w:hAnsi="David"/>
          <w:rtl/>
        </w:rPr>
        <w:t xml:space="preserve"> אושפז בשל </w:t>
      </w:r>
      <w:r w:rsidRPr="00987F99">
        <w:rPr>
          <w:rFonts w:ascii="David" w:eastAsia="Calibri" w:hAnsi="David"/>
          <w:u w:val="single"/>
          <w:rtl/>
        </w:rPr>
        <w:t>מדדי דלקת מעבדתיים ואי ספיקה נשימתית</w:t>
      </w:r>
      <w:r w:rsidRPr="00987F99">
        <w:rPr>
          <w:rFonts w:ascii="David" w:eastAsia="Calibri" w:hAnsi="David"/>
          <w:rtl/>
        </w:rPr>
        <w:t xml:space="preserve"> המערבת קוצר נשימה לצד ממצא ולפיו "</w:t>
      </w:r>
      <w:r w:rsidRPr="00987F99">
        <w:rPr>
          <w:rFonts w:ascii="David" w:eastAsia="Calibri" w:hAnsi="David"/>
          <w:b/>
          <w:bCs/>
          <w:rtl/>
        </w:rPr>
        <w:t xml:space="preserve">בנוכחות קליניקה נשימתית דומיננטית, </w:t>
      </w:r>
      <w:r w:rsidRPr="00987F99">
        <w:rPr>
          <w:rFonts w:ascii="David" w:eastAsia="Calibri" w:hAnsi="David"/>
          <w:b/>
          <w:bCs/>
          <w:u w:val="single"/>
          <w:rtl/>
        </w:rPr>
        <w:t>ריבוי הפרשות</w:t>
      </w:r>
      <w:r w:rsidRPr="00987F99">
        <w:rPr>
          <w:rFonts w:ascii="David" w:eastAsia="Calibri" w:hAnsi="David"/>
          <w:b/>
          <w:bCs/>
          <w:rtl/>
        </w:rPr>
        <w:t xml:space="preserve"> והצללה חדשה </w:t>
      </w:r>
      <w:r w:rsidRPr="00987F99">
        <w:rPr>
          <w:rFonts w:ascii="David" w:eastAsia="Calibri" w:hAnsi="David"/>
          <w:b/>
          <w:bCs/>
          <w:sz w:val="20"/>
          <w:szCs w:val="20"/>
        </w:rPr>
        <w:t>RLL</w:t>
      </w:r>
      <w:r w:rsidRPr="00987F99">
        <w:rPr>
          <w:rFonts w:ascii="David" w:eastAsia="Calibri" w:hAnsi="David"/>
          <w:b/>
          <w:bCs/>
          <w:rtl/>
        </w:rPr>
        <w:t>.</w:t>
      </w:r>
      <w:r w:rsidRPr="00987F99">
        <w:rPr>
          <w:rFonts w:ascii="David" w:eastAsia="Calibri" w:hAnsi="David"/>
          <w:rtl/>
        </w:rPr>
        <w:t xml:space="preserve">"   </w:t>
      </w:r>
    </w:p>
    <w:p w:rsidR="00987F99" w:rsidRPr="00987F99" w:rsidRDefault="00987F99" w:rsidP="00987F99">
      <w:pPr>
        <w:spacing w:before="120" w:after="120" w:line="360" w:lineRule="auto"/>
        <w:jc w:val="both"/>
        <w:rPr>
          <w:rFonts w:ascii="David" w:eastAsia="Calibri" w:hAnsi="David"/>
          <w:u w:val="single"/>
          <w:rtl/>
        </w:rPr>
      </w:pPr>
      <w:r w:rsidRPr="00987F99">
        <w:rPr>
          <w:rFonts w:ascii="David" w:eastAsia="Calibri" w:hAnsi="David"/>
          <w:rtl/>
        </w:rPr>
        <w:t>באשפוז מיום 09.08.15 (לגביו לא הוגש תיעוד נפרד אך הוא מתואר בת/22 בפרק הדן באשפוזים קודמים) מצוין ש</w:t>
      </w:r>
      <w:r w:rsidR="00CC6733">
        <w:rPr>
          <w:rFonts w:ascii="David" w:eastAsia="Calibri" w:hAnsi="David"/>
          <w:rtl/>
        </w:rPr>
        <w:t>ת.מ</w:t>
      </w:r>
      <w:r w:rsidRPr="00987F99">
        <w:rPr>
          <w:rFonts w:ascii="David" w:eastAsia="Calibri" w:hAnsi="David"/>
          <w:rtl/>
        </w:rPr>
        <w:t xml:space="preserve"> אושפז בשל פרכוס, ספסיס והיפותרמיה והוא </w:t>
      </w:r>
      <w:r w:rsidRPr="00987F99">
        <w:rPr>
          <w:rFonts w:ascii="David" w:eastAsia="Calibri" w:hAnsi="David"/>
          <w:u w:val="single"/>
          <w:rtl/>
        </w:rPr>
        <w:t xml:space="preserve">טופל בחשד לדלקת ריאות. </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 xml:space="preserve">באשפוז מיום 13.08.15 (ת/21) מצוין כי </w:t>
      </w:r>
      <w:r w:rsidR="00CC6733">
        <w:rPr>
          <w:rFonts w:ascii="David" w:eastAsia="Calibri" w:hAnsi="David"/>
          <w:rtl/>
        </w:rPr>
        <w:t>ת.מ</w:t>
      </w:r>
      <w:r w:rsidRPr="00987F99">
        <w:rPr>
          <w:rFonts w:ascii="David" w:eastAsia="Calibri" w:hAnsi="David"/>
          <w:rtl/>
        </w:rPr>
        <w:t xml:space="preserve"> הופנה למיון בשל רמת חמצון נמוכה בדם כאשר בסעיף הממצאים מצוין תסנין באספקט המדיאלי של הריאה. בסעיף הסיכום מפורט: </w:t>
      </w:r>
      <w:r w:rsidRPr="00987F99">
        <w:rPr>
          <w:rFonts w:ascii="David" w:eastAsia="Calibri" w:hAnsi="David"/>
          <w:b/>
          <w:bCs/>
          <w:rtl/>
        </w:rPr>
        <w:t xml:space="preserve">"...כמקור אפשרי להתייצגותו, </w:t>
      </w:r>
      <w:r w:rsidRPr="00987F99">
        <w:rPr>
          <w:rFonts w:ascii="David" w:eastAsia="Calibri" w:hAnsi="David"/>
          <w:b/>
          <w:bCs/>
          <w:u w:val="single"/>
          <w:rtl/>
        </w:rPr>
        <w:t xml:space="preserve">שוב פנאומוניה, יתכן מאספירציה לאור ממצא הדמייתי חשוד בבסיס הימני וחירחורים מרובים </w:t>
      </w:r>
      <w:r w:rsidRPr="00987F99">
        <w:rPr>
          <w:rFonts w:ascii="David" w:eastAsia="Calibri" w:hAnsi="David"/>
          <w:b/>
          <w:bCs/>
          <w:rtl/>
        </w:rPr>
        <w:t xml:space="preserve">[...] </w:t>
      </w:r>
      <w:r w:rsidRPr="00987F99">
        <w:rPr>
          <w:rFonts w:ascii="David" w:eastAsia="Calibri" w:hAnsi="David"/>
          <w:b/>
          <w:bCs/>
          <w:u w:val="single"/>
          <w:rtl/>
        </w:rPr>
        <w:t>מקור התמונה, בדומה לפניותיו הקודמות, יוחס לאספירציה חוזרת, קושי בפינוי הפרשות עם</w:t>
      </w:r>
      <w:r w:rsidRPr="00987F99">
        <w:rPr>
          <w:rFonts w:ascii="David" w:eastAsia="Calibri" w:hAnsi="David"/>
          <w:b/>
          <w:bCs/>
          <w:u w:val="single"/>
        </w:rPr>
        <w:t xml:space="preserve">GAG REFLEX </w:t>
      </w:r>
      <w:r w:rsidRPr="00987F99">
        <w:rPr>
          <w:rFonts w:ascii="David" w:eastAsia="Calibri" w:hAnsi="David"/>
          <w:b/>
          <w:bCs/>
          <w:u w:val="single"/>
          <w:rtl/>
        </w:rPr>
        <w:t xml:space="preserve"> ירוד [...]</w:t>
      </w:r>
      <w:r w:rsidRPr="00987F99">
        <w:rPr>
          <w:rFonts w:ascii="David" w:eastAsia="Calibri" w:hAnsi="David"/>
          <w:b/>
          <w:bCs/>
          <w:rtl/>
        </w:rPr>
        <w:t xml:space="preserve"> הוחלט בדיון מחלקתי שלא להתקדם לאינטובציה וטרכאוסטומיה חוזרת – למרות מצב קוגניטיבי ירוד וקושי בפינוי הפרשות..."</w:t>
      </w:r>
      <w:r w:rsidRPr="00987F99">
        <w:rPr>
          <w:rFonts w:ascii="David" w:eastAsia="Calibri" w:hAnsi="David"/>
          <w:rtl/>
        </w:rPr>
        <w:t xml:space="preserve">   </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 xml:space="preserve"> באשפוז מחודש 09/15 (מתועד בתוך ת/22 בסעיף אשפוזים קודמים) מתואר: "</w:t>
      </w:r>
      <w:r w:rsidRPr="00987F99">
        <w:rPr>
          <w:rFonts w:ascii="David" w:eastAsia="Calibri" w:hAnsi="David"/>
          <w:b/>
          <w:bCs/>
          <w:u w:val="single"/>
          <w:rtl/>
        </w:rPr>
        <w:t>אושפז בשל החמרה נשימתית</w:t>
      </w:r>
      <w:r w:rsidRPr="00987F99">
        <w:rPr>
          <w:rFonts w:ascii="David" w:eastAsia="Calibri" w:hAnsi="David"/>
          <w:b/>
          <w:bCs/>
          <w:rtl/>
        </w:rPr>
        <w:t xml:space="preserve"> סביב </w:t>
      </w:r>
      <w:r w:rsidRPr="00987F99">
        <w:rPr>
          <w:rFonts w:ascii="David" w:eastAsia="Calibri" w:hAnsi="David"/>
          <w:b/>
          <w:bCs/>
          <w:u w:val="single"/>
          <w:rtl/>
        </w:rPr>
        <w:t>קושי בפינוי הפרשות</w:t>
      </w:r>
      <w:r w:rsidRPr="00987F99">
        <w:rPr>
          <w:rFonts w:ascii="David" w:eastAsia="Calibri" w:hAnsi="David"/>
          <w:b/>
          <w:bCs/>
          <w:rtl/>
        </w:rPr>
        <w:t>...</w:t>
      </w:r>
      <w:r w:rsidRPr="00987F99">
        <w:rPr>
          <w:rFonts w:ascii="David" w:eastAsia="Calibri" w:hAnsi="David"/>
          <w:rtl/>
        </w:rPr>
        <w:t xml:space="preserve">" . </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באשפוז מיום 07.12.16 (ת/23) מצוין כי הוא נעשה בעקבות "</w:t>
      </w:r>
      <w:r w:rsidRPr="00987F99">
        <w:rPr>
          <w:rFonts w:ascii="David" w:eastAsia="Calibri" w:hAnsi="David"/>
          <w:b/>
          <w:bCs/>
          <w:rtl/>
        </w:rPr>
        <w:t xml:space="preserve">פירכוס והקאת </w:t>
      </w:r>
      <w:r w:rsidRPr="00987F99">
        <w:rPr>
          <w:rFonts w:ascii="David" w:eastAsia="Calibri" w:hAnsi="David"/>
          <w:b/>
          <w:bCs/>
          <w:sz w:val="20"/>
          <w:szCs w:val="20"/>
        </w:rPr>
        <w:t>FROUND COFFE</w:t>
      </w:r>
      <w:r w:rsidRPr="00987F99">
        <w:rPr>
          <w:rFonts w:ascii="David" w:eastAsia="Calibri" w:hAnsi="David"/>
          <w:rtl/>
        </w:rPr>
        <w:t xml:space="preserve"> ". בפרק הסיכום הרפואי מפורט: "בן 41, </w:t>
      </w:r>
      <w:r w:rsidRPr="00987F99">
        <w:rPr>
          <w:rFonts w:ascii="David" w:eastAsia="Calibri" w:hAnsi="David"/>
          <w:u w:val="single"/>
          <w:rtl/>
        </w:rPr>
        <w:t>מרותק למיטה בעקבות ירי בראשו</w:t>
      </w:r>
      <w:r w:rsidRPr="00987F99">
        <w:rPr>
          <w:rFonts w:ascii="David" w:eastAsia="Calibri" w:hAnsi="David"/>
          <w:rtl/>
        </w:rPr>
        <w:t xml:space="preserve">. כעת ירידה במצבו הבסיסי עם </w:t>
      </w:r>
      <w:r w:rsidRPr="00987F99">
        <w:rPr>
          <w:rFonts w:ascii="David" w:eastAsia="Calibri" w:hAnsi="David"/>
          <w:u w:val="single"/>
          <w:rtl/>
        </w:rPr>
        <w:t>ירידות סטורציה ומצוקה נשימתית</w:t>
      </w:r>
      <w:r w:rsidRPr="00987F99">
        <w:rPr>
          <w:rFonts w:ascii="David" w:eastAsia="Calibri" w:hAnsi="David"/>
          <w:rtl/>
        </w:rPr>
        <w:t>". ובהמשך: "...</w:t>
      </w:r>
      <w:r w:rsidRPr="00987F99">
        <w:rPr>
          <w:rFonts w:ascii="David" w:eastAsia="Calibri" w:hAnsi="David"/>
          <w:b/>
          <w:bCs/>
          <w:rtl/>
        </w:rPr>
        <w:t xml:space="preserve">פיתח היפנותרמיה אקוטית, </w:t>
      </w:r>
      <w:r w:rsidRPr="00987F99">
        <w:rPr>
          <w:rFonts w:ascii="David" w:eastAsia="Calibri" w:hAnsi="David"/>
          <w:b/>
          <w:bCs/>
          <w:u w:val="single"/>
          <w:rtl/>
        </w:rPr>
        <w:t>הופעת פרכוסים, אספירציה וכעת עם חום ודלקת ריאות</w:t>
      </w:r>
      <w:r w:rsidRPr="00987F99">
        <w:rPr>
          <w:rFonts w:ascii="David" w:eastAsia="Calibri" w:hAnsi="David"/>
          <w:u w:val="single"/>
          <w:rtl/>
        </w:rPr>
        <w:t>"</w:t>
      </w:r>
      <w:r w:rsidRPr="00987F99">
        <w:rPr>
          <w:rFonts w:ascii="David" w:eastAsia="Calibri" w:hAnsi="David"/>
          <w:rtl/>
        </w:rPr>
        <w:t>.</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באשפוז מיום 04.05.18 (ת/27) מפורט בפרק התלונה העיקרית: "</w:t>
      </w:r>
      <w:r w:rsidRPr="00987F99">
        <w:rPr>
          <w:rFonts w:ascii="David" w:eastAsia="Calibri" w:hAnsi="David"/>
          <w:b/>
          <w:bCs/>
          <w:rtl/>
        </w:rPr>
        <w:t xml:space="preserve">מזה 3 ימים רושם לקשיי נשימה, </w:t>
      </w:r>
      <w:r w:rsidRPr="00987F99">
        <w:rPr>
          <w:rFonts w:ascii="David" w:eastAsia="Calibri" w:hAnsi="David"/>
          <w:b/>
          <w:bCs/>
          <w:u w:val="single"/>
          <w:rtl/>
        </w:rPr>
        <w:t>חרחורים וריבוי ליחה</w:t>
      </w:r>
      <w:r w:rsidRPr="00987F99">
        <w:rPr>
          <w:rFonts w:ascii="David" w:eastAsia="Calibri" w:hAnsi="David"/>
          <w:b/>
          <w:bCs/>
          <w:rtl/>
        </w:rPr>
        <w:t xml:space="preserve">... בבדיקתו בחדר מיון – </w:t>
      </w:r>
      <w:r w:rsidRPr="00987F99">
        <w:rPr>
          <w:rFonts w:ascii="David" w:eastAsia="Calibri" w:hAnsi="David"/>
          <w:b/>
          <w:bCs/>
          <w:u w:val="single"/>
          <w:rtl/>
        </w:rPr>
        <w:t>חרחורים גסים ממקור עליון</w:t>
      </w:r>
      <w:r w:rsidRPr="00987F99">
        <w:rPr>
          <w:rFonts w:ascii="David" w:eastAsia="Calibri" w:hAnsi="David"/>
          <w:b/>
          <w:bCs/>
          <w:rtl/>
        </w:rPr>
        <w:t xml:space="preserve">, </w:t>
      </w:r>
      <w:r w:rsidRPr="00987F99">
        <w:rPr>
          <w:rFonts w:ascii="David" w:eastAsia="Calibri" w:hAnsi="David"/>
          <w:b/>
          <w:bCs/>
          <w:u w:val="single"/>
          <w:rtl/>
        </w:rPr>
        <w:t>בסקשיין יציאת הפרשות מרובות צמיגות</w:t>
      </w:r>
      <w:r w:rsidRPr="00987F99">
        <w:rPr>
          <w:rFonts w:ascii="David" w:eastAsia="Calibri" w:hAnsi="David"/>
          <w:b/>
          <w:bCs/>
          <w:rtl/>
        </w:rPr>
        <w:t>, מדדים המודינמיים וסטורציה תקינים</w:t>
      </w:r>
      <w:r w:rsidRPr="00987F99">
        <w:rPr>
          <w:rFonts w:ascii="David" w:eastAsia="Calibri" w:hAnsi="David"/>
          <w:rtl/>
        </w:rPr>
        <w:t>".</w:t>
      </w:r>
    </w:p>
    <w:p w:rsidR="00987F99" w:rsidRPr="00987F99" w:rsidRDefault="00987F99" w:rsidP="00987F99">
      <w:pPr>
        <w:spacing w:before="120" w:after="120" w:line="360" w:lineRule="auto"/>
        <w:jc w:val="both"/>
        <w:rPr>
          <w:rFonts w:ascii="David" w:eastAsia="David" w:hAnsi="David"/>
          <w:rtl/>
        </w:rPr>
      </w:pPr>
      <w:r w:rsidRPr="00987F99">
        <w:rPr>
          <w:rFonts w:ascii="David" w:eastAsia="Calibri" w:hAnsi="David"/>
          <w:rtl/>
        </w:rPr>
        <w:lastRenderedPageBreak/>
        <w:t xml:space="preserve">פרופ' מימון הסביר כי גם אם בפועל </w:t>
      </w:r>
      <w:r w:rsidR="00CC6733">
        <w:rPr>
          <w:rFonts w:ascii="David" w:eastAsia="Calibri" w:hAnsi="David"/>
          <w:rtl/>
        </w:rPr>
        <w:t>ת.מ</w:t>
      </w:r>
      <w:r w:rsidRPr="00987F99">
        <w:rPr>
          <w:rFonts w:ascii="David" w:eastAsia="Calibri" w:hAnsi="David"/>
          <w:rtl/>
        </w:rPr>
        <w:t xml:space="preserve"> לא אושפז (באופן יחסי) מספר רב  של פעמים, אין פירוש הדבר כי הוא לא סבל מאספירציות תכופות או שמצבו לא הצריך אשפוז: "</w:t>
      </w:r>
      <w:r w:rsidRPr="00987F99">
        <w:rPr>
          <w:rFonts w:ascii="David" w:eastAsia="Calibri" w:hAnsi="David"/>
          <w:b/>
          <w:bCs/>
          <w:rtl/>
        </w:rPr>
        <w:t>...סביר להניח שהוא עושה אספירציות כל הזמן</w:t>
      </w:r>
      <w:r w:rsidRPr="00987F99">
        <w:rPr>
          <w:rFonts w:ascii="David" w:eastAsia="Calibri" w:hAnsi="David"/>
          <w:rtl/>
        </w:rPr>
        <w:t>" (עמ' 34).  הלה תלה את המיעוט היחסי של האשפוזים בטיפול יוצא הדופן והמסור ש</w:t>
      </w:r>
      <w:r w:rsidR="00CC6733">
        <w:rPr>
          <w:rFonts w:ascii="David" w:eastAsia="Calibri" w:hAnsi="David"/>
          <w:rtl/>
        </w:rPr>
        <w:t>ת.מ</w:t>
      </w:r>
      <w:r w:rsidRPr="00987F99">
        <w:rPr>
          <w:rFonts w:ascii="David" w:eastAsia="Calibri" w:hAnsi="David"/>
          <w:rtl/>
        </w:rPr>
        <w:t xml:space="preserve"> קיבל בביתו על ידי אשתו והמטפל הצמוד שהיה עימו</w:t>
      </w:r>
      <w:r w:rsidRPr="00987F99">
        <w:rPr>
          <w:rFonts w:ascii="David" w:eastAsia="David" w:hAnsi="David"/>
          <w:rtl/>
        </w:rPr>
        <w:t>: "</w:t>
      </w:r>
      <w:r w:rsidRPr="00987F99">
        <w:rPr>
          <w:rFonts w:ascii="David" w:eastAsia="David" w:hAnsi="David"/>
          <w:b/>
          <w:bCs/>
          <w:u w:val="single"/>
          <w:rtl/>
        </w:rPr>
        <w:t>זה שהוא לא הגיע שנתיים או שלוש שנים לאשפוז זה הישג אדיר של טיפול שהוא ניתן בבית על ידי המטפל ועל ידי אשתו</w:t>
      </w:r>
      <w:r w:rsidRPr="00987F99">
        <w:rPr>
          <w:rFonts w:ascii="David" w:eastAsia="David" w:hAnsi="David"/>
          <w:b/>
          <w:bCs/>
          <w:rtl/>
        </w:rPr>
        <w:t>, ואני רק רוצה לציין שהגבורה של בני המשפחה שטיפלו באבא הפצוע הזה במשך כל כך הרבה שנים היא דבר שלא רואים הרבה</w:t>
      </w:r>
      <w:r w:rsidRPr="00987F99">
        <w:rPr>
          <w:rFonts w:ascii="David" w:eastAsia="David" w:hAnsi="David"/>
          <w:rtl/>
        </w:rPr>
        <w:t xml:space="preserve">" (עמ' 35). </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 xml:space="preserve">ובהמשך : </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w:t>
      </w:r>
      <w:r w:rsidRPr="00987F99">
        <w:rPr>
          <w:rFonts w:ascii="David" w:eastAsia="Calibri" w:hAnsi="David"/>
          <w:b/>
          <w:bCs/>
          <w:rtl/>
        </w:rPr>
        <w:t>...היה לנו קושי עצום מול אשתו שהייתה מאוד מאוד קפדנית בטיפול שלו. היא לא הייתה עוזבת אותנו לרגע. כמה רמות  נתרן, כמה חום, וכמה סטורציה, והאם עושים לו מספיק סקשנים ואיך משנים לו תנוחות... היא הייתה יושבת לנו כאן על הוריד כדי שנוכל לתת לו את הטיפול הכי טוב שאפשר ואנחנו כולנו באמת התפעלנו כל פעם שהוא היה מגיע מרמת המסירות של אשתו זה נדיר לראות חולים צעירים כל כך וסובלים כל כך, כל כך הרבה שנים. כולנו הצטערנו שהוא לא מת בירי הראשון שהיה, החיים שלו היו חיי סבל נוראיים במשך כל השנים שבהן... עד למותו</w:t>
      </w:r>
      <w:r w:rsidRPr="00987F99">
        <w:rPr>
          <w:rFonts w:ascii="David" w:eastAsia="Calibri" w:hAnsi="David"/>
          <w:rtl/>
        </w:rPr>
        <w:t xml:space="preserve">" (עמ' 58). </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 xml:space="preserve">הסברים אלו מקובלים עלינו ומתיישבים עם דברי אשתו של </w:t>
      </w:r>
      <w:r w:rsidR="008E5FF0">
        <w:rPr>
          <w:rFonts w:ascii="David" w:eastAsia="Calibri" w:hAnsi="David"/>
          <w:rtl/>
        </w:rPr>
        <w:t>המנוח</w:t>
      </w:r>
      <w:r w:rsidRPr="00987F99">
        <w:rPr>
          <w:rFonts w:ascii="David" w:eastAsia="Calibri" w:hAnsi="David"/>
          <w:rtl/>
        </w:rPr>
        <w:t xml:space="preserve"> שהסבירה כי מבחינתה עשתה הכל על מנת שלא יהיה צורך להביאו לבית החולים וזה יקבל את כל שהוא נזקק לו בביתו: "</w:t>
      </w:r>
      <w:r w:rsidRPr="00987F99">
        <w:rPr>
          <w:rFonts w:ascii="David" w:eastAsia="Calibri" w:hAnsi="David"/>
          <w:b/>
          <w:bCs/>
          <w:rtl/>
        </w:rPr>
        <w:t>שמרנו עליו כמו על יהלום, במשך שנתיים הוא לא אושפז פעם אחת בסורוקה, בשנתיים האחרונות, משנת 2018 טיפלתי בו בבית, תמיד מנעתי את האשפוז בטיפול נכון בבית</w:t>
      </w:r>
      <w:r w:rsidRPr="00987F99">
        <w:rPr>
          <w:rFonts w:ascii="David" w:eastAsia="Calibri" w:hAnsi="David"/>
          <w:rtl/>
        </w:rPr>
        <w:t>".</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 xml:space="preserve">חיזוק באמור ניתן למצוא גם בתיעוד הרפואי הנוגע לאשפוזיו הקודמים של </w:t>
      </w:r>
      <w:r w:rsidR="00CC6733">
        <w:rPr>
          <w:rFonts w:ascii="David" w:eastAsia="Calibri" w:hAnsi="David"/>
          <w:rtl/>
        </w:rPr>
        <w:t>ת.מ</w:t>
      </w:r>
      <w:r w:rsidRPr="00987F99">
        <w:rPr>
          <w:rFonts w:ascii="David" w:eastAsia="Calibri" w:hAnsi="David"/>
          <w:rtl/>
        </w:rPr>
        <w:t xml:space="preserve"> (ת/27) שם מצוין דבר הטיפול הביתי אותו קיבל בביתו: "</w:t>
      </w:r>
      <w:r w:rsidRPr="00987F99">
        <w:rPr>
          <w:rFonts w:ascii="David" w:eastAsia="Calibri" w:hAnsi="David"/>
          <w:b/>
          <w:bCs/>
          <w:rtl/>
        </w:rPr>
        <w:t xml:space="preserve">בשיחה עם אשתו בחדר מיון שמכירה את מצבו וישנה נטייה לאספירציות סביב ארוחות והפרשות צמיגיות, </w:t>
      </w:r>
      <w:r w:rsidRPr="00987F99">
        <w:rPr>
          <w:rFonts w:ascii="David" w:eastAsia="Calibri" w:hAnsi="David"/>
          <w:b/>
          <w:bCs/>
          <w:u w:val="single"/>
          <w:rtl/>
        </w:rPr>
        <w:t>נוטה לטפל בו באינהלציות מוקומיסט בניסיון עידוד לשיעול</w:t>
      </w:r>
      <w:r w:rsidRPr="00987F99">
        <w:rPr>
          <w:rFonts w:ascii="David" w:eastAsia="Calibri" w:hAnsi="David"/>
          <w:rtl/>
        </w:rPr>
        <w:t xml:space="preserve">". בדומה ראה ת/24 (סיכום אשפוז מתאריך 31.1.17), שם מצוין בסוף המהלך והדיון כי </w:t>
      </w:r>
      <w:r w:rsidR="00CC6733">
        <w:rPr>
          <w:rFonts w:ascii="David" w:eastAsia="Calibri" w:hAnsi="David"/>
          <w:rtl/>
        </w:rPr>
        <w:t>ת.מ</w:t>
      </w:r>
      <w:r w:rsidRPr="00987F99">
        <w:rPr>
          <w:rFonts w:ascii="David" w:eastAsia="Calibri" w:hAnsi="David"/>
          <w:rtl/>
        </w:rPr>
        <w:t xml:space="preserve"> "</w:t>
      </w:r>
      <w:r w:rsidRPr="00987F99">
        <w:rPr>
          <w:rFonts w:ascii="David" w:eastAsia="Calibri" w:hAnsi="David"/>
          <w:b/>
          <w:bCs/>
          <w:rtl/>
        </w:rPr>
        <w:t xml:space="preserve">יכול להשתחרר חזרה לביתו </w:t>
      </w:r>
      <w:r w:rsidRPr="00987F99">
        <w:rPr>
          <w:rFonts w:ascii="David" w:eastAsia="Calibri" w:hAnsi="David"/>
          <w:b/>
          <w:bCs/>
          <w:u w:val="single"/>
          <w:rtl/>
        </w:rPr>
        <w:t>להמשך טיפול תומך וטיפול שיקומי במסגרת הביתית</w:t>
      </w:r>
      <w:r w:rsidRPr="00987F99">
        <w:rPr>
          <w:rFonts w:ascii="David" w:eastAsia="Calibri" w:hAnsi="David"/>
          <w:rtl/>
        </w:rPr>
        <w:t xml:space="preserve">". </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 xml:space="preserve">באשר לטענה לפיה חוות הדעת אינה ערוכה כדין וחסרה נתונים שונים (בכללם פירוט מלוא המסמכים שעמדו לרשותו של המומחה, פירוט הגורם שפנה אליו וטיב הפנייה) נקדים ונציין כי החוסר בפרטים אלו, גם אם קיים, אינו פוסל את קבילותה של חוות הדעת ונוגע אך למשקלה. במקרה הנדון, לא מצאנו כי יש בכך כדי לפגום במשקל שאנו מעניקים לחוות דעתו של פרופ' מימון. </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 xml:space="preserve">אין חולק כי מוטב היה שהמומחה יציין בחוות דעתו, כמקובל וכנדרש, מהם המסמכים בהם נעזר לצורך כתיבת חוות הדעת. ברם, החשוב יותר לענייננו הוא לא תיעוד המסמכים בהם נעזר המומחה, אלא מהותית איזה מסמכים היו ברשותו ומה הוא מכלול המידע שבו נעזר לצורך הגעה למסקנה הסופית. בהקשר לכך, אנו מקבלים את דברי פרופ' מימון לפיהם צפה במסמכים הרלוונטיים </w:t>
      </w:r>
      <w:r w:rsidRPr="00987F99">
        <w:rPr>
          <w:rFonts w:ascii="David" w:eastAsia="Calibri" w:hAnsi="David"/>
          <w:rtl/>
        </w:rPr>
        <w:lastRenderedPageBreak/>
        <w:t>באמצעות מערכת "אופק" ומתוך שאינו עוסק כלל בכתיבת חוות דעת, לא הקפיד לציין זאת בחוות דעתו: "</w:t>
      </w:r>
      <w:r w:rsidRPr="00987F99">
        <w:rPr>
          <w:rFonts w:ascii="David" w:eastAsia="Calibri" w:hAnsi="David"/>
          <w:b/>
          <w:bCs/>
          <w:rtl/>
        </w:rPr>
        <w:t>אני רואה את המכתב שחרור מבית לוינשטיין ואני רואה את משך האשפוז בבית לוינשטיין. אני יכול לראות את הביקורים בבית החולים, את הביקורים במיונים, את הביקורים במרפאות הקהילה דברים שלא מופיעים...</w:t>
      </w:r>
      <w:r w:rsidRPr="00987F99">
        <w:rPr>
          <w:rFonts w:ascii="David" w:eastAsia="Calibri" w:hAnsi="David"/>
          <w:rtl/>
        </w:rPr>
        <w:t>" (עמ' 32); "</w:t>
      </w:r>
      <w:r w:rsidRPr="00987F99">
        <w:rPr>
          <w:rFonts w:ascii="David" w:eastAsia="Calibri" w:hAnsi="David"/>
          <w:b/>
          <w:bCs/>
          <w:rtl/>
        </w:rPr>
        <w:t>כשאני פותח את המחשב שלי בסורוקה אני רואה מסמכים גם של אופק. זה שייך לבית החולים סורוקה. זה טכני מה שאת כרגע שואלת, זה חסר משמעות לגמרי כל מערכות המידע חשופות בפניי</w:t>
      </w:r>
      <w:r w:rsidRPr="00987F99">
        <w:rPr>
          <w:rFonts w:ascii="David" w:eastAsia="Calibri" w:hAnsi="David"/>
          <w:rtl/>
        </w:rPr>
        <w:t>."</w:t>
      </w:r>
    </w:p>
    <w:p w:rsidR="00987F99" w:rsidRPr="00987F99" w:rsidRDefault="00987F99" w:rsidP="00987F99">
      <w:pPr>
        <w:spacing w:before="120" w:after="120" w:line="360" w:lineRule="auto"/>
        <w:jc w:val="both"/>
        <w:rPr>
          <w:rFonts w:ascii="David" w:eastAsia="Calibri" w:hAnsi="David"/>
        </w:rPr>
      </w:pPr>
      <w:r w:rsidRPr="00987F99">
        <w:rPr>
          <w:rFonts w:ascii="David" w:eastAsia="Calibri" w:hAnsi="David"/>
          <w:rtl/>
        </w:rPr>
        <w:t xml:space="preserve">חשוב מכך, כפי העולה, ההגנה (יחד עם התביעה) החזיקה ברשותה את מלוא התיעוד הרפואי של </w:t>
      </w:r>
      <w:r w:rsidR="00CC6733">
        <w:rPr>
          <w:rFonts w:ascii="David" w:eastAsia="Calibri" w:hAnsi="David"/>
          <w:rtl/>
        </w:rPr>
        <w:t>ת.מ</w:t>
      </w:r>
      <w:r w:rsidRPr="00987F99">
        <w:rPr>
          <w:rFonts w:ascii="David" w:eastAsia="Calibri" w:hAnsi="David"/>
          <w:rtl/>
        </w:rPr>
        <w:t xml:space="preserve"> לרבות התיעוד הרפואי עליו הסתמך המומחה (נטען כי מדובר במספר קרגלים). הסנגורית הקשתה על פרופ' מימון והטיחה בו במהלך החקירה הנגדית אפשרויות חלופיות לסיבת המוות שלטענתה נלמדות מהחומר הרפואי המלא שמצוי ברשותה, וקיבלה מענה מלא ומפורט. פועל יוצא הוא כי הגנת הנאשם לא נפגעה בשל אותם פגמים נטענים שזהו המבחן החשוב לענייננו. יפים לעניין זה דברי בית המשפט העליון בע"פ 2842/10 </w:t>
      </w:r>
      <w:r w:rsidRPr="00987F99">
        <w:rPr>
          <w:rFonts w:ascii="David" w:eastAsia="Calibri" w:hAnsi="David"/>
          <w:b/>
          <w:bCs/>
          <w:rtl/>
        </w:rPr>
        <w:t>‏נוי קלדרון נ' מדינת ישראל</w:t>
      </w:r>
      <w:r w:rsidRPr="00987F99">
        <w:rPr>
          <w:rFonts w:ascii="David" w:eastAsia="Calibri" w:hAnsi="David"/>
          <w:rtl/>
        </w:rPr>
        <w:t xml:space="preserve"> [פסקה 18 לפסק דינו של כב' הש' ג'ובראן] (פורסם ביום 23.1.12): </w:t>
      </w:r>
    </w:p>
    <w:p w:rsidR="00987F99" w:rsidRPr="00987F99" w:rsidRDefault="00987F99" w:rsidP="00987F99">
      <w:pPr>
        <w:spacing w:before="120" w:after="120"/>
        <w:ind w:left="509" w:right="426"/>
        <w:jc w:val="both"/>
        <w:rPr>
          <w:rFonts w:ascii="David" w:eastAsia="Calibri" w:hAnsi="David"/>
          <w:b/>
          <w:bCs/>
          <w:rtl/>
        </w:rPr>
      </w:pPr>
      <w:r w:rsidRPr="00987F99">
        <w:rPr>
          <w:rFonts w:ascii="David" w:eastAsia="Calibri" w:hAnsi="David"/>
          <w:rtl/>
        </w:rPr>
        <w:t>"</w:t>
      </w:r>
      <w:r w:rsidRPr="00987F99">
        <w:rPr>
          <w:rFonts w:ascii="David" w:eastAsia="Calibri" w:hAnsi="David"/>
          <w:b/>
          <w:bCs/>
          <w:rtl/>
        </w:rPr>
        <w:t>חוות דעת זו לא הוגשה אמנם בדרך הצורנית המקובלת לפי סעיף 24 לפקודת הראיות, אך בכך אין דבר לענייננו. צורת ההגשה הקבועה בסעיף 24 ובתוספת הראשונה לפקודת הראיות נועדה, בעיקרה, לשרת את תכליתו של סעיף 20. היינו, לאפשר לצדדים להגיש חוות דעת מומחה על דרך הכתב. לעיתים, אף מבלי שזה ייחקר בבית המשפט (וראו ההוראה שבסעיף 26 לפקודת הראיות). הגשתה של חוות דעת שלא בדרך הצורנית הקבועה בתוספת הראשונה, אינה פוגמת – כשלעצמה – בעמידת המשיבה בחובתה לפי סעיף 74 לחסד"פ. עדיף אמנם, שככלל תגיש המשיבה את חוות הדעת מטעמה בצורה הנוהגת, לבל תפתיע את הנאשם וסניגורו ותיכשל בהגשמת מטרתו העיקרית של סעיף 74 לחסד"פ – הבטחת הליך הוגן לנאשם, אלא שכפי שיפורט להלן לא היה, במקרה זה, בפגם הצורני כדי לגרום לעיוות דין למערער...</w:t>
      </w:r>
      <w:r w:rsidRPr="00987F99">
        <w:rPr>
          <w:rFonts w:ascii="David" w:eastAsia="Calibri" w:hAnsi="David"/>
          <w:rtl/>
        </w:rPr>
        <w:t>".</w:t>
      </w:r>
      <w:r w:rsidRPr="00987F99">
        <w:rPr>
          <w:rFonts w:ascii="David" w:eastAsia="Calibri" w:hAnsi="David"/>
          <w:b/>
          <w:bCs/>
          <w:rtl/>
        </w:rPr>
        <w:t xml:space="preserve"> </w:t>
      </w:r>
    </w:p>
    <w:p w:rsidR="00987F99" w:rsidRPr="00987F99" w:rsidRDefault="00987F99" w:rsidP="00987F99">
      <w:pPr>
        <w:spacing w:before="120" w:after="120"/>
        <w:jc w:val="both"/>
        <w:rPr>
          <w:rFonts w:ascii="David" w:eastAsia="Calibri" w:hAnsi="David"/>
          <w:rtl/>
        </w:rPr>
      </w:pPr>
      <w:r w:rsidRPr="00987F99">
        <w:rPr>
          <w:rFonts w:ascii="David" w:eastAsia="Calibri" w:hAnsi="David"/>
          <w:rtl/>
        </w:rPr>
        <w:t>ובהמשך:</w:t>
      </w:r>
    </w:p>
    <w:p w:rsidR="00987F99" w:rsidRPr="00987F99" w:rsidRDefault="00987F99" w:rsidP="00987F99">
      <w:pPr>
        <w:spacing w:before="120" w:after="120"/>
        <w:ind w:left="509" w:right="426"/>
        <w:jc w:val="both"/>
        <w:rPr>
          <w:rFonts w:ascii="David" w:eastAsia="Calibri" w:hAnsi="David"/>
          <w:b/>
          <w:bCs/>
          <w:rtl/>
        </w:rPr>
      </w:pPr>
      <w:r w:rsidRPr="00987F99">
        <w:rPr>
          <w:rFonts w:ascii="David" w:eastAsia="Calibri" w:hAnsi="David"/>
          <w:rtl/>
        </w:rPr>
        <w:t>"</w:t>
      </w:r>
      <w:r w:rsidRPr="00987F99">
        <w:rPr>
          <w:rFonts w:ascii="David" w:eastAsia="Calibri" w:hAnsi="David"/>
          <w:b/>
          <w:bCs/>
          <w:rtl/>
        </w:rPr>
        <w:t>על הנאשם וסניגורו לדעת מראש בפני מה הם ניצבים, פן תיפגע הגנתו של הנאשם. על המשיבה להקפיד לסווג נכונה ומראש את העדויות המוגשות, ורצוי, כאמור, כי תדאג להגשתן בפורמט המקובל והמתאים לפי סעיף 24 לפקודת הראיות. אולם, וכאן אנו מגיעים לעיקר השני המתקיים בענייננו, ההליך הפלילי אינו</w:t>
      </w:r>
      <w:r w:rsidRPr="00987F99">
        <w:rPr>
          <w:rFonts w:ascii="David" w:eastAsia="Calibri" w:hAnsi="David"/>
          <w:b/>
          <w:bCs/>
        </w:rPr>
        <w:t xml:space="preserve"> </w:t>
      </w:r>
      <w:r w:rsidRPr="00987F99">
        <w:rPr>
          <w:rFonts w:ascii="David" w:eastAsia="Calibri" w:hAnsi="David"/>
          <w:b/>
          <w:bCs/>
          <w:rtl/>
        </w:rPr>
        <w:t>קם ונופל על שגיאותיו של צד זה או אחר. עניין לנו בבחינה מהותית – האם נתקיימו הרציונאליים שבחובות המוטלות על התביעה, והאם זכה המערער להליך הוגן</w:t>
      </w:r>
      <w:r w:rsidRPr="00987F99">
        <w:rPr>
          <w:rFonts w:ascii="David" w:eastAsia="Calibri" w:hAnsi="David"/>
          <w:rtl/>
        </w:rPr>
        <w:t>".</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 xml:space="preserve">הדברים אמורים גם בנוגע למסמכים הרפואיים הנוגעים למהלך הטיפול הרפואי שקיבל </w:t>
      </w:r>
      <w:r w:rsidR="008E5FF0">
        <w:rPr>
          <w:rFonts w:ascii="David" w:eastAsia="Calibri" w:hAnsi="David"/>
          <w:rtl/>
        </w:rPr>
        <w:t>המנוח</w:t>
      </w:r>
      <w:r w:rsidRPr="00987F99">
        <w:rPr>
          <w:rFonts w:ascii="David" w:eastAsia="Calibri" w:hAnsi="David"/>
          <w:rtl/>
        </w:rPr>
        <w:t xml:space="preserve"> במהלך שהייתו במחלקה לטיפול נמרץ. מסמכים אלו לא היו לנגד עיניו של המומחה, אולם המופיע בהם הוטח בו, לרבות הבדיקות השונות שנערכו למנוח. המומחה התייחס לכל אותן אפשרויות ודחה אותן באופן מנומק וסדור. הסבריו של המומחה מדוע אין לקבל אותן תזות חלופיות היו משכנעים והם מקובלים עלינו, לרבות הסברו לפיו, לא אחת, מורים על שורה של בדיקות רפואיות למען הסר ספק או בזיקה לניסיון של זה שהורה לערוך אותן: "</w:t>
      </w:r>
      <w:r w:rsidRPr="00987F99">
        <w:rPr>
          <w:rFonts w:ascii="David" w:eastAsia="Calibri" w:hAnsi="David"/>
          <w:b/>
          <w:bCs/>
          <w:rtl/>
        </w:rPr>
        <w:t xml:space="preserve">כל סטודנט אתה רוצה שיגיד לך כל מיני דברים... על מנת לכסות את כל האפשרויות. בסופו של דבר ההבדל בין סטודנט או בין מתמחה לבין מומחה </w:t>
      </w:r>
      <w:r w:rsidRPr="00987F99">
        <w:rPr>
          <w:rFonts w:ascii="David" w:eastAsia="Calibri" w:hAnsi="David"/>
          <w:b/>
          <w:bCs/>
          <w:rtl/>
        </w:rPr>
        <w:lastRenderedPageBreak/>
        <w:t>כמוני הוא שאני חותר לאבחנה ומבצע אבחנות מהירות על מנת לתת טיפול ולא לטלטל חולים לבדיקות מיותרות, כי בדיקות מיותרות לדוגמא לעשות לו סי טי בטן אתה צריך להזריק לו חומר ניגוד שאמור לפגוע לו בכליות</w:t>
      </w:r>
      <w:r w:rsidRPr="00987F99">
        <w:rPr>
          <w:rFonts w:ascii="David" w:eastAsia="Calibri" w:hAnsi="David"/>
          <w:rtl/>
        </w:rPr>
        <w:t xml:space="preserve">" (ר' עמ' 51). </w:t>
      </w:r>
    </w:p>
    <w:p w:rsidR="00987F99" w:rsidRPr="00987F99" w:rsidRDefault="00987F99" w:rsidP="00987F99">
      <w:pPr>
        <w:spacing w:before="120" w:after="120" w:line="360" w:lineRule="auto"/>
        <w:jc w:val="both"/>
        <w:rPr>
          <w:rFonts w:ascii="David" w:eastAsia="Calibri" w:hAnsi="David"/>
          <w:b/>
          <w:bCs/>
          <w:rtl/>
        </w:rPr>
      </w:pPr>
      <w:r w:rsidRPr="00987F99">
        <w:rPr>
          <w:rFonts w:ascii="David" w:eastAsia="Calibri" w:hAnsi="David"/>
          <w:rtl/>
        </w:rPr>
        <w:t xml:space="preserve">לא מצאנו לפקפק בדברי המומחה לפיהם, הגם שלא נחשף למסמכי האשפוז של </w:t>
      </w:r>
      <w:r w:rsidR="00CC6733">
        <w:rPr>
          <w:rFonts w:ascii="David" w:eastAsia="Calibri" w:hAnsi="David"/>
          <w:rtl/>
        </w:rPr>
        <w:t>ת.מ</w:t>
      </w:r>
      <w:r w:rsidRPr="00987F99">
        <w:rPr>
          <w:rFonts w:ascii="David" w:eastAsia="Calibri" w:hAnsi="David"/>
          <w:rtl/>
        </w:rPr>
        <w:t xml:space="preserve"> במחלקה לטיפול נמרץ, הלכה למעשה הוא היה בקשר עם המחלקה ובכלל זאת, קיבל מידע כי מותו של </w:t>
      </w:r>
      <w:r w:rsidR="00CC6733">
        <w:rPr>
          <w:rFonts w:ascii="David" w:eastAsia="Calibri" w:hAnsi="David"/>
          <w:rtl/>
        </w:rPr>
        <w:t>ת.מ</w:t>
      </w:r>
      <w:r w:rsidRPr="00987F99">
        <w:rPr>
          <w:rFonts w:ascii="David" w:eastAsia="Calibri" w:hAnsi="David"/>
          <w:rtl/>
        </w:rPr>
        <w:t xml:space="preserve"> נגרם - כפי שצפה - כתוצאה מ-</w:t>
      </w:r>
      <w:r w:rsidRPr="00987F99">
        <w:rPr>
          <w:rFonts w:ascii="David" w:eastAsia="Calibri" w:hAnsi="David"/>
          <w:sz w:val="20"/>
          <w:szCs w:val="20"/>
        </w:rPr>
        <w:t>ARDS</w:t>
      </w:r>
      <w:r w:rsidRPr="00987F99">
        <w:rPr>
          <w:rFonts w:ascii="David" w:eastAsia="Calibri" w:hAnsi="David"/>
          <w:rtl/>
        </w:rPr>
        <w:t>:  "</w:t>
      </w:r>
      <w:r w:rsidRPr="00987F99">
        <w:rPr>
          <w:rFonts w:ascii="David" w:eastAsia="Calibri" w:hAnsi="David"/>
          <w:b/>
          <w:bCs/>
          <w:rtl/>
        </w:rPr>
        <w:t xml:space="preserve">...המקרה של </w:t>
      </w:r>
      <w:r w:rsidR="00CC6733" w:rsidRPr="008E5FF0">
        <w:rPr>
          <w:rFonts w:ascii="David" w:eastAsia="Calibri" w:hAnsi="David"/>
          <w:rtl/>
        </w:rPr>
        <w:t>[ת.מ]</w:t>
      </w:r>
      <w:r w:rsidRPr="00987F99">
        <w:rPr>
          <w:rFonts w:ascii="David" w:eastAsia="Calibri" w:hAnsi="David"/>
          <w:b/>
          <w:bCs/>
          <w:rtl/>
        </w:rPr>
        <w:t xml:space="preserve"> היה מקרה שנדון בנינו הרבה פעמים. זה חולה הוא היה מאוד ייחודי ולכן היה לנו קשר עם טיפול נמרץ זה מה שהם אמרו לנו שהוא מת בסופו של דבר מ</w:t>
      </w:r>
      <w:r w:rsidRPr="00987F99">
        <w:rPr>
          <w:rFonts w:ascii="David" w:eastAsia="Calibri" w:hAnsi="David"/>
          <w:b/>
          <w:bCs/>
          <w:sz w:val="20"/>
          <w:szCs w:val="20"/>
        </w:rPr>
        <w:t>ARDS</w:t>
      </w:r>
      <w:r w:rsidRPr="00987F99">
        <w:rPr>
          <w:rFonts w:ascii="David" w:eastAsia="Calibri" w:hAnsi="David"/>
          <w:b/>
          <w:bCs/>
          <w:rtl/>
        </w:rPr>
        <w:t xml:space="preserve"> כתוצאה מאספירציה, זה מה שקרה שם אז ידעתי את זה</w:t>
      </w:r>
      <w:r w:rsidRPr="00987F99">
        <w:rPr>
          <w:rFonts w:ascii="David" w:eastAsia="Calibri" w:hAnsi="David"/>
          <w:rtl/>
        </w:rPr>
        <w:t>" (ובדומה, ר' עמ' 41 ש' 3).</w:t>
      </w:r>
    </w:p>
    <w:p w:rsidR="00987F99" w:rsidRPr="00987F99" w:rsidRDefault="00987F99" w:rsidP="00987F99">
      <w:pPr>
        <w:spacing w:before="120" w:after="120" w:line="360" w:lineRule="auto"/>
        <w:jc w:val="both"/>
        <w:rPr>
          <w:rFonts w:ascii="David" w:eastAsia="Calibri" w:hAnsi="David"/>
          <w:b/>
          <w:bCs/>
          <w:rtl/>
        </w:rPr>
      </w:pPr>
      <w:r w:rsidRPr="00987F99">
        <w:rPr>
          <w:rFonts w:ascii="David" w:eastAsia="Calibri" w:hAnsi="David"/>
          <w:rtl/>
        </w:rPr>
        <w:t xml:space="preserve">מסקנה זו מתיישבת גם עם מסמכי המחלקה לטיפול נמרץ שהוגשו מטעם ההגנה (נ/1). בעניין זה, כבר </w:t>
      </w:r>
      <w:r w:rsidRPr="00987F99">
        <w:rPr>
          <w:rFonts w:ascii="David" w:eastAsia="Calibri" w:hAnsi="David"/>
          <w:u w:val="single"/>
          <w:rtl/>
        </w:rPr>
        <w:t>בפתח</w:t>
      </w:r>
      <w:r w:rsidRPr="00987F99">
        <w:rPr>
          <w:rFonts w:ascii="David" w:eastAsia="Calibri" w:hAnsi="David"/>
          <w:rtl/>
        </w:rPr>
        <w:t xml:space="preserve"> מהלך האשפוז מצוין כי </w:t>
      </w:r>
      <w:r w:rsidR="00CC6733">
        <w:rPr>
          <w:rFonts w:ascii="David" w:eastAsia="Calibri" w:hAnsi="David"/>
          <w:rtl/>
        </w:rPr>
        <w:t>ת.מ</w:t>
      </w:r>
      <w:r w:rsidRPr="00987F99">
        <w:rPr>
          <w:rFonts w:ascii="David" w:eastAsia="Calibri" w:hAnsi="David"/>
          <w:rtl/>
        </w:rPr>
        <w:t xml:space="preserve"> הגיע ליחידה "</w:t>
      </w:r>
      <w:r w:rsidRPr="00987F99">
        <w:rPr>
          <w:rFonts w:ascii="David" w:eastAsia="Calibri" w:hAnsi="David"/>
          <w:b/>
          <w:bCs/>
          <w:rtl/>
        </w:rPr>
        <w:t xml:space="preserve">בשל </w:t>
      </w:r>
      <w:r w:rsidRPr="00987F99">
        <w:rPr>
          <w:rFonts w:ascii="David" w:eastAsia="Calibri" w:hAnsi="David"/>
          <w:b/>
          <w:bCs/>
          <w:u w:val="single"/>
          <w:rtl/>
        </w:rPr>
        <w:t>כשל נשימתי</w:t>
      </w:r>
      <w:r w:rsidRPr="00987F99">
        <w:rPr>
          <w:rFonts w:ascii="David" w:eastAsia="Calibri" w:hAnsi="David"/>
          <w:b/>
          <w:bCs/>
          <w:rtl/>
        </w:rPr>
        <w:t xml:space="preserve"> ככל הנראה </w:t>
      </w:r>
      <w:r w:rsidRPr="00987F99">
        <w:rPr>
          <w:rFonts w:ascii="David" w:eastAsia="Calibri" w:hAnsi="David"/>
          <w:b/>
          <w:bCs/>
          <w:u w:val="single"/>
          <w:rtl/>
        </w:rPr>
        <w:t>על רקע אספירציה</w:t>
      </w:r>
      <w:r w:rsidRPr="00987F99">
        <w:rPr>
          <w:rFonts w:ascii="David" w:eastAsia="Calibri" w:hAnsi="David"/>
          <w:b/>
          <w:bCs/>
          <w:rtl/>
        </w:rPr>
        <w:t xml:space="preserve">. בהגיעו ליחידה אינו </w:t>
      </w:r>
      <w:r w:rsidRPr="00987F99">
        <w:rPr>
          <w:rFonts w:ascii="David" w:eastAsia="Calibri" w:hAnsi="David"/>
          <w:b/>
          <w:bCs/>
          <w:u w:val="single"/>
          <w:rtl/>
        </w:rPr>
        <w:t>יציב המודינאמית</w:t>
      </w:r>
      <w:r w:rsidRPr="00987F99">
        <w:rPr>
          <w:rFonts w:ascii="David" w:eastAsia="Calibri" w:hAnsi="David"/>
          <w:b/>
          <w:bCs/>
          <w:rtl/>
        </w:rPr>
        <w:t xml:space="preserve">... כמו כן </w:t>
      </w:r>
      <w:r w:rsidRPr="00987F99">
        <w:rPr>
          <w:rFonts w:ascii="David" w:eastAsia="Calibri" w:hAnsi="David"/>
          <w:b/>
          <w:bCs/>
          <w:u w:val="single"/>
          <w:rtl/>
        </w:rPr>
        <w:t>חמצת נשימתית והיפוקסיה</w:t>
      </w:r>
      <w:r w:rsidRPr="00987F99">
        <w:rPr>
          <w:rFonts w:ascii="David" w:eastAsia="Calibri" w:hAnsi="David"/>
          <w:b/>
          <w:bCs/>
          <w:rtl/>
        </w:rPr>
        <w:t>...</w:t>
      </w:r>
      <w:r w:rsidRPr="00987F99">
        <w:rPr>
          <w:rFonts w:ascii="David" w:eastAsia="Calibri" w:hAnsi="David"/>
          <w:rtl/>
        </w:rPr>
        <w:t>". עוד מפורט במהלך הקבלה ליחידה כי מדובר במי שנמצא ב - "</w:t>
      </w:r>
      <w:r w:rsidRPr="00987F99">
        <w:rPr>
          <w:rFonts w:ascii="David" w:eastAsia="Calibri" w:hAnsi="David"/>
          <w:b/>
          <w:bCs/>
          <w:rtl/>
        </w:rPr>
        <w:t>מצב בסיסי סיעודי, כמו כן בהגיעו מונשם וחסר הכרה</w:t>
      </w:r>
      <w:r w:rsidRPr="00987F99">
        <w:rPr>
          <w:rFonts w:ascii="David" w:eastAsia="Calibri" w:hAnsi="David"/>
          <w:rtl/>
        </w:rPr>
        <w:t>"; "</w:t>
      </w:r>
      <w:r w:rsidRPr="00987F99">
        <w:rPr>
          <w:rFonts w:ascii="David" w:eastAsia="Calibri" w:hAnsi="David"/>
          <w:b/>
          <w:bCs/>
          <w:rtl/>
        </w:rPr>
        <w:t xml:space="preserve">התקבל ליחידה במצב של </w:t>
      </w:r>
      <w:r w:rsidRPr="00987F99">
        <w:rPr>
          <w:rFonts w:ascii="David" w:eastAsia="Calibri" w:hAnsi="David"/>
          <w:b/>
          <w:bCs/>
          <w:u w:val="single"/>
          <w:rtl/>
        </w:rPr>
        <w:t>כשל נשימתי ושוק</w:t>
      </w:r>
      <w:r w:rsidRPr="00987F99">
        <w:rPr>
          <w:rFonts w:ascii="David" w:eastAsia="Calibri" w:hAnsi="David"/>
          <w:rtl/>
        </w:rPr>
        <w:t xml:space="preserve">". </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בתיעוד הביקור הרפואי לפני האחרון שנערך ל</w:t>
      </w:r>
      <w:r w:rsidR="00CC6733">
        <w:rPr>
          <w:rFonts w:ascii="David" w:eastAsia="Calibri" w:hAnsi="David"/>
          <w:rtl/>
        </w:rPr>
        <w:t>ת.מ</w:t>
      </w:r>
      <w:r w:rsidRPr="00987F99">
        <w:rPr>
          <w:rFonts w:ascii="David" w:eastAsia="Calibri" w:hAnsi="David"/>
          <w:rtl/>
        </w:rPr>
        <w:t xml:space="preserve"> סמוך לפני פטירתו (תיעוד 8 מיום 20.02.20 שעה 10:49) עולה כי </w:t>
      </w:r>
      <w:r w:rsidR="00CC6733">
        <w:rPr>
          <w:rFonts w:ascii="David" w:eastAsia="Calibri" w:hAnsi="David"/>
          <w:rtl/>
        </w:rPr>
        <w:t>ת.מ</w:t>
      </w:r>
      <w:r w:rsidRPr="00987F99">
        <w:rPr>
          <w:rFonts w:ascii="David" w:eastAsia="Calibri" w:hAnsi="David"/>
          <w:rtl/>
        </w:rPr>
        <w:t xml:space="preserve"> סבל מאותן מצוקות רפואיות אקוטיות בגינן מלכתחילה הובהל לטיפול נמרץ: "</w:t>
      </w:r>
      <w:r w:rsidRPr="00987F99">
        <w:rPr>
          <w:rFonts w:ascii="David" w:eastAsia="Calibri" w:hAnsi="David"/>
          <w:b/>
          <w:bCs/>
          <w:rtl/>
        </w:rPr>
        <w:t>...</w:t>
      </w:r>
      <w:r w:rsidRPr="00987F99">
        <w:rPr>
          <w:rFonts w:ascii="David" w:eastAsia="Calibri" w:hAnsi="David"/>
          <w:b/>
          <w:bCs/>
          <w:u w:val="single"/>
          <w:rtl/>
        </w:rPr>
        <w:t xml:space="preserve">נשימתית – כשל חיצוני מוסיף להיות משמעותי... </w:t>
      </w:r>
      <w:r w:rsidRPr="00987F99">
        <w:rPr>
          <w:rFonts w:ascii="David" w:eastAsia="Calibri" w:hAnsi="David"/>
          <w:b/>
          <w:bCs/>
          <w:rtl/>
        </w:rPr>
        <w:t xml:space="preserve">נזמין </w:t>
      </w:r>
      <w:r w:rsidRPr="00987F99">
        <w:rPr>
          <w:rFonts w:ascii="David" w:eastAsia="Calibri" w:hAnsi="David"/>
          <w:b/>
          <w:bCs/>
          <w:sz w:val="20"/>
          <w:szCs w:val="20"/>
        </w:rPr>
        <w:t>CT</w:t>
      </w:r>
      <w:r w:rsidRPr="00987F99">
        <w:rPr>
          <w:rFonts w:ascii="David" w:eastAsia="Calibri" w:hAnsi="David"/>
          <w:b/>
          <w:bCs/>
          <w:rtl/>
        </w:rPr>
        <w:t xml:space="preserve"> חזה </w:t>
      </w:r>
      <w:r w:rsidRPr="00987F99">
        <w:rPr>
          <w:rFonts w:ascii="David" w:eastAsia="Calibri" w:hAnsi="David"/>
          <w:b/>
          <w:bCs/>
          <w:u w:val="single"/>
          <w:rtl/>
        </w:rPr>
        <w:t xml:space="preserve">בשאלה של </w:t>
      </w:r>
      <w:r w:rsidRPr="00987F99">
        <w:rPr>
          <w:rFonts w:ascii="David" w:eastAsia="Calibri" w:hAnsi="David"/>
          <w:b/>
          <w:bCs/>
          <w:sz w:val="20"/>
          <w:szCs w:val="20"/>
          <w:u w:val="single"/>
        </w:rPr>
        <w:t>ARDS</w:t>
      </w:r>
      <w:r w:rsidRPr="00987F99">
        <w:rPr>
          <w:rFonts w:ascii="David" w:eastAsia="Calibri" w:hAnsi="David"/>
          <w:b/>
          <w:bCs/>
          <w:u w:val="single"/>
          <w:rtl/>
        </w:rPr>
        <w:t xml:space="preserve"> לבד</w:t>
      </w:r>
      <w:r w:rsidRPr="00987F99">
        <w:rPr>
          <w:rFonts w:ascii="David" w:eastAsia="Calibri" w:hAnsi="David"/>
          <w:b/>
          <w:bCs/>
          <w:rtl/>
        </w:rPr>
        <w:t xml:space="preserve"> או תהליך נוסף... נשלים סי טי בטן-אגן בשאלה של מקור בטני – פרפורציה או תהליך אחר </w:t>
      </w:r>
      <w:r w:rsidRPr="00987F99">
        <w:rPr>
          <w:rFonts w:ascii="David" w:eastAsia="Calibri" w:hAnsi="David"/>
          <w:b/>
          <w:bCs/>
          <w:u w:val="single"/>
          <w:rtl/>
        </w:rPr>
        <w:t>שגרם להתדרדרות ההמודינאמית שטרם חלפה</w:t>
      </w:r>
      <w:r w:rsidRPr="00987F99">
        <w:rPr>
          <w:rFonts w:ascii="David" w:eastAsia="Calibri" w:hAnsi="David"/>
          <w:rtl/>
        </w:rPr>
        <w:t xml:space="preserve">". בביקור האחרון, "תיעוד 9", מיום 20.2.20, שעה 20:08, כבר אין התייחסות למצב הרפואי למעט שיחה עם אשתו של </w:t>
      </w:r>
      <w:r w:rsidR="00CC6733">
        <w:rPr>
          <w:rFonts w:ascii="David" w:eastAsia="Calibri" w:hAnsi="David"/>
          <w:rtl/>
        </w:rPr>
        <w:t>ת.מ</w:t>
      </w:r>
      <w:r w:rsidRPr="00987F99">
        <w:rPr>
          <w:rFonts w:ascii="David" w:eastAsia="Calibri" w:hAnsi="David"/>
          <w:rtl/>
        </w:rPr>
        <w:t xml:space="preserve"> בדבר מצבו הקשה. </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 xml:space="preserve">אמנם מצוין ב"תיעוד 4" ו-"תיעוד 5" שיפור במצבו של </w:t>
      </w:r>
      <w:r w:rsidR="00CC6733">
        <w:rPr>
          <w:rFonts w:ascii="David" w:eastAsia="Calibri" w:hAnsi="David"/>
          <w:rtl/>
        </w:rPr>
        <w:t>ת.מ</w:t>
      </w:r>
      <w:r w:rsidRPr="00987F99">
        <w:rPr>
          <w:rFonts w:ascii="David" w:eastAsia="Calibri" w:hAnsi="David"/>
          <w:rtl/>
        </w:rPr>
        <w:t xml:space="preserve">, אולם כפי הנלמד, מדובר ב"שיפור איטי" (ר' תיעוד 6) ובכל מקרה, זה כפי הנלמד נוגע למדדים שנלקחו ממנו (בכללם רמת החמצון) שלא היה בהם כדי לשנות מתמונת מצבו הרפואי הקשה. </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 xml:space="preserve">כאן המקום להזכיר כי אין טענה לטיפול רפואי מוטעה שלא בתום לב. </w:t>
      </w:r>
      <w:r w:rsidR="00CC6733">
        <w:rPr>
          <w:rFonts w:ascii="David" w:eastAsia="Calibri" w:hAnsi="David"/>
          <w:rtl/>
        </w:rPr>
        <w:t>ת.מ</w:t>
      </w:r>
      <w:r w:rsidRPr="00987F99">
        <w:rPr>
          <w:rFonts w:ascii="David" w:eastAsia="Calibri" w:hAnsi="David"/>
          <w:rtl/>
        </w:rPr>
        <w:t xml:space="preserve"> אושפז במחלקה לטיפול נמרץ בשל כשל נשימתי כתוצאה מאספירציה (אותה לא הצליח לסלק הגם שהוא אדם צעיר בגיל נוכח פגיעת הראש), כשהוא סובל מחוסר יציבות המודינאמית. סמוך לפני מותו ביום 20.02.20, </w:t>
      </w:r>
      <w:r w:rsidR="00CC6733">
        <w:rPr>
          <w:rFonts w:ascii="David" w:eastAsia="Calibri" w:hAnsi="David"/>
          <w:rtl/>
        </w:rPr>
        <w:t>ת.מ</w:t>
      </w:r>
      <w:r w:rsidRPr="00987F99">
        <w:rPr>
          <w:rFonts w:ascii="David" w:eastAsia="Calibri" w:hAnsi="David"/>
          <w:rtl/>
        </w:rPr>
        <w:t xml:space="preserve"> עדיין סבל מכשל נשימתי והתדרדרות המודינאמית. כשזו תמונת הדברים, מסקנתו של המומחה בעינה עומדת הן ביחס לקשר הסיבתי והן ביחס לסיבת המוות. </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 xml:space="preserve">ביחס לעובדה שבבדיקת אף נמצא אצל המנוח חיידק מסוג </w:t>
      </w:r>
      <w:r w:rsidRPr="00987F99">
        <w:rPr>
          <w:rFonts w:ascii="David" w:eastAsia="Calibri" w:hAnsi="David"/>
          <w:sz w:val="20"/>
          <w:szCs w:val="20"/>
        </w:rPr>
        <w:t>MRSA</w:t>
      </w:r>
      <w:r w:rsidRPr="00987F99">
        <w:rPr>
          <w:rFonts w:ascii="David" w:eastAsia="Calibri" w:hAnsi="David"/>
          <w:rtl/>
        </w:rPr>
        <w:t>, פרופ' מימון הסביר כי מדובר במצב של נשאות שכלל אינו קשור לסיבת המוות: "</w:t>
      </w:r>
      <w:r w:rsidRPr="00987F99">
        <w:rPr>
          <w:rFonts w:ascii="David" w:eastAsia="Calibri" w:hAnsi="David"/>
          <w:b/>
          <w:bCs/>
          <w:rtl/>
        </w:rPr>
        <w:t>אתה בודק את האף אתה מוצא שהבן אדם נשא לחיידק מסוים, זה לא אומר, אין לזה שום משמעות קלינית חוץ מזה שאתה נשא של החיידק</w:t>
      </w:r>
      <w:r w:rsidRPr="00987F99">
        <w:rPr>
          <w:rFonts w:ascii="David" w:eastAsia="Calibri" w:hAnsi="David"/>
          <w:rtl/>
        </w:rPr>
        <w:t>" (עמ' 47); "</w:t>
      </w:r>
      <w:r w:rsidRPr="00987F99">
        <w:rPr>
          <w:rFonts w:ascii="David" w:eastAsia="Calibri" w:hAnsi="David"/>
          <w:b/>
          <w:bCs/>
          <w:rtl/>
        </w:rPr>
        <w:t xml:space="preserve">זה חלק מהסיקור שהם עושים לחולים שנכנסים אליהם, ויכול להיות שזה חלק מהסיקור </w:t>
      </w:r>
      <w:r w:rsidRPr="00987F99">
        <w:rPr>
          <w:rFonts w:ascii="David" w:eastAsia="Calibri" w:hAnsi="David"/>
          <w:b/>
          <w:bCs/>
          <w:rtl/>
        </w:rPr>
        <w:lastRenderedPageBreak/>
        <w:t>שאנחנו ביצענו בעת שהוא נכנס למחלקה, זה נהלים של בית החולים, נהלי סיקור שמטרתם לייצר בידודים לחולים שהם נשאים לחיידקים ספציפיים</w:t>
      </w:r>
      <w:r w:rsidRPr="00987F99">
        <w:rPr>
          <w:rFonts w:ascii="David" w:eastAsia="Calibri" w:hAnsi="David"/>
          <w:rtl/>
        </w:rPr>
        <w:t xml:space="preserve">" (עמ' 48). הסבר זה של פרופ' מימון תואם את המופיע בת/27 (סיכום אשפוז של </w:t>
      </w:r>
      <w:r w:rsidR="00CC6733">
        <w:rPr>
          <w:rFonts w:ascii="David" w:eastAsia="Calibri" w:hAnsi="David"/>
          <w:rtl/>
        </w:rPr>
        <w:t>ת.מ</w:t>
      </w:r>
      <w:r w:rsidRPr="00987F99">
        <w:rPr>
          <w:rFonts w:ascii="David" w:eastAsia="Calibri" w:hAnsi="David"/>
          <w:rtl/>
        </w:rPr>
        <w:t xml:space="preserve"> מיום 4.5.18) שבו מצוין כי הוא נשא של חיידק עמיד מסוג </w:t>
      </w:r>
      <w:r w:rsidRPr="00987F99">
        <w:rPr>
          <w:rFonts w:ascii="David" w:eastAsia="Calibri" w:hAnsi="David"/>
          <w:sz w:val="20"/>
          <w:szCs w:val="20"/>
        </w:rPr>
        <w:t>MRSA</w:t>
      </w:r>
      <w:r w:rsidRPr="00987F99">
        <w:rPr>
          <w:rFonts w:ascii="David" w:eastAsia="Calibri" w:hAnsi="David"/>
          <w:rtl/>
        </w:rPr>
        <w:t xml:space="preserve"> עפ"י דגימה שנלקחה ממנו ביום 31.10.17. ממצא זה נמצא תחת הכותרת "מחלות מדבקות וחיידקים עמידים". </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 xml:space="preserve">לא מצאנו בעובדה שפרופ' מימון היה מנהל המחלקה בה טופל </w:t>
      </w:r>
      <w:r w:rsidR="008E5FF0">
        <w:rPr>
          <w:rFonts w:ascii="David" w:eastAsia="Calibri" w:hAnsi="David"/>
          <w:rtl/>
        </w:rPr>
        <w:t>המנוח</w:t>
      </w:r>
      <w:r w:rsidRPr="00987F99">
        <w:rPr>
          <w:rFonts w:ascii="David" w:eastAsia="Calibri" w:hAnsi="David"/>
          <w:rtl/>
        </w:rPr>
        <w:t xml:space="preserve">, כמו גם בהיכרות שהייתה לו עם משפחתו של </w:t>
      </w:r>
      <w:r w:rsidR="008E5FF0">
        <w:rPr>
          <w:rFonts w:ascii="David" w:eastAsia="Calibri" w:hAnsi="David"/>
          <w:rtl/>
        </w:rPr>
        <w:t>המנוח</w:t>
      </w:r>
      <w:r w:rsidRPr="00987F99">
        <w:rPr>
          <w:rFonts w:ascii="David" w:eastAsia="Calibri" w:hAnsi="David"/>
          <w:rtl/>
        </w:rPr>
        <w:t xml:space="preserve">, ככזו הפוסלת אותו מלשמש כעד מומחה. זהו נתון שעל בית המשפט לשים לנגד עיניו ולקחתו בחשבון ואולם, אין בו ללמד כי מלכתחילה מעיד בפני בית המשפט עד שאינו אובייקטיבי ועל בית המשפט לפסול את ממצאיו אך בשל כך. מלכתחילה, הקשר בין פרופ' מימון למשפחתו של </w:t>
      </w:r>
      <w:r w:rsidR="008E5FF0">
        <w:rPr>
          <w:rFonts w:ascii="David" w:eastAsia="Calibri" w:hAnsi="David"/>
          <w:rtl/>
        </w:rPr>
        <w:t>המנוח</w:t>
      </w:r>
      <w:r w:rsidRPr="00987F99">
        <w:rPr>
          <w:rFonts w:ascii="David" w:eastAsia="Calibri" w:hAnsi="David"/>
          <w:rtl/>
        </w:rPr>
        <w:t xml:space="preserve"> נרקם בזיקה להיותו הרופא המטפל ולא בהקשר אחר. בנוסף, כפי שציינו בפתח פרק זה, הידיעה האישית של פרופ' מימון בדבר טיב חבלתו של </w:t>
      </w:r>
      <w:r w:rsidR="008E5FF0">
        <w:rPr>
          <w:rFonts w:ascii="David" w:eastAsia="Calibri" w:hAnsi="David"/>
          <w:rtl/>
        </w:rPr>
        <w:t>המנוח</w:t>
      </w:r>
      <w:r w:rsidRPr="00987F99">
        <w:rPr>
          <w:rFonts w:ascii="David" w:eastAsia="Calibri" w:hAnsi="David"/>
          <w:rtl/>
        </w:rPr>
        <w:t xml:space="preserve">, הטיפול שניתן לו כמו גם העדות מכלי ראשון לגבי אותה אספירציה מסיבית שהביאה את </w:t>
      </w:r>
      <w:r w:rsidR="008E5FF0">
        <w:rPr>
          <w:rFonts w:ascii="David" w:eastAsia="Calibri" w:hAnsi="David"/>
          <w:rtl/>
        </w:rPr>
        <w:t>המנוח</w:t>
      </w:r>
      <w:r w:rsidRPr="00987F99">
        <w:rPr>
          <w:rFonts w:ascii="David" w:eastAsia="Calibri" w:hAnsi="David"/>
          <w:rtl/>
        </w:rPr>
        <w:t xml:space="preserve"> למצב של כשל נשימתי, הנה בבחינת יתרון משמעותי ולא חיסרון. יתרה מכך, קבלת טענה מעין זו תביא למצב אבסורדי שבו כל אימת שרופא יתבקש להעיד לגבי טיב טיפול שהעניק לחולה, עדותו תפסל באופן אוטומטי או תיחשד ככזו שמוטה אינהרנטית לצד מסוים. נזכיר כי לא נטען וממילא גם לא הובאה ראשית ראייה לגבי פגם שנפל בטיפול שהוענק ל</w:t>
      </w:r>
      <w:r w:rsidR="008E5FF0">
        <w:rPr>
          <w:rFonts w:ascii="David" w:eastAsia="Calibri" w:hAnsi="David"/>
          <w:rtl/>
        </w:rPr>
        <w:t>המנוח</w:t>
      </w:r>
      <w:r w:rsidRPr="00987F99">
        <w:rPr>
          <w:rFonts w:ascii="David" w:eastAsia="Calibri" w:hAnsi="David"/>
          <w:rtl/>
        </w:rPr>
        <w:t xml:space="preserve"> באופן שיביא את המומחה להטות את מסקנותיו אך בשל כך. לא למיותר להוסיף כי המומחה לא הסתיר ולא הצטדק בנוגע לקשר שנרקם בינו לבין </w:t>
      </w:r>
      <w:r w:rsidR="008E5FF0">
        <w:rPr>
          <w:rFonts w:ascii="David" w:eastAsia="Calibri" w:hAnsi="David"/>
          <w:rtl/>
        </w:rPr>
        <w:t>המנוח</w:t>
      </w:r>
      <w:r w:rsidRPr="00987F99">
        <w:rPr>
          <w:rFonts w:ascii="David" w:eastAsia="Calibri" w:hAnsi="David"/>
          <w:rtl/>
        </w:rPr>
        <w:t xml:space="preserve"> ומשפחתו עם השנים. נתון זה נפרש בפני בית המשפט מיוזמתו ומתיישב עם הרושם הכללי החיובי החולש על מכלול עדותו. </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מעבר לכל אלה, חוות דעתו של פרופ' מימון מתיישבת גם עם הנתונים הבאים שאינם שנויים במחלוקת, עומדים בפני עצמם, ומשתלבים היטב על בסיס מבחני היגי</w:t>
      </w:r>
      <w:r w:rsidR="008E5FF0">
        <w:rPr>
          <w:rFonts w:ascii="David" w:eastAsia="Calibri" w:hAnsi="David"/>
          <w:rtl/>
        </w:rPr>
        <w:t>ון ושכל ישר עם המסקנה אליה הגיע</w:t>
      </w:r>
      <w:r w:rsidRPr="00987F99">
        <w:rPr>
          <w:rFonts w:ascii="David" w:eastAsia="Calibri" w:hAnsi="David"/>
          <w:rtl/>
        </w:rPr>
        <w:t xml:space="preserve">. ובמה דברים אמורים.  </w:t>
      </w:r>
    </w:p>
    <w:p w:rsidR="00987F99" w:rsidRPr="00987F99" w:rsidRDefault="008E5FF0" w:rsidP="00987F99">
      <w:pPr>
        <w:numPr>
          <w:ilvl w:val="0"/>
          <w:numId w:val="10"/>
        </w:numPr>
        <w:spacing w:before="120" w:after="120" w:line="360" w:lineRule="auto"/>
        <w:contextualSpacing/>
        <w:jc w:val="both"/>
        <w:rPr>
          <w:rFonts w:ascii="David" w:eastAsia="Calibri" w:hAnsi="David"/>
          <w:rtl/>
        </w:rPr>
      </w:pPr>
      <w:r>
        <w:rPr>
          <w:rFonts w:ascii="David" w:eastAsia="Calibri" w:hAnsi="David"/>
          <w:rtl/>
        </w:rPr>
        <w:t>המנוח</w:t>
      </w:r>
      <w:r w:rsidR="00987F99" w:rsidRPr="00987F99">
        <w:rPr>
          <w:rFonts w:ascii="David" w:eastAsia="Calibri" w:hAnsi="David"/>
          <w:rtl/>
        </w:rPr>
        <w:t xml:space="preserve"> היה בן 39 בעת שנורה בראשו.</w:t>
      </w:r>
    </w:p>
    <w:p w:rsidR="00987F99" w:rsidRPr="00987F99" w:rsidRDefault="00987F99" w:rsidP="00987F99">
      <w:pPr>
        <w:numPr>
          <w:ilvl w:val="0"/>
          <w:numId w:val="10"/>
        </w:numPr>
        <w:spacing w:before="120" w:after="120" w:line="360" w:lineRule="auto"/>
        <w:contextualSpacing/>
        <w:jc w:val="both"/>
        <w:rPr>
          <w:rFonts w:ascii="David" w:eastAsia="Calibri" w:hAnsi="David"/>
          <w:rtl/>
        </w:rPr>
      </w:pPr>
      <w:r w:rsidRPr="00987F99">
        <w:rPr>
          <w:rFonts w:ascii="David" w:eastAsia="Calibri" w:hAnsi="David"/>
          <w:rtl/>
        </w:rPr>
        <w:t xml:space="preserve">עד לרגע בו נורה, </w:t>
      </w:r>
      <w:r w:rsidR="008E5FF0">
        <w:rPr>
          <w:rFonts w:ascii="David" w:eastAsia="Calibri" w:hAnsi="David"/>
          <w:rtl/>
        </w:rPr>
        <w:t>המנוח</w:t>
      </w:r>
      <w:r w:rsidRPr="00987F99">
        <w:rPr>
          <w:rFonts w:ascii="David" w:eastAsia="Calibri" w:hAnsi="David"/>
          <w:rtl/>
        </w:rPr>
        <w:t xml:space="preserve"> היה אדם בריא שלא סבל ממחלות כרוניות או ממחלות בכלל. אדרבא, אשתו תיארה אותו כספורטאי, פעיל, אדם חזק "לא ביקר במרפאה מעולם, אולי פעם אחת הייתה לו דלקת גרון...".</w:t>
      </w:r>
      <w:r w:rsidRPr="00987F99">
        <w:rPr>
          <w:rFonts w:ascii="David" w:eastAsia="Calibri" w:hAnsi="David"/>
        </w:rPr>
        <w:t xml:space="preserve"> </w:t>
      </w:r>
    </w:p>
    <w:p w:rsidR="00987F99" w:rsidRPr="00987F99" w:rsidRDefault="00987F99" w:rsidP="00987F99">
      <w:pPr>
        <w:numPr>
          <w:ilvl w:val="0"/>
          <w:numId w:val="10"/>
        </w:numPr>
        <w:spacing w:before="120" w:after="120" w:line="360" w:lineRule="auto"/>
        <w:contextualSpacing/>
        <w:jc w:val="both"/>
        <w:rPr>
          <w:rFonts w:ascii="David" w:eastAsia="Calibri" w:hAnsi="David"/>
        </w:rPr>
      </w:pPr>
      <w:r w:rsidRPr="00987F99">
        <w:rPr>
          <w:rFonts w:ascii="David" w:eastAsia="Calibri" w:hAnsi="David"/>
          <w:rtl/>
        </w:rPr>
        <w:t>חבלת הראש שנגרמה ל</w:t>
      </w:r>
      <w:r w:rsidR="008E5FF0">
        <w:rPr>
          <w:rFonts w:ascii="David" w:eastAsia="Calibri" w:hAnsi="David"/>
          <w:rtl/>
        </w:rPr>
        <w:t>מנוח</w:t>
      </w:r>
      <w:r w:rsidRPr="00987F99">
        <w:rPr>
          <w:rFonts w:ascii="David" w:eastAsia="Calibri" w:hAnsi="David"/>
          <w:rtl/>
        </w:rPr>
        <w:t xml:space="preserve"> כתוצאה מהירי בראשו הייתה חבלה קשה שהסבה לו נזק קשה ביותר. </w:t>
      </w:r>
    </w:p>
    <w:p w:rsidR="00987F99" w:rsidRPr="00987F99" w:rsidRDefault="00987F99" w:rsidP="00987F99">
      <w:pPr>
        <w:numPr>
          <w:ilvl w:val="0"/>
          <w:numId w:val="10"/>
        </w:numPr>
        <w:spacing w:before="120" w:after="120" w:line="360" w:lineRule="auto"/>
        <w:contextualSpacing/>
        <w:jc w:val="both"/>
        <w:rPr>
          <w:rFonts w:ascii="David" w:eastAsia="Calibri" w:hAnsi="David"/>
          <w:rtl/>
        </w:rPr>
      </w:pPr>
      <w:r w:rsidRPr="00987F99">
        <w:rPr>
          <w:rFonts w:ascii="David" w:eastAsia="Calibri" w:hAnsi="David"/>
          <w:rtl/>
        </w:rPr>
        <w:t xml:space="preserve">גם אם חייו של </w:t>
      </w:r>
      <w:r w:rsidR="00CC6733">
        <w:rPr>
          <w:rFonts w:ascii="David" w:eastAsia="Calibri" w:hAnsi="David"/>
          <w:rtl/>
        </w:rPr>
        <w:t>ת.מ</w:t>
      </w:r>
      <w:r w:rsidRPr="00987F99">
        <w:rPr>
          <w:rFonts w:ascii="David" w:eastAsia="Calibri" w:hAnsi="David"/>
          <w:rtl/>
        </w:rPr>
        <w:t xml:space="preserve"> בסופם של דברים ניצלו, בפועל חבלת הראש הביאה לכך שהוא סבל ממומים קשים. </w:t>
      </w:r>
      <w:r w:rsidR="00CC6733">
        <w:rPr>
          <w:rFonts w:ascii="David" w:eastAsia="Calibri" w:hAnsi="David"/>
          <w:rtl/>
        </w:rPr>
        <w:t>ת.מ</w:t>
      </w:r>
      <w:r w:rsidRPr="00987F99">
        <w:rPr>
          <w:rFonts w:ascii="David" w:eastAsia="Calibri" w:hAnsi="David"/>
          <w:rtl/>
        </w:rPr>
        <w:t xml:space="preserve"> הפך, בעקבות פגיעת הירי בראשו, הלכה למעשה לאדם סיעודי התלוי לחלוטין בסביבתו. </w:t>
      </w:r>
      <w:r w:rsidR="00CC6733">
        <w:rPr>
          <w:rFonts w:ascii="David" w:eastAsia="Calibri" w:hAnsi="David"/>
          <w:rtl/>
        </w:rPr>
        <w:t>ת.מ</w:t>
      </w:r>
      <w:r w:rsidRPr="00987F99">
        <w:rPr>
          <w:rFonts w:ascii="David" w:eastAsia="Calibri" w:hAnsi="David"/>
          <w:rtl/>
        </w:rPr>
        <w:t xml:space="preserve"> היה מרותק למיטתו, סבל מעיוורון, הוא לא יכול היה לשלוט באופן </w:t>
      </w:r>
      <w:r w:rsidRPr="00987F99">
        <w:rPr>
          <w:rFonts w:ascii="David" w:eastAsia="Calibri" w:hAnsi="David"/>
          <w:rtl/>
        </w:rPr>
        <w:lastRenderedPageBreak/>
        <w:t xml:space="preserve">עצמאי בדרכי הנשימה העליונות ולכן נפתח לו קנה ישיר בגרונו לצורך ביצוע סקשיין וניקוי ההפרשות. ההזנה שלו נעשתה באמצעות פג, היינו באמצעות צינורית שאליה היה מוכנס האוכל בצורה גושית או נוזלית (ור' הפירוט בתיעוד הרפואי בת/21-ת/28). </w:t>
      </w:r>
    </w:p>
    <w:p w:rsidR="00987F99" w:rsidRPr="00987F99" w:rsidRDefault="00987F99" w:rsidP="00987F99">
      <w:pPr>
        <w:numPr>
          <w:ilvl w:val="0"/>
          <w:numId w:val="10"/>
        </w:numPr>
        <w:spacing w:before="120" w:after="120" w:line="360" w:lineRule="auto"/>
        <w:contextualSpacing/>
        <w:jc w:val="both"/>
        <w:rPr>
          <w:rFonts w:ascii="David" w:eastAsia="Calibri" w:hAnsi="David"/>
          <w:rtl/>
        </w:rPr>
      </w:pPr>
      <w:r w:rsidRPr="00987F99">
        <w:rPr>
          <w:rFonts w:ascii="David" w:eastAsia="Calibri" w:hAnsi="David"/>
          <w:rtl/>
        </w:rPr>
        <w:t xml:space="preserve">גם אם הייתה הטבה מסוימת במצבו של </w:t>
      </w:r>
      <w:r w:rsidR="00CC6733">
        <w:rPr>
          <w:rFonts w:ascii="David" w:eastAsia="Calibri" w:hAnsi="David"/>
          <w:rtl/>
        </w:rPr>
        <w:t>ת.מ</w:t>
      </w:r>
      <w:r w:rsidRPr="00987F99">
        <w:rPr>
          <w:rFonts w:ascii="David" w:eastAsia="Calibri" w:hAnsi="David"/>
          <w:rtl/>
        </w:rPr>
        <w:t xml:space="preserve"> במהלך השנים, הרי שזו הייתה ב"שולי הדברים", ולא היה בה כלל לשנות מהותית ממצבו הסיעודי הקשה, בדגש על אותם פרמטרים הנוגעים למנגנון המוות המתואר, היינו שכיבה תמידית, נשימה דרך קנה הנשימה, קושי לשלוט בדרכי האוויר לצד קיומן של אספירציות חוזרות בשל השכיבה הממושכת ופגיעת הראש. </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 xml:space="preserve">נדמה כי יותר משיש לתהות על הקשר הסיבתי בין הירייה בראשו למותו, יש "להעלות על נס" את הטיפול המסור אותו קיבל בבית החולים ובעיקר בביתו על ידי אשתו שהצליחו להותירו בחיים חרף הפגיעה הקשה ממנה סבל פרק זמן כה ממושך. טיפול זה היה בבחינת דחיית מותו מהפציעה. </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 xml:space="preserve">לסיום פרק זה ולאו דווקא על פי סדר החשיבות, נציין כי אמנם אין חובה מצד ההגנה להגיש חוות דעת נגדית מקום בו מוגשת חוות דעת מומחה מטעם התביעה. במקרה שכזה, הדרך לפגום במשקלה של חוות דעת היא באמצעות חקירה נגדית שתקעקע את המסקנה אליה הגיע המומחה ובכך, תביא למסקנה כי המאשימה לא עמדה בנטל הרובץ לפתחה להוכחת הקשר הסיבתי. כך גם נהגה ההגנה בתיק שלפנינו. </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 xml:space="preserve">אף שדרך התנהלות מעין זו אפשרית, נדמה כי בשעה שמדובר בעניינים אשר מצריכים מומחיות, נכון היה להיעזר בחוות דעת מומחה שיהיה בה משום משקל נגד לחוות דעתו המקצועית והחד משמעית של פרופ' מימון. יפים לענייננו דברי בית המשפט העליון </w:t>
      </w:r>
      <w:r w:rsidRPr="00987F99">
        <w:rPr>
          <w:rFonts w:ascii="Arial" w:eastAsia="David" w:hAnsi="Arial"/>
          <w:rtl/>
        </w:rPr>
        <w:t xml:space="preserve">בדנ"פ 9903/03 </w:t>
      </w:r>
      <w:r w:rsidRPr="00987F99">
        <w:rPr>
          <w:rFonts w:ascii="Arial" w:eastAsia="David" w:hAnsi="Arial"/>
          <w:b/>
          <w:bCs/>
          <w:rtl/>
        </w:rPr>
        <w:t>אבו חמאד נ' מדינת ישראל</w:t>
      </w:r>
      <w:r w:rsidRPr="00987F99">
        <w:rPr>
          <w:rFonts w:ascii="Arial" w:eastAsia="David" w:hAnsi="Arial"/>
          <w:rtl/>
        </w:rPr>
        <w:t xml:space="preserve"> (פורסם באר"ש, 19.12.04) שאף ש</w:t>
      </w:r>
      <w:r w:rsidRPr="00987F99">
        <w:rPr>
          <w:rFonts w:ascii="David" w:eastAsia="Calibri" w:hAnsi="David"/>
          <w:rtl/>
        </w:rPr>
        <w:t>נאמרו ביחס לחוות דעת בתחום ה-</w:t>
      </w:r>
      <w:r w:rsidRPr="00987F99">
        <w:rPr>
          <w:rFonts w:ascii="David" w:eastAsia="Calibri" w:hAnsi="David"/>
          <w:sz w:val="20"/>
          <w:szCs w:val="20"/>
        </w:rPr>
        <w:t>DNA</w:t>
      </w:r>
      <w:r w:rsidRPr="00987F99">
        <w:rPr>
          <w:rFonts w:ascii="David" w:eastAsia="Calibri" w:hAnsi="David"/>
          <w:rtl/>
        </w:rPr>
        <w:t xml:space="preserve"> רלוונטיים גם לעניינו:</w:t>
      </w:r>
    </w:p>
    <w:p w:rsidR="00987F99" w:rsidRPr="00987F99" w:rsidRDefault="00987F99" w:rsidP="00987F99">
      <w:pPr>
        <w:ind w:left="510" w:right="426"/>
        <w:jc w:val="both"/>
        <w:rPr>
          <w:rFonts w:ascii="Arial" w:eastAsia="David" w:hAnsi="Arial"/>
          <w:rtl/>
        </w:rPr>
      </w:pPr>
      <w:r w:rsidRPr="00987F99">
        <w:rPr>
          <w:rFonts w:ascii="Arial" w:eastAsia="David" w:hAnsi="Arial"/>
          <w:rtl/>
        </w:rPr>
        <w:t>"...</w:t>
      </w:r>
      <w:r w:rsidRPr="00987F99">
        <w:rPr>
          <w:rFonts w:ascii="Arial" w:eastAsia="David" w:hAnsi="Arial"/>
          <w:b/>
          <w:bCs/>
          <w:rtl/>
        </w:rPr>
        <w:t xml:space="preserve"> מי שהיה סניגורו אמנם חקר את המומחים. עם זאת, בחר שלא להביא מומחה מטעמו ואף ויתר על האפשרות שניתנה לו לערוך בדיקה גנטית עצמאית. כפועל יוצא מכך, לא הועמדה בפני בית-המשפט כל מחלוקת מקצועית שבה היה עליו לפסוק. בנסיבות אלו רשאי היה להניח, כי בהליכי ביצוען של הבדיקות הגנטיות לא נפל פגם וכי ממצאיהן נכונים...</w:t>
      </w:r>
      <w:r w:rsidRPr="00987F99">
        <w:rPr>
          <w:rFonts w:ascii="Arial" w:eastAsia="David" w:hAnsi="Arial"/>
          <w:rtl/>
        </w:rPr>
        <w:t>" (פסקה  9 להחלטתו של כב' הש' מצא).</w:t>
      </w:r>
    </w:p>
    <w:p w:rsidR="00987F99" w:rsidRPr="00987F99" w:rsidRDefault="00987F99" w:rsidP="00987F99">
      <w:pPr>
        <w:spacing w:before="120" w:after="120"/>
        <w:jc w:val="both"/>
        <w:rPr>
          <w:rFonts w:ascii="David" w:eastAsia="Calibri" w:hAnsi="David"/>
          <w:b/>
          <w:bCs/>
          <w:u w:val="single"/>
          <w:rtl/>
        </w:rPr>
      </w:pP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b/>
          <w:bCs/>
          <w:u w:val="single"/>
          <w:rtl/>
        </w:rPr>
        <w:t>לסיכום ביניים:</w:t>
      </w:r>
      <w:r w:rsidRPr="00987F99">
        <w:rPr>
          <w:rFonts w:ascii="David" w:eastAsia="Calibri" w:hAnsi="David"/>
          <w:rtl/>
        </w:rPr>
        <w:t xml:space="preserve"> הוכח בפנינו כי הירייה בראש אותה ירה הנאשם בראשו של </w:t>
      </w:r>
      <w:r w:rsidR="00CC6733">
        <w:rPr>
          <w:rFonts w:ascii="David" w:eastAsia="Calibri" w:hAnsi="David"/>
          <w:rtl/>
        </w:rPr>
        <w:t>ת.מ</w:t>
      </w:r>
      <w:r w:rsidRPr="00987F99">
        <w:rPr>
          <w:rFonts w:ascii="David" w:eastAsia="Calibri" w:hAnsi="David"/>
          <w:rtl/>
        </w:rPr>
        <w:t xml:space="preserve"> היא בבחינת "סיבה מהותית והכרחית, מנקודת ראות פיזית-אובייקטיבית להתרחשות התוצאה"; התנהגותו של הנאשם היוותה "סיבה-בלעדיה-אין למוות" ויש לראותה "בעלת תרומה הכרחית להתרחשות התוצאה הקטלנית כפי שזו ארעה בפועל" (ר' עניין שולמן). </w:t>
      </w:r>
    </w:p>
    <w:p w:rsidR="00CC6733" w:rsidRDefault="00CC6733" w:rsidP="00987F99">
      <w:pPr>
        <w:spacing w:before="120" w:after="120" w:line="360" w:lineRule="auto"/>
        <w:jc w:val="center"/>
        <w:rPr>
          <w:rFonts w:ascii="David" w:eastAsia="Calibri" w:hAnsi="David"/>
          <w:b/>
          <w:bCs/>
          <w:u w:val="single"/>
          <w:rtl/>
        </w:rPr>
      </w:pPr>
    </w:p>
    <w:p w:rsidR="00CC6733" w:rsidRDefault="00CC6733" w:rsidP="00987F99">
      <w:pPr>
        <w:spacing w:before="120" w:after="120" w:line="360" w:lineRule="auto"/>
        <w:jc w:val="center"/>
        <w:rPr>
          <w:rFonts w:ascii="David" w:eastAsia="Calibri" w:hAnsi="David"/>
          <w:b/>
          <w:bCs/>
          <w:u w:val="single"/>
          <w:rtl/>
        </w:rPr>
      </w:pPr>
    </w:p>
    <w:p w:rsidR="00987F99" w:rsidRPr="00987F99" w:rsidRDefault="00987F99" w:rsidP="00987F99">
      <w:pPr>
        <w:spacing w:before="120" w:after="120" w:line="360" w:lineRule="auto"/>
        <w:jc w:val="center"/>
        <w:rPr>
          <w:rFonts w:ascii="David" w:eastAsia="Calibri" w:hAnsi="David"/>
          <w:b/>
          <w:bCs/>
          <w:u w:val="single"/>
          <w:rtl/>
        </w:rPr>
      </w:pPr>
      <w:r w:rsidRPr="00987F99">
        <w:rPr>
          <w:rFonts w:ascii="David" w:eastAsia="Calibri" w:hAnsi="David"/>
          <w:b/>
          <w:bCs/>
          <w:u w:val="single"/>
          <w:rtl/>
        </w:rPr>
        <w:lastRenderedPageBreak/>
        <w:t>קשר סיבתי משפטי:</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בכך שהוכח קיומו של קשר סיבתי עובדתי, אין סגי, שכן יש צורך בהוכחתו של קשר סיבתי משפטי, היינו האם המזיק צפה או שהיה צריך לצפות את תוצאות התנהגותו. בעוד שבחינת הקשר הסיבתי העובדתי הנה מנקודת ראות פיזית, הבחינה של הקשר הסיבתי המשפטי היא נורמטיבית. המבחן אותו יש להחיל להוכחת רכיב זה הנו "מבחן הצפיות", היינו, "</w:t>
      </w:r>
      <w:r w:rsidRPr="00987F99">
        <w:rPr>
          <w:rFonts w:ascii="David" w:eastAsia="Calibri" w:hAnsi="David"/>
          <w:b/>
          <w:bCs/>
          <w:rtl/>
        </w:rPr>
        <w:t xml:space="preserve">די בכך שניתן היה </w:t>
      </w:r>
      <w:r w:rsidRPr="00987F99">
        <w:rPr>
          <w:rFonts w:ascii="David" w:eastAsia="Calibri" w:hAnsi="David"/>
          <w:b/>
          <w:bCs/>
          <w:u w:val="single"/>
          <w:rtl/>
        </w:rPr>
        <w:t>לצפות באורח סביר את התוצאה הקטלנית</w:t>
      </w:r>
      <w:r w:rsidRPr="00987F99">
        <w:rPr>
          <w:rFonts w:ascii="David" w:eastAsia="Calibri" w:hAnsi="David"/>
          <w:b/>
          <w:bCs/>
          <w:rtl/>
        </w:rPr>
        <w:t xml:space="preserve"> </w:t>
      </w:r>
      <w:r w:rsidRPr="00987F99">
        <w:rPr>
          <w:rFonts w:ascii="David" w:eastAsia="Calibri" w:hAnsi="David"/>
          <w:b/>
          <w:bCs/>
          <w:u w:val="single"/>
          <w:rtl/>
        </w:rPr>
        <w:t>ושצריך היה לצפותה</w:t>
      </w:r>
      <w:r w:rsidRPr="00987F99">
        <w:rPr>
          <w:rFonts w:ascii="David" w:eastAsia="Calibri" w:hAnsi="David"/>
          <w:b/>
          <w:bCs/>
          <w:rtl/>
        </w:rPr>
        <w:t xml:space="preserve">. הדרישה לצפיות מופנית לתוצאה הקטלנית, לאו דווקא בדרך המסוימת שאליה התכוון המבצע, </w:t>
      </w:r>
      <w:r w:rsidRPr="00987F99">
        <w:rPr>
          <w:rFonts w:ascii="David" w:eastAsia="Calibri" w:hAnsi="David"/>
          <w:b/>
          <w:bCs/>
          <w:u w:val="single"/>
          <w:rtl/>
        </w:rPr>
        <w:t xml:space="preserve">לכן, גם אם התוצאה </w:t>
      </w:r>
      <w:r w:rsidRPr="00987F99">
        <w:rPr>
          <w:rFonts w:ascii="David" w:eastAsia="Calibri" w:hAnsi="David"/>
          <w:b/>
          <w:bCs/>
          <w:rtl/>
        </w:rPr>
        <w:t>הצפויה התרחשה באופן שונה מהצפוי, אין בכך כדי לנתק את הקשר הסיבתי</w:t>
      </w:r>
      <w:r w:rsidRPr="00987F99">
        <w:rPr>
          <w:rFonts w:ascii="David" w:eastAsia="Calibri" w:hAnsi="David"/>
          <w:rtl/>
        </w:rPr>
        <w:t>" (פס' 4 ל</w:t>
      </w:r>
      <w:r w:rsidRPr="00987F99">
        <w:rPr>
          <w:rFonts w:ascii="David" w:eastAsia="Calibri" w:hAnsi="David"/>
          <w:b/>
          <w:bCs/>
          <w:rtl/>
        </w:rPr>
        <w:t>עניין מייסרה</w:t>
      </w:r>
      <w:r w:rsidRPr="00987F99">
        <w:rPr>
          <w:rFonts w:ascii="David" w:eastAsia="Calibri" w:hAnsi="David"/>
          <w:rtl/>
        </w:rPr>
        <w:t xml:space="preserve">). </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 xml:space="preserve">יישום האמור במבחן זה למקרה שלפנינו נדמה כי אינו מעורר קושי רב, ולא בכדי גם ההגנה כיוונה עיקר טיעוניה לקשר הסיבתי העובדתי ולא לזה המשפטי. אף שכך, ובקצרה, נציין כי ברי לכל בר בי רב, כי מי אשר יורה מטווח קצר ירייה לעבר ראשו של אדם, צריך לצפות כי יגרום לתוצאה קטלנית. לכך יש להוסיף כי היסוד הנפשי הנלווה לעבירת הרצח משקף כוונה של המבצע להתממשות התוצאה. המודעות הסובייקטיבית מביאה לכך שהקשר הסיבתי המשפטי נבלע בתוך היסוד הנפשי של עבירת הרצח. מתוך שכך, לו </w:t>
      </w:r>
      <w:r w:rsidR="00CC6733">
        <w:rPr>
          <w:rFonts w:ascii="David" w:eastAsia="Calibri" w:hAnsi="David"/>
          <w:rtl/>
        </w:rPr>
        <w:t>ת.מ</w:t>
      </w:r>
      <w:r w:rsidRPr="00987F99">
        <w:rPr>
          <w:rFonts w:ascii="David" w:eastAsia="Calibri" w:hAnsi="David"/>
          <w:rtl/>
        </w:rPr>
        <w:t xml:space="preserve"> היה מת באופן מידי לאחר שנורה בראשו, לא הייתה מתעוררת כל שאלה.</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הואיל ובמקרה הנדון חלפה תקופה ממושכת בין הירי למוות, יש לשאול האם הנאשם יכול וצריך היה לצפות כי מעשיו יביאו לכך ש</w:t>
      </w:r>
      <w:r w:rsidR="00CC6733">
        <w:rPr>
          <w:rFonts w:ascii="David" w:eastAsia="Calibri" w:hAnsi="David"/>
          <w:rtl/>
        </w:rPr>
        <w:t>ת.מ</w:t>
      </w:r>
      <w:r w:rsidRPr="00987F99">
        <w:rPr>
          <w:rFonts w:ascii="David" w:eastAsia="Calibri" w:hAnsi="David"/>
          <w:rtl/>
        </w:rPr>
        <w:t xml:space="preserve"> לא ימות באופן מידי אלא בחלוף חמש שנים וכתוצאה מסיבוכים הנובעים ממצבו. </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u w:val="single"/>
          <w:rtl/>
        </w:rPr>
        <w:t>התשובה לכך חיובית</w:t>
      </w:r>
      <w:r w:rsidRPr="00987F99">
        <w:rPr>
          <w:rFonts w:ascii="David" w:eastAsia="Calibri" w:hAnsi="David"/>
          <w:rtl/>
        </w:rPr>
        <w:t>. ונסביר.</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 xml:space="preserve">בהתאם לפסיקה, ניתוק הקשר הסיבתי - משפטי </w:t>
      </w:r>
      <w:r w:rsidRPr="00987F99">
        <w:rPr>
          <w:rFonts w:ascii="David" w:eastAsia="Calibri" w:hAnsi="David"/>
          <w:u w:val="single"/>
          <w:rtl/>
        </w:rPr>
        <w:t>הגם שהתוצאה הקטלנית</w:t>
      </w:r>
      <w:r w:rsidRPr="00987F99">
        <w:rPr>
          <w:rFonts w:ascii="David" w:eastAsia="Calibri" w:hAnsi="David"/>
          <w:rtl/>
        </w:rPr>
        <w:t xml:space="preserve"> הייתה צפויה ייעשה: "</w:t>
      </w:r>
      <w:r w:rsidRPr="00987F99">
        <w:rPr>
          <w:rFonts w:ascii="David" w:eastAsia="Calibri" w:hAnsi="David"/>
          <w:b/>
          <w:bCs/>
          <w:rtl/>
        </w:rPr>
        <w:t xml:space="preserve">רק </w:t>
      </w:r>
      <w:r w:rsidRPr="00987F99">
        <w:rPr>
          <w:rFonts w:ascii="David" w:eastAsia="Calibri" w:hAnsi="David"/>
          <w:b/>
          <w:bCs/>
          <w:u w:val="single"/>
          <w:rtl/>
        </w:rPr>
        <w:t>במקרים נדירים</w:t>
      </w:r>
      <w:r w:rsidRPr="00987F99">
        <w:rPr>
          <w:rFonts w:ascii="David" w:eastAsia="Calibri" w:hAnsi="David"/>
          <w:b/>
          <w:bCs/>
          <w:rtl/>
        </w:rPr>
        <w:t xml:space="preserve"> שהתוצאה המכוונת הושגה בהם בדרך </w:t>
      </w:r>
      <w:r w:rsidRPr="00987F99">
        <w:rPr>
          <w:rFonts w:ascii="David" w:eastAsia="Calibri" w:hAnsi="David"/>
          <w:b/>
          <w:bCs/>
          <w:u w:val="single"/>
          <w:rtl/>
        </w:rPr>
        <w:t>אקראית</w:t>
      </w:r>
      <w:r w:rsidRPr="00987F99">
        <w:rPr>
          <w:rFonts w:ascii="David" w:eastAsia="Calibri" w:hAnsi="David"/>
          <w:b/>
          <w:bCs/>
          <w:rtl/>
        </w:rPr>
        <w:t xml:space="preserve"> </w:t>
      </w:r>
      <w:r w:rsidRPr="00987F99">
        <w:rPr>
          <w:rFonts w:ascii="David" w:eastAsia="Calibri" w:hAnsi="David"/>
          <w:b/>
          <w:bCs/>
          <w:u w:val="single"/>
          <w:rtl/>
        </w:rPr>
        <w:t>ועקיפה ביותר</w:t>
      </w:r>
      <w:r w:rsidRPr="00987F99">
        <w:rPr>
          <w:rFonts w:ascii="David" w:eastAsia="Calibri" w:hAnsi="David"/>
          <w:b/>
          <w:bCs/>
          <w:rtl/>
        </w:rPr>
        <w:t xml:space="preserve">, </w:t>
      </w:r>
      <w:r w:rsidRPr="00987F99">
        <w:rPr>
          <w:rFonts w:ascii="David" w:eastAsia="Calibri" w:hAnsi="David"/>
          <w:b/>
          <w:bCs/>
          <w:u w:val="single"/>
          <w:rtl/>
        </w:rPr>
        <w:t>וקיים פער גדול בין דרך האירוע</w:t>
      </w:r>
      <w:r w:rsidRPr="00987F99">
        <w:rPr>
          <w:rFonts w:ascii="David" w:eastAsia="Calibri" w:hAnsi="David"/>
          <w:b/>
          <w:bCs/>
          <w:rtl/>
        </w:rPr>
        <w:t xml:space="preserve"> – </w:t>
      </w:r>
      <w:r w:rsidRPr="00987F99">
        <w:rPr>
          <w:rFonts w:ascii="David" w:eastAsia="Calibri" w:hAnsi="David"/>
          <w:b/>
          <w:bCs/>
          <w:u w:val="single"/>
          <w:rtl/>
        </w:rPr>
        <w:t>כפי שניתן היה לצפות בעת המעשה</w:t>
      </w:r>
      <w:r w:rsidRPr="00987F99">
        <w:rPr>
          <w:rFonts w:ascii="David" w:eastAsia="Calibri" w:hAnsi="David"/>
          <w:b/>
          <w:bCs/>
          <w:rtl/>
        </w:rPr>
        <w:t xml:space="preserve"> – </w:t>
      </w:r>
      <w:r w:rsidRPr="00987F99">
        <w:rPr>
          <w:rFonts w:ascii="David" w:eastAsia="Calibri" w:hAnsi="David"/>
          <w:b/>
          <w:bCs/>
          <w:u w:val="single"/>
          <w:rtl/>
        </w:rPr>
        <w:t>לבין דרך האירוע שהתרחש בפועל</w:t>
      </w:r>
      <w:r w:rsidRPr="00987F99">
        <w:rPr>
          <w:rFonts w:ascii="David" w:eastAsia="Calibri" w:hAnsi="David"/>
          <w:b/>
          <w:bCs/>
          <w:rtl/>
        </w:rPr>
        <w:t>, יש מקום לדבר על העדר קשר סיבתי</w:t>
      </w:r>
      <w:r w:rsidRPr="00987F99">
        <w:rPr>
          <w:rFonts w:ascii="David" w:eastAsia="Calibri" w:hAnsi="David"/>
          <w:rtl/>
        </w:rPr>
        <w:t xml:space="preserve">" (ר' ע"פ 5870/01 </w:t>
      </w:r>
      <w:r w:rsidRPr="00987F99">
        <w:rPr>
          <w:rFonts w:ascii="David" w:eastAsia="Calibri" w:hAnsi="David"/>
          <w:b/>
          <w:bCs/>
          <w:rtl/>
        </w:rPr>
        <w:t>חסיין נ' מדינת ישראל</w:t>
      </w:r>
      <w:r w:rsidRPr="00987F99">
        <w:rPr>
          <w:rFonts w:ascii="David" w:eastAsia="Calibri" w:hAnsi="David"/>
          <w:rtl/>
        </w:rPr>
        <w:t xml:space="preserve"> [פסקה 22 לפסק דינו של כב' הש' אנגלרד](פורסם בנבו, 2.12.02). </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 xml:space="preserve">איננו סבורים כי הדרך בה מצא </w:t>
      </w:r>
      <w:r w:rsidR="00CC6733">
        <w:rPr>
          <w:rFonts w:ascii="David" w:eastAsia="Calibri" w:hAnsi="David"/>
          <w:rtl/>
        </w:rPr>
        <w:t>ת.מ</w:t>
      </w:r>
      <w:r w:rsidRPr="00987F99">
        <w:rPr>
          <w:rFonts w:ascii="David" w:eastAsia="Calibri" w:hAnsi="David"/>
          <w:rtl/>
        </w:rPr>
        <w:t xml:space="preserve"> את מותו בסופם של דברים הנה "אקראית ועקיפה". אדרבא, האופן שבו מצא </w:t>
      </w:r>
      <w:r w:rsidR="00CC6733">
        <w:rPr>
          <w:rFonts w:ascii="David" w:eastAsia="Calibri" w:hAnsi="David"/>
          <w:rtl/>
        </w:rPr>
        <w:t>ת.מ</w:t>
      </w:r>
      <w:r w:rsidRPr="00987F99">
        <w:rPr>
          <w:rFonts w:ascii="David" w:eastAsia="Calibri" w:hAnsi="David"/>
          <w:rtl/>
        </w:rPr>
        <w:t xml:space="preserve"> את מותו מתיישבת היטב עם החבלה שנגרמה לו. מסקנתנו זו נסמכת על חוות דעתו של פרופ' מימון שתיאר מהלך רפואי שכיח בפציעות מעין אלה, אך לא רק. </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 xml:space="preserve">ירי מטווח קצר בראשו של אדם באמצעות אקדח בקוטר 9 מ"מ, מביא על פי רוב למוות מיידי. גם באותם מקרים בהם הקורבן שורד את הירי, על פי רוב נגרמת לו פגיעה מוחית וחבלת ראש קשה. פגיעה מוחית משמעותה, פגיעה באותם פעולות וויטליות שאותו חלק במוח אחראי עליהם, בין אם מדובר בנשימה, ראיה, תנועה, דיבור ותפקודים קוגניטיביים. לדאבוננו, רבות מאותן פגיעות הנן צמיתות, מביאות לכך שאדם הופך באחת לחולה סיעודי המצוי בשכיבה תמידית ונזקק לתמיכה </w:t>
      </w:r>
      <w:r w:rsidRPr="00987F99">
        <w:rPr>
          <w:rFonts w:ascii="David" w:eastAsia="Calibri" w:hAnsi="David"/>
          <w:rtl/>
        </w:rPr>
        <w:lastRenderedPageBreak/>
        <w:t>חיצונית לביצוע פעולות בסיסיות. היווצרותן של דלקות ריאות חוזרות ונשנות כתוצאה משכיבה ממושכת וקושי לשלוט בדרכי הנשימה הן בבחינת תופעה שכיחה (ור' דוגמאות לכך בפרק הבא של הכרעת הדין).</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 xml:space="preserve">כך גם קרה בעניינו של </w:t>
      </w:r>
      <w:r w:rsidR="00CC6733">
        <w:rPr>
          <w:rFonts w:ascii="David" w:eastAsia="Calibri" w:hAnsi="David"/>
          <w:rtl/>
        </w:rPr>
        <w:t>ת.מ</w:t>
      </w:r>
      <w:r w:rsidRPr="00987F99">
        <w:rPr>
          <w:rFonts w:ascii="David" w:eastAsia="Calibri" w:hAnsi="David"/>
          <w:rtl/>
        </w:rPr>
        <w:t xml:space="preserve"> שגם אם שרד את הירייה בראשו, הוא נותר פצוע קשה, מרותק למיטה, עיוור, נזקק להזנה מלאכותית, ללא יכולת לדבר, נושם דרך קנה נשימה ומתקשה לסלק אספירציות מדרכי הנשימה העליונות. מצב רפואי שכזה בהכרח "מועד לפורענות" ויכול להביא לסיבוכים והתדרדרות במצב הרפואי שאינם נובעים ישירות מן הפגיעה הראשונית אלא מסיבוכים הנובעים מאותה פגיעה. </w:t>
      </w:r>
      <w:r w:rsidR="00CC6733">
        <w:rPr>
          <w:rFonts w:ascii="David" w:eastAsia="Calibri" w:hAnsi="David"/>
          <w:rtl/>
        </w:rPr>
        <w:t>ת.מ</w:t>
      </w:r>
      <w:r w:rsidRPr="00987F99">
        <w:rPr>
          <w:rFonts w:ascii="David" w:eastAsia="Calibri" w:hAnsi="David"/>
          <w:rtl/>
        </w:rPr>
        <w:t xml:space="preserve"> שרד את הירייה, וגם אם מצבו הרפואי לפרקים היה מיוצב, הרי שלא היה בכך כדי לשנות מעצם מצבו הפיזי הרעוע שנותר ככזה עד למותו. </w:t>
      </w:r>
    </w:p>
    <w:p w:rsidR="00987F99" w:rsidRPr="00987F99" w:rsidRDefault="00CC6733" w:rsidP="00987F99">
      <w:pPr>
        <w:spacing w:before="120" w:after="120" w:line="360" w:lineRule="auto"/>
        <w:jc w:val="both"/>
        <w:rPr>
          <w:rFonts w:ascii="David" w:eastAsia="Calibri" w:hAnsi="David"/>
          <w:rtl/>
        </w:rPr>
      </w:pPr>
      <w:r>
        <w:rPr>
          <w:rFonts w:ascii="David" w:eastAsia="Calibri" w:hAnsi="David"/>
          <w:rtl/>
        </w:rPr>
        <w:t>ת.מ</w:t>
      </w:r>
      <w:r w:rsidR="00987F99" w:rsidRPr="00987F99">
        <w:rPr>
          <w:rFonts w:ascii="David" w:eastAsia="Calibri" w:hAnsi="David"/>
          <w:rtl/>
        </w:rPr>
        <w:t xml:space="preserve"> הוחזק בחיים רבות בזכות הטיפול המסור של אשתו והגורמים הרפואיים שטיפלו בו. אלו האריכו את חייו אולם הביאו לכך שסבל רבות. היטיב לנסח זאת פרופ' מימון שבניגוד לכל מהות עבודתו כרופא האמון על הצלת חיים העיד בגילוי לב כי: "</w:t>
      </w:r>
      <w:r w:rsidR="00987F99" w:rsidRPr="00987F99">
        <w:rPr>
          <w:rFonts w:ascii="David" w:eastAsia="Calibri" w:hAnsi="David"/>
          <w:b/>
          <w:bCs/>
          <w:rtl/>
        </w:rPr>
        <w:t>כולנו הצטערנו שהוא לא מת בירי הראשון שהיה, החיים שלו היו חיי סבל נוראיים במשך כל השנים... עד למותו</w:t>
      </w:r>
      <w:r w:rsidR="00987F99" w:rsidRPr="00987F99">
        <w:rPr>
          <w:rFonts w:ascii="David" w:eastAsia="Calibri" w:hAnsi="David"/>
          <w:rtl/>
        </w:rPr>
        <w:t xml:space="preserve">". </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 xml:space="preserve">קביעתנו הנורמטיבית היא כי הנאשם צפה והיה עליו לצפות כי במידה והירייה בראשו של </w:t>
      </w:r>
      <w:r w:rsidR="00CC6733">
        <w:rPr>
          <w:rFonts w:ascii="David" w:eastAsia="Calibri" w:hAnsi="David"/>
          <w:rtl/>
        </w:rPr>
        <w:t>ת.מ</w:t>
      </w:r>
      <w:r w:rsidRPr="00987F99">
        <w:rPr>
          <w:rFonts w:ascii="David" w:eastAsia="Calibri" w:hAnsi="David"/>
          <w:rtl/>
        </w:rPr>
        <w:t xml:space="preserve"> לא תביא למימוש רצונו להביא למותו באופן מידי, תוצאה קטלנית זו תתממש כתוצאה מסיבוכים רפואיים הקשורים לחבלת הראש שנגרמה לו. הנאשם אינו זכאי במקרה הנדון "ליהנות" מכך ש</w:t>
      </w:r>
      <w:r w:rsidR="00CC6733">
        <w:rPr>
          <w:rFonts w:ascii="David" w:eastAsia="Calibri" w:hAnsi="David"/>
          <w:rtl/>
        </w:rPr>
        <w:t>ת.מ</w:t>
      </w:r>
      <w:r w:rsidRPr="00987F99">
        <w:rPr>
          <w:rFonts w:ascii="David" w:eastAsia="Calibri" w:hAnsi="David"/>
          <w:rtl/>
        </w:rPr>
        <w:t xml:space="preserve"> שהיה אדם בריא חסון וגדול, "דבק בחיים" במשך כחמש שנים חרף פציעתו הקשה. </w:t>
      </w:r>
    </w:p>
    <w:p w:rsidR="00987F99" w:rsidRPr="00987F99" w:rsidRDefault="00987F99" w:rsidP="00987F99">
      <w:pPr>
        <w:spacing w:before="120" w:after="120" w:line="360" w:lineRule="auto"/>
        <w:jc w:val="center"/>
        <w:rPr>
          <w:rFonts w:ascii="David" w:eastAsia="Calibri" w:hAnsi="David"/>
          <w:b/>
          <w:bCs/>
          <w:u w:val="single"/>
          <w:rtl/>
        </w:rPr>
      </w:pPr>
      <w:r w:rsidRPr="00987F99">
        <w:rPr>
          <w:rFonts w:ascii="David" w:eastAsia="Calibri" w:hAnsi="David"/>
          <w:b/>
          <w:bCs/>
          <w:u w:val="single"/>
          <w:rtl/>
        </w:rPr>
        <w:t>פסיקה רלוונטית:</w:t>
      </w:r>
    </w:p>
    <w:p w:rsidR="00987F99" w:rsidRPr="00987F99" w:rsidRDefault="00987F99" w:rsidP="00A41D2A">
      <w:pPr>
        <w:spacing w:before="120" w:after="120" w:line="360" w:lineRule="auto"/>
        <w:jc w:val="both"/>
        <w:rPr>
          <w:rFonts w:ascii="David" w:eastAsia="Calibri" w:hAnsi="David"/>
          <w:rtl/>
        </w:rPr>
      </w:pPr>
      <w:r w:rsidRPr="00987F99">
        <w:rPr>
          <w:rFonts w:ascii="David" w:eastAsia="Calibri" w:hAnsi="David"/>
          <w:rtl/>
        </w:rPr>
        <w:t xml:space="preserve">הסיטואציה לה אנו נדרשים (מות קורבן שלא באופן מידי אלא בחלוף תקופה מאז נגרמה הפציעה)  אף שאינה שכיחה, אין לראותה כתקדימית ואף לא חריגה. עיון בפסיקה מלמד כי מקרים דומים, גם אם לא זהים למקרה שבפנינו, נדונו מספר פעמים על ידי בתי המשפט. כפי שיפורט, בחלק לא מבוטל מאותם מקרים דובר על חבלת ראש קשה שכתוצאה ממנה הקורבן הפך סיעודי, היה מרותק כתוצאה מכך חלה בדלקת ריאות שסופה מוות. ונפרט. </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u w:val="single"/>
          <w:rtl/>
        </w:rPr>
        <w:t xml:space="preserve">בע"פ 178/65 </w:t>
      </w:r>
      <w:r w:rsidRPr="00987F99">
        <w:rPr>
          <w:rFonts w:ascii="David" w:eastAsia="Calibri" w:hAnsi="David"/>
          <w:b/>
          <w:bCs/>
          <w:u w:val="single"/>
          <w:rtl/>
        </w:rPr>
        <w:t>חיים אושה נ' היועץ המשפטי לממשלה, פ"ד יט(3) 154</w:t>
      </w:r>
      <w:r w:rsidRPr="00987F99">
        <w:rPr>
          <w:rFonts w:ascii="David" w:eastAsia="Calibri" w:hAnsi="David"/>
          <w:rtl/>
        </w:rPr>
        <w:t>:</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דובר על מערער שהכה את ראשה של אשתו מספר פעמים באמצעות טוריה. אשת המערער לא מתה באופן מיידי, אולם נותרה מחוסרת הכרה ובסופם של דברים, מתה כתוצאה מדלקת ריאות. במסגרת הערעור נטען על ידי ההגנה כי אין קשר סיבתי עובדתי בין החבלה לבין מותה של אשת המערער. בית המשפט העליון דחה טענה זו בציינו: "</w:t>
      </w:r>
      <w:r w:rsidRPr="00987F99">
        <w:rPr>
          <w:rFonts w:ascii="David" w:eastAsia="Calibri" w:hAnsi="David"/>
          <w:b/>
          <w:bCs/>
          <w:rtl/>
        </w:rPr>
        <w:t xml:space="preserve">כך אין ממש בטענתו של ב"כ המערער, כי לא הוכח הקשר הסיבתי בין המהלומות והמוות. המומחה ד"ר מאירסון מחבר חוות הדעת ת/10, כותב בעדותו, כי </w:t>
      </w:r>
      <w:r w:rsidRPr="00987F99">
        <w:rPr>
          <w:rFonts w:ascii="David" w:eastAsia="Calibri" w:hAnsi="David"/>
          <w:b/>
          <w:bCs/>
          <w:u w:val="single"/>
          <w:rtl/>
        </w:rPr>
        <w:t>'המוות נגרם כתוצאה מדלקת ריאות כסיבוך למצב חוסר ההכרה שנגרם על ידי המכות בראש'</w:t>
      </w:r>
      <w:r w:rsidRPr="00987F99">
        <w:rPr>
          <w:rFonts w:ascii="David" w:eastAsia="Calibri" w:hAnsi="David"/>
          <w:b/>
          <w:bCs/>
          <w:rtl/>
        </w:rPr>
        <w:t xml:space="preserve"> והרי </w:t>
      </w:r>
      <w:r w:rsidRPr="00987F99">
        <w:rPr>
          <w:rFonts w:ascii="David" w:eastAsia="Calibri" w:hAnsi="David"/>
          <w:b/>
          <w:bCs/>
          <w:rtl/>
        </w:rPr>
        <w:lastRenderedPageBreak/>
        <w:t>לפנינו השרשרת הסיבתית הקושרת את דבר המוות למכותיו של המערער. כי סעיף 219 של פקודת החוק הפלילי, 1936, מלמדנו כי "שרשרת סיבתית" יכולה להיות מורכבת מכמה וכמה חוליות</w:t>
      </w:r>
      <w:r w:rsidRPr="00987F99">
        <w:rPr>
          <w:rFonts w:ascii="David" w:eastAsia="Calibri" w:hAnsi="David"/>
          <w:rtl/>
        </w:rPr>
        <w:t xml:space="preserve">". </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b/>
          <w:bCs/>
          <w:u w:val="single"/>
          <w:rtl/>
        </w:rPr>
        <w:t>בעניין מייסרה</w:t>
      </w:r>
      <w:r w:rsidRPr="00987F99">
        <w:rPr>
          <w:rFonts w:ascii="David" w:eastAsia="Calibri" w:hAnsi="David"/>
          <w:rtl/>
        </w:rPr>
        <w:t xml:space="preserve">, דובר על מערער שהורשע תחילה, בדומה למקרה שבפנינו, בעבירה של ניסיון רצח.  המערער דקר את אשתו 13 דקירות סכין. בעקבות כך, אשת המערער הופנתה לבית החולים כשהיא מחוסרת הכרה. היא עברה סדרה של ניתוחים וטיפולים אך הכרתה לא שבה אליה והיא נותרה במצב של "צמח". לאחר הרשעתו של המערער וטרם גזירת עונשו, אשת המערער נפטרה. בשל כך, הוגש כתב אישום מתוקן במסגרתו הואשם בעבירה של רצח בכוונה תחילה. </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בדומה למקרה שלנו, נטען להעדרו של קשר סיבתי וזאת בשים לב לכך שהמערער דקר את המנוחה בחודש יוני 2004 בעוד שמותה התרחש עשרה חודשים מאוחר יותר באפריל 2005, כתוצאה מדלקת ריאות חריפה. בית המשפט המחוזי קבע כי קיים קשר סיבתי בהסתמך על חוות הדעת של מומחה התביעה. בית המשפט העליון דחה את הערעור בציינו: "</w:t>
      </w:r>
      <w:r w:rsidRPr="00987F99">
        <w:rPr>
          <w:rFonts w:ascii="David" w:eastAsia="Calibri" w:hAnsi="David"/>
          <w:b/>
          <w:bCs/>
          <w:rtl/>
        </w:rPr>
        <w:t xml:space="preserve">במקרה זה קיים קשר סיבתי עובדתי. מסקנה זו נובעת מחוות דעתו של פרופסור היס. בעדותו הדגיש כי 'הממצא הבולט בניתוח, הייתה </w:t>
      </w:r>
      <w:r w:rsidRPr="00987F99">
        <w:rPr>
          <w:rFonts w:ascii="David" w:eastAsia="Calibri" w:hAnsi="David"/>
          <w:b/>
          <w:bCs/>
          <w:u w:val="single"/>
          <w:rtl/>
        </w:rPr>
        <w:t>דלקת ריאות מוגלתית שאינה מאפשרת נשימה ושגורמת למוות'</w:t>
      </w:r>
      <w:r w:rsidRPr="00987F99">
        <w:rPr>
          <w:rFonts w:ascii="David" w:eastAsia="Calibri" w:hAnsi="David"/>
          <w:b/>
          <w:bCs/>
          <w:rtl/>
        </w:rPr>
        <w:t xml:space="preserve">... נתון זה נבע כאמור משכיבה ממושכת ללא הכרה ומונשמת עם הופעת פצעי לחץ [...] עולה מדברי המומחה כי </w:t>
      </w:r>
      <w:r w:rsidRPr="00987F99">
        <w:rPr>
          <w:rFonts w:ascii="David" w:eastAsia="Calibri" w:hAnsi="David"/>
          <w:b/>
          <w:bCs/>
          <w:u w:val="single"/>
          <w:rtl/>
        </w:rPr>
        <w:t>שכיבתה ללא נוע של המנוחה (שהייתה כאמור במצב של "צמח") והנשמתה החלישו את גופה והגבירו סיכוייה ללקות בדלקת ריאות חריפה ובאי ספיקה נשימתית בעקבותיה, שהובילה למותה</w:t>
      </w:r>
      <w:r w:rsidRPr="00987F99">
        <w:rPr>
          <w:rFonts w:ascii="David" w:eastAsia="Calibri" w:hAnsi="David"/>
          <w:rtl/>
        </w:rPr>
        <w:t xml:space="preserve">" (פסקה 5) </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באשר לקשר הסיבתי משפטי, נקבע על ידי בית המשפט כי:</w:t>
      </w:r>
      <w:r w:rsidRPr="00987F99">
        <w:rPr>
          <w:rFonts w:ascii="David" w:eastAsia="Calibri" w:hAnsi="David"/>
        </w:rPr>
        <w:t xml:space="preserve"> </w:t>
      </w:r>
      <w:r w:rsidRPr="00987F99">
        <w:rPr>
          <w:rFonts w:ascii="David" w:eastAsia="Calibri" w:hAnsi="David"/>
          <w:rtl/>
        </w:rPr>
        <w:t>"</w:t>
      </w:r>
      <w:r w:rsidRPr="00987F99">
        <w:rPr>
          <w:rFonts w:ascii="David" w:eastAsia="Calibri" w:hAnsi="David"/>
          <w:b/>
          <w:bCs/>
          <w:rtl/>
        </w:rPr>
        <w:t xml:space="preserve">המבחן הוא אובייקטיבי. השאלה היא האם נאשם שהתכוון לרצוח וגם גרם מבחינה עובדתית לתוצאה הקטלנית צריך היה לצפות גם תוצאת מוות שהתרחשה בווריאציה עובדתית שונה מזו העולה באופן ישיר ממעשיו וכוונתו [...] המערער יכול היה וצריך היה לצפות כי דקירותיו תגרמנה למותה של המנוחה גם באופן שאינו מידי, לאחר אשפוזה במצב קשה בצירוף סיבוכים הנובעים מהמצב. </w:t>
      </w:r>
      <w:r w:rsidRPr="00987F99">
        <w:rPr>
          <w:rFonts w:ascii="David" w:eastAsia="Calibri" w:hAnsi="David"/>
          <w:b/>
          <w:bCs/>
          <w:u w:val="single"/>
          <w:rtl/>
        </w:rPr>
        <w:t>הדוקר שוב ושוב את הקורבן אינו יכול לצמצם את הקשר הסיבתי המשפטי בין  מעשיו לבין התוצאה הקטלנית לכדי התרחשות עובדתית אחת – מוות מידי</w:t>
      </w:r>
      <w:r w:rsidRPr="00987F99">
        <w:rPr>
          <w:rFonts w:ascii="David" w:eastAsia="Calibri" w:hAnsi="David"/>
          <w:b/>
          <w:bCs/>
          <w:rtl/>
        </w:rPr>
        <w:t>. במובן זה, המקרה אף אינו גבולי. כפי שקבעה הפסיקה 'אין צורך לצפות את דרך ההשתלשלות לקראת התוצאה ובלבד שזו לא תהיה חריגה ביותר'</w:t>
      </w:r>
      <w:r w:rsidRPr="00987F99">
        <w:rPr>
          <w:rFonts w:ascii="David" w:eastAsia="Calibri" w:hAnsi="David"/>
          <w:rtl/>
        </w:rPr>
        <w:t xml:space="preserve">" (שם). </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u w:val="single"/>
          <w:rtl/>
        </w:rPr>
        <w:t xml:space="preserve">בע"פ 7039/21 </w:t>
      </w:r>
      <w:r w:rsidRPr="00987F99">
        <w:rPr>
          <w:rFonts w:ascii="David" w:eastAsia="Calibri" w:hAnsi="David"/>
          <w:b/>
          <w:bCs/>
          <w:u w:val="single"/>
          <w:rtl/>
        </w:rPr>
        <w:t xml:space="preserve">טספה מריאם נ' מדינת ישראל </w:t>
      </w:r>
      <w:r w:rsidRPr="00987F99">
        <w:rPr>
          <w:rFonts w:ascii="David" w:eastAsia="Calibri" w:hAnsi="David"/>
          <w:u w:val="single"/>
          <w:rtl/>
        </w:rPr>
        <w:t>(פורסם בנבו, 5.7.23</w:t>
      </w:r>
      <w:r w:rsidRPr="00987F99">
        <w:rPr>
          <w:rFonts w:ascii="David" w:eastAsia="Calibri" w:hAnsi="David"/>
          <w:b/>
          <w:bCs/>
          <w:rtl/>
        </w:rPr>
        <w:t xml:space="preserve">), </w:t>
      </w:r>
      <w:r w:rsidRPr="00987F99">
        <w:rPr>
          <w:rFonts w:ascii="David" w:eastAsia="Calibri" w:hAnsi="David"/>
          <w:rtl/>
        </w:rPr>
        <w:t xml:space="preserve">נדון מקרה דומה עד מאוד למקרה שלפנינו. על פי המתואר, בחודש </w:t>
      </w:r>
      <w:r w:rsidRPr="00987F99">
        <w:rPr>
          <w:rFonts w:ascii="David" w:eastAsia="Calibri" w:hAnsi="David"/>
          <w:u w:val="single"/>
          <w:rtl/>
        </w:rPr>
        <w:t>אוקטובר 2018</w:t>
      </w:r>
      <w:r w:rsidRPr="00987F99">
        <w:rPr>
          <w:rFonts w:ascii="David" w:eastAsia="Calibri" w:hAnsi="David"/>
          <w:rtl/>
        </w:rPr>
        <w:t xml:space="preserve"> המערער חבט בעוצמה בראשה של המתלוננת מספר פעמים באמצעות לבנה. כתוצאה מכך נגרמה למתלוננת חבלת ראש קשה בכללה, דימום מוחי וחסימה של עורקי מוח. המתלוננת פונתה לבית החולים כשהיא מחוסרת הכרה. בחלוף חודש המתלוננת הועברה למרכז גריאטרי ולאחר תקופה של מספר חודשים חל שיפור מסוים במצבה והיא אף שבה להכרתה והצליחה לזהות את בני משפחה ולתקשר עמם. בחודש </w:t>
      </w:r>
      <w:r w:rsidRPr="00987F99">
        <w:rPr>
          <w:rFonts w:ascii="David" w:eastAsia="Calibri" w:hAnsi="David"/>
          <w:u w:val="single"/>
          <w:rtl/>
        </w:rPr>
        <w:t>ינואר 2020</w:t>
      </w:r>
      <w:r w:rsidRPr="00987F99">
        <w:rPr>
          <w:rFonts w:ascii="David" w:eastAsia="Calibri" w:hAnsi="David"/>
          <w:rtl/>
        </w:rPr>
        <w:t xml:space="preserve">, המתלוננת עברה למרכז סיעודי אחר וכן אושפזה מספר פעמים בבית החולים לניאדו. בחודש </w:t>
      </w:r>
      <w:r w:rsidRPr="00987F99">
        <w:rPr>
          <w:rFonts w:ascii="David" w:eastAsia="Calibri" w:hAnsi="David"/>
          <w:u w:val="single"/>
          <w:rtl/>
        </w:rPr>
        <w:t>יוני 2020</w:t>
      </w:r>
      <w:r w:rsidRPr="00987F99">
        <w:rPr>
          <w:rFonts w:ascii="David" w:eastAsia="Calibri" w:hAnsi="David"/>
          <w:rtl/>
        </w:rPr>
        <w:t xml:space="preserve">, המתלוננת לקתה בדום לב שבסופו אובחנה במצב הכרתי של "צמח". בשל כך, המערער הועמד לדין והורשע </w:t>
      </w:r>
      <w:r w:rsidRPr="00987F99">
        <w:rPr>
          <w:rFonts w:ascii="David" w:eastAsia="Calibri" w:hAnsi="David"/>
          <w:rtl/>
        </w:rPr>
        <w:lastRenderedPageBreak/>
        <w:t xml:space="preserve">בעבירה של ניסיון רצח. ביום 21.9.20 נשמעו הטיעונים לעונש. במסגרת הטיעונים לעונש, נטען על ידי ההגנה להעדרו של קשר סיבתי בין פציעת המתלוננת לבין הפיכתה ל-"צמח". לצורך הוכחת הקשר הסיבתי התביעה הגישה חוות דעת מאת ד"ר חן קוגל ובה פירט על "רצף של תהליכים" שתחילתם באירוע תקיפה וסופם בהגעתה של הנפגעת למצב רפואי וגטטיבי תוך שתואר כיצד כל אירוע הוביל למשנהו. באופן ספציפי, פורט כיצד הפציעה שגרם המערער הובילה להתדרדרות במצבה הנוירולוגי של המתלוננת אשר למרות שחל בו שיפור הדרגתי בחלוף הזמן, הוביל להיותה חולה סיעודית. מצב נוירולוגי ירוד זה, גרם לירידה ברפלקסים חיוניים כגון רפלקס הבליעה ובכך הגדיל את הסיכון לאספירציה. עוד פורט כי אצל הנפגעת התרחשו מספר אירועי אספירציה כאשר אחד מאירועים אלה שהיה אירוע מסיבי, גרם להפרעה נשימתית ולדום לב. אף שפעולת הלב של הנפגעת חודשה לאחר ההחייאה, נגרם לה נזק מוחי שהוביל למצבה הגטטיבי. לא הוגשה חוות דעת נגדית מטעם ההגנה. </w:t>
      </w:r>
    </w:p>
    <w:p w:rsidR="00987F99" w:rsidRPr="00987F99" w:rsidRDefault="00987F99" w:rsidP="00987F99">
      <w:pPr>
        <w:spacing w:before="120" w:after="120" w:line="360" w:lineRule="auto"/>
        <w:jc w:val="both"/>
        <w:rPr>
          <w:rFonts w:ascii="David" w:eastAsia="Calibri" w:hAnsi="David"/>
          <w:b/>
          <w:bCs/>
          <w:rtl/>
        </w:rPr>
      </w:pPr>
      <w:r w:rsidRPr="00987F99">
        <w:rPr>
          <w:rFonts w:ascii="David" w:eastAsia="Calibri" w:hAnsi="David"/>
          <w:rtl/>
        </w:rPr>
        <w:t>בית המשפט המחוזי אימץ את מסקנותיו של ד"ר קוגל, קבע קיומו של קשר סיבתי בציינו, בין היתר, כי: "</w:t>
      </w:r>
      <w:r w:rsidRPr="00987F99">
        <w:rPr>
          <w:rFonts w:ascii="David" w:eastAsia="Calibri" w:hAnsi="David"/>
          <w:b/>
          <w:bCs/>
          <w:u w:val="single"/>
          <w:rtl/>
        </w:rPr>
        <w:t>פרק הזמן שחלף בין האירועים אכן ממושך, אלא שלאורך כל התקופה סבלה הנפגעת מנזקים שנבעו באופן ברור מפגיעת הראש הקשה שגרם לה הנאשם במעשיו האכזריים</w:t>
      </w:r>
      <w:r w:rsidRPr="00987F99">
        <w:rPr>
          <w:rFonts w:ascii="David" w:eastAsia="Calibri" w:hAnsi="David"/>
          <w:b/>
          <w:bCs/>
          <w:rtl/>
        </w:rPr>
        <w:t xml:space="preserve"> [...] </w:t>
      </w:r>
      <w:r w:rsidRPr="00987F99">
        <w:rPr>
          <w:rFonts w:ascii="David" w:eastAsia="Calibri" w:hAnsi="David"/>
          <w:b/>
          <w:bCs/>
          <w:u w:val="single"/>
          <w:rtl/>
        </w:rPr>
        <w:t>הנפגעת היא אישה צעירה יחסית אשר עד לאירוע תפקדה כרגיל ולא היו ידועות בעיות בריאותיות קודמות אצלה</w:t>
      </w:r>
      <w:r w:rsidRPr="00987F99">
        <w:rPr>
          <w:rFonts w:ascii="David" w:eastAsia="Calibri" w:hAnsi="David"/>
          <w:b/>
          <w:bCs/>
          <w:rtl/>
        </w:rPr>
        <w:t xml:space="preserve">. </w:t>
      </w:r>
      <w:r w:rsidRPr="00987F99">
        <w:rPr>
          <w:rFonts w:ascii="David" w:eastAsia="Calibri" w:hAnsi="David"/>
          <w:b/>
          <w:bCs/>
          <w:u w:val="single"/>
          <w:rtl/>
        </w:rPr>
        <w:t>מאז האירוע ועד היום היא נמצאת במצב סיעודי לחלוטין ומאושפזת ברצף בבתי חולים ובמוסדות גריאטריים סיעודיים.</w:t>
      </w:r>
      <w:r w:rsidRPr="00987F99">
        <w:rPr>
          <w:rFonts w:ascii="David" w:eastAsia="Calibri" w:hAnsi="David"/>
          <w:b/>
          <w:bCs/>
          <w:rtl/>
        </w:rPr>
        <w:t xml:space="preserve">.. </w:t>
      </w:r>
      <w:r w:rsidRPr="00987F99">
        <w:rPr>
          <w:rFonts w:ascii="David" w:eastAsia="Calibri" w:hAnsi="David"/>
          <w:b/>
          <w:bCs/>
          <w:u w:val="single"/>
          <w:rtl/>
        </w:rPr>
        <w:t>גם בתקופת ההטבה לה טוענת ההגנה, אין המדובר במי שהייתה מצויה במצב בריאותי מניח את הדעת אלא רחוק מכך</w:t>
      </w:r>
      <w:r w:rsidRPr="00987F99">
        <w:rPr>
          <w:rFonts w:ascii="David" w:eastAsia="Calibri" w:hAnsi="David"/>
          <w:rtl/>
        </w:rPr>
        <w:t xml:space="preserve">" (ר' פס' 56-55 לגזר הדין, </w:t>
      </w:r>
      <w:hyperlink r:id="rId9" w:history="1">
        <w:r w:rsidRPr="00987F99">
          <w:rPr>
            <w:rFonts w:ascii="David" w:eastAsia="Calibri" w:hAnsi="David"/>
            <w:rtl/>
          </w:rPr>
          <w:t>תפ"ח 4710-11-18</w:t>
        </w:r>
      </w:hyperlink>
      <w:r w:rsidRPr="00987F99">
        <w:rPr>
          <w:rFonts w:ascii="David" w:eastAsia="Calibri" w:hAnsi="David"/>
          <w:rtl/>
        </w:rPr>
        <w:t xml:space="preserve">). </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אחר דברים אלו גזר בית המשפט המחוזי על הנאשם מאסר בפועל לתקופה של 18 שנים לצד ענישה נלווית. המערער הגיש ערעור על חומרת העונש לבית המשפט העליון. בתוך כך, עוד טרם נשמע הערעור, המאשימה הודיעה ביום 30.11.22 כי הקורבן הלכה לעולמה ולאחר בחינת הדברים, הוחלט שלא להגיש כתב אישום באשמת רצח. במסגרת הערעור, שבה ההגנה וטענה להעדרו של קשר סיבתי. בית המשפט העליון דחה את הערעור בציינו כי הקשר הסיבתי העובדתי נסמך על חוות הדעת של מומחה התביעה, כאשר מנגד ההגנה לא תמכה טענותיה בחוות דעת רפואית מטעמה: "</w:t>
      </w:r>
      <w:r w:rsidRPr="00987F99">
        <w:rPr>
          <w:rFonts w:ascii="David" w:eastAsia="Calibri" w:hAnsi="David"/>
          <w:b/>
          <w:bCs/>
          <w:u w:val="single"/>
          <w:rtl/>
        </w:rPr>
        <w:t>השרשרת הסיבתית שנמצא שהובילה למצבה הרפואי של הנפגעת, אינה חריגה כלל ועיקר. נסיון החיים מלמד כי פעמים רבות אנשים שמתאשפזים למשך תקופה ארוכה בשל פגיעה מסוימת, לא כל שכן פגיעת ראש חמורה כבענייננו, חווים הידרדרות במצבם שאינה נובעת ישירות מן הפגיעה הראשונית, אלא מסיבוכים רפואיים הנובעים מאותה פגיעה</w:t>
      </w:r>
      <w:r w:rsidRPr="00987F99">
        <w:rPr>
          <w:rFonts w:ascii="David" w:eastAsia="Calibri" w:hAnsi="David"/>
          <w:b/>
          <w:bCs/>
          <w:rtl/>
        </w:rPr>
        <w:t xml:space="preserve">. בענייננו, </w:t>
      </w:r>
      <w:r w:rsidRPr="00987F99">
        <w:rPr>
          <w:rFonts w:ascii="David" w:eastAsia="Calibri" w:hAnsi="David"/>
          <w:b/>
          <w:bCs/>
          <w:u w:val="single"/>
          <w:rtl/>
        </w:rPr>
        <w:t>אף אין מדובר במי שנפגעה באופן קל מעבירה ומצבה הרפואי הלך והחמיר, אלא במי שהייתה במצב רפואי קשה בסמוך לאחר התקיפה, וגם לאחר אירוע דום הלב</w:t>
      </w:r>
      <w:r w:rsidRPr="00987F99">
        <w:rPr>
          <w:rFonts w:ascii="David" w:eastAsia="Calibri" w:hAnsi="David"/>
          <w:b/>
          <w:bCs/>
          <w:rtl/>
        </w:rPr>
        <w:t xml:space="preserve">. העובדה שבין שתי נקודות זמן אלה חל שיפור מועט במצבה, אין בה כדי לשנות לעניין הצפיות הסבירה. </w:t>
      </w:r>
      <w:r w:rsidRPr="00987F99">
        <w:rPr>
          <w:rFonts w:ascii="David" w:eastAsia="Calibri" w:hAnsi="David"/>
          <w:b/>
          <w:bCs/>
          <w:u w:val="single"/>
          <w:rtl/>
        </w:rPr>
        <w:t>ויודגש, כי גם בתקופת 'הטבה' זו מצבה של הנפגעת היה כה חמור עד כי לא היה ביכולתה לתקשר עם סביבתה והיא נדרשה להנשמה, להזנה ולפינוי צרכיה באמצעים מלאכותיים</w:t>
      </w:r>
      <w:r w:rsidRPr="00987F99">
        <w:rPr>
          <w:rFonts w:ascii="David" w:eastAsia="Calibri" w:hAnsi="David"/>
          <w:u w:val="single"/>
          <w:rtl/>
        </w:rPr>
        <w:t>"</w:t>
      </w:r>
      <w:r w:rsidRPr="00987F99">
        <w:rPr>
          <w:rFonts w:ascii="David" w:eastAsia="Calibri" w:hAnsi="David"/>
          <w:rtl/>
        </w:rPr>
        <w:t xml:space="preserve"> (פס' 23 לפסק דינה של כב' הש' כנפי-שטייניץ). </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lastRenderedPageBreak/>
        <w:t xml:space="preserve">אמירות אלו של בית המשפט העליון בנוגע לסיבוכים צפויים כתוצאה מחבלת ראש קשה יפים באותה המידה ובהתאמות המתבקשות גם לענייננו. לסיכום, הוכח בפנינו קשר סיבתי עובדתי ומשפטי בין מעשיו של הנאשם לבין מותו של </w:t>
      </w:r>
      <w:r w:rsidR="00CC6733">
        <w:rPr>
          <w:rFonts w:ascii="David" w:eastAsia="Calibri" w:hAnsi="David"/>
          <w:rtl/>
        </w:rPr>
        <w:t>ת.מ</w:t>
      </w:r>
      <w:r w:rsidRPr="00987F99">
        <w:rPr>
          <w:rFonts w:ascii="David" w:eastAsia="Calibri" w:hAnsi="David"/>
          <w:rtl/>
        </w:rPr>
        <w:t xml:space="preserve">. </w:t>
      </w:r>
    </w:p>
    <w:p w:rsidR="00987F99" w:rsidRPr="00987F99" w:rsidRDefault="00987F99" w:rsidP="00987F99">
      <w:pPr>
        <w:spacing w:after="160" w:line="256" w:lineRule="auto"/>
        <w:jc w:val="center"/>
        <w:rPr>
          <w:rFonts w:ascii="David" w:eastAsia="Calibri" w:hAnsi="David"/>
          <w:b/>
          <w:bCs/>
          <w:sz w:val="28"/>
          <w:szCs w:val="28"/>
          <w:u w:val="single"/>
          <w:rtl/>
        </w:rPr>
      </w:pPr>
    </w:p>
    <w:p w:rsidR="00987F99" w:rsidRPr="00987F99" w:rsidRDefault="00987F99" w:rsidP="00987F99">
      <w:pPr>
        <w:spacing w:after="160" w:line="256" w:lineRule="auto"/>
        <w:jc w:val="center"/>
        <w:rPr>
          <w:rFonts w:ascii="David" w:eastAsia="Calibri" w:hAnsi="David"/>
          <w:b/>
          <w:bCs/>
          <w:sz w:val="28"/>
          <w:szCs w:val="28"/>
          <w:u w:val="single"/>
          <w:rtl/>
        </w:rPr>
      </w:pPr>
      <w:r w:rsidRPr="00987F99">
        <w:rPr>
          <w:rFonts w:ascii="David" w:eastAsia="Calibri" w:hAnsi="David"/>
          <w:b/>
          <w:bCs/>
          <w:sz w:val="28"/>
          <w:szCs w:val="28"/>
          <w:u w:val="single"/>
          <w:rtl/>
        </w:rPr>
        <w:t>טענת הקנטור:</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 xml:space="preserve">טענת הגנה חלופית שהעלתה ב"כ הנאשם היא מכוחו של </w:t>
      </w:r>
      <w:r w:rsidRPr="00987F99">
        <w:rPr>
          <w:rFonts w:ascii="David" w:eastAsia="Calibri" w:hAnsi="David"/>
          <w:b/>
          <w:bCs/>
          <w:rtl/>
        </w:rPr>
        <w:t>סעיף 301(ב)(ב1) לחוק העונשין</w:t>
      </w:r>
      <w:r w:rsidRPr="00987F99">
        <w:rPr>
          <w:rFonts w:ascii="David" w:eastAsia="Calibri" w:hAnsi="David"/>
          <w:rtl/>
        </w:rPr>
        <w:t xml:space="preserve"> כפי נוסחו לאחר תיקון 137 שזוהי לשונו: </w:t>
      </w:r>
    </w:p>
    <w:p w:rsidR="00987F99" w:rsidRPr="00987F99" w:rsidRDefault="00987F99" w:rsidP="00987F99">
      <w:pPr>
        <w:spacing w:before="120" w:after="120"/>
        <w:jc w:val="both"/>
        <w:rPr>
          <w:rFonts w:ascii="David" w:eastAsia="Calibri" w:hAnsi="David"/>
          <w:b/>
          <w:bCs/>
          <w:rtl/>
        </w:rPr>
      </w:pPr>
      <w:r w:rsidRPr="00987F99">
        <w:rPr>
          <w:rFonts w:ascii="David" w:eastAsia="Calibri" w:hAnsi="David"/>
          <w:rtl/>
        </w:rPr>
        <w:t>"</w:t>
      </w:r>
      <w:r w:rsidRPr="00987F99">
        <w:rPr>
          <w:rFonts w:ascii="David" w:eastAsia="Calibri" w:hAnsi="David"/>
          <w:b/>
          <w:bCs/>
          <w:rtl/>
        </w:rPr>
        <w:t>המתה בנסיבות של אחריות מופחתת (תיקון מס' 137) תשע"ט-2019</w:t>
      </w:r>
    </w:p>
    <w:p w:rsidR="00987F99" w:rsidRPr="00987F99" w:rsidRDefault="00987F99" w:rsidP="00987F99">
      <w:pPr>
        <w:spacing w:before="120" w:after="120"/>
        <w:jc w:val="both"/>
        <w:rPr>
          <w:rFonts w:ascii="David" w:eastAsia="Calibri" w:hAnsi="David"/>
          <w:b/>
          <w:bCs/>
          <w:rtl/>
        </w:rPr>
      </w:pPr>
      <w:r w:rsidRPr="00987F99">
        <w:rPr>
          <w:rFonts w:ascii="David" w:eastAsia="Calibri" w:hAnsi="David"/>
          <w:b/>
          <w:bCs/>
          <w:rtl/>
        </w:rPr>
        <w:tab/>
        <w:t>...</w:t>
      </w:r>
    </w:p>
    <w:p w:rsidR="00987F99" w:rsidRPr="00987F99" w:rsidRDefault="00987F99" w:rsidP="00987F99">
      <w:pPr>
        <w:numPr>
          <w:ilvl w:val="0"/>
          <w:numId w:val="11"/>
        </w:numPr>
        <w:spacing w:before="120" w:after="120" w:line="256" w:lineRule="auto"/>
        <w:contextualSpacing/>
        <w:jc w:val="both"/>
        <w:rPr>
          <w:rFonts w:ascii="David" w:eastAsia="Calibri" w:hAnsi="David"/>
          <w:b/>
          <w:bCs/>
        </w:rPr>
      </w:pPr>
      <w:r w:rsidRPr="00987F99">
        <w:rPr>
          <w:rFonts w:ascii="David" w:eastAsia="Calibri" w:hAnsi="David"/>
          <w:b/>
          <w:bCs/>
          <w:rtl/>
        </w:rPr>
        <w:t xml:space="preserve">על אף האמור בסעיפים 300 ו-301א, הגורם בכוונה או באדישות למותו של אדם באחת מהנסיבות המפורטות להלן, דינו </w:t>
      </w:r>
      <w:r w:rsidRPr="00987F99">
        <w:rPr>
          <w:rFonts w:ascii="David" w:eastAsia="Calibri" w:hAnsi="David"/>
          <w:b/>
          <w:bCs/>
          <w:u w:val="single"/>
          <w:rtl/>
        </w:rPr>
        <w:t>– מאסר עשרים שנים</w:t>
      </w:r>
      <w:r w:rsidRPr="00987F99">
        <w:rPr>
          <w:rFonts w:ascii="David" w:eastAsia="Calibri" w:hAnsi="David"/>
          <w:b/>
          <w:bCs/>
          <w:rtl/>
        </w:rPr>
        <w:t>:</w:t>
      </w:r>
    </w:p>
    <w:p w:rsidR="00987F99" w:rsidRPr="00987F99" w:rsidRDefault="00987F99" w:rsidP="00987F99">
      <w:pPr>
        <w:spacing w:before="120" w:after="120"/>
        <w:ind w:left="1218" w:hanging="425"/>
        <w:jc w:val="both"/>
        <w:rPr>
          <w:rFonts w:ascii="David" w:eastAsia="Calibri" w:hAnsi="David"/>
          <w:b/>
          <w:bCs/>
          <w:rtl/>
        </w:rPr>
      </w:pPr>
      <w:r w:rsidRPr="00987F99">
        <w:rPr>
          <w:rFonts w:ascii="David" w:eastAsia="Calibri" w:hAnsi="David"/>
          <w:b/>
          <w:bCs/>
          <w:rtl/>
        </w:rPr>
        <w:t xml:space="preserve">(1)   </w:t>
      </w:r>
      <w:r w:rsidRPr="00987F99">
        <w:rPr>
          <w:rFonts w:ascii="David" w:eastAsia="Calibri" w:hAnsi="David"/>
          <w:b/>
          <w:bCs/>
          <w:u w:val="single"/>
          <w:rtl/>
        </w:rPr>
        <w:t>המעשה בוצע בתכוף לאחר התגרות כלפי הנאשם ובתגובה לאותה התגרות, ובלבד שמתקיימים שניים אלה</w:t>
      </w:r>
      <w:r w:rsidRPr="00987F99">
        <w:rPr>
          <w:rFonts w:ascii="David" w:eastAsia="Calibri" w:hAnsi="David"/>
          <w:b/>
          <w:bCs/>
          <w:rtl/>
        </w:rPr>
        <w:t>:</w:t>
      </w:r>
    </w:p>
    <w:p w:rsidR="00987F99" w:rsidRPr="00987F99" w:rsidRDefault="00987F99" w:rsidP="00987F99">
      <w:pPr>
        <w:spacing w:before="120" w:after="120"/>
        <w:ind w:left="935"/>
        <w:jc w:val="both"/>
        <w:rPr>
          <w:rFonts w:ascii="David" w:eastAsia="Calibri" w:hAnsi="David"/>
          <w:b/>
          <w:bCs/>
          <w:rtl/>
        </w:rPr>
      </w:pPr>
      <w:r w:rsidRPr="00987F99">
        <w:rPr>
          <w:rFonts w:ascii="David" w:eastAsia="Calibri" w:hAnsi="David"/>
          <w:b/>
          <w:bCs/>
          <w:rtl/>
        </w:rPr>
        <w:t xml:space="preserve">(א)   </w:t>
      </w:r>
      <w:r w:rsidRPr="00987F99">
        <w:rPr>
          <w:rFonts w:ascii="David" w:eastAsia="Calibri" w:hAnsi="David"/>
          <w:b/>
          <w:bCs/>
          <w:u w:val="single"/>
          <w:rtl/>
        </w:rPr>
        <w:t>בעקבות ההתגרות הנאשם התקשה במידה ניכרת לשלוט בעצמו</w:t>
      </w:r>
      <w:r w:rsidRPr="00987F99">
        <w:rPr>
          <w:rFonts w:ascii="David" w:eastAsia="Calibri" w:hAnsi="David"/>
          <w:b/>
          <w:bCs/>
          <w:rtl/>
        </w:rPr>
        <w:t>;</w:t>
      </w:r>
    </w:p>
    <w:p w:rsidR="00987F99" w:rsidRPr="00987F99" w:rsidRDefault="00987F99" w:rsidP="00987F99">
      <w:pPr>
        <w:spacing w:before="120" w:after="120"/>
        <w:ind w:left="1360" w:hanging="425"/>
        <w:jc w:val="both"/>
        <w:rPr>
          <w:rFonts w:ascii="David" w:eastAsia="Calibri" w:hAnsi="David"/>
          <w:b/>
          <w:bCs/>
          <w:rtl/>
        </w:rPr>
      </w:pPr>
      <w:r w:rsidRPr="00987F99">
        <w:rPr>
          <w:rFonts w:ascii="David" w:eastAsia="Calibri" w:hAnsi="David"/>
          <w:b/>
          <w:bCs/>
          <w:rtl/>
        </w:rPr>
        <w:t xml:space="preserve">(ב)   </w:t>
      </w:r>
      <w:r w:rsidRPr="00987F99">
        <w:rPr>
          <w:rFonts w:ascii="David" w:eastAsia="Calibri" w:hAnsi="David"/>
          <w:b/>
          <w:bCs/>
          <w:u w:val="single"/>
          <w:rtl/>
        </w:rPr>
        <w:t>יש בקושי האמור בפסקת משנה (א) כדי למתן את אשמתו של הנאשם, בשים לב למכלול נסיבות העניין</w:t>
      </w:r>
      <w:r w:rsidRPr="00987F99">
        <w:rPr>
          <w:rFonts w:ascii="David" w:eastAsia="Calibri" w:hAnsi="David"/>
          <w:b/>
          <w:bCs/>
          <w:rtl/>
        </w:rPr>
        <w:t>;</w:t>
      </w:r>
      <w:r w:rsidRPr="00987F99">
        <w:rPr>
          <w:rFonts w:ascii="David" w:eastAsia="Calibri" w:hAnsi="David"/>
          <w:rtl/>
        </w:rPr>
        <w:t>".</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אליבא ההגנה, ובתמצית, מספר נימוקים צריכים להוביל לקביעה לפיה הנאשם קונטר עובר לכך שירה במנוח ומשכך, עניינו חוסה תחת הסעיף של "המתה בנסיבות של אחריות מופחתת".</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 xml:space="preserve">נטען כי הגם שהנאשם לא העלה מיוזמתו במסגרת תיק ניסיון הרצח את טענת הקנטור באופן מפורש, הדבר נלמד מתוך הראיות, ולראיה, לא בכדי בית המשפט נדרש לדבר מיוזמתו. כשם שהדבר נעשה בעבר, חובתו של בית המשפט לעשות כן כעת. </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 xml:space="preserve">כנדבך שני, נטען כי אמנם בית המשפט המחוזי לא מצא כי הנאשם קונטר אולם זאת עשה בהסתמך על הדין הישן שבו הושם הדגש על מבחן האובייקטיבי בדמותו של "האדם הסביר". היות והדין החדש הוא בבחינת "דין מקל" הרי שבהתאם להוראות המעבר לתיקון 137, שומה על בית המשפט לבחון בשנית קיומו של רכיב הקנטור או העדרו. </w:t>
      </w:r>
    </w:p>
    <w:p w:rsidR="00987F99" w:rsidRPr="00987F99" w:rsidRDefault="00987F99" w:rsidP="00A41D2A">
      <w:pPr>
        <w:spacing w:before="120" w:after="120" w:line="360" w:lineRule="auto"/>
        <w:jc w:val="both"/>
        <w:rPr>
          <w:rFonts w:ascii="David" w:eastAsia="Calibri" w:hAnsi="David"/>
          <w:rtl/>
        </w:rPr>
      </w:pPr>
      <w:r w:rsidRPr="00987F99">
        <w:rPr>
          <w:rFonts w:ascii="David" w:eastAsia="Calibri" w:hAnsi="David"/>
          <w:rtl/>
        </w:rPr>
        <w:t xml:space="preserve">לעצם הקינטור, נטען כי בית המשפט במסגרת תיק הרצח קיבל את הטענה לפיה הנאשם, מבחינה סובייקטיבית, "איבד את עשתונות" נוכח הליכי העיקול הלא מוצדקים שננקטו נגדו והיחס המזלזל לו זכה לטענתו מצד המנוח ואחרים. קביעה זו לצד העובדה כי עד לאותה נקודה הנאשם היה אדם שניהל אורח חיים נורמטיבי ואף החזיק את האקדח שהיה ברשותו ברישיון, אמורים למתן את אשמתו ולקבוע כי מעשיו נעשו בנסיבות של אחריות מופחתת. </w:t>
      </w:r>
    </w:p>
    <w:p w:rsidR="00CC6733" w:rsidRDefault="00CC6733" w:rsidP="00987F99">
      <w:pPr>
        <w:spacing w:before="120" w:after="120" w:line="360" w:lineRule="auto"/>
        <w:jc w:val="center"/>
        <w:rPr>
          <w:rFonts w:ascii="David" w:eastAsia="Calibri" w:hAnsi="David"/>
          <w:b/>
          <w:bCs/>
          <w:sz w:val="28"/>
          <w:szCs w:val="28"/>
          <w:u w:val="single"/>
          <w:rtl/>
        </w:rPr>
      </w:pPr>
    </w:p>
    <w:p w:rsidR="00987F99" w:rsidRPr="00987F99" w:rsidRDefault="00987F99" w:rsidP="00987F99">
      <w:pPr>
        <w:spacing w:before="120" w:after="120" w:line="360" w:lineRule="auto"/>
        <w:jc w:val="center"/>
        <w:rPr>
          <w:rFonts w:ascii="David" w:eastAsia="Calibri" w:hAnsi="David"/>
          <w:sz w:val="28"/>
          <w:szCs w:val="28"/>
          <w:rtl/>
        </w:rPr>
      </w:pPr>
      <w:r w:rsidRPr="00987F99">
        <w:rPr>
          <w:rFonts w:ascii="David" w:eastAsia="Calibri" w:hAnsi="David"/>
          <w:b/>
          <w:bCs/>
          <w:sz w:val="28"/>
          <w:szCs w:val="28"/>
          <w:u w:val="single"/>
          <w:rtl/>
        </w:rPr>
        <w:lastRenderedPageBreak/>
        <w:t>דיון והכרעה</w:t>
      </w:r>
      <w:r w:rsidRPr="00987F99">
        <w:rPr>
          <w:rFonts w:ascii="David" w:eastAsia="Calibri" w:hAnsi="David"/>
          <w:sz w:val="28"/>
          <w:szCs w:val="28"/>
          <w:rtl/>
        </w:rPr>
        <w:t>:</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 xml:space="preserve">לא מצאנו ממש בטענת הקנטור משורה של טעמים אשר די בכל אחד מהם בנפרד לדחותה, לא כל שכן בהצטברותם יחדיו. </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 xml:space="preserve">בפתח הדברים יש לעמוד על כך שבמהלך ניהול ההוכחות במסגרת תיק ניסיון הרצח הנאשם כלל לא העלה טענת קנטור או ניהל קו הגנה שיכול ללמד במשתמע על קיומו של קנטור. אדרבא, טענתו של הנאשם הייתה כי כלל לא התכוון לירות לעבר המנוח וכל שעשה הוא לירות ירייה אחת לצורך הרתעה בלבד. </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גם במהלך ניהול התיק שלפנינו הנאשם לא ביקש לשנות מן המענה, לא העלה טיעון עובדתי חדש וכך גם לא עלה להעיד במהלך פרשת ההגנה. יוצא אפוא כי כאשר גרסתו העובדתית של הנאשם, גם כיום, היא כי לא כיוון ולא ביקש לפגוע ב</w:t>
      </w:r>
      <w:r w:rsidR="008E5FF0">
        <w:rPr>
          <w:rFonts w:ascii="David" w:eastAsia="Calibri" w:hAnsi="David"/>
          <w:rtl/>
        </w:rPr>
        <w:t>מנוח</w:t>
      </w:r>
      <w:r w:rsidRPr="00987F99">
        <w:rPr>
          <w:rFonts w:ascii="David" w:eastAsia="Calibri" w:hAnsi="David"/>
          <w:rtl/>
        </w:rPr>
        <w:t xml:space="preserve">, על פניו ישנו קושי של ממש לבחון טענה מעין זו גם במשפטנו.  </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לא נעלמה מענינו העובדה כי בית המשפט המחוזי בהליך הקודם היה מודע לבעייתיות זאת וחרף כך בחן את שאלת הקנטור בציינו: "</w:t>
      </w:r>
      <w:r w:rsidRPr="00987F99">
        <w:rPr>
          <w:rFonts w:ascii="David" w:eastAsia="Calibri" w:hAnsi="David"/>
          <w:b/>
          <w:bCs/>
          <w:rtl/>
        </w:rPr>
        <w:t xml:space="preserve">נוכח הכחשתו של הנאשם כי ירה לעבר </w:t>
      </w:r>
      <w:r w:rsidR="00CC6733" w:rsidRPr="008E5FF0">
        <w:rPr>
          <w:rFonts w:ascii="David" w:eastAsia="Calibri" w:hAnsi="David"/>
          <w:rtl/>
        </w:rPr>
        <w:t>[ת.מ]</w:t>
      </w:r>
      <w:r w:rsidRPr="00987F99">
        <w:rPr>
          <w:rFonts w:ascii="David" w:eastAsia="Calibri" w:hAnsi="David"/>
          <w:b/>
          <w:bCs/>
          <w:rtl/>
        </w:rPr>
        <w:t xml:space="preserve">, לא העלה הנאשם ממילא, טענת קנטור, הקשורה בפעולות הגבייה והתנהלותו הנטענת של </w:t>
      </w:r>
      <w:r w:rsidR="00CC6733" w:rsidRPr="008E5FF0">
        <w:rPr>
          <w:rFonts w:ascii="David" w:eastAsia="Calibri" w:hAnsi="David"/>
          <w:rtl/>
        </w:rPr>
        <w:t>[ת.מ]</w:t>
      </w:r>
      <w:r w:rsidRPr="00987F99">
        <w:rPr>
          <w:rFonts w:ascii="David" w:eastAsia="Calibri" w:hAnsi="David"/>
          <w:b/>
          <w:bCs/>
          <w:rtl/>
        </w:rPr>
        <w:t xml:space="preserve"> כלפיו. עם זאת, אין פטורים אנו מלדון בשאלת הקנטור, אם עולה במשתמע, טענת קנטור.</w:t>
      </w:r>
      <w:r w:rsidRPr="00987F99">
        <w:rPr>
          <w:rFonts w:ascii="David" w:eastAsia="Calibri" w:hAnsi="David"/>
          <w:rtl/>
        </w:rPr>
        <w:t xml:space="preserve">.." </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 xml:space="preserve">ודוק, בחינת בית המשפט המחוזי בהליך הקודם הייתה במובנים רבים בבחינת למעלה מן הצורך, לפנים משורת הדין, תוך הנחת הנחות לצורך הדיון בלבד לטובת הנאשם. בסופם של דברים, בית המשפט קבע כי אפילו נניח שהנאשם הושפע סובייקטיבית (ואין קביעה שכזו) ברי כי לא ניתן מהבחינה האובייקטיבית לקבוע כי אדם סביר היה מנסה לרצוח פקיד אך בשל כך שלטענתו ננקטו נגדו הליכי הוצל"פ לא מוצדקים. </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 xml:space="preserve">בפועל כל התייחסותו של בית המשפט לשאלת הקנטור מצאה ביטוי בפסקה אחת מתוך הכרעת דין האוחזת 84 עמודים: </w:t>
      </w:r>
    </w:p>
    <w:p w:rsidR="00987F99" w:rsidRPr="00987F99" w:rsidRDefault="00987F99" w:rsidP="00A41D2A">
      <w:pPr>
        <w:tabs>
          <w:tab w:val="left" w:pos="8079"/>
        </w:tabs>
        <w:spacing w:before="120" w:after="120"/>
        <w:ind w:left="509" w:right="426"/>
        <w:jc w:val="both"/>
        <w:rPr>
          <w:rFonts w:ascii="David" w:eastAsia="Calibri" w:hAnsi="David"/>
          <w:rtl/>
        </w:rPr>
      </w:pPr>
      <w:r w:rsidRPr="00987F99">
        <w:rPr>
          <w:rFonts w:ascii="David" w:eastAsia="Calibri" w:hAnsi="David"/>
          <w:rtl/>
        </w:rPr>
        <w:t>"</w:t>
      </w:r>
      <w:r w:rsidRPr="00987F99">
        <w:rPr>
          <w:rFonts w:ascii="David" w:eastAsia="Calibri" w:hAnsi="David"/>
          <w:b/>
          <w:bCs/>
          <w:rtl/>
        </w:rPr>
        <w:t>את טענת הנאשם בדבר אובדן העשתונות, יש "למקם" אפוא, כטענה אפשרית של ביצוע הירי על רקע קנטור, נוכח הליכי העיקול שבוצעו, ובשל כך שראה ב</w:t>
      </w:r>
      <w:r w:rsidR="00CC6733" w:rsidRPr="008E5FF0">
        <w:rPr>
          <w:rFonts w:ascii="David" w:eastAsia="Calibri" w:hAnsi="David"/>
          <w:rtl/>
        </w:rPr>
        <w:t>[ת.מ]</w:t>
      </w:r>
      <w:r w:rsidRPr="00987F99">
        <w:rPr>
          <w:rFonts w:ascii="David" w:eastAsia="Calibri" w:hAnsi="David"/>
          <w:b/>
          <w:bCs/>
          <w:rtl/>
        </w:rPr>
        <w:t xml:space="preserve"> אחראי עיקרי לעוול שנגרם לו, על פי הבנתו. הנאשם נמנע אמנם מלטעון בעדותו, כי ביצע ירי על רקע מעשה קנטור, נוכח קו ההגנה שנקט, ואולם בתחילת חקירתו הודה כי ירה לעבר </w:t>
      </w:r>
      <w:r w:rsidR="00CC6733" w:rsidRPr="008E5FF0">
        <w:rPr>
          <w:rFonts w:ascii="David" w:eastAsia="Calibri" w:hAnsi="David"/>
          <w:rtl/>
        </w:rPr>
        <w:t>[ת.מ]</w:t>
      </w:r>
      <w:r w:rsidRPr="00987F99">
        <w:rPr>
          <w:rFonts w:ascii="David" w:eastAsia="Calibri" w:hAnsi="David"/>
          <w:b/>
          <w:bCs/>
          <w:rtl/>
        </w:rPr>
        <w:t xml:space="preserve">. </w:t>
      </w:r>
      <w:r w:rsidRPr="00987F99">
        <w:rPr>
          <w:rFonts w:ascii="David" w:eastAsia="Calibri" w:hAnsi="David"/>
          <w:b/>
          <w:bCs/>
          <w:u w:val="single"/>
          <w:rtl/>
        </w:rPr>
        <w:t>גם אם נניח לצורך הדיון</w:t>
      </w:r>
      <w:r w:rsidRPr="00987F99">
        <w:rPr>
          <w:rFonts w:ascii="David" w:eastAsia="Calibri" w:hAnsi="David"/>
          <w:b/>
          <w:bCs/>
          <w:rtl/>
        </w:rPr>
        <w:t xml:space="preserve"> </w:t>
      </w:r>
      <w:r w:rsidRPr="00987F99">
        <w:rPr>
          <w:rFonts w:ascii="David" w:eastAsia="Calibri" w:hAnsi="David"/>
          <w:b/>
          <w:bCs/>
          <w:u w:val="single"/>
          <w:rtl/>
        </w:rPr>
        <w:t>הנחה שקשה לבוחנה נוכח הכחשת הנאשם כי ביצע ירי מכוון</w:t>
      </w:r>
      <w:r w:rsidRPr="00987F99">
        <w:rPr>
          <w:rFonts w:ascii="David" w:eastAsia="Calibri" w:hAnsi="David"/>
          <w:b/>
          <w:bCs/>
          <w:rtl/>
        </w:rPr>
        <w:t xml:space="preserve"> – </w:t>
      </w:r>
      <w:r w:rsidRPr="00987F99">
        <w:rPr>
          <w:rFonts w:ascii="David" w:eastAsia="Calibri" w:hAnsi="David"/>
          <w:b/>
          <w:bCs/>
          <w:u w:val="single"/>
          <w:rtl/>
        </w:rPr>
        <w:t>כי הנאשם הושפע סובייקטיבית</w:t>
      </w:r>
      <w:r w:rsidRPr="00987F99">
        <w:rPr>
          <w:rFonts w:ascii="David" w:eastAsia="Calibri" w:hAnsi="David"/>
          <w:b/>
          <w:bCs/>
          <w:rtl/>
        </w:rPr>
        <w:t xml:space="preserve"> מאירוע אותו יום עד כדי אובדן שליטה עצמית וביצוע ירי לעברו של </w:t>
      </w:r>
      <w:r w:rsidR="00CC6733" w:rsidRPr="008E5FF0">
        <w:rPr>
          <w:rFonts w:ascii="David" w:eastAsia="Calibri" w:hAnsi="David"/>
          <w:rtl/>
        </w:rPr>
        <w:t>[ת.מ]</w:t>
      </w:r>
      <w:r w:rsidRPr="00987F99">
        <w:rPr>
          <w:rFonts w:ascii="David" w:eastAsia="Calibri" w:hAnsi="David"/>
          <w:b/>
          <w:bCs/>
          <w:rtl/>
        </w:rPr>
        <w:t>, הרי שאין כל בסיס לטענה האפשרית כי מהבחינה האובייקטיבית, ניתן לקבוע כי אדם סביר – ההגנה טוענת אגב כי הנאשם הינו אדם נורמטיבי לחלוטין - עשוי היה לנסות לקפח חיים של אחר בשל רוגזו על הליכי עיקול לא מוצדקים לתפיסתו שבוצעו כנגד מטלטליו, ומשכך אין טענה אפשרית של קנטור יכולה לעמוד לנאשם</w:t>
      </w:r>
      <w:r w:rsidRPr="00987F99">
        <w:rPr>
          <w:rFonts w:ascii="David" w:eastAsia="Calibri" w:hAnsi="David"/>
          <w:rtl/>
        </w:rPr>
        <w:t xml:space="preserve">". </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 xml:space="preserve">הואיל ובמסגרת תיק זה אחת משתי טענותיו העיקריות (והיחידות) של הנאשם היא טענת הקנטור, כאשר טענה זו נבחנה בעבר למעלה מן הצורך ונדחתה, מצופה היה מן הנאשם לעלות להעיד לפנינו, להסביר, לפרט, לנמק מדוע מבחינתו התיאור בדבר "בלק אאוט" ו"קריסת המערכות" הן בעצם </w:t>
      </w:r>
      <w:r w:rsidRPr="00987F99">
        <w:rPr>
          <w:rFonts w:ascii="David" w:eastAsia="Calibri" w:hAnsi="David"/>
          <w:rtl/>
        </w:rPr>
        <w:lastRenderedPageBreak/>
        <w:t xml:space="preserve">קנטור שהביאו לכדי מעשה. היה עליו להיחקר נגדית על גרסתו זו על מנת שבית המשפט יוכל להתרשם מאמתותה (נזכיר כי בהליך הקודם בית המשפט בחן תחילה את גרסת הנאשם כחלק מטענת "היעדר שליטה" על תנועות גופניות במובנו של </w:t>
      </w:r>
      <w:r w:rsidRPr="00987F99">
        <w:rPr>
          <w:rFonts w:ascii="David" w:eastAsia="Calibri" w:hAnsi="David"/>
          <w:b/>
          <w:bCs/>
          <w:rtl/>
        </w:rPr>
        <w:t>סעיף 34ז לחוק העונשין</w:t>
      </w:r>
      <w:r w:rsidRPr="00987F99">
        <w:rPr>
          <w:rFonts w:ascii="David" w:eastAsia="Calibri" w:hAnsi="David"/>
          <w:rtl/>
        </w:rPr>
        <w:t xml:space="preserve">). </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 xml:space="preserve">נדמה כי גם ההגנה סבורה הייתה (בשלב מסוים) כי לצורך ביסוס טענת הקנטור לא ניתן להסתמך על הקביעות העובדתיות של בית המשפט במסגרת תיק ניסיון הרצח ועל כן, נמסר על ידה בתחילתו של ההליך כי יש כוונה להעיד מחדש ארבעה עדים לעניין הקנטור (ר' פרוט' מיום 28.12.22). בסופם של דברים היא נמנעה מלעשות כן.  </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 xml:space="preserve">בכך אין סגי, מקום שבו טענת הקנטור נבחנה ונדחתה, בחינה מחודשת על ידי מותב זה יכולה להיעשות רק במידה ויש לראות את הגדרת הקנטור כיום כ"דין מקל". </w:t>
      </w:r>
    </w:p>
    <w:p w:rsidR="00987F99" w:rsidRPr="00987F99" w:rsidRDefault="00987F99" w:rsidP="00987F99">
      <w:pPr>
        <w:spacing w:before="120" w:after="120" w:line="360" w:lineRule="auto"/>
        <w:jc w:val="both"/>
        <w:rPr>
          <w:rFonts w:ascii="David" w:eastAsia="Calibri" w:hAnsi="David"/>
          <w:b/>
          <w:bCs/>
          <w:rtl/>
        </w:rPr>
      </w:pPr>
      <w:r w:rsidRPr="00987F99">
        <w:rPr>
          <w:rFonts w:ascii="David" w:eastAsia="Calibri" w:hAnsi="David"/>
          <w:rtl/>
        </w:rPr>
        <w:t xml:space="preserve">לצורך שאלה זו, נעמוד בקצרה על הגדרת ה"קנטור" לפני ואחרי תיקון 137. בדברי ההסבר להצעת חוק העונשין (תיקון מס' 124) </w:t>
      </w:r>
      <w:r w:rsidRPr="00987F99">
        <w:rPr>
          <w:rFonts w:ascii="David" w:eastAsia="Calibri" w:hAnsi="David"/>
          <w:b/>
          <w:bCs/>
          <w:rtl/>
        </w:rPr>
        <w:t xml:space="preserve">(עבירות המתה), התשע"ו-2015, ה"ח 972 </w:t>
      </w:r>
      <w:r w:rsidRPr="00987F99">
        <w:rPr>
          <w:rFonts w:ascii="David" w:eastAsia="Calibri" w:hAnsi="David"/>
          <w:rtl/>
        </w:rPr>
        <w:t>נכתב:</w:t>
      </w:r>
    </w:p>
    <w:p w:rsidR="00987F99" w:rsidRPr="00987F99" w:rsidRDefault="00987F99" w:rsidP="00A41D2A">
      <w:pPr>
        <w:spacing w:before="120" w:after="120"/>
        <w:ind w:left="608" w:right="567"/>
        <w:jc w:val="both"/>
        <w:rPr>
          <w:rFonts w:ascii="David" w:eastAsia="Calibri" w:hAnsi="David"/>
          <w:b/>
          <w:bCs/>
          <w:rtl/>
        </w:rPr>
      </w:pPr>
      <w:r w:rsidRPr="00987F99">
        <w:rPr>
          <w:rFonts w:ascii="David" w:eastAsia="Calibri" w:hAnsi="David"/>
          <w:b/>
          <w:bCs/>
          <w:rtl/>
        </w:rPr>
        <w:t xml:space="preserve"> "המבחן המוצע לקנטור בסעיף 301ב(א)(1)לחוק כנוסחו המוצע, זונח את השימוש במבחן "האדם הסביר" שזכה כאמור לביקורת, וקובע במקומו מבחן חלופי שיאפשר הקלה באחריות בנסיבות שבהן ההתגרות הובילה את העושה למצב שבו הוא התקשה במידה ניכרת לשלוט בעצמו, ובתנאי שיש בקושי, בנסיבות המקרה, כדי למתן את אשמתו של הנאשם.</w:t>
      </w:r>
      <w:r w:rsidRPr="00987F99">
        <w:rPr>
          <w:rFonts w:ascii="David" w:eastAsia="Calibri" w:hAnsi="David"/>
          <w:b/>
          <w:bCs/>
          <w:u w:val="single"/>
        </w:rPr>
        <w:t xml:space="preserve"> </w:t>
      </w:r>
      <w:r w:rsidRPr="00987F99">
        <w:rPr>
          <w:rFonts w:ascii="David" w:eastAsia="Calibri" w:hAnsi="David"/>
          <w:b/>
          <w:bCs/>
          <w:u w:val="single"/>
          <w:rtl/>
        </w:rPr>
        <w:t>המבחן המוצע משלב בין מבחן סובייקטיבי למבחן אובייקטיבי</w:t>
      </w:r>
      <w:r w:rsidRPr="00987F99">
        <w:rPr>
          <w:rFonts w:ascii="David" w:eastAsia="Calibri" w:hAnsi="David"/>
          <w:b/>
          <w:bCs/>
          <w:rtl/>
        </w:rPr>
        <w:t xml:space="preserve">. </w:t>
      </w:r>
      <w:r w:rsidRPr="00987F99">
        <w:rPr>
          <w:rFonts w:ascii="David" w:eastAsia="Calibri" w:hAnsi="David"/>
          <w:b/>
          <w:bCs/>
          <w:u w:val="single"/>
          <w:rtl/>
        </w:rPr>
        <w:t>לעניין המבחן הסובייקטיבי</w:t>
      </w:r>
      <w:r w:rsidRPr="00987F99">
        <w:rPr>
          <w:rFonts w:ascii="David" w:eastAsia="Calibri" w:hAnsi="David"/>
          <w:b/>
          <w:bCs/>
          <w:rtl/>
        </w:rPr>
        <w:t xml:space="preserve">, הדרישה היא לתגובה אמוציונלית עזה להתגרות, אשר פגעה בצורה קשה ביכולת השליטה העצמית של הנאשם. יובהר בעניין זה כי אין הכוונה למצב של העדר שליטה לפי סעיף 34ז לחוק העונשין, אלא למצב שבו נפגעה בצורה ניכרת יכולת השליטה העצמית. </w:t>
      </w:r>
      <w:r w:rsidRPr="00987F99">
        <w:rPr>
          <w:rFonts w:ascii="David" w:eastAsia="Calibri" w:hAnsi="David"/>
          <w:b/>
          <w:bCs/>
          <w:u w:val="single"/>
          <w:rtl/>
        </w:rPr>
        <w:t>לעניין המבחן הנורמטיבי, בית המשפט יידרש להכריע, אם יש ברגש העז שהתעורר בנאשם לנוכח ההתגרות והקושי הרב בשליטה העצמית כדי לגרוע מאשמתו של המקונטר</w:t>
      </w:r>
      <w:r w:rsidRPr="00987F99">
        <w:rPr>
          <w:rFonts w:ascii="David" w:eastAsia="Calibri" w:hAnsi="David"/>
          <w:b/>
          <w:bCs/>
          <w:rtl/>
        </w:rPr>
        <w:t>. בחינה זו תבוצע מנקודת מבט חברתית ומוסרית, שהיא חיצונית למקונטר</w:t>
      </w:r>
      <w:r w:rsidRPr="00987F99">
        <w:rPr>
          <w:rFonts w:ascii="David" w:eastAsia="Calibri" w:hAnsi="David"/>
          <w:b/>
          <w:bCs/>
        </w:rPr>
        <w:t xml:space="preserve">. </w:t>
      </w:r>
      <w:r w:rsidRPr="00987F99">
        <w:rPr>
          <w:rFonts w:ascii="David" w:eastAsia="Calibri" w:hAnsi="David"/>
          <w:b/>
          <w:bCs/>
          <w:rtl/>
        </w:rPr>
        <w:t>יצוין כי כדי שאשמת העושה תיחשב פחותה באופן משמעותי, צריך להתקיים יחס הולם בין טיב ההתגרות ומידתה לבין הפגיעה הניכרת בשליטה העצמית שגרמה ההתגרות. לא כל המתה במצב של איבוד ניכר של שליטה עצמית, בעקבות עלבון או אפילו הרמת יד, משקפת רמת אשמה שהיא פחותה משמעותית מרמת האשמה המאפיינת רצח</w:t>
      </w:r>
      <w:r w:rsidRPr="00987F99">
        <w:rPr>
          <w:rFonts w:ascii="David" w:eastAsia="Calibri" w:hAnsi="David"/>
          <w:b/>
          <w:bCs/>
        </w:rPr>
        <w:t xml:space="preserve"> .</w:t>
      </w:r>
      <w:r w:rsidRPr="00987F99">
        <w:rPr>
          <w:rFonts w:ascii="David" w:eastAsia="Calibri" w:hAnsi="David"/>
          <w:b/>
          <w:bCs/>
          <w:rtl/>
        </w:rPr>
        <w:t>הביטוי "למתן את אשמתו" מאפשר לבית המשפט המקיים את הבחינה הנורמטיבית לשקול כל נתון הנוגע לנסיבות המקרה, הרלוונטי בעיני בית המשפט להערכת האשמה. בכלל זה, רשאי בית המשפט להביא בחשבון את נתוניו האישיים של הנאשם, ככל שהם משליכים על מידת האשמה שבמעשה. יובהר, כי אין הכוונה שבית המשפט ישקול בגדר המבחן האמור נתונים אישיים ואחרים של הנאשם שאינם רלוונטיים למידת האשמה שבמעשה. חלק הכרחי מתפקידו של בית המשפט, בהקשר זה, הוא ליצוק תוכן למבחן הנורמטיבי המוצע, ולהתמודד עם מורכבותם של תרחישים קונקרטיים. בסופו של דבר, המבחן המוצע נועד לבטא תחושת צדק אנושית, בלי לפגוע במסר לציבור בדבר האיסור המוחלט להמית</w:t>
      </w:r>
      <w:r w:rsidRPr="00987F99">
        <w:rPr>
          <w:rFonts w:ascii="David" w:eastAsia="Calibri" w:hAnsi="David"/>
          <w:b/>
          <w:bCs/>
        </w:rPr>
        <w:t xml:space="preserve">. </w:t>
      </w:r>
      <w:r w:rsidRPr="00987F99">
        <w:rPr>
          <w:rFonts w:ascii="David" w:eastAsia="Calibri" w:hAnsi="David"/>
          <w:b/>
          <w:bCs/>
          <w:rtl/>
        </w:rPr>
        <w:t xml:space="preserve">בכל הנוגע לפרשנות המונח "התגרות" </w:t>
      </w:r>
      <w:r w:rsidRPr="00987F99">
        <w:rPr>
          <w:rFonts w:ascii="David" w:eastAsia="Calibri" w:hAnsi="David"/>
          <w:b/>
          <w:bCs/>
          <w:u w:val="single"/>
          <w:rtl/>
        </w:rPr>
        <w:t>יודגש, כי המבחן המוצע אינו בא לשנות את הדין הקיים, שלפיו המבחן להתגרות כולל בחובו ממד נורמטיבי, באופן שלא כל מעשה שהנאשם ראה בו פרובוקציה, נחשב להתגרות</w:t>
      </w:r>
      <w:r w:rsidRPr="00987F99">
        <w:rPr>
          <w:rFonts w:ascii="David" w:eastAsia="Calibri" w:hAnsi="David"/>
          <w:b/>
          <w:bCs/>
          <w:u w:val="single"/>
        </w:rPr>
        <w:t xml:space="preserve">, </w:t>
      </w:r>
      <w:r w:rsidRPr="00987F99">
        <w:rPr>
          <w:rFonts w:ascii="David" w:eastAsia="Calibri" w:hAnsi="David"/>
          <w:b/>
          <w:bCs/>
          <w:u w:val="single"/>
          <w:rtl/>
        </w:rPr>
        <w:t>אלא רק מעשים בלתי לגיטימיים במהותם, מנקודת מבט חברתית-מוסרית חיצונית לנאשם, שיש להם פוטנציאל משמעותי של הקנטה והרגזה</w:t>
      </w:r>
      <w:r w:rsidRPr="00987F99">
        <w:rPr>
          <w:rFonts w:ascii="David" w:eastAsia="Calibri" w:hAnsi="David"/>
          <w:b/>
          <w:bCs/>
          <w:rtl/>
        </w:rPr>
        <w:t xml:space="preserve"> </w:t>
      </w:r>
      <w:r w:rsidRPr="00987F99">
        <w:rPr>
          <w:rFonts w:ascii="David" w:eastAsia="Calibri" w:hAnsi="David"/>
          <w:b/>
          <w:bCs/>
        </w:rPr>
        <w:t>)</w:t>
      </w:r>
      <w:r w:rsidRPr="00987F99">
        <w:rPr>
          <w:rFonts w:ascii="David" w:eastAsia="Calibri" w:hAnsi="David"/>
          <w:b/>
          <w:bCs/>
          <w:rtl/>
        </w:rPr>
        <w:t>ראו ש"ז פלר יסודות בדיני עונשין כרך א' 560 (תשמ"ד</w:t>
      </w:r>
      <w:r w:rsidRPr="00987F99">
        <w:rPr>
          <w:rFonts w:ascii="David" w:eastAsia="Calibri" w:hAnsi="David"/>
          <w:b/>
          <w:bCs/>
        </w:rPr>
        <w:t>(</w:t>
      </w:r>
      <w:r w:rsidRPr="00987F99">
        <w:rPr>
          <w:rFonts w:ascii="David" w:eastAsia="Calibri" w:hAnsi="David"/>
          <w:b/>
          <w:bCs/>
          <w:rtl/>
        </w:rPr>
        <w:t xml:space="preserve">)." </w:t>
      </w:r>
    </w:p>
    <w:p w:rsidR="00987F99" w:rsidRPr="00987F99" w:rsidRDefault="00987F99" w:rsidP="00987F99">
      <w:pPr>
        <w:tabs>
          <w:tab w:val="left" w:pos="800"/>
        </w:tabs>
        <w:overflowPunct w:val="0"/>
        <w:autoSpaceDE w:val="0"/>
        <w:autoSpaceDN w:val="0"/>
        <w:adjustRightInd w:val="0"/>
        <w:spacing w:before="120" w:after="120" w:line="360" w:lineRule="auto"/>
        <w:jc w:val="both"/>
        <w:rPr>
          <w:rFonts w:ascii="David" w:hAnsi="David"/>
          <w:b/>
          <w:bCs/>
          <w:rtl/>
        </w:rPr>
      </w:pPr>
      <w:r w:rsidRPr="00987F99">
        <w:rPr>
          <w:rFonts w:ascii="David" w:hAnsi="David"/>
          <w:rtl/>
        </w:rPr>
        <w:lastRenderedPageBreak/>
        <w:t>ב</w:t>
      </w:r>
      <w:hyperlink r:id="rId10" w:history="1">
        <w:r w:rsidRPr="00987F99">
          <w:rPr>
            <w:rFonts w:ascii="David" w:hAnsi="David"/>
            <w:rtl/>
          </w:rPr>
          <w:t>ע"פ 1130/19</w:t>
        </w:r>
      </w:hyperlink>
      <w:r w:rsidRPr="00987F99">
        <w:rPr>
          <w:rFonts w:ascii="David" w:hAnsi="David"/>
          <w:rtl/>
        </w:rPr>
        <w:t xml:space="preserve"> </w:t>
      </w:r>
      <w:r w:rsidRPr="00987F99">
        <w:rPr>
          <w:rFonts w:ascii="David" w:hAnsi="David" w:hint="cs"/>
          <w:bCs/>
          <w:rtl/>
        </w:rPr>
        <w:t>שוא נ' מדינת ישראל</w:t>
      </w:r>
      <w:r w:rsidRPr="00987F99">
        <w:rPr>
          <w:rFonts w:ascii="David" w:hAnsi="David" w:hint="cs"/>
          <w:rtl/>
        </w:rPr>
        <w:t xml:space="preserve"> [פס' 28 לפסק דינו של השופט </w:t>
      </w:r>
      <w:r w:rsidRPr="00987F99">
        <w:rPr>
          <w:rFonts w:ascii="David" w:hAnsi="David" w:hint="cs"/>
          <w:b/>
          <w:rtl/>
        </w:rPr>
        <w:t>י' אלרון</w:t>
      </w:r>
      <w:r w:rsidRPr="00987F99">
        <w:rPr>
          <w:rFonts w:ascii="David" w:hAnsi="David" w:hint="cs"/>
          <w:rtl/>
        </w:rPr>
        <w:t>] (פורסם בנבו, 27.12.20) אליו גם הפנתה ב"כ הנאשם, עמד בית המשפט</w:t>
      </w:r>
      <w:r w:rsidRPr="00987F99">
        <w:rPr>
          <w:rFonts w:ascii="David" w:hAnsi="David" w:hint="cs"/>
          <w:b/>
          <w:bCs/>
          <w:rtl/>
        </w:rPr>
        <w:t xml:space="preserve"> </w:t>
      </w:r>
      <w:r w:rsidRPr="00987F99">
        <w:rPr>
          <w:rFonts w:ascii="David" w:hAnsi="David" w:hint="cs"/>
          <w:rtl/>
        </w:rPr>
        <w:t>על ההבדלים בין טענת הקנטור לפני ואחרי החלתה של הרפורמה לעבירות ההמתה:</w:t>
      </w:r>
    </w:p>
    <w:p w:rsidR="00987F99" w:rsidRPr="00987F99" w:rsidRDefault="00987F99" w:rsidP="00A41D2A">
      <w:pPr>
        <w:tabs>
          <w:tab w:val="left" w:pos="800"/>
        </w:tabs>
        <w:overflowPunct w:val="0"/>
        <w:autoSpaceDE w:val="0"/>
        <w:autoSpaceDN w:val="0"/>
        <w:adjustRightInd w:val="0"/>
        <w:spacing w:before="120" w:after="120"/>
        <w:ind w:left="608" w:right="567"/>
        <w:jc w:val="both"/>
        <w:rPr>
          <w:rFonts w:ascii="David" w:hAnsi="David"/>
          <w:b/>
          <w:bCs/>
          <w:rtl/>
        </w:rPr>
      </w:pPr>
      <w:r w:rsidRPr="00987F99">
        <w:rPr>
          <w:rFonts w:ascii="David" w:hAnsi="David"/>
          <w:b/>
          <w:bCs/>
          <w:rtl/>
        </w:rPr>
        <w:t>"...ועדת קרמניצר שבחנה את עבירות ההמתה, ושבעקבות הדוח שלה התקבל תיקון 137, הסבירה כי אמת המידה של אדם סביר אינה הולמת את בחינת ההתחשבות בקנטור, מאחר שלכאורה אדם סביר שולט ברוחו ואינו הורג עקב איבוד שליטה, ומפני שהיא יוצרת דימוי שגוי כאילו קנטור מקנה צידוק להריגה.</w:t>
      </w:r>
    </w:p>
    <w:p w:rsidR="00987F99" w:rsidRPr="00987F99" w:rsidRDefault="00987F99" w:rsidP="00A41D2A">
      <w:pPr>
        <w:tabs>
          <w:tab w:val="left" w:pos="800"/>
        </w:tabs>
        <w:overflowPunct w:val="0"/>
        <w:autoSpaceDE w:val="0"/>
        <w:autoSpaceDN w:val="0"/>
        <w:adjustRightInd w:val="0"/>
        <w:spacing w:before="120" w:after="120"/>
        <w:ind w:left="608" w:right="567"/>
        <w:jc w:val="both"/>
        <w:rPr>
          <w:rFonts w:ascii="David" w:hAnsi="David"/>
          <w:b/>
          <w:bCs/>
          <w:rtl/>
        </w:rPr>
      </w:pPr>
      <w:r w:rsidRPr="00987F99">
        <w:rPr>
          <w:rFonts w:ascii="David" w:hAnsi="David"/>
          <w:b/>
          <w:bCs/>
          <w:rtl/>
        </w:rPr>
        <w:t>על כן הוצע לעגן מבחן נורמטיבי הולם בשתי דרכים. ראשית, מבחינה סובייקטיבית ההתגרות תיצור "קושי רב" לנאשם לשלוט בעצמו. שנית, מבחינה אובייקטיבית הקושי ממתן את אשמת הנאשם במכלול נסיבות המקרה (הצוות לבחינת יסודות עבירות ההמתה דין-וחשבון 31–34 (2011)). הודגש כי מדובר רק ב"מעשים בלתי לגיטימיים במהותם – מנקודת מבט חברתית-מוסרית חיצונית לנאשם, שיש להם פוטנציאל משמעותי של הקנטה והרגזה' עוד צוין: 'על מנת שאשמת העושה תפחת באופן משמעותי, צריך להתקיים יחס הולם בין טיב ומידת ההתגרות לבין הפגיעה הניכרת בשליטה העצמית, שנגרמה על ידה (להבדיל מהתגובה הקטלנית). לא כל המתה במצב של איבוד ניכר של שליטה עצמית, בעקבות עלבון או אפילו הרמת יד, משקפת רמת אשמה שהיא פחותה משמעותית מרמת האשמה המאפיינת רצח. השאלה אם היא כזו, אם לאו, תלויה במידה רבה בשאלה, האם בנסיבות המיוחדות של המקרה, איבוד העשתונות של הממית כשלעצמו (אך לא, בשום פנים, המעשה הקטלני שלו), נוכח ההתגרות שהביאה לכך, ראוי להבנה של החברה, כביטוי לחולשת הטבע האנושי. לא ניתן להשיב על שאלה זו באופן מופשט, אלא רק תוך בחינה מפורטת ומדוקדקת של נסיבות המקרה. לא אחת, כדי להשיב לשאלה האמורה, צריך יהיה לבחון לא רק את ההתגרות, אלא גם את מה שקדם לה, ולעתים אף את מערכת היחסים בין הצדדים'(שם, בעמ' 33)...</w:t>
      </w:r>
      <w:r w:rsidRPr="00987F99">
        <w:rPr>
          <w:rFonts w:ascii="David" w:hAnsi="David"/>
          <w:rtl/>
        </w:rPr>
        <w:t>".</w:t>
      </w:r>
      <w:r w:rsidRPr="00987F99">
        <w:rPr>
          <w:rFonts w:ascii="David" w:hAnsi="David"/>
          <w:b/>
          <w:bCs/>
          <w:rtl/>
        </w:rPr>
        <w:t xml:space="preserve"> </w:t>
      </w:r>
    </w:p>
    <w:p w:rsidR="00987F99" w:rsidRPr="00987F99" w:rsidRDefault="00987F99" w:rsidP="00987F99">
      <w:pPr>
        <w:tabs>
          <w:tab w:val="left" w:pos="800"/>
        </w:tabs>
        <w:overflowPunct w:val="0"/>
        <w:autoSpaceDE w:val="0"/>
        <w:autoSpaceDN w:val="0"/>
        <w:adjustRightInd w:val="0"/>
        <w:spacing w:before="120" w:after="120" w:line="360" w:lineRule="auto"/>
        <w:ind w:left="84" w:right="284"/>
        <w:jc w:val="both"/>
        <w:rPr>
          <w:rFonts w:ascii="David" w:hAnsi="David"/>
          <w:b/>
          <w:bCs/>
          <w:rtl/>
        </w:rPr>
      </w:pPr>
      <w:r w:rsidRPr="00987F99">
        <w:rPr>
          <w:rFonts w:ascii="David" w:hAnsi="David"/>
          <w:rtl/>
        </w:rPr>
        <w:t xml:space="preserve">עוד ר' התייחסות לשוני בהגדרת הקנטור בפסיקה מאוחרת יותר בע"פ </w:t>
      </w:r>
      <w:r w:rsidRPr="00987F99">
        <w:rPr>
          <w:rFonts w:ascii="David" w:hAnsi="David"/>
          <w:color w:val="000000"/>
          <w:rtl/>
        </w:rPr>
        <w:t>8363/19</w:t>
      </w:r>
      <w:r w:rsidRPr="00987F99">
        <w:rPr>
          <w:rFonts w:ascii="David" w:hAnsi="David"/>
          <w:b/>
          <w:bCs/>
          <w:color w:val="000000"/>
          <w:rtl/>
        </w:rPr>
        <w:t xml:space="preserve">  רם גרנות נ' מדינת ישראל</w:t>
      </w:r>
      <w:r w:rsidRPr="00987F99">
        <w:rPr>
          <w:rFonts w:ascii="David" w:hAnsi="David"/>
          <w:b/>
          <w:bCs/>
          <w:rtl/>
        </w:rPr>
        <w:t xml:space="preserve"> </w:t>
      </w:r>
      <w:r w:rsidRPr="00987F99">
        <w:rPr>
          <w:rFonts w:ascii="David" w:hAnsi="David"/>
          <w:rtl/>
        </w:rPr>
        <w:t>[פס' 8 לפסק דינו של כב' הש' הנדל](פורסם בנבו, 8.6.21).</w:t>
      </w:r>
    </w:p>
    <w:p w:rsidR="00987F99" w:rsidRPr="00987F99" w:rsidRDefault="00987F99" w:rsidP="00987F99">
      <w:pPr>
        <w:tabs>
          <w:tab w:val="left" w:pos="800"/>
        </w:tabs>
        <w:overflowPunct w:val="0"/>
        <w:autoSpaceDE w:val="0"/>
        <w:autoSpaceDN w:val="0"/>
        <w:adjustRightInd w:val="0"/>
        <w:spacing w:before="120" w:after="120" w:line="360" w:lineRule="auto"/>
        <w:ind w:left="84" w:right="284"/>
        <w:jc w:val="both"/>
        <w:rPr>
          <w:rFonts w:ascii="David" w:hAnsi="David"/>
          <w:b/>
          <w:bCs/>
          <w:rtl/>
        </w:rPr>
      </w:pPr>
      <w:r w:rsidRPr="00987F99">
        <w:rPr>
          <w:rFonts w:ascii="David" w:hAnsi="David"/>
          <w:rtl/>
        </w:rPr>
        <w:t xml:space="preserve">על רקע שוני זה נשאלת כאמור השאלה האם מדובר בדין מקל. </w:t>
      </w:r>
      <w:r w:rsidRPr="00987F99">
        <w:rPr>
          <w:rFonts w:ascii="David" w:hAnsi="David"/>
          <w:b/>
          <w:bCs/>
          <w:rtl/>
        </w:rPr>
        <w:t xml:space="preserve">בע"פ 640/21 עאמר נ' מדינת ישראל </w:t>
      </w:r>
      <w:r w:rsidRPr="00987F99">
        <w:rPr>
          <w:rFonts w:ascii="David" w:hAnsi="David"/>
          <w:rtl/>
        </w:rPr>
        <w:t>(פורסם בנבו, 7.7.22),</w:t>
      </w:r>
      <w:r w:rsidRPr="00987F99">
        <w:rPr>
          <w:rFonts w:ascii="David" w:hAnsi="David"/>
          <w:b/>
          <w:bCs/>
          <w:rtl/>
        </w:rPr>
        <w:t xml:space="preserve"> </w:t>
      </w:r>
      <w:r w:rsidRPr="00987F99">
        <w:rPr>
          <w:rFonts w:ascii="David" w:hAnsi="David"/>
          <w:rtl/>
        </w:rPr>
        <w:t xml:space="preserve">סבור היה בית המשפט העליון כי אין לראות בדין החדש כמקל: </w:t>
      </w:r>
    </w:p>
    <w:p w:rsidR="00987F99" w:rsidRPr="00987F99" w:rsidRDefault="00987F99" w:rsidP="00A41D2A">
      <w:pPr>
        <w:ind w:left="651" w:right="567"/>
        <w:jc w:val="both"/>
        <w:rPr>
          <w:rFonts w:ascii="David" w:hAnsi="David"/>
          <w:b/>
          <w:bCs/>
          <w:rtl/>
        </w:rPr>
      </w:pPr>
      <w:r w:rsidRPr="00987F99">
        <w:rPr>
          <w:rFonts w:ascii="David" w:hAnsi="David"/>
          <w:b/>
          <w:bCs/>
          <w:rtl/>
        </w:rPr>
        <w:t>"</w:t>
      </w:r>
      <w:r w:rsidRPr="00987F99">
        <w:rPr>
          <w:rFonts w:ascii="David" w:hAnsi="David"/>
          <w:b/>
          <w:bCs/>
          <w:u w:val="single"/>
          <w:rtl/>
        </w:rPr>
        <w:t>סבורני כי שינוי זה אינו מהווה שינוי לקולא ביסודות העבירה או בהגדרתה</w:t>
      </w:r>
      <w:r w:rsidRPr="00987F99">
        <w:rPr>
          <w:rFonts w:ascii="David" w:hAnsi="David"/>
          <w:b/>
          <w:bCs/>
        </w:rPr>
        <w:t xml:space="preserve">: </w:t>
      </w:r>
      <w:r w:rsidRPr="00987F99">
        <w:rPr>
          <w:rFonts w:ascii="David" w:hAnsi="David"/>
          <w:b/>
          <w:bCs/>
          <w:rtl/>
        </w:rPr>
        <w:t xml:space="preserve">מדו"ח ועדת קרמניצר – אשר בחנה את עבירות ההמתה, ובעקבות הדו"ח שהגישה התקבל תיקון 137 – עולה כי ההסדר החדש בדבר קנטור מכוון לשנות את דימויו השגוי של קנטור כמעין צידוק חלקי למעשה המתה [...] הביטוי "כדי למתן את אשמתו", אשר מופיע בסעיף 301ב(ב)(1)(ב) לחוק, נועד למטרה זאת (...) </w:t>
      </w:r>
      <w:r w:rsidRPr="00987F99">
        <w:rPr>
          <w:rFonts w:ascii="David" w:hAnsi="David"/>
          <w:b/>
          <w:bCs/>
          <w:u w:val="single"/>
          <w:rtl/>
        </w:rPr>
        <w:t xml:space="preserve">והוא אינו בבחינת נורמה מקלה </w:t>
      </w:r>
      <w:r w:rsidRPr="00987F99">
        <w:rPr>
          <w:rFonts w:ascii="David" w:hAnsi="David"/>
          <w:b/>
          <w:bCs/>
          <w:rtl/>
        </w:rPr>
        <w:t>– שכן הרף הנורמטיבי, אשר ייושם בכל מקרה ומקרה לגופו, ייקבע בהתאמה לנסיבותיו הפרטיקולריות של מעשה ההמתה, והוא עשוי להיות מקל או מחמיר יותר מאמת-המידה שאותה יישמנו עד כה</w:t>
      </w:r>
      <w:r w:rsidRPr="00987F99">
        <w:rPr>
          <w:rFonts w:ascii="David" w:hAnsi="David"/>
          <w:b/>
          <w:bCs/>
        </w:rPr>
        <w:t>.</w:t>
      </w:r>
      <w:r w:rsidRPr="00987F99">
        <w:rPr>
          <w:rFonts w:ascii="David" w:hAnsi="David"/>
          <w:b/>
          <w:bCs/>
          <w:rtl/>
        </w:rPr>
        <w:t xml:space="preserve">" </w:t>
      </w:r>
      <w:r w:rsidRPr="00987F99">
        <w:rPr>
          <w:rFonts w:ascii="David" w:hAnsi="David"/>
          <w:rtl/>
        </w:rPr>
        <w:t>[פסקה 56 לפסק דינו של כב' הש' שטיין].</w:t>
      </w:r>
    </w:p>
    <w:p w:rsidR="00987F99" w:rsidRPr="00987F99" w:rsidRDefault="00987F99" w:rsidP="00987F99">
      <w:pPr>
        <w:ind w:left="651" w:right="284"/>
        <w:jc w:val="both"/>
        <w:rPr>
          <w:rFonts w:ascii="David" w:hAnsi="David"/>
          <w:b/>
          <w:bCs/>
          <w:rtl/>
        </w:rPr>
      </w:pPr>
    </w:p>
    <w:p w:rsidR="00987F99" w:rsidRPr="00987F99" w:rsidRDefault="00987F99" w:rsidP="00987F99">
      <w:pPr>
        <w:spacing w:before="120" w:after="120" w:line="360" w:lineRule="auto"/>
        <w:ind w:left="84"/>
        <w:jc w:val="both"/>
        <w:rPr>
          <w:rFonts w:ascii="Times New Roman" w:hAnsi="Times New Roman" w:cs="Times New Roman"/>
          <w:rtl/>
        </w:rPr>
      </w:pPr>
      <w:r w:rsidRPr="00987F99">
        <w:rPr>
          <w:rFonts w:ascii="David" w:hAnsi="David"/>
          <w:rtl/>
        </w:rPr>
        <w:t xml:space="preserve">בדומה, בע"פ 7229/20 </w:t>
      </w:r>
      <w:r w:rsidRPr="00987F99">
        <w:rPr>
          <w:rFonts w:ascii="David" w:hAnsi="David"/>
          <w:b/>
          <w:bCs/>
          <w:rtl/>
        </w:rPr>
        <w:t>מירזייב נ' מדינת ישראל</w:t>
      </w:r>
      <w:r w:rsidRPr="00987F99">
        <w:rPr>
          <w:rFonts w:ascii="David" w:hAnsi="David"/>
          <w:rtl/>
        </w:rPr>
        <w:t xml:space="preserve"> (פסקה 33 לפסק דינו של השופט אלרון (פורסם בנבו, 20.12.21) נקבע כי אין המדובר בדין מקל,  תוך הישענות על הזהות של העונש שבפניו ניצב הנאשם גם לאחר השינוי בחוק ולא על הגדרתה החדשה של הקנטור: </w:t>
      </w:r>
      <w:r w:rsidRPr="00987F99">
        <w:rPr>
          <w:rFonts w:ascii="David" w:hAnsi="David"/>
          <w:b/>
          <w:bCs/>
          <w:rtl/>
        </w:rPr>
        <w:t>"לכאורה ניתן היה לטעון, כי סעיף 301ב(ב)(3)</w:t>
      </w:r>
      <w:r w:rsidRPr="00987F99">
        <w:rPr>
          <w:rFonts w:ascii="David" w:hAnsi="David"/>
          <w:b/>
          <w:bCs/>
        </w:rPr>
        <w:t> </w:t>
      </w:r>
      <w:r w:rsidRPr="00987F99">
        <w:rPr>
          <w:rFonts w:ascii="David" w:hAnsi="David"/>
          <w:b/>
          <w:bCs/>
          <w:rtl/>
        </w:rPr>
        <w:t xml:space="preserve">לחוק העונשין, הנושא את הכותרת "המתה בנסיבות של אחריות מופחתת" </w:t>
      </w:r>
      <w:r w:rsidRPr="00987F99">
        <w:rPr>
          <w:rFonts w:ascii="David" w:hAnsi="David"/>
          <w:b/>
          <w:bCs/>
          <w:rtl/>
        </w:rPr>
        <w:lastRenderedPageBreak/>
        <w:t>יכול היה לחול על המקרה דנן, ואולם סעיף זה לא מתקיים בענייננו [...] עבירה זו אינה בבחינת "דין מקל" ביחס לעבירה שבה הורשע המערער (עבירת ההריגה), </w:t>
      </w:r>
      <w:r w:rsidRPr="00987F99">
        <w:rPr>
          <w:rFonts w:ascii="David" w:hAnsi="David"/>
          <w:b/>
          <w:bCs/>
          <w:spacing w:val="10"/>
          <w:rtl/>
        </w:rPr>
        <w:t>שכן העונש בגין שתי העבירות הללו עומד על 20 שנה</w:t>
      </w:r>
      <w:r w:rsidRPr="00987F99">
        <w:rPr>
          <w:rFonts w:ascii="David" w:hAnsi="David"/>
          <w:rtl/>
        </w:rPr>
        <w:t>" (פסקה 33 לפסק דינו של כב' הש' אלרון)</w:t>
      </w:r>
      <w:r w:rsidRPr="00987F99">
        <w:rPr>
          <w:rFonts w:ascii="David" w:hAnsi="David"/>
          <w:shd w:val="clear" w:color="auto" w:fill="FFFFFF"/>
          <w:rtl/>
        </w:rPr>
        <w:t xml:space="preserve">. </w:t>
      </w:r>
    </w:p>
    <w:p w:rsidR="00987F99" w:rsidRPr="00987F99" w:rsidRDefault="00987F99" w:rsidP="00987F99">
      <w:pPr>
        <w:spacing w:before="120" w:after="120" w:line="360" w:lineRule="auto"/>
        <w:jc w:val="both"/>
        <w:rPr>
          <w:rFonts w:ascii="Calibri" w:eastAsia="Calibri" w:hAnsi="Calibri" w:cs="Arial"/>
          <w:rtl/>
        </w:rPr>
      </w:pPr>
      <w:r w:rsidRPr="00987F99">
        <w:rPr>
          <w:rFonts w:ascii="David" w:eastAsia="Calibri" w:hAnsi="David"/>
          <w:rtl/>
        </w:rPr>
        <w:t xml:space="preserve">חרף קביעות אלו, במקרה שלפנינו, לא מצאנו להכריע בסוגיה ואיננו נדרשים לכך. זאת אנו עושים שכן אפילו נצא מנקודת הנחה לפיה מדובר בדין מקל, הרי שגם על פי ההגדרה החדשה של הקנטור, והחלת המבחן הנורמטיבי, הנאשם לא קונטר ואף לא קרוב לכך. </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 xml:space="preserve">באשר למבחן הסובייקטיבי, וכידוע, גם הוא כולל בחובו רכיב נורמטיבי שהרי לא ניתן לראות בכל מעשה קל או אמירה משום התגרות או פרובוקציה. כמצוטט מעלה, יש להראות כי אותם מעשים נטענים הם בעלי פוטנציאל משמעותי של הקנטה והרגזה. בדומה, וכמפורט בדברי ההסבר יש הגורסים כי יש להראות כי מדובר במעשים "בלתי לגיטימיים במהותם". </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 xml:space="preserve">בעניינו "הפרובוקציה" מצד המנוח הייתה בכך שסירב חרף טענות כאלה ואחרות מצדו של הנאשם לעשות שימוש בסמכותו ולבטל את העיקול שהוטל על המיטלטלין. לא איומים קשים, לא עלבונות קשים, לא תקיפה ולא כל דבר הקרוב לכך. עניין לנו בדחיית טענותיו של הנאשם לפיהם שילם כבר את חובו וכי עיקול המיטלטלין נעשה בכתובת שגויה. </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אכן הנאשם לפי דבריו פנה לאנשים שונים במועצה, ניסה לשכנע, עבר מגורם לגורם ואף "טורטר" כפי דבריו 20 פעם מגורם אחד למשנהו. כך גם מוכנים אנו להניח (לצורך הדיון) כי עובר לירי המנוח אמר לו "</w:t>
      </w:r>
      <w:r w:rsidRPr="00987F99">
        <w:rPr>
          <w:rFonts w:ascii="David" w:eastAsia="Calibri" w:hAnsi="David"/>
          <w:b/>
          <w:bCs/>
          <w:rtl/>
        </w:rPr>
        <w:t>לא מעניין אותי כלום, תעשה מה שאתה רוצה</w:t>
      </w:r>
      <w:r w:rsidRPr="00987F99">
        <w:rPr>
          <w:rFonts w:ascii="David" w:eastAsia="Calibri" w:hAnsi="David"/>
          <w:rtl/>
        </w:rPr>
        <w:t>". ודוק, מכלול התיאורים מלמד כי דובר במחלוקת כספית בין תושב לרשות מקומית, מעין טענת "פרעתי", שלא התקבלה על ידי המנוח. קביעת בית המשפט במסגרת תיק ניסיון הרצח לפיה הנאשם נשמע מטיח במנוח עובר לכך שירה בו "</w:t>
      </w:r>
      <w:r w:rsidRPr="00987F99">
        <w:rPr>
          <w:rFonts w:ascii="David" w:eastAsia="Calibri" w:hAnsi="David"/>
          <w:b/>
          <w:bCs/>
          <w:rtl/>
        </w:rPr>
        <w:t>מי אתה שתגיד לי מה לשלם</w:t>
      </w:r>
      <w:r w:rsidRPr="00987F99">
        <w:rPr>
          <w:rFonts w:ascii="David" w:eastAsia="Calibri" w:hAnsi="David"/>
          <w:rtl/>
        </w:rPr>
        <w:t xml:space="preserve">" (עמ' 69 להכרעת הדין) מתיישבת אף היא עם האמור. </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 xml:space="preserve">אין לראות בהתנהלותו של </w:t>
      </w:r>
      <w:r w:rsidR="00CC6733">
        <w:rPr>
          <w:rFonts w:ascii="David" w:eastAsia="Calibri" w:hAnsi="David"/>
          <w:rtl/>
        </w:rPr>
        <w:t>ת.מ</w:t>
      </w:r>
      <w:r w:rsidRPr="00987F99">
        <w:rPr>
          <w:rFonts w:ascii="David" w:eastAsia="Calibri" w:hAnsi="David"/>
          <w:rtl/>
        </w:rPr>
        <w:t xml:space="preserve"> ככזו שעונה לרכיב הנורמטיבי של ה"התגרות", ובוודאי לא כאלה שיש לראותם כ"מעשים בלתי לגיטימיים במהותם". אדרבא, </w:t>
      </w:r>
      <w:r w:rsidR="00CC6733">
        <w:rPr>
          <w:rFonts w:ascii="David" w:eastAsia="Calibri" w:hAnsi="David"/>
          <w:rtl/>
        </w:rPr>
        <w:t>ת.מ</w:t>
      </w:r>
      <w:r w:rsidRPr="00987F99">
        <w:rPr>
          <w:rFonts w:ascii="David" w:eastAsia="Calibri" w:hAnsi="David"/>
          <w:rtl/>
        </w:rPr>
        <w:t xml:space="preserve"> ביקש כפי הנלמד לבצע נאמנה את משרתו המורכבת במסגרת "יום עיקולים" שבוצע באותה העת. קביעה כי ההתנהלות הנטענת של </w:t>
      </w:r>
      <w:r w:rsidR="00CC6733">
        <w:rPr>
          <w:rFonts w:ascii="David" w:eastAsia="Calibri" w:hAnsi="David"/>
          <w:rtl/>
        </w:rPr>
        <w:t>ת.מ</w:t>
      </w:r>
      <w:r w:rsidRPr="00987F99">
        <w:rPr>
          <w:rFonts w:ascii="David" w:eastAsia="Calibri" w:hAnsi="David"/>
          <w:rtl/>
        </w:rPr>
        <w:t xml:space="preserve"> ששימש כמנהל מחלקת גבייה, היא בבחינת התגרות לצורך שאלת הקנטור, אינה מקובלת </w:t>
      </w:r>
      <w:r w:rsidRPr="00987F99">
        <w:rPr>
          <w:rFonts w:ascii="David" w:eastAsia="Calibri" w:hAnsi="David"/>
          <w:u w:val="single"/>
          <w:rtl/>
        </w:rPr>
        <w:t>ואף אינה ראויה</w:t>
      </w:r>
      <w:r w:rsidRPr="00987F99">
        <w:rPr>
          <w:rFonts w:ascii="David" w:eastAsia="Calibri" w:hAnsi="David"/>
          <w:rtl/>
        </w:rPr>
        <w:t>. עמדת</w:t>
      </w:r>
      <w:r w:rsidR="008E5FF0">
        <w:rPr>
          <w:rFonts w:ascii="David" w:eastAsia="Calibri" w:hAnsi="David" w:hint="cs"/>
          <w:rtl/>
        </w:rPr>
        <w:t>נ</w:t>
      </w:r>
      <w:r w:rsidRPr="00987F99">
        <w:rPr>
          <w:rFonts w:ascii="David" w:eastAsia="Calibri" w:hAnsi="David"/>
          <w:rtl/>
        </w:rPr>
        <w:t xml:space="preserve">ו בעינה הייתה עומדת גם אם היו תימוכין לכל טענותיו של הנאשם לפיהם העיקול לא היה מוצדק ובוצע בטעות בביתה של בתו, ובעניין זה אף שבית המשפט לא קבע מסמרות בעניין, הוא נטה שלא לקבל טענתו בעניין (ר' עמ' 82 להכרעת הדין). </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גם בנוגע לרכיב הסובייקטיבי ה"טהור" לא השתכנענו כי</w:t>
      </w:r>
      <w:r w:rsidRPr="00987F99">
        <w:rPr>
          <w:rFonts w:ascii="David" w:eastAsia="Calibri" w:hAnsi="David"/>
          <w:b/>
          <w:bCs/>
          <w:rtl/>
        </w:rPr>
        <w:t xml:space="preserve"> </w:t>
      </w:r>
      <w:r w:rsidRPr="00987F99">
        <w:rPr>
          <w:rFonts w:ascii="David" w:eastAsia="Calibri" w:hAnsi="David"/>
          <w:rtl/>
        </w:rPr>
        <w:t xml:space="preserve">מעשיו של </w:t>
      </w:r>
      <w:r w:rsidR="00CC6733">
        <w:rPr>
          <w:rFonts w:ascii="David" w:eastAsia="Calibri" w:hAnsi="David"/>
          <w:rtl/>
        </w:rPr>
        <w:t>ת.מ</w:t>
      </w:r>
      <w:r w:rsidRPr="00987F99">
        <w:rPr>
          <w:rFonts w:ascii="David" w:eastAsia="Calibri" w:hAnsi="David"/>
          <w:rtl/>
        </w:rPr>
        <w:t xml:space="preserve"> הביאו את הנאשם  </w:t>
      </w:r>
      <w:r w:rsidRPr="00987F99">
        <w:rPr>
          <w:rFonts w:ascii="David" w:eastAsia="Calibri" w:hAnsi="David"/>
          <w:b/>
          <w:bCs/>
          <w:rtl/>
        </w:rPr>
        <w:t>לתגובה אמוציונלית עזה אשר פגעה בצורה קשה ביכולת השליטה העצמית שלו</w:t>
      </w:r>
      <w:r w:rsidRPr="00987F99">
        <w:rPr>
          <w:rFonts w:ascii="David" w:eastAsia="Calibri" w:hAnsi="David"/>
          <w:rtl/>
        </w:rPr>
        <w:t xml:space="preserve">. נדגיש כי בשונה מהנטען על ידי ההגנה, בית המשפט במסגרת תיק ניסיון הרצח לא קבע בבוחנו את הקנטור (בנוסחו הקודם) כי הנאשם עמד במבחן הסובייקטיבי. בית המשפט ראה לנכון שלא להידרש לעניין זה נוכח המסקנה </w:t>
      </w:r>
      <w:r w:rsidRPr="00987F99">
        <w:rPr>
          <w:rFonts w:ascii="David" w:eastAsia="Calibri" w:hAnsi="David"/>
          <w:rtl/>
        </w:rPr>
        <w:lastRenderedPageBreak/>
        <w:t>הברורה כי "אדם סביר" לא עשוי היה לנסות ולקפח חיים של אחר בשל רוגזו על הליכי עיקול לא מוצדקים. הדברים צוינו במפורש בפתח מסקנתו זו, עת נכתב כי "</w:t>
      </w:r>
      <w:r w:rsidRPr="00987F99">
        <w:rPr>
          <w:rFonts w:ascii="David" w:eastAsia="Calibri" w:hAnsi="David"/>
          <w:b/>
          <w:bCs/>
          <w:rtl/>
        </w:rPr>
        <w:t xml:space="preserve">גם אם </w:t>
      </w:r>
      <w:r w:rsidRPr="00987F99">
        <w:rPr>
          <w:rFonts w:ascii="David" w:eastAsia="Calibri" w:hAnsi="David"/>
          <w:b/>
          <w:bCs/>
          <w:u w:val="single"/>
          <w:rtl/>
        </w:rPr>
        <w:t>נניח לצורך הדיון</w:t>
      </w:r>
      <w:r w:rsidRPr="00987F99">
        <w:rPr>
          <w:rFonts w:ascii="David" w:eastAsia="Calibri" w:hAnsi="David"/>
          <w:b/>
          <w:bCs/>
          <w:rtl/>
        </w:rPr>
        <w:t xml:space="preserve"> – </w:t>
      </w:r>
      <w:r w:rsidRPr="00987F99">
        <w:rPr>
          <w:rFonts w:ascii="David" w:eastAsia="Calibri" w:hAnsi="David"/>
          <w:b/>
          <w:bCs/>
          <w:u w:val="single"/>
          <w:rtl/>
        </w:rPr>
        <w:t>הנחה שקשה לבחנה נוכח הכחשת הנאשם כי ביצע ירי מכוון</w:t>
      </w:r>
      <w:r w:rsidRPr="00987F99">
        <w:rPr>
          <w:rFonts w:ascii="David" w:eastAsia="Calibri" w:hAnsi="David"/>
          <w:b/>
          <w:bCs/>
          <w:rtl/>
        </w:rPr>
        <w:t xml:space="preserve"> – כי הושפע סובייקטיבית...</w:t>
      </w:r>
      <w:r w:rsidRPr="00987F99">
        <w:rPr>
          <w:rFonts w:ascii="David" w:eastAsia="Calibri" w:hAnsi="David"/>
          <w:rtl/>
        </w:rPr>
        <w:t xml:space="preserve">" (שם, עמ' 83).  </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יתרה מכך, חלק ממצאי העובדה של בית המשפט בהליך הקודם מלמדים דווקא על קור רוחו של הנאשם ולאו דווקא על אובדן עשתונות. כך, נציין את קביעתו לפיה השיחה בחדרו של הגזבר עובר לירי "</w:t>
      </w:r>
      <w:r w:rsidRPr="00987F99">
        <w:rPr>
          <w:rFonts w:ascii="David" w:eastAsia="Calibri" w:hAnsi="David"/>
          <w:b/>
          <w:bCs/>
          <w:rtl/>
        </w:rPr>
        <w:t>לא עלתה לטונים גבוהים וכלל לא משכה את תשומת ליבן של העדות</w:t>
      </w:r>
      <w:r w:rsidRPr="00987F99">
        <w:rPr>
          <w:rFonts w:ascii="David" w:eastAsia="Calibri" w:hAnsi="David"/>
          <w:rtl/>
        </w:rPr>
        <w:t xml:space="preserve">" (שם, עמ' 69); את הקביעה כי הנאשם, בשונה ממנהגו, הגיע למועצה כשהוא נושא על גופו את האקדח הגם שקיים ספק האם הנשק הובא למטרות איום או ירי (שם, עמ' 73, עמ' 80); את הקביעה לפיה לאחר הירי הנאשם עמד בסמוך לגופו של </w:t>
      </w:r>
      <w:r w:rsidR="00CC6733">
        <w:rPr>
          <w:rFonts w:ascii="David" w:eastAsia="Calibri" w:hAnsi="David"/>
          <w:rtl/>
        </w:rPr>
        <w:t>ת.מ</w:t>
      </w:r>
      <w:r w:rsidRPr="00987F99">
        <w:rPr>
          <w:rFonts w:ascii="David" w:eastAsia="Calibri" w:hAnsi="David"/>
          <w:rtl/>
        </w:rPr>
        <w:t xml:space="preserve"> בעודו פצוע אנושות "</w:t>
      </w:r>
      <w:r w:rsidRPr="00987F99">
        <w:rPr>
          <w:rFonts w:ascii="David" w:eastAsia="Calibri" w:hAnsi="David"/>
          <w:b/>
          <w:bCs/>
          <w:rtl/>
        </w:rPr>
        <w:t>והתבונן בנעשה בלא לנקוף אצבע כדי להושיט לו עזרה, או למצער, לצעוק כי מדובר בירי לא מכוון, ולאחר מכן סר על עקבותיו והלך לעבר חדר הגזבר ללא גילוי חרטה כלשהי. בעניין זה, נציין, כי טענת הנאשם כי הניח את האקדח מיד לאחר מכן מיזמתו, על שולחן הגזבר – ככל שהדברים אינם מדויקים – מצביעה על כך כי היה מודע לנעשה סביבו, כשם שהיה מודע לפעולות הכנת הנשק לירי, שניות אחדות קודם לכן</w:t>
      </w:r>
      <w:r w:rsidRPr="00987F99">
        <w:rPr>
          <w:rFonts w:ascii="David" w:eastAsia="Calibri" w:hAnsi="David"/>
          <w:rtl/>
        </w:rPr>
        <w:t>" (שם, עמ' 81). פועל יוצא של הדברים כי לא הונחה בפני בית המשפט תשתית ראייתית מספקת בהליך הקודם וכך גם בהליך שבפנינו, ללמד על "תגובה אמוציונלית עזה" להתגרות אשר פגעה בצורה קשה ביכולת השליטה העצמית של הנאשם.</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 xml:space="preserve">ולמעלה מצרכי צרכי העניין, גם אם נניח שיש לראות בהתנהלותו של </w:t>
      </w:r>
      <w:r w:rsidR="00CC6733">
        <w:rPr>
          <w:rFonts w:ascii="David" w:eastAsia="Calibri" w:hAnsi="David"/>
          <w:rtl/>
        </w:rPr>
        <w:t>ת.מ</w:t>
      </w:r>
      <w:r w:rsidRPr="00987F99">
        <w:rPr>
          <w:rFonts w:ascii="David" w:eastAsia="Calibri" w:hAnsi="David"/>
          <w:rtl/>
        </w:rPr>
        <w:t xml:space="preserve"> משום התגרות העונה על הרכיב הנורמטיבי במבחן הסובייקטיבי, וגם אם נמצא כי מבחינה סובייקטיבית אכן הנאשם הגיע לכדי פגיעה ניכרת בשליטתו העצמית (ואין זו קביעתנו); הרי שבמובהק אין לראות בהתנהלותו זו, בצירוף כל הנסיבות הרלוונטיות, ככאלה שיש בהן משום "למתן את אשמתו של הנאשם". בפרט אין לדבר על יחס הולם בין טיב ומידת ההתגרות לבין הפגיעה הניכרת בשליטה העצמית. החלת מבחן ערכי וחברתי על התנהלותו של הנאשם בנסיבות העניין, לא רק שאינה מלמדת על מיתון תחושת האשם, אלא "צובעת" את התנהלותו של הנאשם בחומרה יתרה. </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"תחושת הצדק האנושית"</w:t>
      </w:r>
      <w:r w:rsidRPr="00987F99">
        <w:rPr>
          <w:rFonts w:ascii="Calibri" w:eastAsia="Calibri" w:hAnsi="Calibri" w:cs="Arial"/>
          <w:sz w:val="22"/>
          <w:szCs w:val="22"/>
          <w:rtl/>
        </w:rPr>
        <w:t xml:space="preserve"> </w:t>
      </w:r>
      <w:r w:rsidRPr="00987F99">
        <w:rPr>
          <w:rFonts w:ascii="David" w:eastAsia="Calibri" w:hAnsi="David"/>
          <w:rtl/>
        </w:rPr>
        <w:t xml:space="preserve">אינה מאפשרת הקלה באחריותו של נאשם שהביא לקטילת חייו של עובד ציבור אך בשל כך שמילא את תפקידו, תפקיד שממילא הוא מורכב, קשה, ולא אחת דורש תעצומות נפש נוכח החיכוך המובנה הנגזר מהליכי גבייה ועיקול. </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b/>
          <w:bCs/>
          <w:rtl/>
        </w:rPr>
        <w:t>לסיכום פרק זה</w:t>
      </w:r>
      <w:r w:rsidRPr="00987F99">
        <w:rPr>
          <w:rFonts w:ascii="David" w:eastAsia="Calibri" w:hAnsi="David"/>
          <w:rtl/>
        </w:rPr>
        <w:t xml:space="preserve">: מלכתחילה, נוכח גרסת הנאשם אז כהיום, ספק רב האם ישנה תשתית עובדתית המצדיקה בחינתו של הקנטור; ספק האם מדובר בדין מקל; הנאשם אינו עומד במבחן הנורמטיבי הסובייקטיבי והראיות בנוגע לפגיעה הקשה בשליטתו העצמית דלות ביותר; ואם בכך לא די, הנאשם אינו עומד במבחן הנורמטיבי. מכל האמור, דינה של טענת הקנטור להידחות מכל וכל. </w:t>
      </w:r>
    </w:p>
    <w:p w:rsidR="00CC6733" w:rsidRDefault="00CC6733" w:rsidP="00987F99">
      <w:pPr>
        <w:spacing w:before="120" w:after="120" w:line="360" w:lineRule="auto"/>
        <w:jc w:val="center"/>
        <w:rPr>
          <w:rFonts w:ascii="David" w:eastAsia="Calibri" w:hAnsi="David"/>
          <w:b/>
          <w:bCs/>
          <w:u w:val="single"/>
          <w:rtl/>
        </w:rPr>
      </w:pPr>
    </w:p>
    <w:p w:rsidR="00987F99" w:rsidRPr="00987F99" w:rsidRDefault="00987F99" w:rsidP="00987F99">
      <w:pPr>
        <w:spacing w:before="120" w:after="120" w:line="360" w:lineRule="auto"/>
        <w:jc w:val="center"/>
        <w:rPr>
          <w:rFonts w:ascii="David" w:eastAsia="Calibri" w:hAnsi="David"/>
          <w:b/>
          <w:bCs/>
          <w:u w:val="single"/>
          <w:rtl/>
        </w:rPr>
      </w:pPr>
      <w:r w:rsidRPr="00987F99">
        <w:rPr>
          <w:rFonts w:ascii="David" w:eastAsia="Calibri" w:hAnsi="David"/>
          <w:b/>
          <w:bCs/>
          <w:u w:val="single"/>
          <w:rtl/>
        </w:rPr>
        <w:lastRenderedPageBreak/>
        <w:t>יסודות עבירת הרצח לאחר תיקון 137 – היסוד הנפשי:</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 xml:space="preserve">הצדדים מיקדו טיעוניהם ביחס לקשר הסיבתי וטענת הקנטור וכלל לא נדרשו לשאלת היסוד הנפשי לאחר תיקון 137. הואיל ושאלה זו נדמה כי לא הייתה במחלוקת, התייחסותנו לסוגיה זו תעשה בקצרה. </w:t>
      </w:r>
    </w:p>
    <w:p w:rsidR="00987F99" w:rsidRPr="00987F99" w:rsidRDefault="00987F99" w:rsidP="00987F99">
      <w:pPr>
        <w:spacing w:before="120" w:after="120" w:line="360" w:lineRule="auto"/>
        <w:rPr>
          <w:rFonts w:ascii="David" w:eastAsia="Calibri" w:hAnsi="David"/>
          <w:b/>
          <w:bCs/>
          <w:rtl/>
        </w:rPr>
      </w:pPr>
      <w:r w:rsidRPr="00987F99">
        <w:rPr>
          <w:rFonts w:ascii="David" w:eastAsia="Calibri" w:hAnsi="David"/>
          <w:rtl/>
        </w:rPr>
        <w:t xml:space="preserve">זוהי הוראת </w:t>
      </w:r>
      <w:r w:rsidRPr="00987F99">
        <w:rPr>
          <w:rFonts w:ascii="David" w:eastAsia="Calibri" w:hAnsi="David"/>
          <w:b/>
          <w:bCs/>
          <w:rtl/>
        </w:rPr>
        <w:t>סעיף 300(א) לחוק</w:t>
      </w:r>
      <w:r w:rsidRPr="00987F99">
        <w:rPr>
          <w:rFonts w:ascii="David" w:eastAsia="Calibri" w:hAnsi="David"/>
          <w:rtl/>
        </w:rPr>
        <w:t xml:space="preserve"> לאחר תיקון 137 שכותרתה "רצח" המיוחסת לנאשם: </w:t>
      </w:r>
    </w:p>
    <w:p w:rsidR="00987F99" w:rsidRPr="00987F99" w:rsidRDefault="00987F99" w:rsidP="00987F99">
      <w:pPr>
        <w:spacing w:before="120" w:after="120" w:line="360" w:lineRule="auto"/>
        <w:rPr>
          <w:rFonts w:ascii="David" w:eastAsia="Calibri" w:hAnsi="David"/>
          <w:b/>
          <w:bCs/>
          <w:rtl/>
        </w:rPr>
      </w:pPr>
      <w:r w:rsidRPr="00987F99">
        <w:rPr>
          <w:rFonts w:ascii="David" w:eastAsia="Calibri" w:hAnsi="David"/>
          <w:rtl/>
        </w:rPr>
        <w:t>"</w:t>
      </w:r>
      <w:r w:rsidRPr="00987F99">
        <w:rPr>
          <w:rFonts w:ascii="David" w:eastAsia="Calibri" w:hAnsi="David"/>
          <w:b/>
          <w:bCs/>
          <w:rtl/>
        </w:rPr>
        <w:t xml:space="preserve">(א)  הגורם </w:t>
      </w:r>
      <w:r w:rsidRPr="00987F99">
        <w:rPr>
          <w:rFonts w:ascii="David" w:eastAsia="Calibri" w:hAnsi="David"/>
          <w:b/>
          <w:bCs/>
          <w:u w:val="single"/>
          <w:rtl/>
        </w:rPr>
        <w:t>בכוונה או באדישות</w:t>
      </w:r>
      <w:r w:rsidRPr="00987F99">
        <w:rPr>
          <w:rFonts w:ascii="David" w:eastAsia="Calibri" w:hAnsi="David"/>
          <w:b/>
          <w:bCs/>
          <w:rtl/>
        </w:rPr>
        <w:t xml:space="preserve"> למותו של אדם, דינו – מאסר עולם</w:t>
      </w:r>
      <w:r w:rsidRPr="00987F99">
        <w:rPr>
          <w:rFonts w:ascii="David" w:eastAsia="Calibri" w:hAnsi="David"/>
          <w:rtl/>
        </w:rPr>
        <w:t>".</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 xml:space="preserve">בית המשפט המחוזי במסגרת תיק ניסיון הרצח, בחן את שאלת היסוד הנפשי הנלווה לעבירת ניסיון הרצח בהתאם להלכה שנקבעה בע"פ 1474/14 </w:t>
      </w:r>
      <w:r w:rsidRPr="00987F99">
        <w:rPr>
          <w:rFonts w:ascii="David" w:eastAsia="Calibri" w:hAnsi="David"/>
          <w:b/>
          <w:bCs/>
          <w:rtl/>
        </w:rPr>
        <w:t>פלוני נ' מדינת ישראל</w:t>
      </w:r>
      <w:r w:rsidRPr="00987F99">
        <w:rPr>
          <w:rFonts w:ascii="David" w:eastAsia="Calibri" w:hAnsi="David"/>
          <w:rtl/>
        </w:rPr>
        <w:t xml:space="preserve"> (פורסם בנבו, 15.12.15) (להלן "</w:t>
      </w:r>
      <w:r w:rsidRPr="00987F99">
        <w:rPr>
          <w:rFonts w:ascii="David" w:eastAsia="Calibri" w:hAnsi="David"/>
          <w:b/>
          <w:bCs/>
          <w:rtl/>
        </w:rPr>
        <w:t>הלכת פלוני</w:t>
      </w:r>
      <w:r w:rsidRPr="00987F99">
        <w:rPr>
          <w:rFonts w:ascii="David" w:eastAsia="Calibri" w:hAnsi="David"/>
          <w:rtl/>
        </w:rPr>
        <w:t xml:space="preserve">") (שביטלה את הלכת דרעי כאמור בע"פ 155/59). בהתאם להלכת פלוני, יש צורך להוכיח את היסוד הנפשי הנדרש לעבירה המוגמרת אותה ניסה הנאשם לבצע, היינו עבירת הרצח. יסוד זה היה של </w:t>
      </w:r>
      <w:r w:rsidRPr="00987F99">
        <w:rPr>
          <w:rFonts w:ascii="David" w:eastAsia="Calibri" w:hAnsi="David"/>
          <w:u w:val="single"/>
          <w:rtl/>
        </w:rPr>
        <w:t>כוונה תחילה</w:t>
      </w:r>
      <w:r w:rsidRPr="00987F99">
        <w:rPr>
          <w:rFonts w:ascii="David" w:eastAsia="Calibri" w:hAnsi="David"/>
          <w:rtl/>
        </w:rPr>
        <w:t xml:space="preserve"> אשר הורכבה משלושה רכיבים "החלטה להמית", "הכנה" ו"העדר קנטור". </w:t>
      </w:r>
    </w:p>
    <w:p w:rsidR="00987F99" w:rsidRPr="00987F99" w:rsidRDefault="00987F99" w:rsidP="00987F99">
      <w:pPr>
        <w:spacing w:before="120" w:after="120" w:line="360" w:lineRule="auto"/>
        <w:jc w:val="both"/>
        <w:rPr>
          <w:rFonts w:ascii="David" w:eastAsia="Calibri" w:hAnsi="David"/>
          <w:rtl/>
        </w:rPr>
      </w:pPr>
      <w:r w:rsidRPr="00987F99">
        <w:rPr>
          <w:rFonts w:ascii="David" w:eastAsia="Calibri" w:hAnsi="David"/>
          <w:rtl/>
        </w:rPr>
        <w:t xml:space="preserve">כיום, בעקבות תיקון 137, רכיב הקנטור הפך להיות חלק מיסודות "המתה בנסיבות של אחריות מופחתת" כאשר לעבירת ה"רצח בסיסי" כאמור בסעיף 300(א) לחוק, די בקיומו של יסוד נפשי בדמות "כוונה" או "אדישות". מתוך שהוכחה כוונה תחילה שנלוותה למעשיו של הנאשם, קל וחומר כי גם כיום הוכח יסוד נפשי של כוונה. הגם שהדברים ברורים מאליהם, נוסיף כי במישור השכלי רצוני אין חולק כי מי שיורה בראשו של אדם מטווח קרוב עם אקדח 9 מ"מ, צופה את התוצאה הקטלנית, ומתכוון לתוצאות הטבעיות הנובעות ממעשיו. באין כל ראיות לסתור, הוא מוחזק כמי שצפה את התוצאה ורצה בה (ר', בין היתר, ע"פ 228/01 </w:t>
      </w:r>
      <w:r w:rsidRPr="00987F99">
        <w:rPr>
          <w:rFonts w:ascii="David" w:eastAsia="Calibri" w:hAnsi="David"/>
          <w:b/>
          <w:bCs/>
          <w:rtl/>
        </w:rPr>
        <w:t>יעקב כלב נ' מדינת ישראל</w:t>
      </w:r>
      <w:r w:rsidRPr="00987F99">
        <w:rPr>
          <w:rFonts w:ascii="David" w:eastAsia="Calibri" w:hAnsi="David"/>
          <w:rtl/>
        </w:rPr>
        <w:t xml:space="preserve"> (פורסם בנבו, 2.7.03); ע"פ 357/95 </w:t>
      </w:r>
      <w:r w:rsidRPr="00987F99">
        <w:rPr>
          <w:rFonts w:ascii="David" w:eastAsia="Calibri" w:hAnsi="David"/>
          <w:b/>
          <w:bCs/>
          <w:rtl/>
        </w:rPr>
        <w:t>ויצמן נ' מדינת ישראל</w:t>
      </w:r>
      <w:r w:rsidRPr="00987F99">
        <w:rPr>
          <w:rFonts w:ascii="David" w:eastAsia="Calibri" w:hAnsi="David"/>
          <w:rtl/>
        </w:rPr>
        <w:t xml:space="preserve">, פ"ד נא(4) )577. </w:t>
      </w:r>
    </w:p>
    <w:p w:rsidR="00987F99" w:rsidRPr="00987F99" w:rsidRDefault="00987F99" w:rsidP="00987F99">
      <w:pPr>
        <w:spacing w:before="120" w:after="120" w:line="360" w:lineRule="auto"/>
        <w:jc w:val="both"/>
        <w:rPr>
          <w:rFonts w:ascii="David" w:eastAsia="Calibri" w:hAnsi="David"/>
          <w:b/>
          <w:bCs/>
          <w:u w:val="single"/>
          <w:rtl/>
        </w:rPr>
      </w:pPr>
      <w:r w:rsidRPr="00987F99">
        <w:rPr>
          <w:rFonts w:ascii="David" w:eastAsia="Calibri" w:hAnsi="David"/>
          <w:b/>
          <w:bCs/>
          <w:u w:val="single"/>
          <w:rtl/>
        </w:rPr>
        <w:t>סוף דבר:</w:t>
      </w:r>
    </w:p>
    <w:p w:rsidR="00870F64" w:rsidRPr="00987F99" w:rsidRDefault="00987F99" w:rsidP="00987F99">
      <w:pPr>
        <w:spacing w:before="120" w:after="120" w:line="360" w:lineRule="auto"/>
        <w:jc w:val="both"/>
        <w:rPr>
          <w:rFonts w:ascii="David" w:eastAsia="Calibri" w:hAnsi="David"/>
          <w:b/>
          <w:bCs/>
          <w:u w:val="single"/>
          <w:rtl/>
        </w:rPr>
      </w:pPr>
      <w:r w:rsidRPr="00987F99">
        <w:rPr>
          <w:rFonts w:ascii="David" w:eastAsia="Calibri" w:hAnsi="David"/>
          <w:rtl/>
        </w:rPr>
        <w:t xml:space="preserve">בהסתמך על הקביעות העובדתיות והמשפטיות של בית המשפט במסגרת תיק ניסיון הרצח, כאשר הוכח לפנינו קשר סיבתי בין הירייה שירה הנאשם בראשו של </w:t>
      </w:r>
      <w:r w:rsidR="00CC6733">
        <w:rPr>
          <w:rFonts w:ascii="David" w:eastAsia="Calibri" w:hAnsi="David"/>
          <w:rtl/>
        </w:rPr>
        <w:t>ת.מ</w:t>
      </w:r>
      <w:r w:rsidRPr="00987F99">
        <w:rPr>
          <w:rFonts w:ascii="David" w:eastAsia="Calibri" w:hAnsi="David"/>
          <w:rtl/>
        </w:rPr>
        <w:t xml:space="preserve"> לפטירתו בחלוף חמש שנים, ומתוך ששללנו קיומה של אחריות מופחתת, אנו מרשיעים את הנאשם ברצח, עבירה לפי סעיף 300(א) לחוק העונשין, התשל"ז-1977. </w:t>
      </w:r>
    </w:p>
    <w:p w:rsidR="00870F64" w:rsidRPr="00CC6733" w:rsidRDefault="0051562C" w:rsidP="00987F99">
      <w:pPr>
        <w:rPr>
          <w:rFonts w:ascii="Arial" w:hAnsi="Arial"/>
          <w:b/>
          <w:bCs/>
          <w:rtl/>
        </w:rPr>
      </w:pPr>
      <w:r w:rsidRPr="00CC6733">
        <w:rPr>
          <w:rFonts w:ascii="Arial" w:hAnsi="Arial"/>
          <w:b/>
          <w:bCs/>
          <w:rtl/>
        </w:rPr>
        <w:t xml:space="preserve">ניתנה </w:t>
      </w:r>
      <w:r w:rsidR="0020644E" w:rsidRPr="00CC6733">
        <w:rPr>
          <w:rFonts w:ascii="Arial" w:hAnsi="Arial" w:hint="cs"/>
          <w:b/>
          <w:bCs/>
          <w:rtl/>
        </w:rPr>
        <w:t xml:space="preserve">היום, </w:t>
      </w:r>
      <w:sdt>
        <w:sdtPr>
          <w:rPr>
            <w:b/>
            <w:bCs/>
            <w:rtl/>
          </w:rPr>
          <w:alias w:val="1455"/>
          <w:tag w:val="1455"/>
          <w:id w:val="-1984149291"/>
          <w:text w:multiLine="1"/>
        </w:sdtPr>
        <w:sdtEndPr/>
        <w:sdtContent>
          <w:r>
            <w:rPr>
              <w:rFonts w:ascii="Arial" w:hAnsi="Arial" w:hint="cs"/>
              <w:b/>
              <w:bCs/>
              <w:rtl/>
            </w:rPr>
            <w:t>ז' טבת תשפ"ד</w:t>
          </w:r>
        </w:sdtContent>
      </w:sdt>
      <w:r w:rsidRPr="00CC6733">
        <w:rPr>
          <w:rFonts w:ascii="Arial" w:hAnsi="Arial"/>
          <w:b/>
          <w:bCs/>
          <w:rtl/>
        </w:rPr>
        <w:t xml:space="preserve">, </w:t>
      </w:r>
      <w:sdt>
        <w:sdtPr>
          <w:rPr>
            <w:b/>
            <w:bCs/>
            <w:rtl/>
          </w:rPr>
          <w:alias w:val="1456"/>
          <w:tag w:val="1456"/>
          <w:id w:val="1681311558"/>
          <w:text w:multiLine="1"/>
        </w:sdtPr>
        <w:sdtEndPr/>
        <w:sdtContent>
          <w:r>
            <w:rPr>
              <w:rFonts w:ascii="Arial" w:hAnsi="Arial" w:hint="cs"/>
              <w:b/>
              <w:bCs/>
              <w:rtl/>
            </w:rPr>
            <w:t>19 דצמבר 2023</w:t>
          </w:r>
        </w:sdtContent>
      </w:sdt>
      <w:r w:rsidRPr="00CC6733">
        <w:rPr>
          <w:rFonts w:ascii="Arial" w:hAnsi="Arial"/>
          <w:b/>
          <w:bCs/>
          <w:rtl/>
        </w:rPr>
        <w:t>, במעמד הצדדים</w:t>
      </w:r>
    </w:p>
    <w:p w:rsidR="00AE60C8" w:rsidRDefault="00AE60C8" w:rsidP="00AE60C8">
      <w:pPr>
        <w:tabs>
          <w:tab w:val="left" w:pos="1625"/>
        </w:tabs>
        <w:jc w:val="center"/>
        <w:rPr>
          <w:rtl/>
        </w:rPr>
      </w:pPr>
    </w:p>
    <w:tbl>
      <w:tblPr>
        <w:tblStyle w:val="a5"/>
        <w:tblpPr w:leftFromText="180" w:rightFromText="180" w:vertAnchor="text" w:horzAnchor="margin" w:tblpXSpec="center" w:tblpY="35"/>
        <w:bidiVisual/>
        <w:tblW w:w="86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891"/>
        <w:gridCol w:w="2891"/>
        <w:gridCol w:w="2891"/>
      </w:tblGrid>
      <w:tr w:rsidR="00987F99" w:rsidTr="00987F99">
        <w:tc>
          <w:tcPr>
            <w:tcW w:w="2891" w:type="dxa"/>
            <w:vAlign w:val="center"/>
            <w:hideMark/>
          </w:tcPr>
          <w:p w:rsidR="00987F99" w:rsidRDefault="00987F99" w:rsidP="00CC6733">
            <w:pPr>
              <w:jc w:val="center"/>
              <w:rPr>
                <w:rFonts w:ascii="Times New Roman" w:hAnsi="Times New Roman" w:cs="Times New Roman"/>
                <w:rtl/>
              </w:rPr>
            </w:pPr>
            <w:r>
              <w:rPr>
                <w:noProof/>
              </w:rPr>
              <w:drawing>
                <wp:inline distT="0" distB="0" distL="0" distR="0">
                  <wp:extent cx="1028700" cy="428625"/>
                  <wp:effectExtent l="0" t="0" r="0" b="9525"/>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28700" cy="428625"/>
                          </a:xfrm>
                          <a:prstGeom prst="rect">
                            <a:avLst/>
                          </a:prstGeom>
                          <a:noFill/>
                          <a:ln>
                            <a:noFill/>
                          </a:ln>
                        </pic:spPr>
                      </pic:pic>
                    </a:graphicData>
                  </a:graphic>
                </wp:inline>
              </w:drawing>
            </w:r>
          </w:p>
        </w:tc>
        <w:tc>
          <w:tcPr>
            <w:tcW w:w="2891" w:type="dxa"/>
            <w:vAlign w:val="center"/>
            <w:hideMark/>
          </w:tcPr>
          <w:p w:rsidR="00987F99" w:rsidRDefault="00CC6733" w:rsidP="004D671B">
            <w:pPr>
              <w:jc w:val="right"/>
            </w:pPr>
            <w:r>
              <w:t xml:space="preserve">           </w:t>
            </w:r>
            <w:r w:rsidR="00987F99">
              <w:rPr>
                <w:noProof/>
              </w:rPr>
              <w:drawing>
                <wp:inline distT="0" distB="0" distL="0" distR="0">
                  <wp:extent cx="733425" cy="476250"/>
                  <wp:effectExtent l="0" t="0" r="9525" b="0"/>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33425" cy="476250"/>
                          </a:xfrm>
                          <a:prstGeom prst="rect">
                            <a:avLst/>
                          </a:prstGeom>
                          <a:noFill/>
                          <a:ln>
                            <a:noFill/>
                          </a:ln>
                        </pic:spPr>
                      </pic:pic>
                    </a:graphicData>
                  </a:graphic>
                </wp:inline>
              </w:drawing>
            </w:r>
          </w:p>
        </w:tc>
        <w:tc>
          <w:tcPr>
            <w:tcW w:w="2891" w:type="dxa"/>
            <w:vAlign w:val="center"/>
            <w:hideMark/>
          </w:tcPr>
          <w:p w:rsidR="00987F99" w:rsidRDefault="00CC6733" w:rsidP="004D671B">
            <w:pPr>
              <w:jc w:val="right"/>
            </w:pPr>
            <w:r>
              <w:t xml:space="preserve">     </w:t>
            </w:r>
            <w:r w:rsidR="00987F99">
              <w:rPr>
                <w:noProof/>
              </w:rPr>
              <w:drawing>
                <wp:inline distT="0" distB="0" distL="0" distR="0">
                  <wp:extent cx="1343025" cy="685800"/>
                  <wp:effectExtent l="0" t="0" r="9525" b="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43025" cy="685800"/>
                          </a:xfrm>
                          <a:prstGeom prst="rect">
                            <a:avLst/>
                          </a:prstGeom>
                          <a:noFill/>
                          <a:ln>
                            <a:noFill/>
                          </a:ln>
                        </pic:spPr>
                      </pic:pic>
                    </a:graphicData>
                  </a:graphic>
                </wp:inline>
              </w:drawing>
            </w:r>
          </w:p>
        </w:tc>
      </w:tr>
      <w:tr w:rsidR="00987F99" w:rsidTr="00987F99">
        <w:tc>
          <w:tcPr>
            <w:tcW w:w="2891" w:type="dxa"/>
            <w:vAlign w:val="center"/>
            <w:hideMark/>
          </w:tcPr>
          <w:p w:rsidR="00987F99" w:rsidRDefault="009154FF" w:rsidP="004D671B">
            <w:pPr>
              <w:spacing w:line="360" w:lineRule="auto"/>
              <w:jc w:val="center"/>
              <w:rPr>
                <w:rFonts w:ascii="David" w:hAnsi="David"/>
                <w:b/>
                <w:bCs/>
              </w:rPr>
            </w:pPr>
            <w:sdt>
              <w:sdtPr>
                <w:rPr>
                  <w:b/>
                  <w:bCs/>
                  <w:rtl/>
                </w:rPr>
                <w:alias w:val="2235"/>
                <w:tag w:val="2235"/>
                <w:id w:val="1100069598"/>
              </w:sdtPr>
              <w:sdtEndPr/>
              <w:sdtContent>
                <w:r w:rsidR="00987F99">
                  <w:rPr>
                    <w:rFonts w:ascii="David" w:hAnsi="David"/>
                    <w:b/>
                    <w:bCs/>
                    <w:rtl/>
                  </w:rPr>
                  <w:t>דניאל</w:t>
                </w:r>
              </w:sdtContent>
            </w:sdt>
            <w:r w:rsidR="00987F99">
              <w:rPr>
                <w:rFonts w:hint="cs"/>
                <w:b/>
                <w:bCs/>
                <w:rtl/>
              </w:rPr>
              <w:t xml:space="preserve">  </w:t>
            </w:r>
            <w:sdt>
              <w:sdtPr>
                <w:rPr>
                  <w:rFonts w:ascii="Times New Roman" w:hAnsi="Times New Roman" w:cs="Times New Roman"/>
                  <w:b/>
                  <w:bCs/>
                  <w:rtl/>
                </w:rPr>
                <w:alias w:val="2240"/>
                <w:tag w:val="2240"/>
                <w:id w:val="825638415"/>
              </w:sdtPr>
              <w:sdtEndPr/>
              <w:sdtContent>
                <w:r w:rsidR="00987F99">
                  <w:rPr>
                    <w:b/>
                    <w:bCs/>
                    <w:rtl/>
                  </w:rPr>
                  <w:t>בן טולילה</w:t>
                </w:r>
              </w:sdtContent>
            </w:sdt>
            <w:r w:rsidR="00987F99">
              <w:rPr>
                <w:rFonts w:hint="cs"/>
                <w:b/>
                <w:bCs/>
                <w:rtl/>
              </w:rPr>
              <w:t xml:space="preserve">, </w:t>
            </w:r>
            <w:sdt>
              <w:sdtPr>
                <w:rPr>
                  <w:rFonts w:ascii="Times New Roman" w:hAnsi="Times New Roman" w:cs="Times New Roman"/>
                  <w:b/>
                  <w:bCs/>
                  <w:rtl/>
                </w:rPr>
                <w:alias w:val="2245"/>
                <w:tag w:val="2245"/>
                <w:id w:val="533847746"/>
              </w:sdtPr>
              <w:sdtEndPr/>
              <w:sdtContent>
                <w:r w:rsidR="00987F99">
                  <w:rPr>
                    <w:b/>
                    <w:bCs/>
                    <w:rtl/>
                  </w:rPr>
                  <w:t>שופט</w:t>
                </w:r>
              </w:sdtContent>
            </w:sdt>
          </w:p>
        </w:tc>
        <w:tc>
          <w:tcPr>
            <w:tcW w:w="2891" w:type="dxa"/>
            <w:vAlign w:val="center"/>
            <w:hideMark/>
          </w:tcPr>
          <w:p w:rsidR="00987F99" w:rsidRDefault="009154FF" w:rsidP="004D671B">
            <w:pPr>
              <w:spacing w:line="360" w:lineRule="auto"/>
              <w:jc w:val="center"/>
              <w:rPr>
                <w:rFonts w:ascii="David" w:hAnsi="David"/>
                <w:b/>
                <w:bCs/>
                <w:rtl/>
              </w:rPr>
            </w:pPr>
            <w:sdt>
              <w:sdtPr>
                <w:rPr>
                  <w:b/>
                  <w:bCs/>
                  <w:rtl/>
                </w:rPr>
                <w:alias w:val="2236"/>
                <w:tag w:val="2236"/>
                <w:id w:val="639300144"/>
              </w:sdtPr>
              <w:sdtEndPr/>
              <w:sdtContent>
                <w:r w:rsidR="00987F99">
                  <w:rPr>
                    <w:rFonts w:ascii="David" w:hAnsi="David"/>
                    <w:b/>
                    <w:bCs/>
                    <w:rtl/>
                  </w:rPr>
                  <w:t>טל</w:t>
                </w:r>
              </w:sdtContent>
            </w:sdt>
            <w:r w:rsidR="00987F99">
              <w:rPr>
                <w:rFonts w:hint="cs"/>
                <w:b/>
                <w:bCs/>
                <w:rtl/>
              </w:rPr>
              <w:t xml:space="preserve"> </w:t>
            </w:r>
            <w:sdt>
              <w:sdtPr>
                <w:rPr>
                  <w:rFonts w:ascii="Times New Roman" w:hAnsi="Times New Roman" w:cs="Times New Roman"/>
                  <w:b/>
                  <w:bCs/>
                  <w:rtl/>
                </w:rPr>
                <w:alias w:val="2241"/>
                <w:tag w:val="2241"/>
                <w:id w:val="-2097088705"/>
              </w:sdtPr>
              <w:sdtEndPr/>
              <w:sdtContent>
                <w:r w:rsidR="00987F99">
                  <w:rPr>
                    <w:b/>
                    <w:bCs/>
                    <w:rtl/>
                  </w:rPr>
                  <w:t>לחיאני שהם</w:t>
                </w:r>
              </w:sdtContent>
            </w:sdt>
            <w:r w:rsidR="00987F99">
              <w:rPr>
                <w:rFonts w:hint="cs"/>
                <w:b/>
                <w:bCs/>
                <w:rtl/>
              </w:rPr>
              <w:t xml:space="preserve">, </w:t>
            </w:r>
            <w:sdt>
              <w:sdtPr>
                <w:rPr>
                  <w:rFonts w:ascii="Times New Roman" w:hAnsi="Times New Roman" w:cs="Times New Roman"/>
                  <w:b/>
                  <w:bCs/>
                  <w:rtl/>
                </w:rPr>
                <w:alias w:val="2246"/>
                <w:tag w:val="2246"/>
                <w:id w:val="-1989393221"/>
              </w:sdtPr>
              <w:sdtEndPr/>
              <w:sdtContent>
                <w:r w:rsidR="00987F99">
                  <w:rPr>
                    <w:b/>
                    <w:bCs/>
                    <w:rtl/>
                  </w:rPr>
                  <w:t>שופטת</w:t>
                </w:r>
              </w:sdtContent>
            </w:sdt>
          </w:p>
        </w:tc>
        <w:tc>
          <w:tcPr>
            <w:tcW w:w="2891" w:type="dxa"/>
            <w:vAlign w:val="center"/>
            <w:hideMark/>
          </w:tcPr>
          <w:p w:rsidR="00987F99" w:rsidRDefault="009154FF" w:rsidP="004D671B">
            <w:pPr>
              <w:spacing w:line="360" w:lineRule="auto"/>
              <w:jc w:val="center"/>
              <w:rPr>
                <w:rFonts w:ascii="David" w:hAnsi="David"/>
                <w:b/>
                <w:bCs/>
                <w:rtl/>
              </w:rPr>
            </w:pPr>
            <w:sdt>
              <w:sdtPr>
                <w:rPr>
                  <w:b/>
                  <w:bCs/>
                  <w:rtl/>
                </w:rPr>
                <w:alias w:val="2237"/>
                <w:tag w:val="2237"/>
                <w:id w:val="-31890643"/>
              </w:sdtPr>
              <w:sdtEndPr/>
              <w:sdtContent>
                <w:r w:rsidR="00987F99">
                  <w:rPr>
                    <w:rFonts w:ascii="David" w:hAnsi="David"/>
                    <w:b/>
                    <w:bCs/>
                    <w:rtl/>
                  </w:rPr>
                  <w:t>יואב</w:t>
                </w:r>
              </w:sdtContent>
            </w:sdt>
            <w:r w:rsidR="00987F99">
              <w:rPr>
                <w:rFonts w:hint="cs"/>
                <w:b/>
                <w:bCs/>
                <w:rtl/>
              </w:rPr>
              <w:t xml:space="preserve"> </w:t>
            </w:r>
            <w:sdt>
              <w:sdtPr>
                <w:rPr>
                  <w:rFonts w:ascii="Times New Roman" w:hAnsi="Times New Roman" w:cs="Times New Roman"/>
                  <w:b/>
                  <w:bCs/>
                  <w:rtl/>
                </w:rPr>
                <w:alias w:val="2242"/>
                <w:tag w:val="2242"/>
                <w:id w:val="358854881"/>
              </w:sdtPr>
              <w:sdtEndPr/>
              <w:sdtContent>
                <w:r w:rsidR="00987F99">
                  <w:rPr>
                    <w:b/>
                    <w:bCs/>
                    <w:rtl/>
                  </w:rPr>
                  <w:t>עטר</w:t>
                </w:r>
              </w:sdtContent>
            </w:sdt>
            <w:r w:rsidR="00987F99">
              <w:rPr>
                <w:rFonts w:hint="cs"/>
                <w:b/>
                <w:bCs/>
                <w:rtl/>
              </w:rPr>
              <w:t xml:space="preserve">, </w:t>
            </w:r>
            <w:sdt>
              <w:sdtPr>
                <w:rPr>
                  <w:rFonts w:ascii="Times New Roman" w:hAnsi="Times New Roman" w:cs="Times New Roman"/>
                  <w:b/>
                  <w:bCs/>
                  <w:rtl/>
                </w:rPr>
                <w:alias w:val="2247"/>
                <w:tag w:val="2247"/>
                <w:id w:val="243227774"/>
              </w:sdtPr>
              <w:sdtEndPr/>
              <w:sdtContent>
                <w:r w:rsidR="00987F99">
                  <w:rPr>
                    <w:b/>
                    <w:bCs/>
                    <w:rtl/>
                  </w:rPr>
                  <w:t>שופט</w:t>
                </w:r>
              </w:sdtContent>
            </w:sdt>
          </w:p>
        </w:tc>
      </w:tr>
    </w:tbl>
    <w:p w:rsidR="00A5454F" w:rsidRDefault="00A5454F" w:rsidP="00CC6733">
      <w:pPr>
        <w:tabs>
          <w:tab w:val="left" w:pos="1625"/>
        </w:tabs>
        <w:rPr>
          <w:rtl/>
        </w:rPr>
      </w:pPr>
    </w:p>
    <w:sectPr w:rsidR="00A5454F" w:rsidSect="00870F64">
      <w:headerReference w:type="default" r:id="rId14"/>
      <w:footerReference w:type="default" r:id="rId15"/>
      <w:pgSz w:w="11907" w:h="16840" w:code="9"/>
      <w:pgMar w:top="244" w:right="1701" w:bottom="2552" w:left="1701" w:header="187" w:footer="720" w:gutter="0"/>
      <w:cols w:space="720"/>
      <w:bidi/>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54FF" w:rsidRDefault="009154FF">
      <w:r>
        <w:separator/>
      </w:r>
    </w:p>
  </w:endnote>
  <w:endnote w:type="continuationSeparator" w:id="0">
    <w:p w:rsidR="009154FF" w:rsidRDefault="009154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1)">
    <w:altName w:val="Arial"/>
    <w:panose1 w:val="00000000000000000000"/>
    <w:charset w:val="00"/>
    <w:family w:val="swiss"/>
    <w:notTrueType/>
    <w:pitch w:val="variable"/>
    <w:sig w:usb0="00000003" w:usb1="00000000" w:usb2="00000000" w:usb3="00000000" w:csb0="00000001"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F64" w:rsidRDefault="002039F6">
    <w:pPr>
      <w:pStyle w:val="a4"/>
      <w:jc w:val="center"/>
    </w:pPr>
    <w:r>
      <w:fldChar w:fldCharType="begin"/>
    </w:r>
    <w:r w:rsidR="0051562C">
      <w:instrText xml:space="preserve"> PAGE </w:instrText>
    </w:r>
    <w:r>
      <w:fldChar w:fldCharType="separate"/>
    </w:r>
    <w:r w:rsidR="007C4075">
      <w:rPr>
        <w:noProof/>
        <w:rtl/>
      </w:rPr>
      <w:t>1</w:t>
    </w:r>
    <w:r>
      <w:fldChar w:fldCharType="end"/>
    </w:r>
    <w:r w:rsidR="0051562C">
      <w:t xml:space="preserve"> </w:t>
    </w:r>
    <w:r w:rsidR="0051562C">
      <w:rPr>
        <w:rtl/>
      </w:rPr>
      <w:t>מתוך</w:t>
    </w:r>
    <w:r w:rsidR="0051562C">
      <w:t xml:space="preserve"> </w:t>
    </w:r>
    <w:r>
      <w:fldChar w:fldCharType="begin"/>
    </w:r>
    <w:r w:rsidR="0051562C">
      <w:instrText xml:space="preserve"> NUMPAGES </w:instrText>
    </w:r>
    <w:r>
      <w:fldChar w:fldCharType="separate"/>
    </w:r>
    <w:r w:rsidR="007C4075">
      <w:rPr>
        <w:noProof/>
        <w:rtl/>
      </w:rPr>
      <w:t>33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54FF" w:rsidRDefault="009154FF">
      <w:r>
        <w:separator/>
      </w:r>
    </w:p>
  </w:footnote>
  <w:footnote w:type="continuationSeparator" w:id="0">
    <w:p w:rsidR="009154FF" w:rsidRDefault="009154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F64" w:rsidRDefault="000E5776">
    <w:pPr>
      <w:pStyle w:val="a3"/>
      <w:jc w:val="center"/>
      <w:rPr>
        <w:rFonts w:cs="FrankRuehl"/>
        <w:sz w:val="28"/>
        <w:szCs w:val="28"/>
        <w:rtl/>
      </w:rPr>
    </w:pPr>
    <w:r>
      <w:rPr>
        <w:rFonts w:cs="FrankRuehl"/>
        <w:noProof/>
        <w:sz w:val="28"/>
        <w:szCs w:val="28"/>
      </w:rPr>
      <w:drawing>
        <wp:inline distT="0" distB="0" distL="0" distR="0" wp14:anchorId="5973E6F1" wp14:editId="4E6F9B45">
          <wp:extent cx="371475" cy="466725"/>
          <wp:effectExtent l="0" t="0" r="9525" b="9525"/>
          <wp:docPr id="1"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924"/>
      <w:gridCol w:w="3581"/>
    </w:tblGrid>
    <w:tr w:rsidR="00870F64">
      <w:trPr>
        <w:trHeight w:hRule="exact" w:val="418"/>
        <w:jc w:val="center"/>
      </w:trPr>
      <w:sdt>
        <w:sdtPr>
          <w:rPr>
            <w:rtl/>
          </w:rPr>
          <w:alias w:val="1174"/>
          <w:tag w:val="1174"/>
          <w:id w:val="1928299766"/>
          <w:text/>
        </w:sdtPr>
        <w:sdtEndPr/>
        <w:sdtContent>
          <w:tc>
            <w:tcPr>
              <w:tcW w:w="8721" w:type="dxa"/>
              <w:gridSpan w:val="2"/>
            </w:tcPr>
            <w:p w:rsidR="00870F64" w:rsidRDefault="0051562C">
              <w:pPr>
                <w:pStyle w:val="a3"/>
                <w:jc w:val="center"/>
                <w:rPr>
                  <w:rFonts w:ascii="Tahoma" w:hAnsi="Tahoma" w:cs="Tahoma"/>
                  <w:color w:val="000080"/>
                  <w:rtl/>
                </w:rPr>
              </w:pPr>
              <w:r>
                <w:rPr>
                  <w:rFonts w:ascii="Tahoma" w:hAnsi="Tahoma" w:cs="Tahoma"/>
                  <w:b/>
                  <w:bCs/>
                  <w:color w:val="000080"/>
                  <w:rtl/>
                </w:rPr>
                <w:t>בית המשפט המחוזי בבאר שבע</w:t>
              </w:r>
            </w:p>
          </w:tc>
        </w:sdtContent>
      </w:sdt>
    </w:tr>
    <w:tr w:rsidR="00870F64">
      <w:trPr>
        <w:trHeight w:val="337"/>
        <w:jc w:val="center"/>
      </w:trPr>
      <w:tc>
        <w:tcPr>
          <w:tcW w:w="5047" w:type="dxa"/>
        </w:tcPr>
        <w:p w:rsidR="00870F64" w:rsidRDefault="00870F64">
          <w:pPr>
            <w:pStyle w:val="a3"/>
            <w:rPr>
              <w:rFonts w:cs="FrankRuehl"/>
              <w:sz w:val="28"/>
              <w:szCs w:val="28"/>
              <w:rtl/>
            </w:rPr>
          </w:pPr>
        </w:p>
      </w:tc>
      <w:tc>
        <w:tcPr>
          <w:tcW w:w="3674" w:type="dxa"/>
        </w:tcPr>
        <w:p w:rsidR="00870F64" w:rsidRDefault="00870F64">
          <w:pPr>
            <w:pStyle w:val="a3"/>
            <w:jc w:val="right"/>
            <w:rPr>
              <w:rFonts w:cs="FrankRuehl"/>
              <w:sz w:val="28"/>
              <w:szCs w:val="28"/>
              <w:rtl/>
            </w:rPr>
          </w:pPr>
        </w:p>
      </w:tc>
    </w:tr>
    <w:tr w:rsidR="00870F64">
      <w:trPr>
        <w:trHeight w:val="337"/>
        <w:jc w:val="center"/>
      </w:trPr>
      <w:tc>
        <w:tcPr>
          <w:tcW w:w="8721" w:type="dxa"/>
          <w:gridSpan w:val="2"/>
        </w:tcPr>
        <w:p w:rsidR="00870F64" w:rsidRDefault="009154FF">
          <w:pPr>
            <w:rPr>
              <w:rFonts w:cs="FrankRuehl"/>
              <w:sz w:val="28"/>
              <w:szCs w:val="28"/>
              <w:rtl/>
            </w:rPr>
          </w:pPr>
          <w:sdt>
            <w:sdtPr>
              <w:rPr>
                <w:rtl/>
              </w:rPr>
              <w:alias w:val="1170"/>
              <w:tag w:val="1170"/>
              <w:id w:val="873580151"/>
              <w:text w:multiLine="1"/>
            </w:sdtPr>
            <w:sdtEndPr/>
            <w:sdtContent>
              <w:r w:rsidR="00843239">
                <w:rPr>
                  <w:rFonts w:cs="FrankRuehl"/>
                  <w:sz w:val="28"/>
                  <w:szCs w:val="28"/>
                  <w:rtl/>
                </w:rPr>
                <w:t>תפ"ח</w:t>
              </w:r>
            </w:sdtContent>
          </w:sdt>
          <w:r w:rsidR="0051562C">
            <w:rPr>
              <w:rFonts w:cs="FrankRuehl" w:hint="cs"/>
              <w:sz w:val="28"/>
              <w:szCs w:val="28"/>
              <w:rtl/>
            </w:rPr>
            <w:t xml:space="preserve"> </w:t>
          </w:r>
          <w:sdt>
            <w:sdtPr>
              <w:rPr>
                <w:rtl/>
              </w:rPr>
              <w:alias w:val="1171"/>
              <w:tag w:val="1171"/>
              <w:id w:val="910738904"/>
              <w:text w:multiLine="1"/>
            </w:sdtPr>
            <w:sdtEndPr/>
            <w:sdtContent>
              <w:r w:rsidR="00843239">
                <w:rPr>
                  <w:rFonts w:cs="FrankRuehl"/>
                  <w:sz w:val="28"/>
                  <w:szCs w:val="28"/>
                  <w:rtl/>
                </w:rPr>
                <w:t>31636-02-21</w:t>
              </w:r>
            </w:sdtContent>
          </w:sdt>
          <w:r w:rsidR="0051562C">
            <w:rPr>
              <w:rFonts w:cs="FrankRuehl" w:hint="cs"/>
              <w:sz w:val="28"/>
              <w:szCs w:val="28"/>
              <w:rtl/>
            </w:rPr>
            <w:t xml:space="preserve"> </w:t>
          </w:r>
          <w:sdt>
            <w:sdtPr>
              <w:rPr>
                <w:rtl/>
              </w:rPr>
              <w:alias w:val="1172"/>
              <w:tag w:val="1172"/>
              <w:id w:val="1749923716"/>
              <w:text w:multiLine="1"/>
            </w:sdtPr>
            <w:sdtEndPr/>
            <w:sdtContent>
              <w:r w:rsidR="00843239">
                <w:rPr>
                  <w:rFonts w:cs="FrankRuehl"/>
                  <w:sz w:val="28"/>
                  <w:szCs w:val="28"/>
                  <w:rtl/>
                </w:rPr>
                <w:t>מדינת ישראל נ' מסעד(עציר)</w:t>
              </w:r>
            </w:sdtContent>
          </w:sdt>
        </w:p>
        <w:p w:rsidR="00870F64" w:rsidRDefault="00870F64">
          <w:pPr>
            <w:pStyle w:val="a3"/>
            <w:rPr>
              <w:rtl/>
            </w:rPr>
          </w:pPr>
        </w:p>
      </w:tc>
    </w:tr>
  </w:tbl>
  <w:p w:rsidR="00870F64" w:rsidRDefault="0051562C">
    <w:pPr>
      <w:pStyle w:val="a3"/>
    </w:pPr>
    <w:r>
      <w:rPr>
        <w:rFonts w:hint="cs"/>
        <w:rt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496D16"/>
    <w:multiLevelType w:val="hybridMultilevel"/>
    <w:tmpl w:val="39E09E4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22024FA4"/>
    <w:multiLevelType w:val="hybridMultilevel"/>
    <w:tmpl w:val="ADC601C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291836CD"/>
    <w:multiLevelType w:val="hybridMultilevel"/>
    <w:tmpl w:val="2174CF4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F7548FC"/>
    <w:multiLevelType w:val="multilevel"/>
    <w:tmpl w:val="5D3644D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3D024734"/>
    <w:multiLevelType w:val="hybridMultilevel"/>
    <w:tmpl w:val="A6F462B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4F360D55"/>
    <w:multiLevelType w:val="hybridMultilevel"/>
    <w:tmpl w:val="707245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606C6661"/>
    <w:multiLevelType w:val="hybridMultilevel"/>
    <w:tmpl w:val="D4660A3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6F48636C"/>
    <w:multiLevelType w:val="hybridMultilevel"/>
    <w:tmpl w:val="5D3644D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73C47565"/>
    <w:multiLevelType w:val="hybridMultilevel"/>
    <w:tmpl w:val="6B14604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9" w15:restartNumberingAfterBreak="0">
    <w:nsid w:val="742A4890"/>
    <w:multiLevelType w:val="hybridMultilevel"/>
    <w:tmpl w:val="F032707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7E3D4D25"/>
    <w:multiLevelType w:val="hybridMultilevel"/>
    <w:tmpl w:val="9AB6DA5C"/>
    <w:lvl w:ilvl="0" w:tplc="93A22158">
      <w:start w:val="2"/>
      <w:numFmt w:val="hebrew1"/>
      <w:lvlText w:val="(%1)"/>
      <w:lvlJc w:val="left"/>
      <w:pPr>
        <w:ind w:left="927" w:hanging="360"/>
      </w:p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num w:numId="1">
    <w:abstractNumId w:val="7"/>
  </w:num>
  <w:num w:numId="2">
    <w:abstractNumId w:val="3"/>
  </w:num>
  <w:num w:numId="3">
    <w:abstractNumId w:val="4"/>
  </w:num>
  <w:num w:numId="4">
    <w:abstractNumId w:val="2"/>
  </w:num>
  <w:num w:numId="5">
    <w:abstractNumId w:val="6"/>
  </w:num>
  <w:num w:numId="6">
    <w:abstractNumId w:val="9"/>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num>
  <w:num w:numId="11">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78112931"/>
    <w:docVar w:name="CasePresentationDS" w:val="&amp;lt;?xml version=&amp;quot;1.0&amp;quot;?&amp;gt;_x000d__x000a_&amp;lt;CasePresentationDS&amp;gt;_x000d__x000a_  &amp;lt;xs:schema id=&amp;quot;CasePresentationDS&amp;quot; targetNamespace=&amp;quot;http://tempuri.org/CasePresentationDS.xsd&amp;quot; xmlns:mstns=&amp;quot;http://tempuri.org/CasePresentationDS.xsd&amp;quot; xmlns=&amp;quot;http://tempuri.org/CasePresentationDS.xsd&amp;quot; xmlns:xs=&amp;quot;http://www.w3.org/2001/XMLSchema&amp;quot; xmlns:msdata=&amp;quot;urn:schemas-microsoft-com:xml-msdata&amp;quot; attributeFormDefault=&amp;quot;qualified&amp;quot; elementFormDefault=&amp;quot;qualified&amp;quot;&amp;gt;_x000d__x000a_    &amp;lt;xs:element name=&amp;quot;CasePresentationDS&amp;quot; msdata:IsDataSet=&amp;quot;true&amp;quot; msdata:UseCurrentLocale=&amp;quot;true&amp;quot;&amp;gt;_x000d__x000a_      &amp;lt;xs:complexType&amp;gt;_x000d__x000a_        &amp;lt;xs:choice minOccurs=&amp;quot;0&amp;quot; maxOccurs=&amp;quot;unbounded&amp;quot;&amp;gt;_x000d__x000a_          &amp;lt;xs:element name=&amp;quot;CasePresentationDataSet&amp;quot;&amp;gt;_x000d__x000a_            &amp;lt;xs:complexType&amp;gt;_x000d__x000a_              &amp;lt;xs:sequence&amp;gt;_x000d__x000a_                &amp;lt;xs:element name=&amp;quot;CaseID&amp;quot; type=&amp;quot;xs:int&amp;quot; /&amp;gt;_x000d__x000a_                &amp;lt;xs:element name=&amp;quot;CaseMonth&amp;quot; type=&amp;quot;xs:int&amp;quot; /&amp;gt;_x000d__x000a_                &amp;lt;xs:element name=&amp;quot;CaseYear&amp;quot; type=&amp;quot;xs:int&amp;quot; /&amp;gt;_x000d__x000a_                &amp;lt;xs:element name=&amp;quot;CaseNumber&amp;quot; type=&amp;quot;xs:int&amp;quot; /&amp;gt;_x000d__x000a_                &amp;lt;xs:element name=&amp;quot;NumeratorGroupID&amp;quot; type=&amp;quot;xs:int&amp;quot; /&amp;gt;_x000d__x000a_                &amp;lt;xs:element name=&amp;quot;CaseName&amp;quot; type=&amp;quot;xs:string&amp;quot; /&amp;gt;_x000d__x000a_                &amp;lt;xs:element name=&amp;quot;CourtID&amp;quot; type=&amp;quot;xs:int&amp;quot; /&amp;gt;_x000d__x000a_                &amp;lt;xs:element name=&amp;quot;CaseTypeID&amp;quot; type=&amp;quot;xs:int&amp;quot; /&amp;gt;_x000d__x000a_                &amp;lt;xs:element name=&amp;quot;CaseInterestID&amp;quot; type=&amp;quot;xs:int&amp;quot; minOccurs=&amp;quot;0&amp;quot; /&amp;gt;_x000d__x000a_                &amp;lt;xs:element name=&amp;quot;CaseJudgeName&amp;quot; type=&amp;quot;xs:string&amp;quot; minOccurs=&amp;quot;0&amp;quot; /&amp;gt;_x000d__x000a_                &amp;lt;xs:element name=&amp;quot;CaseLinkTypeID&amp;quot; type=&amp;quot;xs:int&amp;quot; minOccurs=&amp;quot;0&amp;quot; /&amp;gt;_x000d__x000a_                &amp;lt;xs:element name=&amp;quot;ProcedureID&amp;quot; type=&amp;quot;xs:int&amp;quot; minOccurs=&amp;quot;0&amp;quot; /&amp;gt;_x000d__x000a_                &amp;lt;xs:element name=&amp;quot;PreviousCaseYear&amp;quot; type=&amp;quot;xs:string&amp;quot; minOccurs=&amp;quot;0&amp;quot; /&amp;gt;_x000d__x000a_                &amp;lt;xs:element name=&amp;quot;PreviousCaseNumber&amp;quot; type=&amp;quot;xs:int&amp;quot; minOccurs=&amp;quot;0&amp;quot; /&amp;gt;_x000d__x000a_                &amp;lt;xs:element name=&amp;quot;CaseStatusID&amp;quot; type=&amp;quot;xs:int&amp;quot; /&amp;gt;_x000d__x000a_                &amp;lt;xs:element name=&amp;quot;ProceedingID&amp;quot; type=&amp;quot;xs:int&amp;quot; /&amp;gt;_x000d__x000a_                &amp;lt;xs:element name=&amp;quot;IsCaseLinked&amp;quot; type=&amp;quot;xs:boolean&amp;quot; /&amp;gt;_x000d__x000a_                &amp;lt;xs:element name=&amp;quot;IsCaseConverted&amp;quot; type=&amp;quot;xs:boolean&amp;quot; minOccurs=&amp;quot;0&amp;quot; /&amp;gt;_x000d__x000a_                &amp;lt;xs:element name=&amp;quot;PrivilegeID&amp;quot; type=&amp;quot;xs:int&amp;quot; /&amp;gt;_x000d__x000a_                &amp;lt;xs:element name=&amp;quot;IsAppealingCaseExist&amp;quot; type=&amp;quot;xs:boolean&amp;quot; minOccurs=&amp;quot;0&amp;quot; /&amp;gt;_x000d__x000a_                &amp;lt;xs:element name=&amp;quot;CaseDisplayIdentifier&amp;quot; type=&amp;quot;xs:string&amp;quot; minOccurs=&amp;quot;0&amp;quot; /&amp;gt;_x000d__x000a_                &amp;lt;xs:element name=&amp;quot;CaseTypeDesc&amp;quot; type=&amp;quot;xs:string&amp;quot; minOccurs=&amp;quot;0&amp;quot; /&amp;gt;_x000d__x000a_                &amp;lt;xs:element name=&amp;quot;CourtDesc&amp;quot; type=&amp;quot;xs:string&amp;quot; minOccurs=&amp;quot;0&amp;quot; /&amp;gt;_x000d__x000a_                &amp;lt;xs:element name=&amp;quot;CaseStageDesc&amp;quot; type=&amp;quot;xs:string&amp;quot; /&amp;gt;_x000d__x000a_                &amp;lt;xs:element name=&amp;quot;IsPendingExemptionDecision&amp;quot; type=&amp;quot;xs:boolean&amp;quot; minOccurs=&amp;quot;0&amp;quot; /&amp;gt;_x000d__x000a_                &amp;lt;xs:element name=&amp;quot;IsPendingEntitlementDecision&amp;quot; type=&amp;quot;xs:boolean&amp;quot; minOccurs=&amp;quot;0&amp;quot; /&amp;gt;_x000d__x000a_                &amp;lt;xs:element name=&amp;quot;IsPendingDifferentCaseVerdict&amp;quot; type=&amp;quot;xs:boolean&amp;quot; minOccurs=&amp;quot;0&amp;quot; /&amp;gt;_x000d__x000a_                &amp;lt;xs:element name=&amp;quot;IsUnpaidFeeExist&amp;quot; type=&amp;quot;xs:boolean&amp;quot; minOccurs=&amp;quot;0&amp;quot; /&amp;gt;_x000d__x000a_                &amp;lt;xs:element name=&amp;quot;IsExecutionDelayed&amp;quot; type=&amp;quot;xs:boolean&amp;quot; minOccurs=&amp;quot;0&amp;quot; /&amp;gt;_x000d__x000a_                &amp;lt;xs:element name=&amp;quot;CaseEntitiesArrestResult&amp;quot; type=&amp;quot;xs:string&amp;quot; minOccurs=&amp;quot;0&amp;quot; /&amp;gt;_x000d__x000a_                &amp;lt;xs:element name=&amp;quot;CasePreviousSessionDate&amp;quot; type=&amp;quot;xs:dateTime&amp;quot; minOccurs=&amp;quot;0&amp;quot; /&amp;gt;_x000d__x000a_                &amp;lt;xs:element name=&amp;quot;CaseNextSessionDate&amp;quot; type=&amp;quot;xs:dateTime&amp;quot; minOccurs=&amp;quot;0&amp;quot; /&amp;gt;_x000d__x000a_                &amp;lt;xs:element name=&amp;quot;PreviousCaseNumberDesc&amp;quot; type=&amp;quot;xs:string&amp;quot; minOccurs=&amp;quot;0&amp;quot; /&amp;gt;_x000d__x000a_                &amp;lt;xs:element name=&amp;quot;SubCaseNumber&amp;quot; type=&amp;quot;xs:int&amp;quot; minOccurs=&amp;quot;0&amp;quot; /&amp;gt;_x000d__x000a_                &amp;lt;xs:element name=&amp;quot;CaseNextDeterminingTask&amp;quot; type=&amp;quot;xs:int&amp;quot; minOccurs=&amp;quot;0&amp;quot; /&amp;gt;_x000d__x000a_                &amp;lt;xs:element name=&amp;quot;TemporaryAidStatus&amp;quot; type=&amp;quot;xs:string&amp;quot; minOccurs=&amp;quot;0&amp;quot; /&amp;gt;_x000d__x000a_                &amp;lt;xs:element name=&amp;quot;CaseOpenDate&amp;quot; type=&amp;quot;xs:dateTime&amp;quot; /&amp;gt;_x000d__x000a_                &amp;lt;xs:element name=&amp;quot;PleaTypeID&amp;quot; type=&amp;quot;xs:int&amp;quot; minOccurs=&amp;quot;0&amp;quot; /&amp;gt;_x000d__x000a_                &amp;lt;xs:element name=&amp;quot;CourtLevelID&amp;quot; type=&amp;quot;xs:int&amp;quot; minOccurs=&amp;quot;0&amp;quot; /&amp;gt;_x000d__x000a_                &amp;lt;xs:element name=&amp;quot;CourtLevelCaseTypeInterestID&amp;quot; type=&amp;quot;xs:int&amp;quot; minOccurs=&amp;quot;0&amp;quot; /&amp;gt;_x000d__x000a_                &amp;lt;xs:element name=&amp;quot;CaseJudgeFirstName&amp;quot; type=&amp;quot;xs:string&amp;quot; minOccurs=&amp;quot;0&amp;quot; /&amp;gt;_x000d__x000a_                &amp;lt;xs:element name=&amp;quot;CaseJudgeLastName&amp;quot; type=&amp;quot;xs:string&amp;quot; minOccurs=&amp;quot;0&amp;quot; /&amp;gt;_x000d__x000a_                &amp;lt;xs:element name=&amp;quot;JudicalPersonID&amp;quot; type=&amp;quot;xs:string&amp;quot; minOccurs=&amp;quot;0&amp;quot; /&amp;gt;_x000d__x000a_                &amp;lt;xs:element name=&amp;quot;IsJudicalPanel&amp;quot; type=&amp;quot;xs:boolean&amp;quot; minOccurs=&amp;quot;0&amp;quot; /&amp;gt;_x000d__x000a_                &amp;lt;xs:element name=&amp;quot;CourtDisplayName&amp;quot; type=&amp;quot;xs:string&amp;quot; minOccurs=&amp;quot;0&amp;quot; /&amp;gt;_x000d__x000a_                &amp;lt;xs:element name=&amp;quot;IsAllStartDataCollected&amp;quot; type=&amp;quot;xs:boolean&amp;quot; minOccurs=&amp;quot;0&amp;quot; /&amp;gt;_x000d__x000a_                &amp;lt;xs:element name=&amp;quot;IsMainCase&amp;quot; type=&amp;quot;xs:boolean&amp;quot; minOccurs=&amp;quot;0&amp;quot; /&amp;gt;_x000d__x000a_                &amp;lt;xs:element name=&amp;quot;PreviousCourtID&amp;quot; type=&amp;quot;xs:int&amp;quot; minOccurs=&amp;quot;0&amp;quot; /&amp;gt;_x000d__x000a_                &amp;lt;xs:element name=&amp;quot;PreviousCaseTypeID&amp;quot; type=&amp;quot;xs:int&amp;quot; minOccurs=&amp;quot;0&amp;quot; /&amp;gt;_x000d__x000a_                &amp;lt;xs:element name=&amp;quot;CaseDesc&amp;quot; type=&amp;quot;xs:string&amp;quot; minOccurs=&amp;quot;0&amp;quot; /&amp;gt;_x000d__x000a_                &amp;lt;xs:element name=&amp;quot;isExistMinorSide&amp;quot; type=&amp;quot;xs:boolean&amp;quot; minOccurs=&amp;quot;0&amp;quot; /&amp;gt;_x000d__x000a_                &amp;lt;xs:element name=&amp;quot;isExistMinorWitness&amp;quot; type=&amp;quot;xs:boolean&amp;quot; minOccurs=&amp;quot;0&amp;quot; /&amp;gt;_x000d__x000a_                &amp;lt;xs:element name=&amp;quot;CaseNextSessionTypeID&amp;quot; type=&amp;quot;xs:int&amp;quot; minOccurs=&amp;quot;0&amp;quot; /&amp;gt;_x000d__x000a_                &amp;lt;xs:element name=&amp;quot;CasePreviousSessionTypeID&amp;quot; type=&amp;quot;xs:int&amp;quot; minOccurs=&amp;quot;0&amp;quot; /&amp;gt;_x000d__x000a_                &amp;lt;xs:element name=&amp;quot;CasePermitStatus&amp;quot; type=&amp;quot;xs:int&amp;quot; minOccurs=&amp;quot;0&amp;quot; /&amp;gt;_x000d__x000a_                &amp;lt;xs:element name=&amp;quot;InstitutionalPathID&amp;quot; type=&amp;quot;xs:int&amp;quot; minOccurs=&amp;quot;0&amp;quot; /&amp;gt;_x000d__x000a_                &amp;lt;xs:element name=&amp;quot;PreviousCaseIdentifier&amp;quot; type=&amp;quot;xs:string&amp;quot; minOccurs=&amp;quot;0&amp;quot; /&amp;gt;_x000d__x000a_                &amp;lt;xs:element name=&amp;quot;ArchivingActivityID&amp;quot; type=&amp;quot;xs:int&amp;quot; minOccurs=&amp;quot;0&amp;quot; /&amp;gt;_x000d__x000a_                &amp;lt;xs:element name=&amp;quot;GettingReasonID&amp;quot; type=&amp;quot;xs:int&amp;quot; minOccurs=&amp;quot;0&amp;quot; /&amp;gt;_x000d__x000a_                &amp;lt;xs:element name=&amp;quot;StorageDate&amp;quot; type=&amp;quot;xs:dateTime&amp;quot; minOccurs=&amp;quot;0&amp;quot; /&amp;gt;_x000d__x000a_                &amp;lt;xs:element name=&amp;quot;IsArchivingActivityManuallyUpdated&amp;quot; type=&amp;quot;xs:boolean&amp;quot; minOccurs=&amp;quot;0&amp;quot; /&amp;gt;_x000d__x000a_                &amp;lt;xs:element name=&amp;quot;StorageDateRecalculationDate&amp;quot; type=&amp;quot;xs:dateTime&amp;quot; minOccurs=&amp;quot;0&amp;quot; /&amp;gt;_x000d__x000a_                &amp;lt;xs:element name=&amp;quot;IsAccessibilityRequired&amp;quot; type=&amp;quot;xs:boolean&amp;quot; default=&amp;quot;false&amp;quot; /&amp;gt;_x000d__x000a_                &amp;lt;xs:element name=&amp;quot;IsDecisionTypeZaveElyon&amp;quot; type=&amp;quot;xs:boolean&amp;quot; minOccurs=&amp;quot;0&amp;quot; /&amp;gt;_x000d__x000a_                &amp;lt;xs:element name=&amp;quot;IsGuaranteeDeposit&amp;quot; type=&amp;quot;xs:boolean&amp;quot; minOccurs=&amp;quot;0&amp;quot; /&amp;gt;_x000d__x000a_                &amp;lt;xs:element name=&amp;quot;IsFeePaid&amp;quot; type=&amp;quot;xs:boolean&amp;quot; minOccurs=&amp;quot;0&amp;quot; /&amp;gt;_x000d__x000a_                &amp;lt;xs:element name=&amp;quot;IsExistCancelledArrest&amp;quot; type=&amp;quot;xs:boolean&amp;quot; minOccurs=&amp;quot;0&amp;quot; /&amp;gt;_x000d__x000a_                &amp;lt;xs:element name=&amp;quot;IsExistPrisoner&amp;quot; type=&amp;quot;xs:boolean&amp;quot; minOccurs=&amp;quot;0&amp;quot; /&amp;gt;_x000d__x000a_                &amp;lt;xs:element name=&amp;quot;IsExistDetainee&amp;quot; type=&amp;quot;xs:boolean&amp;quot; minOccurs=&amp;quot;0&amp;quot; /&amp;gt;_x000d__x000a_                &amp;lt;xs:element name=&amp;quot;IsDebitExist&amp;quot; type=&amp;quot;xs:boolean&amp;quot; minOccurs=&amp;quot;0&amp;quot; /&amp;gt;_x000d__x000a_                &amp;lt;xs:element name=&amp;quot;DebitExsitDate&amp;quot; type=&amp;quot;xs:dateTime&amp;quot; minOccurs=&amp;quot;0&amp;quot; /&amp;gt;_x000d__x000a_                &amp;lt;xs:element name=&amp;quot;OpenFeeIndication&amp;quot; type=&amp;quot;xs:int&amp;quot; minOccurs=&amp;quot;0&amp;quot; /&amp;gt;_x000d__x000a_                &amp;lt;xs:element name=&amp;quot;GuaranteeIndication&amp;quot; type=&amp;quot;xs:int&amp;quot; minOccurs=&amp;quot;0&amp;quot; /&amp;gt;_x000d__x000a_                &amp;lt;xs:element name=&amp;quot;DelayedPunishmentDate&amp;quot; type=&amp;quot;xs:dateTime&amp;quot; minOccurs=&amp;quot;0&amp;quot; /&amp;gt;_x000d__x000a_                &amp;lt;xs:element name=&amp;quot;IsExistSeizure&amp;quot; type=&amp;quot;xs:boolean&amp;quot; minOccurs=&amp;quot;0&amp;quot; /&amp;gt;_x000d__x000a_                &amp;lt;xs:element name=&amp;quot;IsExemptionExistInCase&amp;quot; type=&amp;quot;xs:boolean&amp;quot; minOccurs=&amp;quot;0&amp;quot; /&amp;gt;_x000d__x000a_                &amp;lt;xs:element name=&amp;quot;IsDebitTransferedInCase&amp;quot; type=&amp;quot;xs:boolean&amp;quot; minOccurs=&amp;quot;0&amp;quot; /&amp;gt;_x000d__x000a_                &amp;lt;xs:element name=&amp;quot;IsUnconvertedCase&amp;quot; type=&amp;quot;xs:boolean&amp;quot; minOccurs=&amp;quot;0&amp;quot; /&amp;gt;_x000d__x000a_                &amp;lt;xs:element name=&amp;quot;ActiveInCaseSuspendedLawyers&amp;quot; type=&amp;quot;xs:string&amp;quot; minOccurs=&amp;quot;0&amp;quot; /&amp;gt;_x000d__x000a_                &amp;lt;xs:element name=&amp;quot;IsElectronicallyMonitoredDetainee&amp;quot; type=&amp;quot;xs:boolean&amp;quot; minOccurs=&amp;quot;0&amp;quot; /&amp;gt;_x000d__x000a_                &amp;lt;xs:element name=&amp;quot;IsCasePredictedToAge&amp;quot; type=&amp;quot;xs:int&amp;quot; default=&amp;quot;0&amp;quot; minOccurs=&amp;quot;0&amp;quot; /&amp;gt;_x000d__x000a_                &amp;lt;xs:element name=&amp;quot;PendingWebSubmissionsQty&amp;quot; type=&amp;quot;xs:int&amp;quot; minOccurs=&amp;quot;0&amp;quot; /&amp;gt;_x000d__x000a_                &amp;lt;xs:element name=&amp;quot;PreviousSerialNumber&amp;quot; type=&amp;quot;xs:string&amp;quot; minOccurs=&amp;quot;0&amp;quot; /&amp;gt;_x000d__x000a_              &amp;lt;/xs:sequence&amp;gt;_x000d__x000a_            &amp;lt;/xs:complexType&amp;gt;_x000d__x000a_          &amp;lt;/xs:element&amp;gt;_x000d__x000a_        &amp;lt;/xs:choice&amp;gt;_x000d__x000a_      &amp;lt;/xs:complexType&amp;gt;_x000d__x000a_    &amp;lt;/xs:element&amp;gt;_x000d__x000a_  &amp;lt;/xs:schema&amp;gt;_x000d__x000a_  &amp;lt;diffgr:diffgram xmlns:msdata=&amp;quot;urn:schemas-microsoft-com:xml-msdata&amp;quot; xmlns:diffgr=&amp;quot;urn:schemas-microsoft-com:xml-diffgram-v1&amp;quot;&amp;gt;_x000d__x000a_    &amp;lt;CasePresentationDS xmlns=&amp;quot;http://tempuri.org/CasePresentationDS.xsd&amp;quot;&amp;gt;_x000d__x000a_      &amp;lt;CasePresentationDataSet diffgr:id=&amp;quot;CasePresentationDataSet1&amp;quot; msdata:rowOrder=&amp;quot;0&amp;quot; diffgr:hasChanges=&amp;quot;modified&amp;quot;&amp;gt;_x000d__x000a_        &amp;lt;CaseID&amp;gt;78112931&amp;lt;/CaseID&amp;gt;_x000d__x000a_        &amp;lt;CaseMonth&amp;gt;2&amp;lt;/CaseMonth&amp;gt;_x000d__x000a_        &amp;lt;CaseYear&amp;gt;2021&amp;lt;/CaseYear&amp;gt;_x000d__x000a_        &amp;lt;CaseNumber&amp;gt;31636&amp;lt;/CaseNumber&amp;gt;_x000d__x000a_        &amp;lt;NumeratorGroupID&amp;gt;1&amp;lt;/NumeratorGroupID&amp;gt;_x000d__x000a_        &amp;lt;CaseName&amp;gt;מדינת ישראל נ&amp;#39; מסעד(עציר)&amp;lt;/CaseName&amp;gt;_x000d__x000a_        &amp;lt;CourtID&amp;gt;16&amp;lt;/CourtID&amp;gt;_x000d__x000a_        &amp;lt;CaseTypeID&amp;gt;10077&amp;lt;/CaseTypeID&amp;gt;_x000d__x000a_        &amp;lt;CaseJudgeName&amp;gt;דניאל בן טולילה&amp;lt;/CaseJudgeName&amp;gt;_x000d__x000a_        &amp;lt;CaseLinkTypeID&amp;gt;9&amp;lt;/CaseLinkTypeID&amp;gt;_x000d__x000a_        &amp;lt;ProcedureID&amp;gt;2&amp;lt;/ProcedureID&amp;gt;_x000d__x000a_        &amp;lt;CaseStatusID&amp;gt;1&amp;lt;/CaseStatusID&amp;gt;_x000d__x000a_        &amp;lt;ProceedingID&amp;gt;2&amp;lt;/ProceedingID&amp;gt;_x000d__x000a_        &amp;lt;IsCaseLinked&amp;gt;true&amp;lt;/IsCaseLinked&amp;gt;_x000d__x000a_        &amp;lt;PrivilegeID&amp;gt;1&amp;lt;/PrivilegeID&amp;gt;_x000d__x000a_        &amp;lt;IsAppealingCaseExist&amp;gt;false&amp;lt;/IsAppealingCaseExist&amp;gt;_x000d__x000a_        &amp;lt;CaseDisplayIdentifier&amp;gt;31636-02-21&amp;lt;/CaseDisplayIdentifier&amp;gt;_x000d__x000a_        &amp;lt;CaseTypeDesc&amp;gt;תפ&amp;quot;ח&amp;lt;/CaseTypeDesc&amp;gt;_x000d__x000a_        &amp;lt;CourtDesc&amp;gt;המחוזי באר שבע&amp;lt;/CourtDesc&amp;gt;_x000d__x000a_        &amp;lt;CaseStageDesc&amp;gt;תיק אלקטרוני&amp;lt;/CaseStageDesc&amp;gt;_x000d__x000a_        &amp;lt;IsUnpaidFeeExist&amp;gt;false&amp;lt;/IsUnpaidFeeExist&amp;gt;_x000d__x000a_        &amp;lt;CaseNextDeterminingTask&amp;gt;258&amp;lt;/CaseNextDeterminingTask&amp;gt;_x000d__x000a_        &amp;lt;CaseOpenDate&amp;gt;2021-02-15T12:17:00+02:00&amp;lt;/CaseOpenDate&amp;gt;_x000d__x000a_        &amp;lt;PleaTypeID&amp;gt;8&amp;lt;/PleaTypeID&amp;gt;_x000d__x000a_        &amp;lt;CourtLevelID&amp;gt;2&amp;lt;/CourtLevelID&amp;gt;_x000d__x000a_        &amp;lt;CourtLevelCaseTypeInterestID&amp;gt;440&amp;lt;/CourtLevelCaseTypeInterestID&amp;gt;_x000d__x000a_        &amp;lt;CaseJudgeFirstName&amp;gt;דניאל&amp;lt;/CaseJudgeFirstName&amp;gt;_x000d__x000a_        &amp;lt;CaseJudgeLastName&amp;gt;בן טולילה&amp;lt;/CaseJudgeLastName&amp;gt;_x000d__x000a_        &amp;lt;JudicalPersonID&amp;gt;029522976@GOV.IL&amp;lt;/JudicalPersonID&amp;gt;_x000d__x000a_        &amp;lt;IsJudicalPanel&amp;gt;true&amp;lt;/IsJudicalPanel&amp;gt;_x000d__x000a_        &amp;lt;CourtDisplayName&amp;gt;בית המשפט המחוזי בבאר שבע&amp;lt;/CourtDisplayName&amp;gt;_x000d__x000a_        &amp;lt;IsAllStartDataCollected&amp;gt;true&amp;lt;/IsAllStartDataCollected&amp;gt;_x000d__x000a_        &amp;lt;IsMainCase&amp;gt;false&amp;lt;/IsMainCase&amp;gt;_x000d__x000a_        &amp;lt;CaseDesc&amp;gt;החלטה מיום 16.12.23 הודעה לצדדים_x000d__x000a_למירב מפמ&amp;quot;ד - טלפונית_x000d__x000a_לאוריה פרץ מכלא אשל - טלפונית _x000d__x000a_הסנגורית ימימה אברמוביץ צפה בהחלטה בנט בשעה 20:00 (לא ענתה לטלפון)_x000d__x000a_היומן עודכן וזימון נשלח לשבס&amp;lt;/CaseDesc&amp;gt;_x000d__x000a_        &amp;lt;isExistMinorSide&amp;gt;false&amp;lt;/isExistMinorSide&amp;gt;_x000d__x000a_        &amp;lt;isExistMinorWitness&amp;gt;false&amp;lt;/isExistMinorWitness&amp;gt;_x000d__x000a_        &amp;lt;ArchivingActivityID&amp;gt;2&amp;lt;/ArchivingActivityID&amp;gt;_x000d__x000a_        &amp;lt;GettingReasonID&amp;gt;1&amp;lt;/GettingReasonID&amp;gt;_x000d__x000a_        &amp;lt;IsAccessibilityRequired&amp;gt;false&amp;lt;/IsAccessibilityRequired&amp;gt;_x000d__x000a_        &amp;lt;IsDecisionTypeZaveElyon&amp;gt;false&amp;lt;/IsDecisionTypeZaveElyon&amp;gt;_x000d__x000a_        &amp;lt;IsFeePaid&amp;gt;false&amp;lt;/IsFeePaid&amp;gt;_x000d__x000a_        &amp;lt;IsExistPrisoner&amp;gt;false&amp;lt;/IsExistPrisoner&amp;gt;_x000d__x000a_        &amp;lt;IsExistDetainee&amp;gt;true&amp;lt;/IsExistDetainee&amp;gt;_x000d__x000a_        &amp;lt;IsDebitExist&amp;gt;false&amp;lt;/IsDebitExist&amp;gt;_x000d__x000a_        &amp;lt;IsExistSeizure&amp;gt;false&amp;lt;/IsExistSeizure&amp;gt;_x000d__x000a_        &amp;lt;IsExemptionExistInCase&amp;gt;false&amp;lt;/IsExemptionExistInCase&amp;gt;_x000d__x000a_        &amp;lt;IsDebitTransferedInCase&amp;gt;false&amp;lt;/IsDebitTransferedInCase&amp;gt;_x000d__x000a_        &amp;lt;IsElectronicallyMonitoredDetainee&amp;gt;false&amp;lt;/IsElectronicallyMonitoredDetainee&amp;gt;_x000d__x000a_        &amp;lt;IsCasePredictedToAge&amp;gt;0&amp;lt;/IsCasePredictedToAge&amp;gt;_x000d__x000a_        &amp;lt;PendingWebSubmissionsQty&amp;gt;0&amp;lt;/PendingWebSubmissionsQty&amp;gt;_x000d__x000a_      &amp;lt;/CasePresentationDataSet&amp;gt;_x000d__x000a_    &amp;lt;/CasePresentationDS&amp;gt;_x000d__x000a_    &amp;lt;diffgr:before&amp;gt;_x000d__x000a_      &amp;lt;CasePresentationDataSet diffgr:id=&amp;quot;CasePresentationDataSet1&amp;quot; msdata:rowOrder=&amp;quot;0&amp;quot; xmlns=&amp;quot;http://tempuri.org/CasePresentationDS.xsd&amp;quot;&amp;gt;_x000d__x000a_        &amp;lt;CaseID&amp;gt;78112931&amp;lt;/CaseID&amp;gt;_x000d__x000a_        &amp;lt;CaseMonth&amp;gt;2&amp;lt;/CaseMonth&amp;gt;_x000d__x000a_        &amp;lt;CaseYear&amp;gt;2021&amp;lt;/CaseYear&amp;gt;_x000d__x000a_        &amp;lt;CaseNumber&amp;gt;31636&amp;lt;/CaseNumber&amp;gt;_x000d__x000a_        &amp;lt;NumeratorGroupID&amp;gt;1&amp;lt;/NumeratorGroupID&amp;gt;_x000d__x000a_        &amp;lt;CaseName&amp;gt;מדינת ישראל נ&amp;#39; מסעד(עציר)&amp;lt;/CaseName&amp;gt;_x000d__x000a_        &amp;lt;CourtID&amp;gt;16&amp;lt;/CourtID&amp;gt;_x000d__x000a_        &amp;lt;CaseTypeID&amp;gt;10077&amp;lt;/CaseTypeID&amp;gt;_x000d__x000a_        &amp;lt;CaseJudgeName&amp;gt;דניאל בן טולילה&amp;lt;/CaseJudgeName&amp;gt;_x000d__x000a_        &amp;lt;CaseLinkTypeID&amp;gt;9&amp;lt;/CaseLinkTypeID&amp;gt;_x000d__x000a_        &amp;lt;ProcedureID&amp;gt;2&amp;lt;/ProcedureID&amp;gt;_x000d__x000a_        &amp;lt;CaseStatusID&amp;gt;1&amp;lt;/CaseStatusID&amp;gt;_x000d__x000a_        &amp;lt;ProceedingID&amp;gt;2&amp;lt;/ProceedingID&amp;gt;_x000d__x000a_        &amp;lt;IsCaseLinked&amp;gt;true&amp;lt;/IsCaseLinked&amp;gt;_x000d__x000a_        &amp;lt;PrivilegeID&amp;gt;1&amp;lt;/PrivilegeID&amp;gt;_x000d__x000a_        &amp;lt;IsAppealingCaseExist&amp;gt;false&amp;lt;/IsAppealingCaseExist&amp;gt;_x000d__x000a_        &amp;lt;CaseDisplayIdentifier&amp;gt;31636-02-21&amp;lt;/CaseDisplayIdentifier&amp;gt;_x000d__x000a_        &amp;lt;CaseTypeDesc&amp;gt;תפ&amp;quot;ח&amp;lt;/CaseTypeDesc&amp;gt;_x000d__x000a_        &amp;lt;CourtDesc&amp;gt;המחוזי באר שבע&amp;lt;/CourtDesc&amp;gt;_x000d__x000a_        &amp;lt;CaseStageDesc&amp;gt;תיק אלקטרוני&amp;lt;/CaseStageDesc&amp;gt;_x000d__x000a_        &amp;lt;CaseNextDeterminingTask&amp;gt;258&amp;lt;/CaseNextDeterminingTask&amp;gt;_x000d__x000a_        &amp;lt;CaseOpenDate&amp;gt;2021-02-15T12:17:00+02:00&amp;lt;/CaseOpenDate&amp;gt;_x000d__x000a_        &amp;lt;PleaTypeID&amp;gt;8&amp;lt;/PleaTypeID&amp;gt;_x000d__x000a_        &amp;lt;CourtLevelID&amp;gt;2&amp;lt;/CourtLevelID&amp;gt;_x000d__x000a_        &amp;lt;CourtLevelCaseTypeInterestID&amp;gt;440&amp;lt;/CourtLevelCaseTypeInterestID&amp;gt;_x000d__x000a_        &amp;lt;CaseJudgeFirstName&amp;gt;דניאל&amp;lt;/CaseJudgeFirstName&amp;gt;_x000d__x000a_        &amp;lt;CaseJudgeLastName&amp;gt;בן טולילה&amp;lt;/CaseJudgeLastName&amp;gt;_x000d__x000a_        &amp;lt;JudicalPersonID&amp;gt;029522976@GOV.IL&amp;lt;/JudicalPersonID&amp;gt;_x000d__x000a_        &amp;lt;IsJudicalPanel&amp;gt;true&amp;lt;/IsJudicalPanel&amp;gt;_x000d__x000a_        &amp;lt;CourtDisplayName&amp;gt;בית המשפט המחוזי בבאר שבע&amp;lt;/CourtDisplayName&amp;gt;_x000d__x000a_        &amp;lt;IsAllStartDataCollected&amp;gt;true&amp;lt;/IsAllStartDataCollected&amp;gt;_x000d__x000a_        &amp;lt;IsMainCase&amp;gt;false&amp;lt;/IsMainCase&amp;gt;_x000d__x000a_        &amp;lt;CaseDesc&amp;gt;החלטה מיום 16.12.23 הודעה לצדדים_x000d__x000a_למירב מפמ&amp;quot;ד - טלפונית_x000d__x000a_לאוריה פרץ מכלא אשל - טלפונית _x000d__x000a_הסנגורית ימימה אברמוביץ צפה בהחלטה בנט בשעה 20:00 (לא ענתה לטלפון)_x000d__x000a_היומן עודכן וזימון נשלח לשבס&amp;lt;/CaseDesc&amp;gt;_x000d__x000a_        &amp;lt;ArchivingActivityID&amp;gt;2&amp;lt;/ArchivingActivityID&amp;gt;_x000d__x000a_        &amp;lt;GettingReasonID&amp;gt;1&amp;lt;/GettingReasonID&amp;gt;_x000d__x000a_        &amp;lt;IsAccessibilityRequired&amp;gt;false&amp;lt;/IsAccessibilityRequired&amp;gt;_x000d__x000a_        &amp;lt;IsCasePredictedToAge&amp;gt;0&amp;lt;/IsCasePredictedToAge&amp;gt;_x000d__x000a_        &amp;lt;PendingWebSubmissionsQty&amp;gt;0&amp;lt;/PendingWebSubmissionsQty&amp;gt;_x000d__x000a_      &amp;lt;/CasePresentationDataSet&amp;gt;_x000d__x000a_    &amp;lt;/diffgr:before&amp;gt;_x000d__x000a_  &amp;lt;/diffgr:diffgram&amp;gt;_x000d__x000a_&amp;lt;/CasePresentationDS&amp;gt;"/>
    <w:docVar w:name="CourtID" w:val="16"/>
    <w:docVar w:name="DecisionDS" w:val="&amp;lt;?xml version=&amp;quot;1.0&amp;quot;?&amp;gt;_x000d__x000a_&amp;lt;DecisionDS&amp;gt;_x000d__x000a_  &amp;lt;xs:schema id=&amp;quot;DecisionDS&amp;quot; targetNamespace=&amp;quot;http://www.tempuri.org/DecisionDS.xsd&amp;quot; xmlns:mstns=&amp;quot;http://www.tempuri.org/DecisionDS.xsd&amp;quot; xmlns=&amp;quot;http://www.tempuri.org/DecisionDS.xsd&amp;quot; xmlns:xs=&amp;quot;http://www.w3.org/2001/XMLSchema&amp;quot; xmlns:msdata=&amp;quot;urn:schemas-microsoft-com:xml-msdata&amp;quot; attributeFormDefault=&amp;quot;qualified&amp;quot; elementFormDefault=&amp;quot;qualified&amp;quot;&amp;gt;_x000d__x000a_    &amp;lt;xs:element name=&amp;quot;DecisionDS&amp;quot; msdata:IsDataSet=&amp;quot;true&amp;quot; msdata:Locale=&amp;quot;he-IL&amp;quot;&amp;gt;_x000d__x000a_      &amp;lt;xs:complexType&amp;gt;_x000d__x000a_        &amp;lt;xs:choice minOccurs=&amp;quot;0&amp;quot; maxOccurs=&amp;quot;unbounded&amp;quot;&amp;gt;_x000d__x000a_          &amp;lt;xs:element name=&amp;quot;dt_Decision&amp;quot;&amp;gt;_x000d__x000a_            &amp;lt;xs:complexType&amp;gt;_x000d__x000a_              &amp;lt;xs:sequence&amp;gt;_x000d__x000a_                &amp;lt;xs:element name=&amp;quot;DecisionID&amp;quot; msdata:ReadOnly=&amp;quot;true&amp;quot; msdata:AutoIncrement=&amp;quot;true&amp;quot; type=&amp;quot;xs:int&amp;quot; /&amp;gt;_x000d__x000a_                &amp;lt;xs:element name=&amp;quot;DecisionNumber&amp;quot; type=&amp;quot;xs:int&amp;quot; minOccurs=&amp;quot;0&amp;quot; /&amp;gt;_x000d__x000a_                &amp;lt;xs:element name=&amp;quot;DecisionName&amp;quot; type=&amp;quot;xs:string&amp;quot; /&amp;gt;_x000d__x000a_                &amp;lt;xs:element name=&amp;quot;DecisionStatusID&amp;quot; type=&amp;quot;xs:int&amp;quot; /&amp;gt;_x000d__x000a_                &amp;lt;xs:element name=&amp;quot;DecisionStatusChangeDate&amp;quot; type=&amp;quot;xs:dateTime&amp;quot; /&amp;gt;_x000d__x000a_                &amp;lt;xs:element name=&amp;quot;DecisionSignatureDate&amp;quot; type=&amp;quot;xs:dateTime&amp;quot; minOccurs=&amp;quot;0&amp;quot; /&amp;gt;_x000d__x000a_                &amp;lt;xs:element name=&amp;quot;DecisionSignatureUserID&amp;quot; type=&amp;quot;xs:string&amp;quot; minOccurs=&amp;quot;0&amp;quot; /&amp;gt;_x000d__x000a_                &amp;lt;xs:element name=&amp;quot;DecisionCreateDate&amp;quot; type=&amp;quot;xs:dateTime&amp;quot; /&amp;gt;_x000d__x000a_                &amp;lt;xs:element name=&amp;quot;DecisionChangeDate&amp;quot; type=&amp;quot;xs:dateTime&amp;quot; minOccurs=&amp;quot;0&amp;quot; /&amp;gt;_x000d__x000a_                &amp;lt;xs:element name=&amp;quot;DecisionChangeUserID&amp;quot; type=&amp;quot;xs:string&amp;quot; minOccurs=&amp;quot;0&amp;quot; /&amp;gt;_x000d__x000a_                &amp;lt;xs:element name=&amp;quot;DecisionDesc&amp;quot; type=&amp;quot;xs:string&amp;quot; minOccurs=&amp;quot;0&amp;quot; /&amp;gt;_x000d__x000a_                &amp;lt;xs:element name=&amp;quot;IsChosenDecision&amp;quot; type=&amp;quot;xs:boolean&amp;quot; default=&amp;quot;false&amp;quot; /&amp;gt;_x000d__x000a_                &amp;lt;xs:element name=&amp;quot;IsDecisionImplementationTask&amp;quot; type=&amp;quot;xs:boolean&amp;quot; default=&amp;quot;false&amp;quot; minOccurs=&amp;quot;0&amp;quot; /&amp;gt;_x000d__x000a_                &amp;lt;xs:element name=&amp;quot;IsDecisionInProtocol&amp;quot; type=&amp;quot;xs:boolean&amp;quot; default=&amp;quot;false&amp;quot; /&amp;gt;_x000d__x000a_                &amp;lt;xs:element name=&amp;quot;DecisionTypeID&amp;quot; type=&amp;quot;xs:int&amp;quot; /&amp;gt;_x000d__x000a_                &amp;lt;xs:element name=&amp;quot;DecisionText&amp;quot; type=&amp;quot;xs:string&amp;quot; minOccurs=&amp;quot;0&amp;quot; /&amp;gt;_x000d__x000a_                &amp;lt;xs:element name=&amp;quot;IsOnlyOneParty&amp;quot; type=&amp;quot;xs:boolean&amp;quot; default=&amp;quot;false&amp;quot; /&amp;gt;_x000d__x000a_                &amp;lt;xs:element name=&amp;quot;IsCanceledDecision&amp;quot; type=&amp;quot;xs:boolean&amp;quot; default=&amp;quot;false&amp;quot; /&amp;gt;_x000d__x000a_                &amp;lt;xs:element name=&amp;quot;DecisionLinkID&amp;quot; type=&amp;quot;xs:int&amp;quot; minOccurs=&amp;quot;0&amp;quot; /&amp;gt;_x000d__x000a_                &amp;lt;xs:element name=&amp;quot;DecisionLinkTypeID&amp;quot; type=&amp;quot;xs:int&amp;quot; minOccurs=&amp;quot;0&amp;quot; /&amp;gt;_x000d__x000a_                &amp;lt;xs:element name=&amp;quot;DocumentID&amp;quot; type=&amp;quot;xs:int&amp;quot; minOccurs=&amp;quot;0&amp;quot; /&amp;gt;_x000d__x000a_                &amp;lt;xs:element name=&amp;quot;PrivilegeID&amp;quot; type=&amp;quot;xs:int&amp;quot; /&amp;gt;_x000d__x000a_                &amp;lt;xs:element name=&amp;quot;IsDecisionConverted&amp;quot; type=&amp;quot;xs:boolean&amp;quot; default=&amp;quot;false&amp;quot; /&amp;gt;_x000d__x000a_                &amp;lt;xs:element name=&amp;quot;SignatureUserTypeID&amp;quot; type=&amp;quot;xs:int&amp;quot; minOccurs=&amp;quot;0&amp;quot; /&amp;gt;_x000d__x000a_                &amp;lt;xs:element name=&amp;quot;IsOpenedToSecondSide&amp;quot; type=&amp;quot;xs:boolean&amp;quot; default=&amp;quot;false&amp;quot; /&amp;gt;_x000d__x000a_                &amp;lt;xs:element name=&amp;quot;IsDecisionAppeled&amp;quot; type=&amp;quot;xs:boolean&amp;quot; default=&amp;quot;false&amp;quot; /&amp;gt;_x000d__x000a_                &amp;lt;xs:element name=&amp;quot;DecisionWriterID&amp;quot; type=&amp;quot;xs:string&amp;quot; minOccurs=&amp;quot;0&amp;quot; /&amp;gt;_x000d__x000a_                &amp;lt;xs:element name=&amp;quot;IsInstruction&amp;quot; type=&amp;quot;xs:boolean&amp;quot; default=&amp;quot;false&amp;quot; /&amp;gt;_x000d__x000a_                &amp;lt;xs:element name=&amp;quot;PreviousCaseID&amp;quot; type=&amp;quot;xs:string&amp;quot; minOccurs=&amp;quot;0&amp;quot; /&amp;gt;_x000d__x000a_                &amp;lt;xs:element name=&amp;quot;IsNeedAllSignatures&amp;quot; type=&amp;quot;xs:boolean&amp;quot; default=&amp;quot;false&amp;quot; minOccurs=&amp;quot;0&amp;quot; /&amp;gt;_x000d__x000a_                &amp;lt;xs:element name=&amp;quot;DecisionAttributeID&amp;quot; type=&amp;quot;xs:int&amp;quot; minOccurs=&amp;quot;0&amp;quot; /&amp;gt;_x000d__x000a_                &amp;lt;xs:element name=&amp;quot;DecisionCreationUserID&amp;quot; type=&amp;quot;xs:string&amp;quot; /&amp;gt;_x000d__x000a_                &amp;lt;xs:element name=&amp;quot;DecisionLinkName&amp;quot; type=&amp;quot;xs:string&amp;quot; minOccurs=&amp;quot;0&amp;quot; /&amp;gt;_x000d__x000a_                &amp;lt;xs:element name=&amp;quot;DecisionLinkCaseID&amp;quot; type=&amp;quot;xs:int&amp;quot; minOccurs=&amp;quot;0&amp;quot; /&amp;gt;_x000d__x000a_                &amp;lt;xs:element name=&amp;quot;DecisionDisplayName&amp;quot; type=&amp;quot;xs:string&amp;quot; minOccurs=&amp;quot;0&amp;quot; /&amp;gt;_x000d__x000a_                &amp;lt;xs:element name=&amp;quot;IsScanned&amp;quot; type=&amp;quot;xs:boolean&amp;quot; minOccurs=&amp;quot;0&amp;quot; /&amp;gt;_x000d__x000a_                &amp;lt;xs:element name=&amp;quot;DecisionSignatureUserName&amp;quot; type=&amp;quot;xs:string&amp;quot; minOccurs=&amp;quot;0&amp;quot; /&amp;gt;_x000d__x000a_                &amp;lt;xs:element name=&amp;quot;ChangePrivilegeUserID&amp;quot; type=&amp;quot;xs:string&amp;quot; minOccurs=&amp;quot;0&amp;quot; /&amp;gt;_x000d__x000a_                &amp;lt;xs:element name=&amp;quot;PublishInWebUserID&amp;quot; type=&amp;quot;xs:string&amp;quot; minOccurs=&amp;quot;0&amp;quot; /&amp;gt;_x000d__x000a_                &amp;lt;xs:element name=&amp;quot;NotificationTypeID&amp;quot; type=&amp;quot;xs:int&amp;quot; default=&amp;quot;1&amp;quot; minOccurs=&amp;quot;0&amp;quot; /&amp;gt;_x000d__x000a_                &amp;lt;xs:element name=&amp;quot;NotificationAuthorizeUserID&amp;quot; type=&amp;quot;xs:string&amp;quot; minOccurs=&amp;quot;0&amp;quot; /&amp;gt;_x000d__x000a_                &amp;lt;xs:element name=&amp;quot;DecisionReleaseDate&amp;quot; type=&amp;quot;xs:dateTime&amp;quot; minOccurs=&amp;quot;0&amp;quot; /&amp;gt;_x000d__x000a_                &amp;lt;xs:element name=&amp;quot;IsDecisionInNote&amp;quot; type=&amp;quot;xs:boolean&amp;quot; default=&amp;quot;false&amp;quot; /&amp;gt;_x000d__x000a_                &amp;lt;xs:element name=&amp;quot;IsDecisionUrgency&amp;quot; type=&amp;quot;xs:boolean&amp;quot; default=&amp;quot;false&amp;quot; /&amp;gt;_x000d__x000a_                &amp;lt;xs:element name=&amp;quot;IsTechnicalCancel&amp;quot; type=&amp;quot;xs:boolean&amp;quot; minOccurs=&amp;quot;0&amp;quot; /&amp;gt;_x000d__x000a_                &amp;lt;xs:element name=&amp;quot;IsPublishSmallCensorVersion&amp;quot; type=&amp;quot;xs:boolean&amp;quot; default=&amp;quot;false&amp;quot; minOccurs=&amp;quot;0&amp;quot; /&amp;gt;_x000d__x000a_                &amp;lt;xs:element name=&amp;quot;IsIDCPublished&amp;quot; type=&amp;quot;xs:boolean&amp;quot; default=&amp;quot;false&amp;quot; minOccurs=&amp;quot;0&amp;quot; /&amp;gt;_x000d__x000a_                &amp;lt;xs:element name=&amp;quot;SummaryVersionDocumentID&amp;quot; type=&amp;quot;xs:int&amp;quot; minOccurs=&amp;quot;0&amp;quot; /&amp;gt;_x000d__x000a_                &amp;lt;xs:element name=&amp;quot;IsIDCPublishedForSummary&amp;quot; type=&amp;quot;xs:boolean&amp;quot; default=&amp;quot;false&amp;quot; minOccurs=&amp;quot;0&amp;quot; /&amp;gt;_x000d__x000a_                &amp;lt;xs:element name=&amp;quot;DecisionNumberInCase&amp;quot; type=&amp;quot;xs:int&amp;quot; minOccurs=&amp;quot;0&amp;quot; /&amp;gt;_x000d__x000a_                &amp;lt;xs:element name=&amp;quot;DecisionNote&amp;quot; type=&amp;quot;xs:string&amp;quot; minOccurs=&amp;quot;0&amp;quot; /&amp;gt;_x000d__x000a_                &amp;lt;xs:element name=&amp;quot;DecisionMeetingDate&amp;quot; type=&amp;quot;xs:dateTime&amp;quot; minOccurs=&amp;quot;0&amp;quot; /&amp;gt;_x000d__x000a_                &amp;lt;xs:element name=&amp;quot;IsViewInSiteChosenVerdict&amp;quot; type=&amp;quot;xs:boolean&amp;quot; minOccurs=&amp;quot;0&amp;quot; /&amp;gt;_x000d__x000a_                &amp;lt;xs:element name=&amp;quot;IsOriginal&amp;quot; type=&amp;quot;xs:boolean&amp;quot; minOccurs=&amp;quot;0&amp;quot; /&amp;gt;_x000d__x000a_              &amp;lt;/xs:sequence&amp;gt;_x000d__x000a_            &amp;lt;/xs:complexType&amp;gt;_x000d__x000a_          &amp;lt;/xs:element&amp;gt;_x000d__x000a_          &amp;lt;xs:element name=&amp;quot;dt_DecisionCase&amp;quot;&amp;gt;_x000d__x000a_            &amp;lt;xs:complexType&amp;gt;_x000d__x000a_              &amp;lt;xs:sequence&amp;gt;_x000d__x000a_                &amp;lt;xs:element name=&amp;quot;DecisionID&amp;quot; type=&amp;quot;xs:int&amp;quot; /&amp;gt;_x000d__x000a_                &amp;lt;xs:element name=&amp;quot;CaseID&amp;quot; type=&amp;quot;xs:int&amp;quot; /&amp;gt;_x000d__x000a_                &amp;lt;xs:element name=&amp;quot;IsOriginal&amp;quot; type=&amp;quot;xs:boolean&amp;quot; default=&amp;quot;false&amp;quot; minOccurs=&amp;quot;0&amp;quot; /&amp;gt;_x000d__x000a_                &amp;lt;xs:element name=&amp;quot;IsDeleted&amp;quot; type=&amp;quot;xs:boolean&amp;quot; default=&amp;quot;false&amp;quot; /&amp;gt;_x000d__x000a_                &amp;lt;xs:element name=&amp;quot;CaseLinkTypeID&amp;quot; type=&amp;quot;xs:int&amp;quot; minOccurs=&amp;quot;0&amp;quot; /&amp;gt;_x000d__x000a_                &amp;lt;xs:element name=&amp;quot;CaseName&amp;quot; type=&amp;quot;xs:string&amp;quot; minOccurs=&amp;quot;0&amp;quot; /&amp;gt;_x000d__x000a_                &amp;lt;xs:element name=&amp;quot;CaseDisplayIdentifier&amp;quot; type=&amp;quot;xs:string&amp;quot; minOccurs=&amp;quot;0&amp;quot; /&amp;gt;_x000d__x000a_              &amp;lt;/xs:sequence&amp;gt;_x000d__x000a_            &amp;lt;/xs:complexType&amp;gt;_x000d__x000a_          &amp;lt;/xs:element&amp;gt;_x000d__x000a_          &amp;lt;xs:element name=&amp;quot;dt_DecisionMotion&amp;quot;&amp;gt;_x000d__x000a_            &amp;lt;xs:complexType&amp;gt;_x000d__x000a_              &amp;lt;xs:sequence&amp;gt;_x000d__x000a_                &amp;lt;xs:element name=&amp;quot;DecisionID&amp;quot; type=&amp;quot;xs:int&amp;quot; /&amp;gt;_x000d__x000a_                &amp;lt;xs:element name=&amp;quot;MotionID&amp;quot; type=&amp;quot;xs:int&amp;quot; /&amp;gt;_x000d__x000a_                &amp;lt;xs:element name=&amp;quot;DecisionResultID&amp;quot; type=&amp;quot;xs:int&amp;quot; minOccurs=&amp;quot;0&amp;quot; /&amp;gt;_x000d__x000a_                &amp;lt;xs:element name=&amp;quot;IsOriginalMotion&amp;quot; type=&amp;quot;xs:boolean&amp;quot; default=&amp;quot;false&amp;quot; minOccurs=&amp;quot;0&amp;quot; /&amp;gt;_x000d__x000a_                &amp;lt;xs:element name=&amp;quot;MotionName&amp;quot; type=&amp;quot;xs:string&amp;quot; minOccurs=&amp;quot;0&amp;quot; /&amp;gt;_x000d__x000a_                &amp;lt;xs:element name=&amp;quot;MotionOpenDate&amp;quot; type=&amp;quot;xs:dateTime&amp;quot; minOccurs=&amp;quot;0&amp;quot; /&amp;gt;_x000d__x000a_                &amp;lt;xs:element name=&amp;quot;CaseID&amp;quot; type=&amp;quot;xs:int&amp;quot; minOccurs=&amp;quot;0&amp;quot; /&amp;gt;_x000d__x000a_                &amp;lt;xs:element name=&amp;quot;CaseDisplayIdentifier&amp;quot; type=&amp;quot;xs:string&amp;quot; minOccurs=&amp;quot;0&amp;quot; /&amp;gt;_x000d__x000a_                &amp;lt;xs:element name=&amp;quot;ProcessNumber&amp;quot; type=&amp;quot;xs:int&amp;quot; minOccurs=&amp;quot;0&amp;quot; /&amp;gt;_x000d__x000a_                &amp;lt;xs:element name=&amp;quot;ListOfProcessIds&amp;quot; type=&amp;quot;xs:string&amp;quot; minOccurs=&amp;quot;0&amp;quot; /&amp;gt;_x000d__x000a_              &amp;lt;/xs:sequence&amp;gt;_x000d__x000a_            &amp;lt;/xs:complexType&amp;gt;_x000d__x000a_          &amp;lt;/xs:element&amp;gt;_x000d__x000a_          &amp;lt;xs:element name=&amp;quot;dt_DecisionProtocol&amp;quot;&amp;gt;_x000d__x000a_            &amp;lt;xs:complexType&amp;gt;_x000d__x000a_              &amp;lt;xs:sequence&amp;gt;_x000d__x000a_                &amp;lt;xs:element name=&amp;quot;DecisionID&amp;quot; type=&amp;quot;xs:int&amp;quot; /&amp;gt;_x000d__x000a_                &amp;lt;xs:element name=&amp;quot;ProtocolID&amp;quot; type=&amp;quot;xs:int&amp;quot; /&amp;gt;_x000d__x000a_                &amp;lt;xs:element name=&amp;quot;ProtocolEventID&amp;quot; type=&amp;quot;xs:int&amp;quot; /&amp;gt;_x000d__x000a_              &amp;lt;/xs:sequence&amp;gt;_x000d__x000a_            &amp;lt;/xs:complexType&amp;gt;_x000d__x000a_          &amp;lt;/xs:element&amp;gt;_x000d__x000a_          &amp;lt;xs:element name=&amp;quot;dt_DecisionJudgePanel&amp;quot;&amp;gt;_x000d__x000a_            &amp;lt;xs:complexType&amp;gt;_x000d__x000a_              &amp;lt;xs:sequence&amp;gt;_x000d__x000a_                &amp;lt;xs:element name=&amp;quot;DecisionID&amp;quot; type=&amp;quot;xs:int&amp;quot; /&amp;gt;_x000d__x000a_                &amp;lt;xs:element name=&amp;quot;JudgeID&amp;quot; type=&amp;quot;xs:string&amp;quot; /&amp;gt;_x000d__x000a_                &amp;lt;xs:element name=&amp;quot;DocumentSendDate&amp;quot; type=&amp;quot;xs:dateTime&amp;quot; minOccurs=&amp;quot;0&amp;quot; /&amp;gt;_x000d__x000a_                &amp;lt;xs:element name=&amp;quot;FinalDate&amp;quot; type=&amp;quot;xs:dateTime&amp;quot; minOccurs=&amp;quot;0&amp;quot; /&amp;gt;_x000d__x000a_                &amp;lt;xs:element name=&amp;quot;SignatureDate&amp;quot; type=&amp;quot;xs:dateTime&amp;quot; minOccurs=&amp;quot;0&amp;quot; /&amp;gt;_x000d__x000a_                &amp;lt;xs:element name=&amp;quot;DocumentID&amp;quot; type=&amp;quot;xs:int&amp;quot; minOccurs=&amp;quot;0&amp;quot; /&amp;gt;_x000d__x000a_                &amp;lt;xs:element name=&amp;quot;DecisionOpinionDate&amp;quot; type=&amp;quot;xs:dateTime&amp;quot; minOccurs=&amp;quot;0&amp;quot; /&amp;gt;_x000d__x000a_                &amp;lt;xs:element name=&amp;quot;WriterViewedDraftDate&amp;quot; type=&amp;quot;xs:dateTime&amp;quot; minOccurs=&amp;quot;0&amp;quot; /&amp;gt;_x000d__x000a_                &amp;lt;xs:element name=&amp;quot;IsNeedAllSignatures&amp;quot; type=&amp;quot;xs:boolean&amp;quot; minOccurs=&amp;quot;0&amp;quot; /&amp;gt;_x000d__x000a_                &amp;lt;xs:element name=&amp;quot;DocumentIDNotes&amp;quot; type=&amp;quot;xs:int&amp;quot; minOccurs=&amp;quot;0&amp;quot; /&amp;gt;_x000d__x000a_                &amp;lt;xs:element name=&amp;quot;OrdinalNumber&amp;quot; type=&amp;quot;xs:int&amp;quot; minOccurs=&amp;quot;0&amp;quot; /&amp;gt;_x000d__x000a_              &amp;lt;/xs:sequence&amp;gt;_x000d__x000a_            &amp;lt;/xs:complexType&amp;gt;_x000d__x000a_          &amp;lt;/xs:element&amp;gt;_x000d__x000a_          &amp;lt;xs:element name=&amp;quot;dt_Attachments&amp;quot;&amp;gt;_x000d__x000a_            &amp;lt;xs:complexType&amp;gt;_x000d__x000a_              &amp;lt;xs:sequence&amp;gt;_x000d__x000a_                &amp;lt;xs:element name=&amp;quot;DocumentID&amp;quot; type=&amp;quot;xs:int&amp;quot; minOccurs=&amp;quot;0&amp;quot; /&amp;gt;_x000d__x000a_                &amp;lt;xs:element name=&amp;quot;DocumentStatusChangeDate&amp;quot; type=&amp;quot;xs:dateTime&amp;quot; minOccurs=&amp;quot;0&amp;quot; /&amp;gt;_x000d__x000a_                &amp;lt;xs:element name=&amp;quot;DocumentDesc&amp;quot; type=&amp;quot;xs:string&amp;quot; minOccurs=&amp;quot;0&amp;quot; /&amp;gt;_x000d__x000a_                &amp;lt;xs:element name=&amp;quot;DocumentMainID&amp;quot; type=&amp;quot;xs:int&amp;quot; minOccurs=&amp;quot;0&amp;quot; /&amp;gt;_x000d__x000a_                &amp;lt;xs:element name=&amp;quot;IsIDCPublished&amp;quot; type=&amp;quot;xs:boolean&amp;quot; default=&amp;quot;false&amp;quot; minOccurs=&amp;quot;0&amp;quot; /&amp;gt;_x000d__x000a_              &amp;lt;/xs:sequence&amp;gt;_x000d__x000a_            &amp;lt;/xs:complexType&amp;gt;_x000d__x000a_          &amp;lt;/xs:element&amp;gt;_x000d__x000a_        &amp;lt;/xs:choice&amp;gt;_x000d__x000a_      &amp;lt;/xs:complexType&amp;gt;_x000d__x000a_      &amp;lt;xs:unique name=&amp;quot;DecisionDSKey1&amp;quot; msdata:PrimaryKey=&amp;quot;true&amp;quot;&amp;gt;_x000d__x000a_        &amp;lt;xs:selector xpath=&amp;quot;.//mstns:dt_Decision&amp;quot; /&amp;gt;_x000d__x000a_        &amp;lt;xs:field xpath=&amp;quot;mstns:DecisionID&amp;quot; /&amp;gt;_x000d__x000a_      &amp;lt;/xs:unique&amp;gt;_x000d__x000a_      &amp;lt;xs:unique name=&amp;quot;DecisionDSKey2&amp;quot; msdata:PrimaryKey=&amp;quot;true&amp;quot;&amp;gt;_x000d__x000a_        &amp;lt;xs:selector xpath=&amp;quot;.//mstns:dt_DecisionCase&amp;quot; /&amp;gt;_x000d__x000a_        &amp;lt;xs:field xpath=&amp;quot;mstns:DecisionID&amp;quot; /&amp;gt;_x000d__x000a_        &amp;lt;xs:field xpath=&amp;quot;mstns:CaseID&amp;quot; /&amp;gt;_x000d__x000a_      &amp;lt;/xs:unique&amp;gt;_x000d__x000a_      &amp;lt;xs:unique name=&amp;quot;DecisionDSKey3&amp;quot; msdata:PrimaryKey=&amp;quot;true&amp;quot;&amp;gt;_x000d__x000a_        &amp;lt;xs:selector xpath=&amp;quot;.//mstns:dt_DecisionMotion&amp;quot; /&amp;gt;_x000d__x000a_        &amp;lt;xs:field xpath=&amp;quot;mstns:DecisionID&amp;quot; /&amp;gt;_x000d__x000a_        &amp;lt;xs:field xpath=&amp;quot;mstns:MotionID&amp;quot; /&amp;gt;_x000d__x000a_      &amp;lt;/xs:unique&amp;gt;_x000d__x000a_      &amp;lt;xs:unique name=&amp;quot;DecisionDSKey4&amp;quot; msdata:PrimaryKey=&amp;quot;true&amp;quot;&amp;gt;_x000d__x000a_        &amp;lt;xs:selector xpath=&amp;quot;.//mstns:dt_DecisionProtocol&amp;quot; /&amp;gt;_x000d__x000a_        &amp;lt;xs:field xpath=&amp;quot;mstns:DecisionID&amp;quot; /&amp;gt;_x000d__x000a_        &amp;lt;xs:field xpath=&amp;quot;mstns:ProtocolID&amp;quot; /&amp;gt;_x000d__x000a_        &amp;lt;xs:field xpath=&amp;quot;mstns:ProtocolEventID&amp;quot; /&amp;gt;_x000d__x000a_      &amp;lt;/xs:unique&amp;gt;_x000d__x000a_      &amp;lt;xs:unique name=&amp;quot;DecisionDSKey10&amp;quot; msdata:PrimaryKey=&amp;quot;true&amp;quot;&amp;gt;_x000d__x000a_        &amp;lt;xs:selector xpath=&amp;quot;.//mstns:dt_DecisionJudgePanel&amp;quot; /&amp;gt;_x000d__x000a_        &amp;lt;xs:field xpath=&amp;quot;mstns:DecisionID&amp;quot; /&amp;gt;_x000d__x000a_        &amp;lt;xs:field xpath=&amp;quot;mstns:JudgeID&amp;quot; /&amp;gt;_x000d__x000a_      &amp;lt;/xs:unique&amp;gt;_x000d__x000a_      &amp;lt;xs:keyref name=&amp;quot;dt_Decisiondt_DecisionJudgePanel&amp;quot; refer=&amp;quot;DecisionDSKey1&amp;quot;&amp;gt;_x000d__x000a_        &amp;lt;xs:selector xpath=&amp;quot;.//mstns:dt_DecisionJudgePanel&amp;quot; /&amp;gt;_x000d__x000a_        &amp;lt;xs:field xpath=&amp;quot;mstns:DecisionID&amp;quot; /&amp;gt;_x000d__x000a_      &amp;lt;/xs:keyref&amp;gt;_x000d__x000a_      &amp;lt;xs:keyref name=&amp;quot;dt_Decisiondt_DecisionProtocol&amp;quot; refer=&amp;quot;DecisionDSKey1&amp;quot;&amp;gt;_x000d__x000a_        &amp;lt;xs:selector xpath=&amp;quot;.//mstns:dt_DecisionProtocol&amp;quot; /&amp;gt;_x000d__x000a_        &amp;lt;xs:field xpath=&amp;quot;mstns:DecisionID&amp;quot; /&amp;gt;_x000d__x000a_      &amp;lt;/xs:keyref&amp;gt;_x000d__x000a_      &amp;lt;xs:keyref name=&amp;quot;dt_Decisiondt_DecisionMotion&amp;quot; refer=&amp;quot;DecisionDSKey1&amp;quot;&amp;gt;_x000d__x000a_        &amp;lt;xs:selector xpath=&amp;quot;.//mstns:dt_DecisionMotion&amp;quot; /&amp;gt;_x000d__x000a_        &amp;lt;xs:field xpath=&amp;quot;mstns:DecisionID&amp;quot; /&amp;gt;_x000d__x000a_      &amp;lt;/xs:keyref&amp;gt;_x000d__x000a_      &amp;lt;xs:keyref name=&amp;quot;dt_Decisiondt_DecisionCase&amp;quot; refer=&amp;quot;DecisionDSKey1&amp;quot;&amp;gt;_x000d__x000a_        &amp;lt;xs:selector xpath=&amp;quot;.//mstns:dt_DecisionCase&amp;quot; /&amp;gt;_x000d__x000a_        &amp;lt;xs:field xpath=&amp;quot;mstns:DecisionID&amp;quot; /&amp;gt;_x000d__x000a_      &amp;lt;/xs:keyref&amp;gt;_x000d__x000a_    &amp;lt;/xs:element&amp;gt;_x000d__x000a_  &amp;lt;/xs:schema&amp;gt;_x000d__x000a_  &amp;lt;diffgr:diffgram xmlns:msdata=&amp;quot;urn:schemas-microsoft-com:xml-msdata&amp;quot; xmlns:diffgr=&amp;quot;urn:schemas-microsoft-com:xml-diffgram-v1&amp;quot;&amp;gt;_x000d__x000a_    &amp;lt;DecisionDS xmlns=&amp;quot;http://www.tempuri.org/DecisionDS.xsd&amp;quot;&amp;gt;_x000d__x000a_      &amp;lt;dt_Decision diffgr:id=&amp;quot;dt_Decision1&amp;quot; msdata:rowOrder=&amp;quot;0&amp;quot;&amp;gt;_x000d__x000a_        &amp;lt;DecisionID&amp;gt;148653512&amp;lt;/DecisionID&amp;gt;_x000d__x000a_        &amp;lt;DecisionName&amp;gt;הכרעת דין  שניתנה ע&amp;quot;י  דניאל בן טולילה&amp;lt;/DecisionName&amp;gt;_x000d__x000a_        &amp;lt;DecisionStatusID&amp;gt;1&amp;lt;/DecisionStatusID&amp;gt;_x000d__x000a_        &amp;lt;DecisionStatusChangeDate&amp;gt;2023-12-18T13:20:04.057+02:00&amp;lt;/DecisionStatusChangeDate&amp;gt;_x000d__x000a_        &amp;lt;DecisionSignatureDate&amp;gt;2023-12-18T13:01:04.83+02:00&amp;lt;/DecisionSignatureDate&amp;gt;_x000d__x000a_        &amp;lt;DecisionSignatureUserID&amp;gt;029522976@GOV.IL&amp;lt;/DecisionSignatureUserID&amp;gt;_x000d__x000a_        &amp;lt;DecisionCreateDate&amp;gt;2023-12-18T13:06:55.84+02:00&amp;lt;/DecisionCreateDate&amp;gt;_x000d__x000a_        &amp;lt;DecisionChangeDate&amp;gt;2023-12-18T13:20:04.62+02:00&amp;lt;/DecisionChangeDate&amp;gt;_x000d__x000a_        &amp;lt;DecisionChangeUserID&amp;gt;302786546@GOV.IL&amp;lt;/DecisionChangeUserID&amp;gt;_x000d__x000a_        &amp;lt;IsChosenDecision&amp;gt;false&amp;lt;/IsChosenDecision&amp;gt;_x000d__x000a_        &amp;lt;IsDecisionImplementationTask&amp;gt;true&amp;lt;/IsDecisionImplementationTask&amp;gt;_x000d__x000a_        &amp;lt;IsDecisionInProtocol&amp;gt;false&amp;lt;/IsDecisionInProtocol&amp;gt;_x000d__x000a_        &amp;lt;DecisionTypeID&amp;gt;3&amp;lt;/DecisionTypeID&amp;gt;_x000d__x000a_        &amp;lt;IsOnlyOneParty&amp;gt;false&amp;lt;/IsOnlyOneParty&amp;gt;_x000d__x000a_        &amp;lt;IsCanceledDecision&amp;gt;false&amp;lt;/IsCanceledDecision&amp;gt;_x000d__x000a_        &amp;lt;DocumentID&amp;gt;428821203&amp;lt;/DocumentID&amp;gt;_x000d__x000a_        &amp;lt;PrivilegeID&amp;gt;1&amp;lt;/PrivilegeID&amp;gt;_x000d__x000a_        &amp;lt;IsDecisionConverted&amp;gt;false&amp;lt;/IsDecisionConverted&amp;gt;_x000d__x000a_        &amp;lt;IsOpenedToSecondSide&amp;gt;false&amp;lt;/IsOpenedToSecondSide&amp;gt;_x000d__x000a_        &amp;lt;IsDecisionAppeled&amp;gt;false&amp;lt;/IsDecisionAppeled&amp;gt;_x000d__x000a_        &amp;lt;DecisionWriterID&amp;gt;029522976@GOV.IL&amp;lt;/DecisionWriterID&amp;gt;_x000d__x000a_        &amp;lt;IsInstruction&amp;gt;false&amp;lt;/IsInstruction&amp;gt;_x000d__x000a_        &amp;lt;IsNeedAllSignatures&amp;gt;false&amp;lt;/IsNeedAllSignatures&amp;gt;_x000d__x000a_        &amp;lt;DecisionAttributeID&amp;gt;1&amp;lt;/DecisionAttributeID&amp;gt;_x000d__x000a_        &amp;lt;DecisionCreationUserID&amp;gt;302786546@GOV.IL&amp;lt;/DecisionCreationUserID&amp;gt;_x000d__x000a_        &amp;lt;DecisionDisplayName&amp;gt;הכרעת דין  שניתנה ע&amp;quot;י  דניאל בן טולילה&amp;lt;/DecisionDisplayName&amp;gt;_x000d__x000a_        &amp;lt;IsScanned&amp;gt;false&amp;lt;/IsScanned&amp;gt;_x000d__x000a_        &amp;lt;DecisionSignatureUserName&amp;gt;דניאל בן טולילה&amp;lt;/DecisionSignatureUserName&amp;gt;_x000d__x000a_        &amp;lt;NotificationTypeID&amp;gt;1&amp;lt;/NotificationTypeID&amp;gt;_x000d__x000a_        &amp;lt;IsDecisionInNote&amp;gt;false&amp;lt;/IsDecisionInNote&amp;gt;_x000d__x000a_        &amp;lt;IsDecisionUrgency&amp;gt;false&amp;lt;/IsDecisionUrgency&amp;gt;_x000d__x000a_        &amp;lt;IsPublishSmallCensorVersion&amp;gt;false&amp;lt;/IsPublishSmallCensorVersion&amp;gt;_x000d__x000a_        &amp;lt;IsIDCPublished&amp;gt;false&amp;lt;/IsIDCPublished&amp;gt;_x000d__x000a_        &amp;lt;IsIDCPublishedForSummary&amp;gt;false&amp;lt;/IsIDCPublishedForSummary&amp;gt;_x000d__x000a_        &amp;lt;DecisionNumberInCase&amp;gt;8&amp;lt;/DecisionNumberInCase&amp;gt;_x000d__x000a_      &amp;lt;/dt_Decision&amp;gt;_x000d__x000a_      &amp;lt;dt_DecisionCase diffgr:id=&amp;quot;dt_DecisionCase1&amp;quot; msdata:rowOrder=&amp;quot;0&amp;quot;&amp;gt;_x000d__x000a_        &amp;lt;DecisionID&amp;gt;148653512&amp;lt;/DecisionID&amp;gt;_x000d__x000a_        &amp;lt;CaseID&amp;gt;78112931&amp;lt;/CaseID&amp;gt;_x000d__x000a_        &amp;lt;IsOriginal&amp;gt;true&amp;lt;/IsOriginal&amp;gt;_x000d__x000a_        &amp;lt;IsDeleted&amp;gt;false&amp;lt;/IsDeleted&amp;gt;_x000d__x000a_        &amp;lt;CaseName&amp;gt;מדינת ישראל נ&amp;#39; מסעד(עציר)&amp;lt;/CaseName&amp;gt;_x000d__x000a_        &amp;lt;CaseDisplayIdentifier&amp;gt;31636-02-21 תפ&amp;quot;ח&amp;lt;/CaseDisplayIdentifier&amp;gt;_x000d__x000a_      &amp;lt;/dt_DecisionCase&amp;gt;_x000d__x000a_      &amp;lt;dt_DecisionJudgePanel diffgr:id=&amp;quot;dt_DecisionJudgePanel1&amp;quot; msdata:rowOrder=&amp;quot;0&amp;quot;&amp;gt;_x000d__x000a_        &amp;lt;DecisionID&amp;gt;148653512&amp;lt;/DecisionID&amp;gt;_x000d__x000a_        &amp;lt;JudgeID&amp;gt;029522976@GOV.IL&amp;lt;/JudgeID&amp;gt;_x000d__x000a_        &amp;lt;OrdinalNumber&amp;gt;1&amp;lt;/OrdinalNumber&amp;gt;_x000d__x000a_      &amp;lt;/dt_DecisionJudgePanel&amp;gt;_x000d__x000a_      &amp;lt;dt_DecisionJudgePanel diffgr:id=&amp;quot;dt_DecisionJudgePanel2&amp;quot; msdata:rowOrder=&amp;quot;1&amp;quot;&amp;gt;_x000d__x000a_        &amp;lt;DecisionID&amp;gt;148653512&amp;lt;/DecisionID&amp;gt;_x000d__x000a_        &amp;lt;JudgeID&amp;gt;032076986@GOV.IL&amp;lt;/JudgeID&amp;gt;_x000d__x000a_        &amp;lt;OrdinalNumber&amp;gt;2&amp;lt;/OrdinalNumber&amp;gt;_x000d__x000a_      &amp;lt;/dt_DecisionJudgePanel&amp;gt;_x000d__x000a_      &amp;lt;dt_DecisionJudgePanel diffgr:id=&amp;quot;dt_DecisionJudgePanel3&amp;quot; msdata:rowOrder=&amp;quot;2&amp;quot;&amp;gt;_x000d__x000a_        &amp;lt;DecisionID&amp;gt;148653512&amp;lt;/DecisionID&amp;gt;_x000d__x000a_        &amp;lt;JudgeID&amp;gt;028781599@GOV.IL&amp;lt;/JudgeID&amp;gt;_x000d__x000a_        &amp;lt;OrdinalNumber&amp;gt;3&amp;lt;/OrdinalNumber&amp;gt;_x000d__x000a_      &amp;lt;/dt_DecisionJudgePanel&amp;gt;_x000d__x000a_    &amp;lt;/DecisionDS&amp;gt;_x000d__x000a_  &amp;lt;/diffgr:diffgram&amp;gt;_x000d__x000a_&amp;lt;/DecisionDS&amp;gt;"/>
    <w:docVar w:name="DecisionID" w:val="148653512"/>
    <w:docVar w:name="docID" w:val="428821203"/>
    <w:docVar w:name="judgeUPN" w:val="029522976@GOV.IL"/>
    <w:docVar w:name="NGCS.TemplateCaseInterestID" w:val="-1"/>
    <w:docVar w:name="NGCS.TemplateCaseTypeID" w:val="10077"/>
    <w:docVar w:name="NGCS.TemplateCourtID" w:val="16"/>
    <w:docVar w:name="NGCS.TemplateProceedingID" w:val="2"/>
    <w:docVar w:name="noteDocID" w:val="428821203"/>
    <w:docVar w:name="WordClientAssemblyName" w:val="NGCS.Decision.ClientWordBL"/>
    <w:docVar w:name="WordClientClassName" w:val="NGCS.Decision.ClientWordBL.JudgePanelSignDecisionClient"/>
  </w:docVars>
  <w:rsids>
    <w:rsidRoot w:val="00870F64"/>
    <w:rsid w:val="00097BFF"/>
    <w:rsid w:val="000D676C"/>
    <w:rsid w:val="000E5776"/>
    <w:rsid w:val="00123C93"/>
    <w:rsid w:val="0016006A"/>
    <w:rsid w:val="00186BCB"/>
    <w:rsid w:val="002039F6"/>
    <w:rsid w:val="0020644E"/>
    <w:rsid w:val="002D68F5"/>
    <w:rsid w:val="00305BA5"/>
    <w:rsid w:val="00334A35"/>
    <w:rsid w:val="00337463"/>
    <w:rsid w:val="003A027F"/>
    <w:rsid w:val="003C74D6"/>
    <w:rsid w:val="0040433A"/>
    <w:rsid w:val="004334DF"/>
    <w:rsid w:val="00456A55"/>
    <w:rsid w:val="00487B70"/>
    <w:rsid w:val="004F2B64"/>
    <w:rsid w:val="0051562C"/>
    <w:rsid w:val="0052227C"/>
    <w:rsid w:val="00587C90"/>
    <w:rsid w:val="005C3A98"/>
    <w:rsid w:val="0064690D"/>
    <w:rsid w:val="006958A7"/>
    <w:rsid w:val="006F0E62"/>
    <w:rsid w:val="006F6206"/>
    <w:rsid w:val="007B34BE"/>
    <w:rsid w:val="007C4075"/>
    <w:rsid w:val="007C40F8"/>
    <w:rsid w:val="007C5B6C"/>
    <w:rsid w:val="007C78FD"/>
    <w:rsid w:val="007C7991"/>
    <w:rsid w:val="007F2E63"/>
    <w:rsid w:val="00810372"/>
    <w:rsid w:val="00834D17"/>
    <w:rsid w:val="00843239"/>
    <w:rsid w:val="00870F64"/>
    <w:rsid w:val="008D35B7"/>
    <w:rsid w:val="008D38B7"/>
    <w:rsid w:val="008E5FF0"/>
    <w:rsid w:val="00906D9D"/>
    <w:rsid w:val="009074A1"/>
    <w:rsid w:val="009154FF"/>
    <w:rsid w:val="009251A2"/>
    <w:rsid w:val="00942F8C"/>
    <w:rsid w:val="0095140D"/>
    <w:rsid w:val="00987F99"/>
    <w:rsid w:val="00A27B94"/>
    <w:rsid w:val="00A41D2A"/>
    <w:rsid w:val="00A5454F"/>
    <w:rsid w:val="00AE60C8"/>
    <w:rsid w:val="00B20868"/>
    <w:rsid w:val="00B949CB"/>
    <w:rsid w:val="00BF0FEA"/>
    <w:rsid w:val="00C12D2C"/>
    <w:rsid w:val="00C842D3"/>
    <w:rsid w:val="00C863A8"/>
    <w:rsid w:val="00CC3C76"/>
    <w:rsid w:val="00CC6733"/>
    <w:rsid w:val="00D63841"/>
    <w:rsid w:val="00DC081D"/>
    <w:rsid w:val="00E20138"/>
    <w:rsid w:val="00E92233"/>
    <w:rsid w:val="00EA352A"/>
    <w:rsid w:val="00EB19E0"/>
    <w:rsid w:val="00EE1AFA"/>
    <w:rsid w:val="00F4577C"/>
    <w:rsid w:val="00F470DB"/>
    <w:rsid w:val="00F61193"/>
    <w:rsid w:val="00F718AF"/>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1C7F2F7-C044-4072-B36E-F5DDE4CAC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7A51"/>
    <w:pPr>
      <w:bidi/>
    </w:pPr>
    <w:rPr>
      <w:rFonts w:ascii="Arial (W1)" w:hAnsi="Arial (W1)" w:cs="David"/>
      <w:sz w:val="24"/>
      <w:szCs w:val="24"/>
    </w:rPr>
  </w:style>
  <w:style w:type="paragraph" w:styleId="4">
    <w:name w:val="heading 4"/>
    <w:basedOn w:val="a"/>
    <w:next w:val="a"/>
    <w:qFormat/>
    <w:rsid w:val="00577A51"/>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577A51"/>
    <w:pPr>
      <w:tabs>
        <w:tab w:val="center" w:pos="4153"/>
        <w:tab w:val="right" w:pos="8306"/>
      </w:tabs>
    </w:pPr>
  </w:style>
  <w:style w:type="paragraph" w:styleId="a4">
    <w:name w:val="footer"/>
    <w:basedOn w:val="a"/>
    <w:rsid w:val="00577A51"/>
    <w:pPr>
      <w:tabs>
        <w:tab w:val="center" w:pos="4153"/>
        <w:tab w:val="right" w:pos="8306"/>
      </w:tabs>
    </w:pPr>
  </w:style>
  <w:style w:type="table" w:styleId="a5">
    <w:name w:val="Table Grid"/>
    <w:basedOn w:val="a1"/>
    <w:rsid w:val="00577A51"/>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semiHidden/>
    <w:rsid w:val="00577A51"/>
    <w:rPr>
      <w:sz w:val="16"/>
      <w:szCs w:val="16"/>
    </w:rPr>
  </w:style>
  <w:style w:type="paragraph" w:styleId="a7">
    <w:name w:val="annotation text"/>
    <w:basedOn w:val="a"/>
    <w:semiHidden/>
    <w:rsid w:val="00577A51"/>
    <w:rPr>
      <w:rFonts w:cs="Times New Roman"/>
    </w:rPr>
  </w:style>
  <w:style w:type="paragraph" w:styleId="a8">
    <w:name w:val="Balloon Text"/>
    <w:basedOn w:val="a"/>
    <w:semiHidden/>
    <w:rsid w:val="00577A51"/>
    <w:rPr>
      <w:rFonts w:ascii="Tahoma" w:hAnsi="Tahoma" w:cs="Tahoma"/>
      <w:sz w:val="16"/>
      <w:szCs w:val="16"/>
    </w:rPr>
  </w:style>
  <w:style w:type="character" w:styleId="a9">
    <w:name w:val="Placeholder Text"/>
    <w:basedOn w:val="a0"/>
    <w:uiPriority w:val="99"/>
    <w:semiHidden/>
    <w:rsid w:val="00AE60C8"/>
    <w:rPr>
      <w:color w:val="808080"/>
    </w:rPr>
  </w:style>
  <w:style w:type="paragraph" w:styleId="aa">
    <w:name w:val="Title"/>
    <w:basedOn w:val="a"/>
    <w:link w:val="ab"/>
    <w:qFormat/>
    <w:rsid w:val="007C78FD"/>
    <w:pPr>
      <w:shd w:val="pct20" w:color="auto" w:fill="FFFFFF"/>
      <w:spacing w:line="480" w:lineRule="auto"/>
      <w:ind w:left="1701" w:hanging="1701"/>
      <w:jc w:val="center"/>
    </w:pPr>
    <w:rPr>
      <w:rFonts w:ascii="Times New Roman" w:hAnsi="Times New Roman" w:cs="Times New Roman"/>
      <w:b/>
      <w:bCs/>
      <w:sz w:val="20"/>
      <w:szCs w:val="28"/>
      <w:u w:val="single"/>
      <w:lang w:eastAsia="he-IL"/>
    </w:rPr>
  </w:style>
  <w:style w:type="character" w:customStyle="1" w:styleId="ab">
    <w:name w:val="כותרת טקסט תו"/>
    <w:basedOn w:val="a0"/>
    <w:link w:val="aa"/>
    <w:rsid w:val="007C78FD"/>
    <w:rPr>
      <w:b/>
      <w:bCs/>
      <w:szCs w:val="28"/>
      <w:u w:val="single"/>
      <w:shd w:val="pct20" w:color="auto" w:fill="FFFFFF"/>
      <w:lang w:eastAsia="he-IL"/>
    </w:rPr>
  </w:style>
  <w:style w:type="character" w:customStyle="1" w:styleId="TimesNewRomanTimesNewRoman">
    <w:name w:val="סגנון (לטיני) Times New Roman (עברית ושפות אחרות) Times New Roman..."/>
    <w:basedOn w:val="a0"/>
    <w:rsid w:val="007C78FD"/>
    <w:rPr>
      <w:rFonts w:ascii="Times New Roman" w:hAnsi="Times New Roman" w:cs="David" w:hint="default"/>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49057">
      <w:bodyDiv w:val="1"/>
      <w:marLeft w:val="0"/>
      <w:marRight w:val="0"/>
      <w:marTop w:val="0"/>
      <w:marBottom w:val="0"/>
      <w:divBdr>
        <w:top w:val="none" w:sz="0" w:space="0" w:color="auto"/>
        <w:left w:val="none" w:sz="0" w:space="0" w:color="auto"/>
        <w:bottom w:val="none" w:sz="0" w:space="0" w:color="auto"/>
        <w:right w:val="none" w:sz="0" w:space="0" w:color="auto"/>
      </w:divBdr>
    </w:div>
    <w:div w:id="14767484">
      <w:bodyDiv w:val="1"/>
      <w:marLeft w:val="0"/>
      <w:marRight w:val="0"/>
      <w:marTop w:val="0"/>
      <w:marBottom w:val="0"/>
      <w:divBdr>
        <w:top w:val="none" w:sz="0" w:space="0" w:color="auto"/>
        <w:left w:val="none" w:sz="0" w:space="0" w:color="auto"/>
        <w:bottom w:val="none" w:sz="0" w:space="0" w:color="auto"/>
        <w:right w:val="none" w:sz="0" w:space="0" w:color="auto"/>
      </w:divBdr>
    </w:div>
    <w:div w:id="184445708">
      <w:bodyDiv w:val="1"/>
      <w:marLeft w:val="0"/>
      <w:marRight w:val="0"/>
      <w:marTop w:val="0"/>
      <w:marBottom w:val="0"/>
      <w:divBdr>
        <w:top w:val="none" w:sz="0" w:space="0" w:color="auto"/>
        <w:left w:val="none" w:sz="0" w:space="0" w:color="auto"/>
        <w:bottom w:val="none" w:sz="0" w:space="0" w:color="auto"/>
        <w:right w:val="none" w:sz="0" w:space="0" w:color="auto"/>
      </w:divBdr>
    </w:div>
    <w:div w:id="1014843993">
      <w:bodyDiv w:val="1"/>
      <w:marLeft w:val="0"/>
      <w:marRight w:val="0"/>
      <w:marTop w:val="0"/>
      <w:marBottom w:val="0"/>
      <w:divBdr>
        <w:top w:val="none" w:sz="0" w:space="0" w:color="auto"/>
        <w:left w:val="none" w:sz="0" w:space="0" w:color="auto"/>
        <w:bottom w:val="none" w:sz="0" w:space="0" w:color="auto"/>
        <w:right w:val="none" w:sz="0" w:space="0" w:color="auto"/>
      </w:divBdr>
    </w:div>
    <w:div w:id="1090272452">
      <w:bodyDiv w:val="1"/>
      <w:marLeft w:val="0"/>
      <w:marRight w:val="0"/>
      <w:marTop w:val="0"/>
      <w:marBottom w:val="0"/>
      <w:divBdr>
        <w:top w:val="none" w:sz="0" w:space="0" w:color="auto"/>
        <w:left w:val="none" w:sz="0" w:space="0" w:color="auto"/>
        <w:bottom w:val="none" w:sz="0" w:space="0" w:color="auto"/>
        <w:right w:val="none" w:sz="0" w:space="0" w:color="auto"/>
      </w:divBdr>
    </w:div>
    <w:div w:id="1281261453">
      <w:bodyDiv w:val="1"/>
      <w:marLeft w:val="0"/>
      <w:marRight w:val="0"/>
      <w:marTop w:val="0"/>
      <w:marBottom w:val="0"/>
      <w:divBdr>
        <w:top w:val="none" w:sz="0" w:space="0" w:color="auto"/>
        <w:left w:val="none" w:sz="0" w:space="0" w:color="auto"/>
        <w:bottom w:val="none" w:sz="0" w:space="0" w:color="auto"/>
        <w:right w:val="none" w:sz="0" w:space="0" w:color="auto"/>
      </w:divBdr>
    </w:div>
    <w:div w:id="1778599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glossaryDocument" Target="glossary/document.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www.nevo.co.il/case/25441697" TargetMode="External"/><Relationship Id="rId4" Type="http://schemas.openxmlformats.org/officeDocument/2006/relationships/styles" Target="styles.xml"/><Relationship Id="rId9" Type="http://schemas.openxmlformats.org/officeDocument/2006/relationships/hyperlink" Target="http://www.nevo.co.il/case/25110259"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47083FA95984873A5D85E58CEB98D61"/>
        <w:category>
          <w:name w:val="כללי"/>
          <w:gallery w:val="placeholder"/>
        </w:category>
        <w:types>
          <w:type w:val="bbPlcHdr"/>
        </w:types>
        <w:behaviors>
          <w:behavior w:val="content"/>
        </w:behaviors>
        <w:guid w:val="{691EC2E5-03DB-4D71-8340-9030A075315A}"/>
      </w:docPartPr>
      <w:docPartBody>
        <w:p w:rsidR="00345F57" w:rsidRDefault="006B4309" w:rsidP="006B4309">
          <w:pPr>
            <w:pStyle w:val="547083FA95984873A5D85E58CEB98D61"/>
          </w:pPr>
          <w:r>
            <w:rPr>
              <w:b/>
              <w:bCs/>
              <w:sz w:val="26"/>
              <w:szCs w:val="26"/>
              <w:rtl/>
            </w:rPr>
            <w:t>תאור קבוצת שיכות צד א'</w:t>
          </w:r>
        </w:p>
      </w:docPartBody>
    </w:docPart>
    <w:docPart>
      <w:docPartPr>
        <w:name w:val="103992DE65A8434EB35686ECF0E43572"/>
        <w:category>
          <w:name w:val="כללי"/>
          <w:gallery w:val="placeholder"/>
        </w:category>
        <w:types>
          <w:type w:val="bbPlcHdr"/>
        </w:types>
        <w:behaviors>
          <w:behavior w:val="content"/>
        </w:behaviors>
        <w:guid w:val="{6644D060-D248-4F89-9C45-41605B1A3A47}"/>
      </w:docPartPr>
      <w:docPartBody>
        <w:p w:rsidR="00345F57" w:rsidRDefault="006B4309" w:rsidP="006B4309">
          <w:pPr>
            <w:pStyle w:val="103992DE65A8434EB35686ECF0E43572"/>
          </w:pPr>
          <w:r>
            <w:rPr>
              <w:b/>
              <w:bCs/>
              <w:sz w:val="26"/>
              <w:szCs w:val="26"/>
              <w:rtl/>
            </w:rPr>
            <w:t>מספר זיהוי צד א</w:t>
          </w:r>
        </w:p>
      </w:docPartBody>
    </w:docPart>
    <w:docPart>
      <w:docPartPr>
        <w:name w:val="1AC23BB223994E6AA5E6B485E9F4FCF1"/>
        <w:category>
          <w:name w:val="כללי"/>
          <w:gallery w:val="placeholder"/>
        </w:category>
        <w:types>
          <w:type w:val="bbPlcHdr"/>
        </w:types>
        <w:behaviors>
          <w:behavior w:val="content"/>
        </w:behaviors>
        <w:guid w:val="{5488FD5B-73F4-451B-AB97-5592895443ED}"/>
      </w:docPartPr>
      <w:docPartBody>
        <w:p w:rsidR="00345F57" w:rsidRDefault="006B4309" w:rsidP="006B4309">
          <w:pPr>
            <w:pStyle w:val="1AC23BB223994E6AA5E6B485E9F4FCF1"/>
          </w:pPr>
          <w:r>
            <w:rPr>
              <w:b/>
              <w:bCs/>
              <w:sz w:val="26"/>
              <w:szCs w:val="26"/>
              <w:rtl/>
            </w:rPr>
            <w:t>תאור קבוצת שיכות צד ב'</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1)">
    <w:altName w:val="Arial"/>
    <w:panose1 w:val="00000000000000000000"/>
    <w:charset w:val="00"/>
    <w:family w:val="swiss"/>
    <w:notTrueType/>
    <w:pitch w:val="variable"/>
    <w:sig w:usb0="00000003" w:usb1="00000000" w:usb2="00000000" w:usb3="00000000" w:csb0="00000001"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073D"/>
    <w:rsid w:val="00012891"/>
    <w:rsid w:val="00303435"/>
    <w:rsid w:val="00330449"/>
    <w:rsid w:val="00345F57"/>
    <w:rsid w:val="0041073D"/>
    <w:rsid w:val="006B4309"/>
    <w:rsid w:val="006E0C75"/>
    <w:rsid w:val="006F21A2"/>
    <w:rsid w:val="00845549"/>
    <w:rsid w:val="00AC6BCB"/>
    <w:rsid w:val="00B33786"/>
    <w:rsid w:val="00C97C5C"/>
    <w:rsid w:val="00D60258"/>
    <w:rsid w:val="00EE501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B4309"/>
    <w:rPr>
      <w:color w:val="808080"/>
    </w:rPr>
  </w:style>
  <w:style w:type="paragraph" w:customStyle="1" w:styleId="6BE8E5FD54A44F36AD81EBC7B90CCF74">
    <w:name w:val="6BE8E5FD54A44F36AD81EBC7B90CCF74"/>
    <w:rsid w:val="0041073D"/>
    <w:pPr>
      <w:bidi/>
      <w:spacing w:after="0" w:line="240" w:lineRule="auto"/>
    </w:pPr>
    <w:rPr>
      <w:rFonts w:ascii="Arial (W1)" w:eastAsia="Times New Roman" w:hAnsi="Arial (W1)" w:cs="David"/>
      <w:sz w:val="24"/>
      <w:szCs w:val="24"/>
    </w:rPr>
  </w:style>
  <w:style w:type="paragraph" w:customStyle="1" w:styleId="6BE8E5FD54A44F36AD81EBC7B90CCF741">
    <w:name w:val="6BE8E5FD54A44F36AD81EBC7B90CCF741"/>
    <w:rsid w:val="0041073D"/>
    <w:pPr>
      <w:bidi/>
      <w:spacing w:after="0" w:line="240" w:lineRule="auto"/>
    </w:pPr>
    <w:rPr>
      <w:rFonts w:ascii="Arial (W1)" w:eastAsia="Times New Roman" w:hAnsi="Arial (W1)" w:cs="David"/>
      <w:sz w:val="24"/>
      <w:szCs w:val="24"/>
    </w:rPr>
  </w:style>
  <w:style w:type="paragraph" w:customStyle="1" w:styleId="1A30A04DB7D24F74AEFC5F5EFB0772E1">
    <w:name w:val="1A30A04DB7D24F74AEFC5F5EFB0772E1"/>
    <w:rsid w:val="0041073D"/>
    <w:pPr>
      <w:bidi/>
      <w:spacing w:after="0" w:line="240" w:lineRule="auto"/>
    </w:pPr>
    <w:rPr>
      <w:rFonts w:ascii="Arial (W1)" w:eastAsia="Times New Roman" w:hAnsi="Arial (W1)" w:cs="David"/>
      <w:sz w:val="24"/>
      <w:szCs w:val="24"/>
    </w:rPr>
  </w:style>
  <w:style w:type="paragraph" w:customStyle="1" w:styleId="11A544DB8ACC4BCB9D6622B458AE320E">
    <w:name w:val="11A544DB8ACC4BCB9D6622B458AE320E"/>
    <w:rsid w:val="00D60258"/>
    <w:pPr>
      <w:bidi/>
      <w:spacing w:after="0" w:line="240" w:lineRule="auto"/>
    </w:pPr>
    <w:rPr>
      <w:rFonts w:ascii="Arial (W1)" w:eastAsia="Times New Roman" w:hAnsi="Arial (W1)" w:cs="David"/>
      <w:sz w:val="24"/>
      <w:szCs w:val="24"/>
    </w:rPr>
  </w:style>
  <w:style w:type="paragraph" w:customStyle="1" w:styleId="F1FEAE6F808A498D814DC38D014E76F6">
    <w:name w:val="F1FEAE6F808A498D814DC38D014E76F6"/>
    <w:rsid w:val="00D60258"/>
    <w:pPr>
      <w:bidi/>
      <w:spacing w:after="0" w:line="240" w:lineRule="auto"/>
    </w:pPr>
    <w:rPr>
      <w:rFonts w:ascii="Arial (W1)" w:eastAsia="Times New Roman" w:hAnsi="Arial (W1)" w:cs="David"/>
      <w:sz w:val="24"/>
      <w:szCs w:val="24"/>
    </w:rPr>
  </w:style>
  <w:style w:type="paragraph" w:customStyle="1" w:styleId="738397D2CACA4C1CBC4BBA6FA51AEA0B">
    <w:name w:val="738397D2CACA4C1CBC4BBA6FA51AEA0B"/>
    <w:rsid w:val="00EE501F"/>
    <w:pPr>
      <w:bidi/>
      <w:spacing w:after="0" w:line="240" w:lineRule="auto"/>
    </w:pPr>
    <w:rPr>
      <w:rFonts w:ascii="Arial (W1)" w:eastAsia="Times New Roman" w:hAnsi="Arial (W1)" w:cs="David"/>
      <w:sz w:val="24"/>
      <w:szCs w:val="24"/>
    </w:rPr>
  </w:style>
  <w:style w:type="paragraph" w:customStyle="1" w:styleId="5A947A4CD3794C1787DFBDB7708A0078">
    <w:name w:val="5A947A4CD3794C1787DFBDB7708A0078"/>
    <w:rsid w:val="00845549"/>
    <w:pPr>
      <w:bidi/>
      <w:spacing w:after="0" w:line="240" w:lineRule="auto"/>
    </w:pPr>
    <w:rPr>
      <w:rFonts w:ascii="Arial (W1)" w:eastAsia="Times New Roman" w:hAnsi="Arial (W1)" w:cs="David"/>
      <w:sz w:val="24"/>
      <w:szCs w:val="24"/>
    </w:rPr>
  </w:style>
  <w:style w:type="paragraph" w:customStyle="1" w:styleId="5A947A4CD3794C1787DFBDB7708A00781">
    <w:name w:val="5A947A4CD3794C1787DFBDB7708A00781"/>
    <w:rsid w:val="00012891"/>
    <w:pPr>
      <w:bidi/>
      <w:spacing w:after="0" w:line="240" w:lineRule="auto"/>
    </w:pPr>
    <w:rPr>
      <w:rFonts w:ascii="Arial (W1)" w:eastAsia="Times New Roman" w:hAnsi="Arial (W1)" w:cs="David"/>
      <w:sz w:val="24"/>
      <w:szCs w:val="24"/>
    </w:rPr>
  </w:style>
  <w:style w:type="paragraph" w:customStyle="1" w:styleId="5A947A4CD3794C1787DFBDB7708A00782">
    <w:name w:val="5A947A4CD3794C1787DFBDB7708A00782"/>
    <w:rsid w:val="006E0C75"/>
    <w:pPr>
      <w:bidi/>
      <w:spacing w:after="0" w:line="240" w:lineRule="auto"/>
    </w:pPr>
    <w:rPr>
      <w:rFonts w:ascii="Arial (W1)" w:eastAsia="Times New Roman" w:hAnsi="Arial (W1)" w:cs="David"/>
      <w:sz w:val="24"/>
      <w:szCs w:val="24"/>
    </w:rPr>
  </w:style>
  <w:style w:type="paragraph" w:customStyle="1" w:styleId="5A947A4CD3794C1787DFBDB7708A00783">
    <w:name w:val="5A947A4CD3794C1787DFBDB7708A00783"/>
    <w:rsid w:val="00AC6BCB"/>
    <w:pPr>
      <w:bidi/>
      <w:spacing w:after="0" w:line="240" w:lineRule="auto"/>
    </w:pPr>
    <w:rPr>
      <w:rFonts w:ascii="Arial (W1)" w:eastAsia="Times New Roman" w:hAnsi="Arial (W1)" w:cs="David"/>
      <w:sz w:val="24"/>
      <w:szCs w:val="24"/>
    </w:rPr>
  </w:style>
  <w:style w:type="paragraph" w:customStyle="1" w:styleId="5A947A4CD3794C1787DFBDB7708A00784">
    <w:name w:val="5A947A4CD3794C1787DFBDB7708A00784"/>
    <w:rsid w:val="006F21A2"/>
    <w:pPr>
      <w:bidi/>
      <w:spacing w:after="0" w:line="240" w:lineRule="auto"/>
    </w:pPr>
    <w:rPr>
      <w:rFonts w:ascii="Arial (W1)" w:eastAsia="Times New Roman" w:hAnsi="Arial (W1)" w:cs="David"/>
      <w:sz w:val="24"/>
      <w:szCs w:val="24"/>
    </w:rPr>
  </w:style>
  <w:style w:type="paragraph" w:customStyle="1" w:styleId="5A947A4CD3794C1787DFBDB7708A00785">
    <w:name w:val="5A947A4CD3794C1787DFBDB7708A00785"/>
    <w:rsid w:val="00C97C5C"/>
    <w:pPr>
      <w:bidi/>
      <w:spacing w:after="0" w:line="240" w:lineRule="auto"/>
    </w:pPr>
    <w:rPr>
      <w:rFonts w:ascii="Arial (W1)" w:eastAsia="Times New Roman" w:hAnsi="Arial (W1)" w:cs="David"/>
      <w:sz w:val="24"/>
      <w:szCs w:val="24"/>
    </w:rPr>
  </w:style>
  <w:style w:type="paragraph" w:customStyle="1" w:styleId="5A947A4CD3794C1787DFBDB7708A00786">
    <w:name w:val="5A947A4CD3794C1787DFBDB7708A00786"/>
    <w:rsid w:val="00B33786"/>
    <w:pPr>
      <w:bidi/>
      <w:spacing w:after="0" w:line="240" w:lineRule="auto"/>
    </w:pPr>
    <w:rPr>
      <w:rFonts w:ascii="Arial (W1)" w:eastAsia="Times New Roman" w:hAnsi="Arial (W1)" w:cs="David"/>
      <w:sz w:val="24"/>
      <w:szCs w:val="24"/>
    </w:rPr>
  </w:style>
  <w:style w:type="paragraph" w:customStyle="1" w:styleId="5A947A4CD3794C1787DFBDB7708A00787">
    <w:name w:val="5A947A4CD3794C1787DFBDB7708A00787"/>
    <w:rsid w:val="006B4309"/>
    <w:pPr>
      <w:bidi/>
      <w:spacing w:after="0" w:line="240" w:lineRule="auto"/>
    </w:pPr>
    <w:rPr>
      <w:rFonts w:ascii="Arial (W1)" w:eastAsia="Times New Roman" w:hAnsi="Arial (W1)" w:cs="David"/>
      <w:sz w:val="24"/>
      <w:szCs w:val="24"/>
    </w:rPr>
  </w:style>
  <w:style w:type="paragraph" w:customStyle="1" w:styleId="547083FA95984873A5D85E58CEB98D61">
    <w:name w:val="547083FA95984873A5D85E58CEB98D61"/>
    <w:rsid w:val="006B4309"/>
    <w:pPr>
      <w:bidi/>
      <w:spacing w:after="160" w:line="259" w:lineRule="auto"/>
    </w:pPr>
  </w:style>
  <w:style w:type="paragraph" w:customStyle="1" w:styleId="103992DE65A8434EB35686ECF0E43572">
    <w:name w:val="103992DE65A8434EB35686ECF0E43572"/>
    <w:rsid w:val="006B4309"/>
    <w:pPr>
      <w:bidi/>
      <w:spacing w:after="160" w:line="259" w:lineRule="auto"/>
    </w:pPr>
  </w:style>
  <w:style w:type="paragraph" w:customStyle="1" w:styleId="1AC23BB223994E6AA5E6B485E9F4FCF1">
    <w:name w:val="1AC23BB223994E6AA5E6B485E9F4FCF1"/>
    <w:rsid w:val="006B4309"/>
    <w:pPr>
      <w:bidi/>
      <w:spacing w:after="160" w:line="259" w:lineRule="auto"/>
    </w:pPr>
  </w:style>
  <w:style w:type="paragraph" w:customStyle="1" w:styleId="3C0299102DB24DAD832590039125B32A">
    <w:name w:val="3C0299102DB24DAD832590039125B32A"/>
    <w:rsid w:val="006B4309"/>
    <w:pPr>
      <w:bidi/>
      <w:spacing w:after="160" w:line="259" w:lineRule="auto"/>
    </w:pPr>
  </w:style>
  <w:style w:type="paragraph" w:customStyle="1" w:styleId="BA62758BE8504A3C83A17507119E173E">
    <w:name w:val="BA62758BE8504A3C83A17507119E173E"/>
    <w:rsid w:val="006B4309"/>
    <w:pPr>
      <w:bidi/>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DecisionTemplateDS>
  <dt_Decision>
    <DecisionID>0</DecisionID>
    <CaseID>78112931</CaseID>
    <CaseJudicialPersonPresentationDS>
      <CaseJudicalPersonActive>
        <CaseID>78112931</CaseID>
        <JudicialPersonID>029522976@GOV.IL</JudicialPersonID>
        <JudicialPersonTypeID>1</JudicialPersonTypeID>
        <JudicialTypeID>3</JudicialTypeID>
        <IsChairman>true</IsChairman>
        <TreatmentStartDate>2022-12-26T16:36:24.203+02:00</TreatmentStartDate>
        <TreatmentFinishDate>9999-12-31T23:59:59.997+02:00</TreatmentFinishDate>
        <IdentificationCardNumber>029522976</IdentificationCardNumber>
        <DisplayName>דניאל בן טולילה</DisplayName>
        <JudicialTypeName>הרכב שופטים</JudicialTypeName>
        <CaseJudicialGroupNumber>521565</CaseJudicialGroupNumber>
        <FirstName>דניאל</FirstName>
        <LastName>בן טולילה</LastName>
        <JudicialPersonTitle>שופט</JudicialPersonTitle>
      </CaseJudicalPersonActive>
      <CaseJudicalPersonActive>
        <CaseID>78112931</CaseID>
        <JudicialPersonID>032076986@GOV.IL</JudicialPersonID>
        <JudicialPersonTypeID>1</JudicialPersonTypeID>
        <JudicialTypeID>3</JudicialTypeID>
        <IsChairman>false</IsChairman>
        <TreatmentStartDate>2022-12-26T16:36:24.203+02:00</TreatmentStartDate>
        <TreatmentFinishDate>9999-12-31T23:59:59.997+02:00</TreatmentFinishDate>
        <IdentificationCardNumber>032076986</IdentificationCardNumber>
        <DisplayName>טל לחיאני שהם</DisplayName>
        <JudicialTypeName>הרכב שופטים</JudicialTypeName>
        <CaseJudicialGroupNumber>521565</CaseJudicialGroupNumber>
        <FirstName>טל</FirstName>
        <LastName>לחיאני שהם</LastName>
        <JudicialPersonTitle>שופט</JudicialPersonTitle>
      </CaseJudicalPersonActive>
      <CaseJudicalPersonActive>
        <CaseID>78112931</CaseID>
        <JudicialPersonID>028781599@GOV.IL</JudicialPersonID>
        <JudicialPersonTypeID>1</JudicialPersonTypeID>
        <JudicialTypeID>3</JudicialTypeID>
        <IsChairman>false</IsChairman>
        <TreatmentStartDate>2022-12-26T16:36:24.203+02:00</TreatmentStartDate>
        <TreatmentFinishDate>9999-12-31T23:59:59.997+02:00</TreatmentFinishDate>
        <IdentificationCardNumber>028781599</IdentificationCardNumber>
        <DisplayName>יואב עטר</DisplayName>
        <JudicialTypeName>הרכב שופטים</JudicialTypeName>
        <CaseJudicialGroupNumber>521565</CaseJudicialGroupNumber>
        <FirstName>יואב</FirstName>
        <LastName>עטר</LastName>
        <JudicialPersonTitle>שופט</JudicialPersonTitle>
      </CaseJudicalPersonActive>
    </CaseJudicialPersonPresentationDS>
    <CasePartiesSelectionDS>
      <CaseParties>
        <PartyTypeName>מסייע</PartyTypeName>
        <ProceedingType>כתב טענות עיקרי</ProceedingType>
        <PleaName>כתב אישום</PleaName>
        <PartyBelonging> - </PartyBelonging>
        <RoleName>שירות בתי הסוהר</RoleName>
        <IsSubProceeding>FALSE</IsSubProceeding>
        <FullName>שרות בתי הסוהר-מחלקת האסיר - זימונים</FullName>
        <LastName>שרות בתי הסוהר-מחלקת האסיר - זימונים</LastName>
        <PartyPropertyName/>
        <AuthenticationTypeAndNumber>משרדי ממשלה 513441967</AuthenticationTypeAndNumber>
        <RepresentatedOrRepresentativesNames/>
        <RepresentatedOrRepresentativesCount>0</RepresentatedOrRepresentativesCount>
        <InvitedBy/>
        <CaseID>78112931</CaseID>
        <CaseJudicialPersonPresentationDS>
          <CaseJudicalPersonActive>
            <CaseID>78112931</CaseID>
            <JudicialPersonID>029522976@GOV.IL</JudicialPersonID>
            <JudicialPersonTypeID>1</JudicialPersonTypeID>
            <JudicialTypeID>3</JudicialTypeID>
            <IsChairman>true</IsChairman>
            <TreatmentStartDate>2022-12-26T16:36:24.203+02:00</TreatmentStartDate>
            <TreatmentFinishDate>9999-12-31T23:59:59.997+02:00</TreatmentFinishDate>
            <IdentificationCardNumber>029522976</IdentificationCardNumber>
            <DisplayName>דניאל בן טולילה</DisplayName>
            <JudicialTypeName>הרכב שופטים</JudicialTypeName>
            <CaseJudicialGroupNumber>521565</CaseJudicialGroupNumber>
            <FirstName>דניאל</FirstName>
            <LastName>בן טולילה</LastName>
            <JudicialPersonTitle>שופט</JudicialPersonTitle>
          </CaseJudicalPersonActive>
          <CaseJudicalPersonActive>
            <CaseID>78112931</CaseID>
            <JudicialPersonID>032076986@GOV.IL</JudicialPersonID>
            <JudicialPersonTypeID>1</JudicialPersonTypeID>
            <JudicialTypeID>3</JudicialTypeID>
            <IsChairman>false</IsChairman>
            <TreatmentStartDate>2022-12-26T16:36:24.203+02:00</TreatmentStartDate>
            <TreatmentFinishDate>9999-12-31T23:59:59.997+02:00</TreatmentFinishDate>
            <IdentificationCardNumber>032076986</IdentificationCardNumber>
            <DisplayName>טל לחיאני שהם</DisplayName>
            <JudicialTypeName>הרכב שופטים</JudicialTypeName>
            <CaseJudicialGroupNumber>521565</CaseJudicialGroupNumber>
            <FirstName>טל</FirstName>
            <LastName>לחיאני שהם</LastName>
            <JudicialPersonTitle>שופט</JudicialPersonTitle>
          </CaseJudicalPersonActive>
          <CaseJudicalPersonActive>
            <CaseID>78112931</CaseID>
            <JudicialPersonID>028781599@GOV.IL</JudicialPersonID>
            <JudicialPersonTypeID>1</JudicialPersonTypeID>
            <JudicialTypeID>3</JudicialTypeID>
            <IsChairman>false</IsChairman>
            <TreatmentStartDate>2022-12-26T16:36:24.203+02:00</TreatmentStartDate>
            <TreatmentFinishDate>9999-12-31T23:59:59.997+02:00</TreatmentFinishDate>
            <IdentificationCardNumber>028781599</IdentificationCardNumber>
            <DisplayName>יואב עטר</DisplayName>
            <JudicialTypeName>הרכב שופטים</JudicialTypeName>
            <CaseJudicialGroupNumber>521565</CaseJudicialGroupNumber>
            <FirstName>יואב</FirstName>
            <LastName>עטר</LastName>
            <JudicialPersonTitle>שופט</JudicialPersonTitle>
          </CaseJudicalPersonActive>
        </CaseJudicialPersonPresentationDS>
        <CasePartyID>248134451</CasePartyID>
        <PartyTypeID>3</PartyTypeID>
        <ActivityStatusID>1</ActivityStatusID>
        <LegalEntityID>3493000</LegalEntityID>
        <CaseLegalEntityID>122026397</CaseLegalEntityID>
        <AssistantRoleID>13</AssistantRoleID>
        <AuthenticationTypeID>13</AuthenticationTypeID>
        <AuthenticationTypeName>משרדי ממשלה</AuthenticationTypeName>
        <LegalEntityNumber>513441967</LegalEntityNumber>
        <IsMainPartyType>true</IsMainPartyType>
        <CaseDisplayIdentifier>31636-02-21</CaseDisplayIdentifier>
        <CaseTypeID>10077</CaseTypeID>
        <CaseTypeName>תיק פשעים חמורים (תפ"ח)</CaseTypeName>
        <CaseName>מדינת ישראל נ' מסעד(עציר)</CaseName>
        <FullAddress>נציבות רמלה  בניין אגף האסיר</FullAddress>
        <EmailAddress>h.b.m@ips.gov.il</EmailAddress>
        <MotionID>0</MotionID>
        <CasePleaID>0</CasePleaID>
        <LinkedCaseID>0</LinkedCaseID>
        <PartyID>1</PartyID>
        <CasePartyCategoryID>2</CasePartyCategoryID>
        <LegalEntityAddressID>83399710</LegalEntityAddressID>
        <LegalEntityEmailAddressID>68159284</LegalEntityEmailAddressID>
        <PleaTypeID>8</PleaTypeID>
        <GroupPartyAlias/>
        <IsConverted>false</IsConverted>
        <LegalEntityRegisteredNameID>4753567</LegalEntityRegisteredNameID>
        <RepresentatedNamesOfAssistant/>
        <LegalEntityTypeID>3</LegalEntityTypeID>
        <IsVerdictExists>false</IsVerdictExists>
        <IsAsirAzir>false</IsAsirAzir>
        <IsPublicationProhibited>false</IsPublicationProhibited>
        <PublicationProhibitedFullName>שרות בתי הסוהר-מחלקת האסיר - זימונים</PublicationProhibitedFullName>
      </CaseParties>
      <CaseParties>
        <PartyTypeName>בא כוח</PartyTypeName>
        <ProceedingType>כתב טענות עיקרי</ProceedingType>
        <PleaName>כתב אישום</PleaName>
        <PartyBelonging> - </PartyBelonging>
        <RoleName>בא כוח נאשמים</RoleName>
        <IsSubProceeding>FALSE</IsSubProceeding>
        <FullName>ימימה אברמוביץ'</FullName>
        <FirstName>ימימה</FirstName>
        <LastName>אברמוביץ'</LastName>
        <PartyPropertyName/>
        <AuthenticationTypeAndNumber>מ.ר. 59635</AuthenticationTypeAndNumber>
        <RepresentatedOrRepresentativesNames>מחמד מסעד</RepresentatedOrRepresentativesNames>
        <RepresentatedOrRepresentativesCount>1</RepresentatedOrRepresentativesCount>
        <InvitedBy/>
        <CaseID>78112931</CaseID>
        <CaseJudicialPersonPresentationDS>
          <CaseJudicalPersonActive>
            <CaseID>78112931</CaseID>
            <JudicialPersonID>029522976@GOV.IL</JudicialPersonID>
            <JudicialPersonTypeID>1</JudicialPersonTypeID>
            <JudicialTypeID>3</JudicialTypeID>
            <IsChairman>true</IsChairman>
            <TreatmentStartDate>2022-12-26T16:36:24.203+02:00</TreatmentStartDate>
            <TreatmentFinishDate>9999-12-31T23:59:59.997+02:00</TreatmentFinishDate>
            <IdentificationCardNumber>029522976</IdentificationCardNumber>
            <DisplayName>דניאל בן טולילה</DisplayName>
            <JudicialTypeName>הרכב שופטים</JudicialTypeName>
            <CaseJudicialGroupNumber>521565</CaseJudicialGroupNumber>
            <FirstName>דניאל</FirstName>
            <LastName>בן טולילה</LastName>
            <JudicialPersonTitle>שופט</JudicialPersonTitle>
          </CaseJudicalPersonActive>
          <CaseJudicalPersonActive>
            <CaseID>78112931</CaseID>
            <JudicialPersonID>032076986@GOV.IL</JudicialPersonID>
            <JudicialPersonTypeID>1</JudicialPersonTypeID>
            <JudicialTypeID>3</JudicialTypeID>
            <IsChairman>false</IsChairman>
            <TreatmentStartDate>2022-12-26T16:36:24.203+02:00</TreatmentStartDate>
            <TreatmentFinishDate>9999-12-31T23:59:59.997+02:00</TreatmentFinishDate>
            <IdentificationCardNumber>032076986</IdentificationCardNumber>
            <DisplayName>טל לחיאני שהם</DisplayName>
            <JudicialTypeName>הרכב שופטים</JudicialTypeName>
            <CaseJudicialGroupNumber>521565</CaseJudicialGroupNumber>
            <FirstName>טל</FirstName>
            <LastName>לחיאני שהם</LastName>
            <JudicialPersonTitle>שופט</JudicialPersonTitle>
          </CaseJudicalPersonActive>
          <CaseJudicalPersonActive>
            <CaseID>78112931</CaseID>
            <JudicialPersonID>028781599@GOV.IL</JudicialPersonID>
            <JudicialPersonTypeID>1</JudicialPersonTypeID>
            <JudicialTypeID>3</JudicialTypeID>
            <IsChairman>false</IsChairman>
            <TreatmentStartDate>2022-12-26T16:36:24.203+02:00</TreatmentStartDate>
            <TreatmentFinishDate>9999-12-31T23:59:59.997+02:00</TreatmentFinishDate>
            <IdentificationCardNumber>028781599</IdentificationCardNumber>
            <DisplayName>יואב עטר</DisplayName>
            <JudicialTypeName>הרכב שופטים</JudicialTypeName>
            <CaseJudicialGroupNumber>521565</CaseJudicialGroupNumber>
            <FirstName>יואב</FirstName>
            <LastName>עטר</LastName>
            <JudicialPersonTitle>שופט</JudicialPersonTitle>
          </CaseJudicalPersonActive>
        </CaseJudicialPersonPresentationDS>
        <CasePartyID>235174795</CasePartyID>
        <PartyTypeID>2</PartyTypeID>
        <ActivityStatusID>1</ActivityStatusID>
        <PartyAliasID>32</PartyAliasID>
        <PartyAliasName>בא כוח נאשמים</PartyAliasName>
        <LegalEntityID>72079996</LegalEntityID>
        <CaseLegalEntityID>118009800</CaseLegalEntityID>
        <AuthenticationTypeID>4</AuthenticationTypeID>
        <AuthenticationTypeName>מ.ר.</AuthenticationTypeName>
        <LegalEntityNumber>59635</LegalEntityNumber>
        <IsMainPartyType>true</IsMainPartyType>
        <CaseDisplayIdentifier>31636-02-21</CaseDisplayIdentifier>
        <CaseTypeID>10077</CaseTypeID>
        <CaseTypeName>תיק פשעים חמורים (תפ"ח)</CaseTypeName>
        <CaseName>מדינת ישראל נ' מסעד(עציר)</CaseName>
        <FullAddress>הוברמן 10 תל אביב -יפו </FullAddress>
        <EmailAddress>yemimama@gmail.com</EmailAddress>
        <MotionID>0</MotionID>
        <CasePleaID>0</CasePleaID>
        <LinkedCaseID>0</LinkedCaseID>
        <PartyID>2</PartyID>
        <CasePartyCategoryID>2</CasePartyCategoryID>
        <LegalEntityAddressID>73957178</LegalEntityAddressID>
        <LegalEntityEmailAddressID>68062807</LegalEntityEmailAddressID>
        <PleaTypeID>8</PleaTypeID>
        <LawyerOfficeName>משרד עו"ד ימימה אברמוביץ'</LawyerOfficeName>
        <LawyerOfficeID>72079997</LawyerOfficeID>
        <GroupPartyAlias/>
        <IsConverted>false</IsConverted>
        <LegalEntityNameID>75736588</LegalEntityNameID>
        <RepresentatedNamesOfAssistant/>
        <LegalEntityTypeID>4</LegalEntityTypeID>
        <IsVerdictExists>false</IsVerdictExists>
        <IsAsirAzir>false</IsAsirAzir>
        <IsPublicationProhibited>false</IsPublicationProhibited>
        <PublicationProhibitedFullName>ימימה אברמוביץ'</PublicationProhibitedFullName>
      </CaseParties>
      <CaseParties>
        <PartyTypeName>צד</PartyTypeName>
        <ProceedingType>כתב טענות עיקרי</ProceedingType>
        <PleaName>כתב אישום</PleaName>
        <PartyBelonging>צד א'</PartyBelonging>
        <RoleName>מאשימה 1</RoleName>
        <IsSubProceeding>FALSE</IsSubProceeding>
        <FullName>מדינת ישראל</FullName>
        <FirstName/>
        <LastName>מדינת ישראל</LastName>
        <PartyPropertyName/>
        <AuthenticationTypeAndNumber>מדינת ישראל </AuthenticationTypeAndNumber>
        <RepresentatedOrRepresentativesNames>ארז פדן</RepresentatedOrRepresentativesNames>
        <RepresentatedOrRepresentativesCount>1</RepresentatedOrRepresentativesCount>
        <InvitedBy/>
        <CaseID>78112931</CaseID>
        <CaseJudicialPersonPresentationDS>
          <CaseJudicalPersonActive>
            <CaseID>78112931</CaseID>
            <JudicialPersonID>029522976@GOV.IL</JudicialPersonID>
            <JudicialPersonTypeID>1</JudicialPersonTypeID>
            <JudicialTypeID>3</JudicialTypeID>
            <IsChairman>true</IsChairman>
            <TreatmentStartDate>2022-12-26T16:36:24.203+02:00</TreatmentStartDate>
            <TreatmentFinishDate>9999-12-31T23:59:59.997+02:00</TreatmentFinishDate>
            <IdentificationCardNumber>029522976</IdentificationCardNumber>
            <DisplayName>דניאל בן טולילה</DisplayName>
            <JudicialTypeName>הרכב שופטים</JudicialTypeName>
            <CaseJudicialGroupNumber>521565</CaseJudicialGroupNumber>
            <FirstName>דניאל</FirstName>
            <LastName>בן טולילה</LastName>
            <JudicialPersonTitle>שופט</JudicialPersonTitle>
          </CaseJudicalPersonActive>
          <CaseJudicalPersonActive>
            <CaseID>78112931</CaseID>
            <JudicialPersonID>032076986@GOV.IL</JudicialPersonID>
            <JudicialPersonTypeID>1</JudicialPersonTypeID>
            <JudicialTypeID>3</JudicialTypeID>
            <IsChairman>false</IsChairman>
            <TreatmentStartDate>2022-12-26T16:36:24.203+02:00</TreatmentStartDate>
            <TreatmentFinishDate>9999-12-31T23:59:59.997+02:00</TreatmentFinishDate>
            <IdentificationCardNumber>032076986</IdentificationCardNumber>
            <DisplayName>טל לחיאני שהם</DisplayName>
            <JudicialTypeName>הרכב שופטים</JudicialTypeName>
            <CaseJudicialGroupNumber>521565</CaseJudicialGroupNumber>
            <FirstName>טל</FirstName>
            <LastName>לחיאני שהם</LastName>
            <JudicialPersonTitle>שופט</JudicialPersonTitle>
          </CaseJudicalPersonActive>
          <CaseJudicalPersonActive>
            <CaseID>78112931</CaseID>
            <JudicialPersonID>028781599@GOV.IL</JudicialPersonID>
            <JudicialPersonTypeID>1</JudicialPersonTypeID>
            <JudicialTypeID>3</JudicialTypeID>
            <IsChairman>false</IsChairman>
            <TreatmentStartDate>2022-12-26T16:36:24.203+02:00</TreatmentStartDate>
            <TreatmentFinishDate>9999-12-31T23:59:59.997+02:00</TreatmentFinishDate>
            <IdentificationCardNumber>028781599</IdentificationCardNumber>
            <DisplayName>יואב עטר</DisplayName>
            <JudicialTypeName>הרכב שופטים</JudicialTypeName>
            <CaseJudicialGroupNumber>521565</CaseJudicialGroupNumber>
            <FirstName>יואב</FirstName>
            <LastName>עטר</LastName>
            <JudicialPersonTitle>שופט</JudicialPersonTitle>
          </CaseJudicalPersonActive>
        </CaseJudicialPersonPresentationDS>
        <CasePartyID>222856984</CasePartyID>
        <PartyTypeID>1</PartyTypeID>
        <ActivityStatusID>1</ActivityStatusID>
        <PartyAliasID>11</PartyAliasID>
        <PartyAliasName>מאשימה</PartyAliasName>
        <OrdinalNumber>1</OrdinalNumber>
        <LegalEntityID>4</LegalEntityID>
        <CaseLegalEntityID>114257345</CaseLegalEntityID>
        <AuthenticationTypeID>41</AuthenticationTypeID>
        <AuthenticationTypeName>מדינת ישראל </AuthenticationTypeName>
        <LegalEntityNumber/>
        <IsMainPartyType>true</IsMainPartyType>
        <CaseDisplayIdentifier>31636-02-21</CaseDisplayIdentifier>
        <CaseTypeID>10077</CaseTypeID>
        <CaseTypeName>תיק פשעים חמורים (תפ"ח)</CaseTypeName>
        <CaseName>מדינת ישראל נ' מסעד(עציר)</CaseName>
        <FullAddress/>
        <MotionID>0</MotionID>
        <CasePleaID>0</CasePleaID>
        <LinkedCaseID>0</LinkedCaseID>
        <PartyID>1</PartyID>
        <CasePartyCategoryID>2</CasePartyCategoryID>
        <PleaTypeID>8</PleaTypeID>
        <GroupPartyAlias>מאשימה</GroupPartyAlias>
        <IsConverted>false</IsConverted>
        <LegalEntityRegisteredNameID>1</LegalEntityRegisteredNameID>
        <RepresentatedNamesOfAssistant/>
        <LegalEntityTypeID>15</LegalEntityTypeID>
        <IsVerdictExists>false</IsVerdictExists>
        <IsAsirAzir>false</IsAsirAzir>
        <IsPublicationProhibited>false</IsPublicationProhibited>
        <PublicationProhibitedFullName>מדינת ישראל</PublicationProhibitedFullName>
      </CaseParties>
      <CaseParties>
        <PartyTypeName>צד</PartyTypeName>
        <ProceedingType>כתב טענות עיקרי</ProceedingType>
        <PleaName>כתב אישום</PleaName>
        <PartyBelonging>צד ב'</PartyBelonging>
        <RoleName>נאשם 1</RoleName>
        <IsSubProceeding>FALSE</IsSubProceeding>
        <FullName>מחמד מסעד (עציר)</FullName>
        <FirstName>מחמד</FirstName>
        <LastName>מסאעד</LastName>
        <PartyPropertyID>6</PartyPropertyID>
        <PartyPropertyName/>
        <AuthenticationTypeAndNumber>ת"ז 053858700</AuthenticationTypeAndNumber>
        <RepresentatedOrRepresentativesNames>ימימה אברמוביץ'</RepresentatedOrRepresentativesNames>
        <RepresentatedOrRepresentativesCount>1</RepresentatedOrRepresentativesCount>
        <InvitedBy/>
        <CaseID>78112931</CaseID>
        <CaseJudicialPersonPresentationDS>
          <CaseJudicalPersonActive>
            <CaseID>78112931</CaseID>
            <JudicialPersonID>029522976@GOV.IL</JudicialPersonID>
            <JudicialPersonTypeID>1</JudicialPersonTypeID>
            <JudicialTypeID>3</JudicialTypeID>
            <IsChairman>true</IsChairman>
            <TreatmentStartDate>2022-12-26T16:36:24.203+02:00</TreatmentStartDate>
            <TreatmentFinishDate>9999-12-31T23:59:59.997+02:00</TreatmentFinishDate>
            <IdentificationCardNumber>029522976</IdentificationCardNumber>
            <DisplayName>דניאל בן טולילה</DisplayName>
            <JudicialTypeName>הרכב שופטים</JudicialTypeName>
            <CaseJudicialGroupNumber>521565</CaseJudicialGroupNumber>
            <FirstName>דניאל</FirstName>
            <LastName>בן טולילה</LastName>
            <JudicialPersonTitle>שופט</JudicialPersonTitle>
          </CaseJudicalPersonActive>
          <CaseJudicalPersonActive>
            <CaseID>78112931</CaseID>
            <JudicialPersonID>032076986@GOV.IL</JudicialPersonID>
            <JudicialPersonTypeID>1</JudicialPersonTypeID>
            <JudicialTypeID>3</JudicialTypeID>
            <IsChairman>false</IsChairman>
            <TreatmentStartDate>2022-12-26T16:36:24.203+02:00</TreatmentStartDate>
            <TreatmentFinishDate>9999-12-31T23:59:59.997+02:00</TreatmentFinishDate>
            <IdentificationCardNumber>032076986</IdentificationCardNumber>
            <DisplayName>טל לחיאני שהם</DisplayName>
            <JudicialTypeName>הרכב שופטים</JudicialTypeName>
            <CaseJudicialGroupNumber>521565</CaseJudicialGroupNumber>
            <FirstName>טל</FirstName>
            <LastName>לחיאני שהם</LastName>
            <JudicialPersonTitle>שופט</JudicialPersonTitle>
          </CaseJudicalPersonActive>
          <CaseJudicalPersonActive>
            <CaseID>78112931</CaseID>
            <JudicialPersonID>028781599@GOV.IL</JudicialPersonID>
            <JudicialPersonTypeID>1</JudicialPersonTypeID>
            <JudicialTypeID>3</JudicialTypeID>
            <IsChairman>false</IsChairman>
            <TreatmentStartDate>2022-12-26T16:36:24.203+02:00</TreatmentStartDate>
            <TreatmentFinishDate>9999-12-31T23:59:59.997+02:00</TreatmentFinishDate>
            <IdentificationCardNumber>028781599</IdentificationCardNumber>
            <DisplayName>יואב עטר</DisplayName>
            <JudicialTypeName>הרכב שופטים</JudicialTypeName>
            <CaseJudicialGroupNumber>521565</CaseJudicialGroupNumber>
            <FirstName>יואב</FirstName>
            <LastName>עטר</LastName>
            <JudicialPersonTitle>שופט</JudicialPersonTitle>
          </CaseJudicalPersonActive>
        </CaseJudicialPersonPresentationDS>
        <CasePartyID>222856986</CasePartyID>
        <PartyTypeID>1</PartyTypeID>
        <ActivityStatusID>1</ActivityStatusID>
        <PartyAliasID>13</PartyAliasID>
        <PartyAliasName>נאשם</PartyAliasName>
        <OrdinalNumber>1</OrdinalNumber>
        <LegalEntityID>34431127</LegalEntityID>
        <CaseLegalEntityID>114257347</CaseLegalEntityID>
        <AuthenticationTypeID>1</AuthenticationTypeID>
        <AuthenticationTypeName>ת"ז</AuthenticationTypeName>
        <LegalEntityNumber>053858700</LegalEntityNumber>
        <IsMainPartyType>true</IsMainPartyType>
        <CaseDisplayIdentifier>31636-02-21</CaseDisplayIdentifier>
        <CaseTypeID>10077</CaseTypeID>
        <CaseTypeName>תיק פשעים חמורים (תפ"ח)</CaseTypeName>
        <CaseName>מדינת ישראל נ' מסעד(עציר)</CaseName>
        <FullAddress>שכ 3 בית 62 ערוער </FullAddress>
        <MotionID>0</MotionID>
        <CasePleaID>0</CasePleaID>
        <FatherName>חליל</FatherName>
        <LinkedCaseID>0</LinkedCaseID>
        <PartyID>2</PartyID>
        <CasePartyCategoryID>2</CasePartyCategoryID>
        <LegalEntityAddressID>84874634</LegalEntityAddressID>
        <PleaTypeID>8</PleaTypeID>
        <GroupPartyAlias>נאשמים</GroupPartyAlias>
        <IsConverted>false</IsConverted>
        <LegalEntityRegisteredNameID>2022051</LegalEntityRegisteredNameID>
        <LegalEntityNameID>90958011</LegalEntityNameID>
        <RepresentatedNamesOfAssistant/>
        <PopulationRegisterVerificationStatusID>1</PopulationRegisterVerificationStatusID>
        <LegalEntityTypeID>1</LegalEntityTypeID>
        <IsVerdictExists>false</IsVerdictExists>
        <IsAsirAzir>true</IsAsirAzir>
        <IsPublicationProhibited>false</IsPublicationProhibited>
        <PublicationProhibitedFullName>מחמד מסעד (עציר)</PublicationProhibitedFullName>
      </CaseParties>
      <CaseParties>
        <PartyTypeName>בא כוח</PartyTypeName>
        <ProceedingType>כתב טענות עיקרי</ProceedingType>
        <PleaName>כתב אישום</PleaName>
        <PartyBelonging> - </PartyBelonging>
        <RoleName>בא כוח מאשימה</RoleName>
        <IsSubProceeding>FALSE</IsSubProceeding>
        <FullName>ארז פדן</FullName>
        <FirstName>ארז</FirstName>
        <LastName>פדן</LastName>
        <PartyPropertyName/>
        <AuthenticationTypeAndNumber>מ.ר. 27974</AuthenticationTypeAndNumber>
        <RepresentatedOrRepresentativesNames xml:space="preserve"> </RepresentatedOrRepresentativesNames>
        <RepresentatedOrRepresentativesCount>1</RepresentatedOrRepresentativesCount>
        <InvitedBy/>
        <CaseID>78112931</CaseID>
        <CaseJudicialPersonPresentationDS>
          <CaseJudicalPersonActive>
            <CaseID>78112931</CaseID>
            <JudicialPersonID>029522976@GOV.IL</JudicialPersonID>
            <JudicialPersonTypeID>1</JudicialPersonTypeID>
            <JudicialTypeID>3</JudicialTypeID>
            <IsChairman>true</IsChairman>
            <TreatmentStartDate>2022-12-26T16:36:24.203+02:00</TreatmentStartDate>
            <TreatmentFinishDate>9999-12-31T23:59:59.997+02:00</TreatmentFinishDate>
            <IdentificationCardNumber>029522976</IdentificationCardNumber>
            <DisplayName>דניאל בן טולילה</DisplayName>
            <JudicialTypeName>הרכב שופטים</JudicialTypeName>
            <CaseJudicialGroupNumber>521565</CaseJudicialGroupNumber>
            <FirstName>דניאל</FirstName>
            <LastName>בן טולילה</LastName>
            <JudicialPersonTitle>שופט</JudicialPersonTitle>
          </CaseJudicalPersonActive>
          <CaseJudicalPersonActive>
            <CaseID>78112931</CaseID>
            <JudicialPersonID>032076986@GOV.IL</JudicialPersonID>
            <JudicialPersonTypeID>1</JudicialPersonTypeID>
            <JudicialTypeID>3</JudicialTypeID>
            <IsChairman>false</IsChairman>
            <TreatmentStartDate>2022-12-26T16:36:24.203+02:00</TreatmentStartDate>
            <TreatmentFinishDate>9999-12-31T23:59:59.997+02:00</TreatmentFinishDate>
            <IdentificationCardNumber>032076986</IdentificationCardNumber>
            <DisplayName>טל לחיאני שהם</DisplayName>
            <JudicialTypeName>הרכב שופטים</JudicialTypeName>
            <CaseJudicialGroupNumber>521565</CaseJudicialGroupNumber>
            <FirstName>טל</FirstName>
            <LastName>לחיאני שהם</LastName>
            <JudicialPersonTitle>שופט</JudicialPersonTitle>
          </CaseJudicalPersonActive>
          <CaseJudicalPersonActive>
            <CaseID>78112931</CaseID>
            <JudicialPersonID>028781599@GOV.IL</JudicialPersonID>
            <JudicialPersonTypeID>1</JudicialPersonTypeID>
            <JudicialTypeID>3</JudicialTypeID>
            <IsChairman>false</IsChairman>
            <TreatmentStartDate>2022-12-26T16:36:24.203+02:00</TreatmentStartDate>
            <TreatmentFinishDate>9999-12-31T23:59:59.997+02:00</TreatmentFinishDate>
            <IdentificationCardNumber>028781599</IdentificationCardNumber>
            <DisplayName>יואב עטר</DisplayName>
            <JudicialTypeName>הרכב שופטים</JudicialTypeName>
            <CaseJudicialGroupNumber>521565</CaseJudicialGroupNumber>
            <FirstName>יואב</FirstName>
            <LastName>עטר</LastName>
            <JudicialPersonTitle>שופט</JudicialPersonTitle>
          </CaseJudicalPersonActive>
        </CaseJudicialPersonPresentationDS>
        <CasePartyID>248070844</CasePartyID>
        <PartyTypeID>2</PartyTypeID>
        <ActivityStatusID>1</ActivityStatusID>
        <PartyAliasID>30</PartyAliasID>
        <PartyAliasName>בא כוח מאשימה</PartyAliasName>
        <OrdinalNumber>2</OrdinalNumber>
        <LegalEntityID>404183</LegalEntityID>
        <CaseLegalEntityID>122005147</CaseLegalEntityID>
        <AuthenticationTypeID>4</AuthenticationTypeID>
        <AuthenticationTypeName>מ.ר.</AuthenticationTypeName>
        <LegalEntityNumber>27974</LegalEntityNumber>
        <IsMainPartyType>true</IsMainPartyType>
        <CaseDisplayIdentifier>31636-02-21</CaseDisplayIdentifier>
        <CaseTypeID>10077</CaseTypeID>
        <CaseTypeName>תיק פשעים חמורים (תפ"ח)</CaseTypeName>
        <CaseName>מדינת ישראל נ' מסעד(עציר)</CaseName>
        <FullAddress>התקווה 4 באר שבע קריית הממשלה, קומה 5</FullAddress>
        <EmailAddress>DA-BSH-criminal@justice.gov.il</EmailAddress>
        <MotionID>0</MotionID>
        <CasePleaID>0</CasePleaID>
        <FatherName xml:space="preserve">        </FatherName>
        <LinkedCaseID>0</LinkedCaseID>
        <PartyID>1</PartyID>
        <CasePartyCategoryID>2</CasePartyCategoryID>
        <LegalEntityAddressID>87033348</LegalEntityAddressID>
        <LegalEntityEmailAddressID>68073226</LegalEntityEmailAddressID>
        <PleaTypeID>8</PleaTypeID>
        <LawyerOfficeName>פרקליטות מחוז דרום - פלילי</LawyerOfficeName>
        <LawyerOfficeID>419579</LawyerOfficeID>
        <GroupPartyAlias/>
        <IsConverted>false</IsConverted>
        <LegalEntityNameID>25167</LegalEntityNameID>
        <RepresentatedNamesOfAssistant/>
        <LegalEntityTypeID>4</LegalEntityTypeID>
        <IsVerdictExists>false</IsVerdictExists>
        <IsAsirAzir>false</IsAsirAzir>
        <IsPublicationProhibited>false</IsPublicationProhibited>
        <PublicationProhibitedFullName>ארז פדן</PublicationProhibitedFullName>
      </CaseParties>
      <CaseParties>
        <PartyTypeName>עד</PartyTypeName>
        <ProceedingType>כתב טענות עיקרי</ProceedingType>
        <PleaName>כתב אישום</PleaName>
        <PartyBelonging> - </PartyBelonging>
        <RoleName>עד בית משפט 43</RoleName>
        <IsSubProceeding>FALSE</IsSubProceeding>
        <FullName>יפית מכלוף</FullName>
        <FirstName>יפית</FirstName>
        <LastName>מכלוף</LastName>
        <PartyPropertyName/>
        <AuthenticationTypeAndNumber>ת"ז 039349014</AuthenticationTypeAndNumber>
        <RepresentatedOrRepresentativesNames/>
        <RepresentatedOrRepresentativesCount>0</RepresentatedOrRepresentativesCount>
        <InvitedBy/>
        <CaseID>78112931</CaseID>
        <CaseJudicialPersonPresentationDS>
          <CaseJudicalPersonActive>
            <CaseID>78112931</CaseID>
            <JudicialPersonID>029522976@GOV.IL</JudicialPersonID>
            <JudicialPersonTypeID>1</JudicialPersonTypeID>
            <JudicialTypeID>3</JudicialTypeID>
            <IsChairman>true</IsChairman>
            <TreatmentStartDate>2022-12-26T16:36:24.203+02:00</TreatmentStartDate>
            <TreatmentFinishDate>9999-12-31T23:59:59.997+02:00</TreatmentFinishDate>
            <IdentificationCardNumber>029522976</IdentificationCardNumber>
            <DisplayName>דניאל בן טולילה</DisplayName>
            <JudicialTypeName>הרכב שופטים</JudicialTypeName>
            <CaseJudicialGroupNumber>521565</CaseJudicialGroupNumber>
            <FirstName>דניאל</FirstName>
            <LastName>בן טולילה</LastName>
            <JudicialPersonTitle>שופט</JudicialPersonTitle>
          </CaseJudicalPersonActive>
          <CaseJudicalPersonActive>
            <CaseID>78112931</CaseID>
            <JudicialPersonID>032076986@GOV.IL</JudicialPersonID>
            <JudicialPersonTypeID>1</JudicialPersonTypeID>
            <JudicialTypeID>3</JudicialTypeID>
            <IsChairman>false</IsChairman>
            <TreatmentStartDate>2022-12-26T16:36:24.203+02:00</TreatmentStartDate>
            <TreatmentFinishDate>9999-12-31T23:59:59.997+02:00</TreatmentFinishDate>
            <IdentificationCardNumber>032076986</IdentificationCardNumber>
            <DisplayName>טל לחיאני שהם</DisplayName>
            <JudicialTypeName>הרכב שופטים</JudicialTypeName>
            <CaseJudicialGroupNumber>521565</CaseJudicialGroupNumber>
            <FirstName>טל</FirstName>
            <LastName>לחיאני שהם</LastName>
            <JudicialPersonTitle>שופט</JudicialPersonTitle>
          </CaseJudicalPersonActive>
          <CaseJudicalPersonActive>
            <CaseID>78112931</CaseID>
            <JudicialPersonID>028781599@GOV.IL</JudicialPersonID>
            <JudicialPersonTypeID>1</JudicialPersonTypeID>
            <JudicialTypeID>3</JudicialTypeID>
            <IsChairman>false</IsChairman>
            <TreatmentStartDate>2022-12-26T16:36:24.203+02:00</TreatmentStartDate>
            <TreatmentFinishDate>9999-12-31T23:59:59.997+02:00</TreatmentFinishDate>
            <IdentificationCardNumber>028781599</IdentificationCardNumber>
            <DisplayName>יואב עטר</DisplayName>
            <JudicialTypeName>הרכב שופטים</JudicialTypeName>
            <CaseJudicialGroupNumber>521565</CaseJudicialGroupNumber>
            <FirstName>יואב</FirstName>
            <LastName>עטר</LastName>
            <JudicialPersonTitle>שופט</JudicialPersonTitle>
          </CaseJudicalPersonActive>
        </CaseJudicialPersonPresentationDS>
        <CasePartyID>254153368</CasePartyID>
        <PartyTypeID>4</PartyTypeID>
        <ActivityStatusID>1</ActivityStatusID>
        <PartyAliasID>101</PartyAliasID>
        <PartyAliasName>עד בית משפט</PartyAliasName>
        <OrdinalNumber>43</OrdinalNumber>
        <LegalEntityID>74109702</LegalEntityID>
        <CaseLegalEntityID>123871339</CaseLegalEntityID>
        <AuthenticationTypeID>1</AuthenticationTypeID>
        <AuthenticationTypeName>ת"ז</AuthenticationTypeName>
        <LegalEntityNumber>039349014</LegalEntityNumber>
        <IsMainPartyType>true</IsMainPartyType>
        <CaseDisplayIdentifier>31636-02-21</CaseDisplayIdentifier>
        <CaseTypeID>10077</CaseTypeID>
        <CaseTypeName>תיק פשעים חמורים (תפ"ח)</CaseTypeName>
        <CaseName>מדינת ישראל נ' מסעד(עציר)</CaseName>
        <FullAddress>ברנארד והרמן צונדק 15 באר שבע </FullAddress>
        <MotionID>0</MotionID>
        <CasePleaID>0</CasePleaID>
        <FatherName>משה</FatherName>
        <LinkedCaseID>0</LinkedCaseID>
        <PartyID>1</PartyID>
        <CasePartyCategoryID>2</CasePartyCategoryID>
        <LegalEntityAddressID>87768016</LegalEntityAddressID>
        <PleaTypeID>8</PleaTypeID>
        <GroupPartyAlias/>
        <IsConverted>false</IsConverted>
        <LegalEntityRegisteredNameID>4883440</LegalEntityRegisteredNameID>
        <LegalEntityNameID>94872405</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יפית מכלוף</PublicationProhibitedFullName>
      </CaseParties>
      <CaseParties>
        <PartyTypeName>עד</PartyTypeName>
        <ProceedingType>כתב טענות עיקרי</ProceedingType>
        <PleaName>כתב אישום</PleaName>
        <PartyBelonging> - </PartyBelonging>
        <RoleName>עד מאשימה 44</RoleName>
        <IsSubProceeding>FALSE</IsSubProceeding>
        <FullName>פרופסור נמרוד מימון</FullName>
        <FirstName>פרופסור נמרוד</FirstName>
        <LastName>מימון</LastName>
        <PartyPropertyName/>
        <AuthenticationTypeAndNumber>ת"ז </AuthenticationTypeAndNumber>
        <RepresentatedOrRepresentativesNames/>
        <RepresentatedOrRepresentativesCount>0</RepresentatedOrRepresentativesCount>
        <InvitedBy/>
        <CaseID>78112931</CaseID>
        <CaseJudicialPersonPresentationDS>
          <CaseJudicalPersonActive>
            <CaseID>78112931</CaseID>
            <JudicialPersonID>029522976@GOV.IL</JudicialPersonID>
            <JudicialPersonTypeID>1</JudicialPersonTypeID>
            <JudicialTypeID>3</JudicialTypeID>
            <IsChairman>true</IsChairman>
            <TreatmentStartDate>2022-12-26T16:36:24.203+02:00</TreatmentStartDate>
            <TreatmentFinishDate>9999-12-31T23:59:59.997+02:00</TreatmentFinishDate>
            <IdentificationCardNumber>029522976</IdentificationCardNumber>
            <DisplayName>דניאל בן טולילה</DisplayName>
            <JudicialTypeName>הרכב שופטים</JudicialTypeName>
            <CaseJudicialGroupNumber>521565</CaseJudicialGroupNumber>
            <FirstName>דניאל</FirstName>
            <LastName>בן טולילה</LastName>
            <JudicialPersonTitle>שופט</JudicialPersonTitle>
          </CaseJudicalPersonActive>
          <CaseJudicalPersonActive>
            <CaseID>78112931</CaseID>
            <JudicialPersonID>032076986@GOV.IL</JudicialPersonID>
            <JudicialPersonTypeID>1</JudicialPersonTypeID>
            <JudicialTypeID>3</JudicialTypeID>
            <IsChairman>false</IsChairman>
            <TreatmentStartDate>2022-12-26T16:36:24.203+02:00</TreatmentStartDate>
            <TreatmentFinishDate>9999-12-31T23:59:59.997+02:00</TreatmentFinishDate>
            <IdentificationCardNumber>032076986</IdentificationCardNumber>
            <DisplayName>טל לחיאני שהם</DisplayName>
            <JudicialTypeName>הרכב שופטים</JudicialTypeName>
            <CaseJudicialGroupNumber>521565</CaseJudicialGroupNumber>
            <FirstName>טל</FirstName>
            <LastName>לחיאני שהם</LastName>
            <JudicialPersonTitle>שופט</JudicialPersonTitle>
          </CaseJudicalPersonActive>
          <CaseJudicalPersonActive>
            <CaseID>78112931</CaseID>
            <JudicialPersonID>028781599@GOV.IL</JudicialPersonID>
            <JudicialPersonTypeID>1</JudicialPersonTypeID>
            <JudicialTypeID>3</JudicialTypeID>
            <IsChairman>false</IsChairman>
            <TreatmentStartDate>2022-12-26T16:36:24.203+02:00</TreatmentStartDate>
            <TreatmentFinishDate>9999-12-31T23:59:59.997+02:00</TreatmentFinishDate>
            <IdentificationCardNumber>028781599</IdentificationCardNumber>
            <DisplayName>יואב עטר</DisplayName>
            <JudicialTypeName>הרכב שופטים</JudicialTypeName>
            <CaseJudicialGroupNumber>521565</CaseJudicialGroupNumber>
            <FirstName>יואב</FirstName>
            <LastName>עטר</LastName>
            <JudicialPersonTitle>שופט</JudicialPersonTitle>
          </CaseJudicalPersonActive>
        </CaseJudicialPersonPresentationDS>
        <CasePartyID>249783082</CasePartyID>
        <PartyTypeID>4</PartyTypeID>
        <ActivityStatusID>1</ActivityStatusID>
        <PartyAliasID>71</PartyAliasID>
        <PartyAliasName>עד מאשימה</PartyAliasName>
        <OrdinalNumber>44</OrdinalNumber>
        <LegalEntityID>80928303</LegalEntityID>
        <CaseLegalEntityID>122520511</CaseLegalEntityID>
        <AuthenticationTypeID>1</AuthenticationTypeID>
        <AuthenticationTypeName>ת"ז</AuthenticationTypeName>
        <IsMainPartyType>true</IsMainPartyType>
        <CaseDisplayIdentifier>31636-02-21</CaseDisplayIdentifier>
        <CaseTypeID>10077</CaseTypeID>
        <CaseTypeName>תיק פשעים חמורים (תפ"ח)</CaseTypeName>
        <CaseName>מדינת ישראל נ' מסעד(עציר)</CaseName>
        <FullAddress>בית חולים סורוקה באר שבע באמצעות המאשימה</FullAddress>
        <MotionID>0</MotionID>
        <CasePleaID>0</CasePleaID>
        <LinkedCaseID>0</LinkedCaseID>
        <PartyID>1</PartyID>
        <CasePartyCategoryID>2</CasePartyCategoryID>
        <LegalEntityAddressID>87351157</LegalEntityAddressID>
        <PleaTypeID>8</PleaTypeID>
        <GroupPartyAlias/>
        <IsConverted>false</IsConverted>
        <LegalEntityNameID>94160709</LegalEntityNameID>
        <RepresentatedNamesOfAssistant/>
        <LegalEntityTypeID>1</LegalEntityTypeID>
        <IsVerdictExists>false</IsVerdictExists>
        <IsAsirAzir>false</IsAsirAzir>
        <IsPublicationProhibited>false</IsPublicationProhibited>
        <PublicationProhibitedFullName>פרופסור נמרוד מימון</PublicationProhibitedFullName>
      </CaseParties>
    </CasePartiesSelectionDS>
    <DecisionName>הכרעת דין  שניתנה ע"י  דניאל בן טולילה</DecisionName>
    <CourtDisplayName>בית המשפט המחוזי בבאר שבע</CourtDisplayName>
    <IsCaseJudgePanel>true</IsCaseJudgePanel>
    <DecisionSignatureDate>2023-12-18T13:01:04.8316149+02:00</DecisionSignatureDate>
    <OpenCaseDate>2021-02-15T12:17:00+02:00</OpenCaseDate>
    <ExternalCaseNumber>8333/2015</ExternalCaseNumber>
    <DecisionTypeID>3</DecisionTypeID>
    <DecisionSignatureUserName>דניאל בן טולילה</DecisionSignatureUserName>
    <DecisionSignatureDateHebrew>2023-12-18T13:01:04.8316149+02:00</DecisionSignatureDateHebrew>
    <DecisionWriterID>029522976@GOV.IL</DecisionWriterID>
    <CourtAddress>רח' התקווה 5 היכל המשפט, באר שבע 84102</CourtAddress>
    <IsAutoTextInCaseExist>false</IsAutoTextInCaseExist>
    <DecisionSignatureRoleName>שופט</DecisionSignatureRoleName>
    <DecisionSignatureUserTitleName>שופט</DecisionSignatureUserTitleName>
    <CaseName>מדינת ישראל נ' מסעד(עציר)</CaseName>
    <DecisionNumberInCase>8</DecisionNumberInCase>
  </dt_Decision>
  <dt_DecisionCase>
    <DecisionID>0</DecisionID>
    <CaseID>78112931</CaseID>
    <CaseJudicialPersonPresentationDS>
      <CaseJudicalPersonActive>
        <CaseID>78112931</CaseID>
        <JudicialPersonID>029522976@GOV.IL</JudicialPersonID>
        <JudicialPersonTypeID>1</JudicialPersonTypeID>
        <JudicialTypeID>3</JudicialTypeID>
        <IsChairman>true</IsChairman>
        <TreatmentStartDate>2022-12-26T16:36:24.203+02:00</TreatmentStartDate>
        <TreatmentFinishDate>9999-12-31T23:59:59.997+02:00</TreatmentFinishDate>
        <IdentificationCardNumber>029522976</IdentificationCardNumber>
        <DisplayName>דניאל בן טולילה</DisplayName>
        <JudicialTypeName>הרכב שופטים</JudicialTypeName>
        <CaseJudicialGroupNumber>521565</CaseJudicialGroupNumber>
        <FirstName>דניאל</FirstName>
        <LastName>בן טולילה</LastName>
        <JudicialPersonTitle>שופט</JudicialPersonTitle>
      </CaseJudicalPersonActive>
      <CaseJudicalPersonActive>
        <CaseID>78112931</CaseID>
        <JudicialPersonID>032076986@GOV.IL</JudicialPersonID>
        <JudicialPersonTypeID>1</JudicialPersonTypeID>
        <JudicialTypeID>3</JudicialTypeID>
        <IsChairman>false</IsChairman>
        <TreatmentStartDate>2022-12-26T16:36:24.203+02:00</TreatmentStartDate>
        <TreatmentFinishDate>9999-12-31T23:59:59.997+02:00</TreatmentFinishDate>
        <IdentificationCardNumber>032076986</IdentificationCardNumber>
        <DisplayName>טל לחיאני שהם</DisplayName>
        <JudicialTypeName>הרכב שופטים</JudicialTypeName>
        <CaseJudicialGroupNumber>521565</CaseJudicialGroupNumber>
        <FirstName>טל</FirstName>
        <LastName>לחיאני שהם</LastName>
        <JudicialPersonTitle>שופט</JudicialPersonTitle>
      </CaseJudicalPersonActive>
      <CaseJudicalPersonActive>
        <CaseID>78112931</CaseID>
        <JudicialPersonID>028781599@GOV.IL</JudicialPersonID>
        <JudicialPersonTypeID>1</JudicialPersonTypeID>
        <JudicialTypeID>3</JudicialTypeID>
        <IsChairman>false</IsChairman>
        <TreatmentStartDate>2022-12-26T16:36:24.203+02:00</TreatmentStartDate>
        <TreatmentFinishDate>9999-12-31T23:59:59.997+02:00</TreatmentFinishDate>
        <IdentificationCardNumber>028781599</IdentificationCardNumber>
        <DisplayName>יואב עטר</DisplayName>
        <JudicialTypeName>הרכב שופטים</JudicialTypeName>
        <CaseJudicialGroupNumber>521565</CaseJudicialGroupNumber>
        <FirstName>יואב</FirstName>
        <LastName>עטר</LastName>
        <JudicialPersonTitle>שופט</JudicialPersonTitle>
      </CaseJudicalPersonActive>
    </CaseJudicialPersonPresentationDS>
    <CasePartiesSelectionDS>
      <CaseParties>
        <PartyTypeName>מסייע</PartyTypeName>
        <ProceedingType>כתב טענות עיקרי</ProceedingType>
        <PleaName>כתב אישום</PleaName>
        <PartyBelonging> - </PartyBelonging>
        <RoleName>שירות בתי הסוהר</RoleName>
        <IsSubProceeding>FALSE</IsSubProceeding>
        <FullName>שרות בתי הסוהר-מחלקת האסיר - זימונים</FullName>
        <LastName>שרות בתי הסוהר-מחלקת האסיר - זימונים</LastName>
        <PartyPropertyName/>
        <AuthenticationTypeAndNumber>משרדי ממשלה 513441967</AuthenticationTypeAndNumber>
        <RepresentatedOrRepresentativesNames/>
        <RepresentatedOrRepresentativesCount>0</RepresentatedOrRepresentativesCount>
        <InvitedBy/>
        <CaseID>78112931</CaseID>
        <CaseJudicialPersonPresentationDS>
          <CaseJudicalPersonActive>
            <CaseID>78112931</CaseID>
            <JudicialPersonID>029522976@GOV.IL</JudicialPersonID>
            <JudicialPersonTypeID>1</JudicialPersonTypeID>
            <JudicialTypeID>3</JudicialTypeID>
            <IsChairman>true</IsChairman>
            <TreatmentStartDate>2022-12-26T16:36:24.203+02:00</TreatmentStartDate>
            <TreatmentFinishDate>9999-12-31T23:59:59.997+02:00</TreatmentFinishDate>
            <IdentificationCardNumber>029522976</IdentificationCardNumber>
            <DisplayName>דניאל בן טולילה</DisplayName>
            <JudicialTypeName>הרכב שופטים</JudicialTypeName>
            <CaseJudicialGroupNumber>521565</CaseJudicialGroupNumber>
            <FirstName>דניאל</FirstName>
            <LastName>בן טולילה</LastName>
            <JudicialPersonTitle>שופט</JudicialPersonTitle>
          </CaseJudicalPersonActive>
          <CaseJudicalPersonActive>
            <CaseID>78112931</CaseID>
            <JudicialPersonID>032076986@GOV.IL</JudicialPersonID>
            <JudicialPersonTypeID>1</JudicialPersonTypeID>
            <JudicialTypeID>3</JudicialTypeID>
            <IsChairman>false</IsChairman>
            <TreatmentStartDate>2022-12-26T16:36:24.203+02:00</TreatmentStartDate>
            <TreatmentFinishDate>9999-12-31T23:59:59.997+02:00</TreatmentFinishDate>
            <IdentificationCardNumber>032076986</IdentificationCardNumber>
            <DisplayName>טל לחיאני שהם</DisplayName>
            <JudicialTypeName>הרכב שופטים</JudicialTypeName>
            <CaseJudicialGroupNumber>521565</CaseJudicialGroupNumber>
            <FirstName>טל</FirstName>
            <LastName>לחיאני שהם</LastName>
            <JudicialPersonTitle>שופט</JudicialPersonTitle>
          </CaseJudicalPersonActive>
          <CaseJudicalPersonActive>
            <CaseID>78112931</CaseID>
            <JudicialPersonID>028781599@GOV.IL</JudicialPersonID>
            <JudicialPersonTypeID>1</JudicialPersonTypeID>
            <JudicialTypeID>3</JudicialTypeID>
            <IsChairman>false</IsChairman>
            <TreatmentStartDate>2022-12-26T16:36:24.203+02:00</TreatmentStartDate>
            <TreatmentFinishDate>9999-12-31T23:59:59.997+02:00</TreatmentFinishDate>
            <IdentificationCardNumber>028781599</IdentificationCardNumber>
            <DisplayName>יואב עטר</DisplayName>
            <JudicialTypeName>הרכב שופטים</JudicialTypeName>
            <CaseJudicialGroupNumber>521565</CaseJudicialGroupNumber>
            <FirstName>יואב</FirstName>
            <LastName>עטר</LastName>
            <JudicialPersonTitle>שופט</JudicialPersonTitle>
          </CaseJudicalPersonActive>
        </CaseJudicialPersonPresentationDS>
        <CasePartyID>248134451</CasePartyID>
        <PartyTypeID>3</PartyTypeID>
        <ActivityStatusID>1</ActivityStatusID>
        <LegalEntityID>3493000</LegalEntityID>
        <CaseLegalEntityID>122026397</CaseLegalEntityID>
        <AssistantRoleID>13</AssistantRoleID>
        <AuthenticationTypeID>13</AuthenticationTypeID>
        <AuthenticationTypeName>משרדי ממשלה</AuthenticationTypeName>
        <LegalEntityNumber>513441967</LegalEntityNumber>
        <IsMainPartyType>true</IsMainPartyType>
        <CaseDisplayIdentifier>31636-02-21</CaseDisplayIdentifier>
        <CaseTypeID>10077</CaseTypeID>
        <CaseTypeName>תיק פשעים חמורים (תפ"ח)</CaseTypeName>
        <CaseName>מדינת ישראל נ' מסעד(עציר)</CaseName>
        <FullAddress>נציבות רמלה  בניין אגף האסיר</FullAddress>
        <EmailAddress>h.b.m@ips.gov.il</EmailAddress>
        <MotionID>0</MotionID>
        <CasePleaID>0</CasePleaID>
        <LinkedCaseID>0</LinkedCaseID>
        <PartyID>1</PartyID>
        <CasePartyCategoryID>2</CasePartyCategoryID>
        <LegalEntityAddressID>83399710</LegalEntityAddressID>
        <LegalEntityEmailAddressID>68159284</LegalEntityEmailAddressID>
        <PleaTypeID>8</PleaTypeID>
        <GroupPartyAlias/>
        <IsConverted>false</IsConverted>
        <LegalEntityRegisteredNameID>4753567</LegalEntityRegisteredNameID>
        <RepresentatedNamesOfAssistant/>
        <LegalEntityTypeID>3</LegalEntityTypeID>
        <IsVerdictExists>false</IsVerdictExists>
        <IsAsirAzir>false</IsAsirAzir>
        <IsPublicationProhibited>false</IsPublicationProhibited>
        <PublicationProhibitedFullName>שרות בתי הסוהר-מחלקת האסיר - זימונים</PublicationProhibitedFullName>
      </CaseParties>
      <CaseParties>
        <PartyTypeName>בא כוח</PartyTypeName>
        <ProceedingType>כתב טענות עיקרי</ProceedingType>
        <PleaName>כתב אישום</PleaName>
        <PartyBelonging> - </PartyBelonging>
        <RoleName>בא כוח נאשמים</RoleName>
        <IsSubProceeding>FALSE</IsSubProceeding>
        <FullName>ימימה אברמוביץ'</FullName>
        <FirstName>ימימה</FirstName>
        <LastName>אברמוביץ'</LastName>
        <PartyPropertyName/>
        <AuthenticationTypeAndNumber>מ.ר. 59635</AuthenticationTypeAndNumber>
        <RepresentatedOrRepresentativesNames>מחמד מסעד</RepresentatedOrRepresentativesNames>
        <RepresentatedOrRepresentativesCount>1</RepresentatedOrRepresentativesCount>
        <InvitedBy/>
        <CaseID>78112931</CaseID>
        <CaseJudicialPersonPresentationDS>
          <CaseJudicalPersonActive>
            <CaseID>78112931</CaseID>
            <JudicialPersonID>029522976@GOV.IL</JudicialPersonID>
            <JudicialPersonTypeID>1</JudicialPersonTypeID>
            <JudicialTypeID>3</JudicialTypeID>
            <IsChairman>true</IsChairman>
            <TreatmentStartDate>2022-12-26T16:36:24.203+02:00</TreatmentStartDate>
            <TreatmentFinishDate>9999-12-31T23:59:59.997+02:00</TreatmentFinishDate>
            <IdentificationCardNumber>029522976</IdentificationCardNumber>
            <DisplayName>דניאל בן טולילה</DisplayName>
            <JudicialTypeName>הרכב שופטים</JudicialTypeName>
            <CaseJudicialGroupNumber>521565</CaseJudicialGroupNumber>
            <FirstName>דניאל</FirstName>
            <LastName>בן טולילה</LastName>
            <JudicialPersonTitle>שופט</JudicialPersonTitle>
          </CaseJudicalPersonActive>
          <CaseJudicalPersonActive>
            <CaseID>78112931</CaseID>
            <JudicialPersonID>032076986@GOV.IL</JudicialPersonID>
            <JudicialPersonTypeID>1</JudicialPersonTypeID>
            <JudicialTypeID>3</JudicialTypeID>
            <IsChairman>false</IsChairman>
            <TreatmentStartDate>2022-12-26T16:36:24.203+02:00</TreatmentStartDate>
            <TreatmentFinishDate>9999-12-31T23:59:59.997+02:00</TreatmentFinishDate>
            <IdentificationCardNumber>032076986</IdentificationCardNumber>
            <DisplayName>טל לחיאני שהם</DisplayName>
            <JudicialTypeName>הרכב שופטים</JudicialTypeName>
            <CaseJudicialGroupNumber>521565</CaseJudicialGroupNumber>
            <FirstName>טל</FirstName>
            <LastName>לחיאני שהם</LastName>
            <JudicialPersonTitle>שופט</JudicialPersonTitle>
          </CaseJudicalPersonActive>
          <CaseJudicalPersonActive>
            <CaseID>78112931</CaseID>
            <JudicialPersonID>028781599@GOV.IL</JudicialPersonID>
            <JudicialPersonTypeID>1</JudicialPersonTypeID>
            <JudicialTypeID>3</JudicialTypeID>
            <IsChairman>false</IsChairman>
            <TreatmentStartDate>2022-12-26T16:36:24.203+02:00</TreatmentStartDate>
            <TreatmentFinishDate>9999-12-31T23:59:59.997+02:00</TreatmentFinishDate>
            <IdentificationCardNumber>028781599</IdentificationCardNumber>
            <DisplayName>יואב עטר</DisplayName>
            <JudicialTypeName>הרכב שופטים</JudicialTypeName>
            <CaseJudicialGroupNumber>521565</CaseJudicialGroupNumber>
            <FirstName>יואב</FirstName>
            <LastName>עטר</LastName>
            <JudicialPersonTitle>שופט</JudicialPersonTitle>
          </CaseJudicalPersonActive>
        </CaseJudicialPersonPresentationDS>
        <CasePartyID>235174795</CasePartyID>
        <PartyTypeID>2</PartyTypeID>
        <ActivityStatusID>1</ActivityStatusID>
        <PartyAliasID>32</PartyAliasID>
        <PartyAliasName>בא כוח נאשמים</PartyAliasName>
        <LegalEntityID>72079996</LegalEntityID>
        <CaseLegalEntityID>118009800</CaseLegalEntityID>
        <AuthenticationTypeID>4</AuthenticationTypeID>
        <AuthenticationTypeName>מ.ר.</AuthenticationTypeName>
        <LegalEntityNumber>59635</LegalEntityNumber>
        <IsMainPartyType>true</IsMainPartyType>
        <CaseDisplayIdentifier>31636-02-21</CaseDisplayIdentifier>
        <CaseTypeID>10077</CaseTypeID>
        <CaseTypeName>תיק פשעים חמורים (תפ"ח)</CaseTypeName>
        <CaseName>מדינת ישראל נ' מסעד(עציר)</CaseName>
        <FullAddress>הוברמן 10 תל אביב -יפו </FullAddress>
        <EmailAddress>yemimama@gmail.com</EmailAddress>
        <MotionID>0</MotionID>
        <CasePleaID>0</CasePleaID>
        <LinkedCaseID>0</LinkedCaseID>
        <PartyID>2</PartyID>
        <CasePartyCategoryID>2</CasePartyCategoryID>
        <LegalEntityAddressID>73957178</LegalEntityAddressID>
        <LegalEntityEmailAddressID>68062807</LegalEntityEmailAddressID>
        <PleaTypeID>8</PleaTypeID>
        <LawyerOfficeName>משרד עו"ד ימימה אברמוביץ'</LawyerOfficeName>
        <LawyerOfficeID>72079997</LawyerOfficeID>
        <GroupPartyAlias/>
        <IsConverted>false</IsConverted>
        <LegalEntityNameID>75736588</LegalEntityNameID>
        <RepresentatedNamesOfAssistant/>
        <LegalEntityTypeID>4</LegalEntityTypeID>
        <IsVerdictExists>false</IsVerdictExists>
        <IsAsirAzir>false</IsAsirAzir>
        <IsPublicationProhibited>false</IsPublicationProhibited>
        <PublicationProhibitedFullName>ימימה אברמוביץ'</PublicationProhibitedFullName>
      </CaseParties>
      <CaseParties>
        <PartyTypeName>צד</PartyTypeName>
        <ProceedingType>כתב טענות עיקרי</ProceedingType>
        <PleaName>כתב אישום</PleaName>
        <PartyBelonging>צד א'</PartyBelonging>
        <RoleName>מאשימה 1</RoleName>
        <IsSubProceeding>FALSE</IsSubProceeding>
        <FullName>מדינת ישראל</FullName>
        <FirstName/>
        <LastName>מדינת ישראל</LastName>
        <PartyPropertyName/>
        <AuthenticationTypeAndNumber>מדינת ישראל </AuthenticationTypeAndNumber>
        <RepresentatedOrRepresentativesNames>ארז פדן</RepresentatedOrRepresentativesNames>
        <RepresentatedOrRepresentativesCount>1</RepresentatedOrRepresentativesCount>
        <InvitedBy/>
        <CaseID>78112931</CaseID>
        <CaseJudicialPersonPresentationDS>
          <CaseJudicalPersonActive>
            <CaseID>78112931</CaseID>
            <JudicialPersonID>029522976@GOV.IL</JudicialPersonID>
            <JudicialPersonTypeID>1</JudicialPersonTypeID>
            <JudicialTypeID>3</JudicialTypeID>
            <IsChairman>true</IsChairman>
            <TreatmentStartDate>2022-12-26T16:36:24.203+02:00</TreatmentStartDate>
            <TreatmentFinishDate>9999-12-31T23:59:59.997+02:00</TreatmentFinishDate>
            <IdentificationCardNumber>029522976</IdentificationCardNumber>
            <DisplayName>דניאל בן טולילה</DisplayName>
            <JudicialTypeName>הרכב שופטים</JudicialTypeName>
            <CaseJudicialGroupNumber>521565</CaseJudicialGroupNumber>
            <FirstName>דניאל</FirstName>
            <LastName>בן טולילה</LastName>
            <JudicialPersonTitle>שופט</JudicialPersonTitle>
          </CaseJudicalPersonActive>
          <CaseJudicalPersonActive>
            <CaseID>78112931</CaseID>
            <JudicialPersonID>032076986@GOV.IL</JudicialPersonID>
            <JudicialPersonTypeID>1</JudicialPersonTypeID>
            <JudicialTypeID>3</JudicialTypeID>
            <IsChairman>false</IsChairman>
            <TreatmentStartDate>2022-12-26T16:36:24.203+02:00</TreatmentStartDate>
            <TreatmentFinishDate>9999-12-31T23:59:59.997+02:00</TreatmentFinishDate>
            <IdentificationCardNumber>032076986</IdentificationCardNumber>
            <DisplayName>טל לחיאני שהם</DisplayName>
            <JudicialTypeName>הרכב שופטים</JudicialTypeName>
            <CaseJudicialGroupNumber>521565</CaseJudicialGroupNumber>
            <FirstName>טל</FirstName>
            <LastName>לחיאני שהם</LastName>
            <JudicialPersonTitle>שופט</JudicialPersonTitle>
          </CaseJudicalPersonActive>
          <CaseJudicalPersonActive>
            <CaseID>78112931</CaseID>
            <JudicialPersonID>028781599@GOV.IL</JudicialPersonID>
            <JudicialPersonTypeID>1</JudicialPersonTypeID>
            <JudicialTypeID>3</JudicialTypeID>
            <IsChairman>false</IsChairman>
            <TreatmentStartDate>2022-12-26T16:36:24.203+02:00</TreatmentStartDate>
            <TreatmentFinishDate>9999-12-31T23:59:59.997+02:00</TreatmentFinishDate>
            <IdentificationCardNumber>028781599</IdentificationCardNumber>
            <DisplayName>יואב עטר</DisplayName>
            <JudicialTypeName>הרכב שופטים</JudicialTypeName>
            <CaseJudicialGroupNumber>521565</CaseJudicialGroupNumber>
            <FirstName>יואב</FirstName>
            <LastName>עטר</LastName>
            <JudicialPersonTitle>שופט</JudicialPersonTitle>
          </CaseJudicalPersonActive>
        </CaseJudicialPersonPresentationDS>
        <CasePartyID>222856984</CasePartyID>
        <PartyTypeID>1</PartyTypeID>
        <ActivityStatusID>1</ActivityStatusID>
        <PartyAliasID>11</PartyAliasID>
        <PartyAliasName>מאשימה</PartyAliasName>
        <OrdinalNumber>1</OrdinalNumber>
        <LegalEntityID>4</LegalEntityID>
        <CaseLegalEntityID>114257345</CaseLegalEntityID>
        <AuthenticationTypeID>41</AuthenticationTypeID>
        <AuthenticationTypeName>מדינת ישראל </AuthenticationTypeName>
        <LegalEntityNumber/>
        <IsMainPartyType>true</IsMainPartyType>
        <CaseDisplayIdentifier>31636-02-21</CaseDisplayIdentifier>
        <CaseTypeID>10077</CaseTypeID>
        <CaseTypeName>תיק פשעים חמורים (תפ"ח)</CaseTypeName>
        <CaseName>מדינת ישראל נ' מסעד(עציר)</CaseName>
        <FullAddress/>
        <MotionID>0</MotionID>
        <CasePleaID>0</CasePleaID>
        <LinkedCaseID>0</LinkedCaseID>
        <PartyID>1</PartyID>
        <CasePartyCategoryID>2</CasePartyCategoryID>
        <PleaTypeID>8</PleaTypeID>
        <GroupPartyAlias>מאשימה</GroupPartyAlias>
        <IsConverted>false</IsConverted>
        <LegalEntityRegisteredNameID>1</LegalEntityRegisteredNameID>
        <RepresentatedNamesOfAssistant/>
        <LegalEntityTypeID>15</LegalEntityTypeID>
        <IsVerdictExists>false</IsVerdictExists>
        <IsAsirAzir>false</IsAsirAzir>
        <IsPublicationProhibited>false</IsPublicationProhibited>
        <PublicationProhibitedFullName>מדינת ישראל</PublicationProhibitedFullName>
      </CaseParties>
      <CaseParties>
        <PartyTypeName>צד</PartyTypeName>
        <ProceedingType>כתב טענות עיקרי</ProceedingType>
        <PleaName>כתב אישום</PleaName>
        <PartyBelonging>צד ב'</PartyBelonging>
        <RoleName>נאשם 1</RoleName>
        <IsSubProceeding>FALSE</IsSubProceeding>
        <FullName>מחמד מסעד (עציר)</FullName>
        <FirstName>מחמד</FirstName>
        <LastName>מסאעד</LastName>
        <PartyPropertyID>6</PartyPropertyID>
        <PartyPropertyName/>
        <AuthenticationTypeAndNumber>ת"ז 053858700</AuthenticationTypeAndNumber>
        <RepresentatedOrRepresentativesNames>ימימה אברמוביץ'</RepresentatedOrRepresentativesNames>
        <RepresentatedOrRepresentativesCount>1</RepresentatedOrRepresentativesCount>
        <InvitedBy/>
        <CaseID>78112931</CaseID>
        <CaseJudicialPersonPresentationDS>
          <CaseJudicalPersonActive>
            <CaseID>78112931</CaseID>
            <JudicialPersonID>029522976@GOV.IL</JudicialPersonID>
            <JudicialPersonTypeID>1</JudicialPersonTypeID>
            <JudicialTypeID>3</JudicialTypeID>
            <IsChairman>true</IsChairman>
            <TreatmentStartDate>2022-12-26T16:36:24.203+02:00</TreatmentStartDate>
            <TreatmentFinishDate>9999-12-31T23:59:59.997+02:00</TreatmentFinishDate>
            <IdentificationCardNumber>029522976</IdentificationCardNumber>
            <DisplayName>דניאל בן טולילה</DisplayName>
            <JudicialTypeName>הרכב שופטים</JudicialTypeName>
            <CaseJudicialGroupNumber>521565</CaseJudicialGroupNumber>
            <FirstName>דניאל</FirstName>
            <LastName>בן טולילה</LastName>
            <JudicialPersonTitle>שופט</JudicialPersonTitle>
          </CaseJudicalPersonActive>
          <CaseJudicalPersonActive>
            <CaseID>78112931</CaseID>
            <JudicialPersonID>032076986@GOV.IL</JudicialPersonID>
            <JudicialPersonTypeID>1</JudicialPersonTypeID>
            <JudicialTypeID>3</JudicialTypeID>
            <IsChairman>false</IsChairman>
            <TreatmentStartDate>2022-12-26T16:36:24.203+02:00</TreatmentStartDate>
            <TreatmentFinishDate>9999-12-31T23:59:59.997+02:00</TreatmentFinishDate>
            <IdentificationCardNumber>032076986</IdentificationCardNumber>
            <DisplayName>טל לחיאני שהם</DisplayName>
            <JudicialTypeName>הרכב שופטים</JudicialTypeName>
            <CaseJudicialGroupNumber>521565</CaseJudicialGroupNumber>
            <FirstName>טל</FirstName>
            <LastName>לחיאני שהם</LastName>
            <JudicialPersonTitle>שופט</JudicialPersonTitle>
          </CaseJudicalPersonActive>
          <CaseJudicalPersonActive>
            <CaseID>78112931</CaseID>
            <JudicialPersonID>028781599@GOV.IL</JudicialPersonID>
            <JudicialPersonTypeID>1</JudicialPersonTypeID>
            <JudicialTypeID>3</JudicialTypeID>
            <IsChairman>false</IsChairman>
            <TreatmentStartDate>2022-12-26T16:36:24.203+02:00</TreatmentStartDate>
            <TreatmentFinishDate>9999-12-31T23:59:59.997+02:00</TreatmentFinishDate>
            <IdentificationCardNumber>028781599</IdentificationCardNumber>
            <DisplayName>יואב עטר</DisplayName>
            <JudicialTypeName>הרכב שופטים</JudicialTypeName>
            <CaseJudicialGroupNumber>521565</CaseJudicialGroupNumber>
            <FirstName>יואב</FirstName>
            <LastName>עטר</LastName>
            <JudicialPersonTitle>שופט</JudicialPersonTitle>
          </CaseJudicalPersonActive>
        </CaseJudicialPersonPresentationDS>
        <CasePartyID>222856986</CasePartyID>
        <PartyTypeID>1</PartyTypeID>
        <ActivityStatusID>1</ActivityStatusID>
        <PartyAliasID>13</PartyAliasID>
        <PartyAliasName>נאשם</PartyAliasName>
        <OrdinalNumber>1</OrdinalNumber>
        <LegalEntityID>34431127</LegalEntityID>
        <CaseLegalEntityID>114257347</CaseLegalEntityID>
        <AuthenticationTypeID>1</AuthenticationTypeID>
        <AuthenticationTypeName>ת"ז</AuthenticationTypeName>
        <LegalEntityNumber>053858700</LegalEntityNumber>
        <IsMainPartyType>true</IsMainPartyType>
        <CaseDisplayIdentifier>31636-02-21</CaseDisplayIdentifier>
        <CaseTypeID>10077</CaseTypeID>
        <CaseTypeName>תיק פשעים חמורים (תפ"ח)</CaseTypeName>
        <CaseName>מדינת ישראל נ' מסעד(עציר)</CaseName>
        <FullAddress>שכ 3 בית 62 ערוער </FullAddress>
        <MotionID>0</MotionID>
        <CasePleaID>0</CasePleaID>
        <FatherName>חליל</FatherName>
        <LinkedCaseID>0</LinkedCaseID>
        <PartyID>2</PartyID>
        <CasePartyCategoryID>2</CasePartyCategoryID>
        <LegalEntityAddressID>84874634</LegalEntityAddressID>
        <PleaTypeID>8</PleaTypeID>
        <GroupPartyAlias>נאשמים</GroupPartyAlias>
        <IsConverted>false</IsConverted>
        <LegalEntityRegisteredNameID>2022051</LegalEntityRegisteredNameID>
        <LegalEntityNameID>90958011</LegalEntityNameID>
        <RepresentatedNamesOfAssistant/>
        <PopulationRegisterVerificationStatusID>1</PopulationRegisterVerificationStatusID>
        <LegalEntityTypeID>1</LegalEntityTypeID>
        <IsVerdictExists>false</IsVerdictExists>
        <IsAsirAzir>true</IsAsirAzir>
        <IsPublicationProhibited>false</IsPublicationProhibited>
        <PublicationProhibitedFullName>מחמד מסעד (עציר)</PublicationProhibitedFullName>
      </CaseParties>
      <CaseParties>
        <PartyTypeName>בא כוח</PartyTypeName>
        <ProceedingType>כתב טענות עיקרי</ProceedingType>
        <PleaName>כתב אישום</PleaName>
        <PartyBelonging> - </PartyBelonging>
        <RoleName>בא כוח מאשימה</RoleName>
        <IsSubProceeding>FALSE</IsSubProceeding>
        <FullName>ארז פדן</FullName>
        <FirstName>ארז</FirstName>
        <LastName>פדן</LastName>
        <PartyPropertyName/>
        <AuthenticationTypeAndNumber>מ.ר. 27974</AuthenticationTypeAndNumber>
        <RepresentatedOrRepresentativesNames xml:space="preserve"> </RepresentatedOrRepresentativesNames>
        <RepresentatedOrRepresentativesCount>1</RepresentatedOrRepresentativesCount>
        <InvitedBy/>
        <CaseID>78112931</CaseID>
        <CaseJudicialPersonPresentationDS>
          <CaseJudicalPersonActive>
            <CaseID>78112931</CaseID>
            <JudicialPersonID>029522976@GOV.IL</JudicialPersonID>
            <JudicialPersonTypeID>1</JudicialPersonTypeID>
            <JudicialTypeID>3</JudicialTypeID>
            <IsChairman>true</IsChairman>
            <TreatmentStartDate>2022-12-26T16:36:24.203+02:00</TreatmentStartDate>
            <TreatmentFinishDate>9999-12-31T23:59:59.997+02:00</TreatmentFinishDate>
            <IdentificationCardNumber>029522976</IdentificationCardNumber>
            <DisplayName>דניאל בן טולילה</DisplayName>
            <JudicialTypeName>הרכב שופטים</JudicialTypeName>
            <CaseJudicialGroupNumber>521565</CaseJudicialGroupNumber>
            <FirstName>דניאל</FirstName>
            <LastName>בן טולילה</LastName>
            <JudicialPersonTitle>שופט</JudicialPersonTitle>
          </CaseJudicalPersonActive>
          <CaseJudicalPersonActive>
            <CaseID>78112931</CaseID>
            <JudicialPersonID>032076986@GOV.IL</JudicialPersonID>
            <JudicialPersonTypeID>1</JudicialPersonTypeID>
            <JudicialTypeID>3</JudicialTypeID>
            <IsChairman>false</IsChairman>
            <TreatmentStartDate>2022-12-26T16:36:24.203+02:00</TreatmentStartDate>
            <TreatmentFinishDate>9999-12-31T23:59:59.997+02:00</TreatmentFinishDate>
            <IdentificationCardNumber>032076986</IdentificationCardNumber>
            <DisplayName>טל לחיאני שהם</DisplayName>
            <JudicialTypeName>הרכב שופטים</JudicialTypeName>
            <CaseJudicialGroupNumber>521565</CaseJudicialGroupNumber>
            <FirstName>טל</FirstName>
            <LastName>לחיאני שהם</LastName>
            <JudicialPersonTitle>שופט</JudicialPersonTitle>
          </CaseJudicalPersonActive>
          <CaseJudicalPersonActive>
            <CaseID>78112931</CaseID>
            <JudicialPersonID>028781599@GOV.IL</JudicialPersonID>
            <JudicialPersonTypeID>1</JudicialPersonTypeID>
            <JudicialTypeID>3</JudicialTypeID>
            <IsChairman>false</IsChairman>
            <TreatmentStartDate>2022-12-26T16:36:24.203+02:00</TreatmentStartDate>
            <TreatmentFinishDate>9999-12-31T23:59:59.997+02:00</TreatmentFinishDate>
            <IdentificationCardNumber>028781599</IdentificationCardNumber>
            <DisplayName>יואב עטר</DisplayName>
            <JudicialTypeName>הרכב שופטים</JudicialTypeName>
            <CaseJudicialGroupNumber>521565</CaseJudicialGroupNumber>
            <FirstName>יואב</FirstName>
            <LastName>עטר</LastName>
            <JudicialPersonTitle>שופט</JudicialPersonTitle>
          </CaseJudicalPersonActive>
        </CaseJudicialPersonPresentationDS>
        <CasePartyID>248070844</CasePartyID>
        <PartyTypeID>2</PartyTypeID>
        <ActivityStatusID>1</ActivityStatusID>
        <PartyAliasID>30</PartyAliasID>
        <PartyAliasName>בא כוח מאשימה</PartyAliasName>
        <OrdinalNumber>2</OrdinalNumber>
        <LegalEntityID>404183</LegalEntityID>
        <CaseLegalEntityID>122005147</CaseLegalEntityID>
        <AuthenticationTypeID>4</AuthenticationTypeID>
        <AuthenticationTypeName>מ.ר.</AuthenticationTypeName>
        <LegalEntityNumber>27974</LegalEntityNumber>
        <IsMainPartyType>true</IsMainPartyType>
        <CaseDisplayIdentifier>31636-02-21</CaseDisplayIdentifier>
        <CaseTypeID>10077</CaseTypeID>
        <CaseTypeName>תיק פשעים חמורים (תפ"ח)</CaseTypeName>
        <CaseName>מדינת ישראל נ' מסעד(עציר)</CaseName>
        <FullAddress>התקווה 4 באר שבע קריית הממשלה, קומה 5</FullAddress>
        <EmailAddress>DA-BSH-criminal@justice.gov.il</EmailAddress>
        <MotionID>0</MotionID>
        <CasePleaID>0</CasePleaID>
        <FatherName xml:space="preserve">        </FatherName>
        <LinkedCaseID>0</LinkedCaseID>
        <PartyID>1</PartyID>
        <CasePartyCategoryID>2</CasePartyCategoryID>
        <LegalEntityAddressID>87033348</LegalEntityAddressID>
        <LegalEntityEmailAddressID>68073226</LegalEntityEmailAddressID>
        <PleaTypeID>8</PleaTypeID>
        <LawyerOfficeName>פרקליטות מחוז דרום - פלילי</LawyerOfficeName>
        <LawyerOfficeID>419579</LawyerOfficeID>
        <GroupPartyAlias/>
        <IsConverted>false</IsConverted>
        <LegalEntityNameID>25167</LegalEntityNameID>
        <RepresentatedNamesOfAssistant/>
        <LegalEntityTypeID>4</LegalEntityTypeID>
        <IsVerdictExists>false</IsVerdictExists>
        <IsAsirAzir>false</IsAsirAzir>
        <IsPublicationProhibited>false</IsPublicationProhibited>
        <PublicationProhibitedFullName>ארז פדן</PublicationProhibitedFullName>
      </CaseParties>
      <CaseParties>
        <PartyTypeName>עד</PartyTypeName>
        <ProceedingType>כתב טענות עיקרי</ProceedingType>
        <PleaName>כתב אישום</PleaName>
        <PartyBelonging> - </PartyBelonging>
        <RoleName>עד בית משפט 43</RoleName>
        <IsSubProceeding>FALSE</IsSubProceeding>
        <FullName>יפית מכלוף</FullName>
        <FirstName>יפית</FirstName>
        <LastName>מכלוף</LastName>
        <PartyPropertyName/>
        <AuthenticationTypeAndNumber>ת"ז 039349014</AuthenticationTypeAndNumber>
        <RepresentatedOrRepresentativesNames/>
        <RepresentatedOrRepresentativesCount>0</RepresentatedOrRepresentativesCount>
        <InvitedBy/>
        <CaseID>78112931</CaseID>
        <CaseJudicialPersonPresentationDS>
          <CaseJudicalPersonActive>
            <CaseID>78112931</CaseID>
            <JudicialPersonID>029522976@GOV.IL</JudicialPersonID>
            <JudicialPersonTypeID>1</JudicialPersonTypeID>
            <JudicialTypeID>3</JudicialTypeID>
            <IsChairman>true</IsChairman>
            <TreatmentStartDate>2022-12-26T16:36:24.203+02:00</TreatmentStartDate>
            <TreatmentFinishDate>9999-12-31T23:59:59.997+02:00</TreatmentFinishDate>
            <IdentificationCardNumber>029522976</IdentificationCardNumber>
            <DisplayName>דניאל בן טולילה</DisplayName>
            <JudicialTypeName>הרכב שופטים</JudicialTypeName>
            <CaseJudicialGroupNumber>521565</CaseJudicialGroupNumber>
            <FirstName>דניאל</FirstName>
            <LastName>בן טולילה</LastName>
            <JudicialPersonTitle>שופט</JudicialPersonTitle>
          </CaseJudicalPersonActive>
          <CaseJudicalPersonActive>
            <CaseID>78112931</CaseID>
            <JudicialPersonID>032076986@GOV.IL</JudicialPersonID>
            <JudicialPersonTypeID>1</JudicialPersonTypeID>
            <JudicialTypeID>3</JudicialTypeID>
            <IsChairman>false</IsChairman>
            <TreatmentStartDate>2022-12-26T16:36:24.203+02:00</TreatmentStartDate>
            <TreatmentFinishDate>9999-12-31T23:59:59.997+02:00</TreatmentFinishDate>
            <IdentificationCardNumber>032076986</IdentificationCardNumber>
            <DisplayName>טל לחיאני שהם</DisplayName>
            <JudicialTypeName>הרכב שופטים</JudicialTypeName>
            <CaseJudicialGroupNumber>521565</CaseJudicialGroupNumber>
            <FirstName>טל</FirstName>
            <LastName>לחיאני שהם</LastName>
            <JudicialPersonTitle>שופט</JudicialPersonTitle>
          </CaseJudicalPersonActive>
          <CaseJudicalPersonActive>
            <CaseID>78112931</CaseID>
            <JudicialPersonID>028781599@GOV.IL</JudicialPersonID>
            <JudicialPersonTypeID>1</JudicialPersonTypeID>
            <JudicialTypeID>3</JudicialTypeID>
            <IsChairman>false</IsChairman>
            <TreatmentStartDate>2022-12-26T16:36:24.203+02:00</TreatmentStartDate>
            <TreatmentFinishDate>9999-12-31T23:59:59.997+02:00</TreatmentFinishDate>
            <IdentificationCardNumber>028781599</IdentificationCardNumber>
            <DisplayName>יואב עטר</DisplayName>
            <JudicialTypeName>הרכב שופטים</JudicialTypeName>
            <CaseJudicialGroupNumber>521565</CaseJudicialGroupNumber>
            <FirstName>יואב</FirstName>
            <LastName>עטר</LastName>
            <JudicialPersonTitle>שופט</JudicialPersonTitle>
          </CaseJudicalPersonActive>
        </CaseJudicialPersonPresentationDS>
        <CasePartyID>254153368</CasePartyID>
        <PartyTypeID>4</PartyTypeID>
        <ActivityStatusID>1</ActivityStatusID>
        <PartyAliasID>101</PartyAliasID>
        <PartyAliasName>עד בית משפט</PartyAliasName>
        <OrdinalNumber>43</OrdinalNumber>
        <LegalEntityID>74109702</LegalEntityID>
        <CaseLegalEntityID>123871339</CaseLegalEntityID>
        <AuthenticationTypeID>1</AuthenticationTypeID>
        <AuthenticationTypeName>ת"ז</AuthenticationTypeName>
        <LegalEntityNumber>039349014</LegalEntityNumber>
        <IsMainPartyType>true</IsMainPartyType>
        <CaseDisplayIdentifier>31636-02-21</CaseDisplayIdentifier>
        <CaseTypeID>10077</CaseTypeID>
        <CaseTypeName>תיק פשעים חמורים (תפ"ח)</CaseTypeName>
        <CaseName>מדינת ישראל נ' מסעד(עציר)</CaseName>
        <FullAddress>ברנארד והרמן צונדק 15 באר שבע </FullAddress>
        <MotionID>0</MotionID>
        <CasePleaID>0</CasePleaID>
        <FatherName>משה</FatherName>
        <LinkedCaseID>0</LinkedCaseID>
        <PartyID>1</PartyID>
        <CasePartyCategoryID>2</CasePartyCategoryID>
        <LegalEntityAddressID>87768016</LegalEntityAddressID>
        <PleaTypeID>8</PleaTypeID>
        <GroupPartyAlias/>
        <IsConverted>false</IsConverted>
        <LegalEntityRegisteredNameID>4883440</LegalEntityRegisteredNameID>
        <LegalEntityNameID>94872405</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יפית מכלוף</PublicationProhibitedFullName>
      </CaseParties>
      <CaseParties>
        <PartyTypeName>עד</PartyTypeName>
        <ProceedingType>כתב טענות עיקרי</ProceedingType>
        <PleaName>כתב אישום</PleaName>
        <PartyBelonging> - </PartyBelonging>
        <RoleName>עד מאשימה 44</RoleName>
        <IsSubProceeding>FALSE</IsSubProceeding>
        <FullName>פרופסור נמרוד מימון</FullName>
        <FirstName>פרופסור נמרוד</FirstName>
        <LastName>מימון</LastName>
        <PartyPropertyName/>
        <AuthenticationTypeAndNumber>ת"ז </AuthenticationTypeAndNumber>
        <RepresentatedOrRepresentativesNames/>
        <RepresentatedOrRepresentativesCount>0</RepresentatedOrRepresentativesCount>
        <InvitedBy/>
        <CaseID>78112931</CaseID>
        <CaseJudicialPersonPresentationDS>
          <CaseJudicalPersonActive>
            <CaseID>78112931</CaseID>
            <JudicialPersonID>029522976@GOV.IL</JudicialPersonID>
            <JudicialPersonTypeID>1</JudicialPersonTypeID>
            <JudicialTypeID>3</JudicialTypeID>
            <IsChairman>true</IsChairman>
            <TreatmentStartDate>2022-12-26T16:36:24.203+02:00</TreatmentStartDate>
            <TreatmentFinishDate>9999-12-31T23:59:59.997+02:00</TreatmentFinishDate>
            <IdentificationCardNumber>029522976</IdentificationCardNumber>
            <DisplayName>דניאל בן טולילה</DisplayName>
            <JudicialTypeName>הרכב שופטים</JudicialTypeName>
            <CaseJudicialGroupNumber>521565</CaseJudicialGroupNumber>
            <FirstName>דניאל</FirstName>
            <LastName>בן טולילה</LastName>
            <JudicialPersonTitle>שופט</JudicialPersonTitle>
          </CaseJudicalPersonActive>
          <CaseJudicalPersonActive>
            <CaseID>78112931</CaseID>
            <JudicialPersonID>032076986@GOV.IL</JudicialPersonID>
            <JudicialPersonTypeID>1</JudicialPersonTypeID>
            <JudicialTypeID>3</JudicialTypeID>
            <IsChairman>false</IsChairman>
            <TreatmentStartDate>2022-12-26T16:36:24.203+02:00</TreatmentStartDate>
            <TreatmentFinishDate>9999-12-31T23:59:59.997+02:00</TreatmentFinishDate>
            <IdentificationCardNumber>032076986</IdentificationCardNumber>
            <DisplayName>טל לחיאני שהם</DisplayName>
            <JudicialTypeName>הרכב שופטים</JudicialTypeName>
            <CaseJudicialGroupNumber>521565</CaseJudicialGroupNumber>
            <FirstName>טל</FirstName>
            <LastName>לחיאני שהם</LastName>
            <JudicialPersonTitle>שופט</JudicialPersonTitle>
          </CaseJudicalPersonActive>
          <CaseJudicalPersonActive>
            <CaseID>78112931</CaseID>
            <JudicialPersonID>028781599@GOV.IL</JudicialPersonID>
            <JudicialPersonTypeID>1</JudicialPersonTypeID>
            <JudicialTypeID>3</JudicialTypeID>
            <IsChairman>false</IsChairman>
            <TreatmentStartDate>2022-12-26T16:36:24.203+02:00</TreatmentStartDate>
            <TreatmentFinishDate>9999-12-31T23:59:59.997+02:00</TreatmentFinishDate>
            <IdentificationCardNumber>028781599</IdentificationCardNumber>
            <DisplayName>יואב עטר</DisplayName>
            <JudicialTypeName>הרכב שופטים</JudicialTypeName>
            <CaseJudicialGroupNumber>521565</CaseJudicialGroupNumber>
            <FirstName>יואב</FirstName>
            <LastName>עטר</LastName>
            <JudicialPersonTitle>שופט</JudicialPersonTitle>
          </CaseJudicalPersonActive>
        </CaseJudicialPersonPresentationDS>
        <CasePartyID>249783082</CasePartyID>
        <PartyTypeID>4</PartyTypeID>
        <ActivityStatusID>1</ActivityStatusID>
        <PartyAliasID>71</PartyAliasID>
        <PartyAliasName>עד מאשימה</PartyAliasName>
        <OrdinalNumber>44</OrdinalNumber>
        <LegalEntityID>80928303</LegalEntityID>
        <CaseLegalEntityID>122520511</CaseLegalEntityID>
        <AuthenticationTypeID>1</AuthenticationTypeID>
        <AuthenticationTypeName>ת"ז</AuthenticationTypeName>
        <IsMainPartyType>true</IsMainPartyType>
        <CaseDisplayIdentifier>31636-02-21</CaseDisplayIdentifier>
        <CaseTypeID>10077</CaseTypeID>
        <CaseTypeName>תיק פשעים חמורים (תפ"ח)</CaseTypeName>
        <CaseName>מדינת ישראל נ' מסעד(עציר)</CaseName>
        <FullAddress>בית חולים סורוקה באר שבע באמצעות המאשימה</FullAddress>
        <MotionID>0</MotionID>
        <CasePleaID>0</CasePleaID>
        <LinkedCaseID>0</LinkedCaseID>
        <PartyID>1</PartyID>
        <CasePartyCategoryID>2</CasePartyCategoryID>
        <LegalEntityAddressID>87351157</LegalEntityAddressID>
        <PleaTypeID>8</PleaTypeID>
        <GroupPartyAlias/>
        <IsConverted>false</IsConverted>
        <LegalEntityNameID>94160709</LegalEntityNameID>
        <RepresentatedNamesOfAssistant/>
        <LegalEntityTypeID>1</LegalEntityTypeID>
        <IsVerdictExists>false</IsVerdictExists>
        <IsAsirAzir>false</IsAsirAzir>
        <IsPublicationProhibited>false</IsPublicationProhibited>
        <PublicationProhibitedFullName>פרופסור נמרוד מימון</PublicationProhibitedFullName>
      </CaseParties>
    </CasePartiesSelectionDS>
    <CaseName>מדינת ישראל נ' מסעד(עציר)</CaseName>
    <CaseDisplayIdentifier>31636-02-21</CaseDisplayIdentifier>
    <CaseTypeShortName>תפ"ח</CaseTypeShortName>
  </dt_DecisionCase>
  <dt_DecisionJudgePanel>
    <JudgeID>029522976@GOV.IL</JudgeID>
    <DisplayName>בן טולילה</DisplayName>
    <RoleName>שופט</RoleName>
    <UserTitleName>שופט</UserTitleName>
  </dt_DecisionJudgePanel>
  <dt_DecisionJudgePanel>
    <JudgeID>032076986@GOV.IL</JudgeID>
    <DisplayName>לחיאני שהם</DisplayName>
    <RoleName>שופט</RoleName>
    <UserTitleName>שופטת</UserTitleName>
  </dt_DecisionJudgePanel>
  <dt_DecisionJudgePanel>
    <JudgeID>028781599@GOV.IL</JudgeID>
    <DisplayName>עטר</DisplayName>
    <RoleName>שופט</RoleName>
    <UserTitleName>שופט</UserTitleName>
  </dt_DecisionJudgePanel>
  <dt_LegalEntityDetails>
    <Fax>077-2700046</Fax>
    <PartyID>2</PartyID>
    <PartyTypeID>2</PartyTypeID>
    <DecisionID>0</DecisionID>
    <StreetName>הוברמן 10</StreetName>
    <ZipCode>64075</ZipCode>
    <CityName>תל אביב -יפו</CityName>
    <FullName>ימימה אברמוביץ'</FullName>
    <Email>yemimama@gmail.com</Email>
    <IsPublicationProhibited>false</IsPublicationProhibited>
  </dt_LegalEntityDetails>
  <dt_LegalEntityDetails>
    <Fax>08-9194024</Fax>
    <Phone>02-6225312</Phone>
    <AddressDesc>בניין אגף האסיר</AddressDesc>
    <PartyID>1</PartyID>
    <PartyTypeID>3</PartyTypeID>
    <DecisionID>0</DecisionID>
    <AssistantRoleID>13</AssistantRoleID>
    <StreetName>נציבות רמלה</StreetName>
    <CityName/>
    <FullName> שרות בתי הסוהר-מחלקת האסיר - זימונים</FullName>
    <Email>h.b.m@ips.gov.il</Email>
    <IsPublicationProhibited>false</IsPublicationProhibited>
  </dt_LegalEntityDetails>
  <dt_LegalEntityDetails>
    <PartyID>1</PartyID>
    <PartyTypeID>1</PartyTypeID>
    <DecisionID>0</DecisionID>
    <IsPublicationProhibited>false</IsPublicationProhibited>
  </dt_LegalEntityDetails>
  <dt_LegalEntityDetails>
    <PartyID>2</PartyID>
    <PartyTypeID>1</PartyTypeID>
    <DecisionID>0</DecisionID>
    <StreetName>שכ 3 בית 62</StreetName>
    <CityName>ערוער</CityName>
    <FullName>מחמד מסעד</FullName>
    <IsPublicationProhibited>false</IsPublicationProhibited>
  </dt_LegalEntityDetails>
  <dt_LegalEntityDetails>
    <Fax>02-6467057</Fax>
    <AddressDesc>קריית הממשלה, קומה 5</AddressDesc>
    <PartyID>1</PartyID>
    <PartyTypeID>2</PartyTypeID>
    <DecisionID>0</DecisionID>
    <StreetName>התקווה 4</StreetName>
    <ZipCode>8489312</ZipCode>
    <CityName>באר שבע</CityName>
    <FullName>ארז פדן</FullName>
    <Email>DA-BSH-criminal@justice.gov.il</Email>
    <IsPublicationProhibited>false</IsPublicationProhibited>
  </dt_LegalEntityDetails>
  <dt_LegalEntityDetails>
    <PartyID>1</PartyID>
    <PartyTypeID>4</PartyTypeID>
    <DecisionID>0</DecisionID>
    <IsPublicationProhibited>false</IsPublicationProhibited>
  </dt_LegalEntityDetails>
  <dt_LegalEntityDetails>
    <PartyID>1</PartyID>
    <PartyTypeID>4</PartyTypeID>
    <DecisionID>0</DecisionID>
    <IsPublicationProhibited>false</IsPublicationProhibited>
  </dt_LegalEntityDetails>
  <dt_CaseJudicalPersonActive>
    <CaseJudicalPerson>שופט דניאל בן טולילה, שופטת טל לחיאני שהם, שופט יואב עטר</CaseJudicalPerson>
  </dt_CaseJudicalPersonActive>
  <dt_Sitting>
    <FutureSittingDate>2023-12-19T15:30:00+02:00</FutureSittingDate>
    <PreviousMeetingDate>2023-07-06T16:00:00+03:00</PreviousMeetingDate>
    <NextSittingTypeID>35</NextSittingTypeID>
    <PreviousSittingTypeID>3</PreviousSittingTypeID>
    <NextMeetingDisplayName>דניאל בן טולילה, טל לחיאני שהם, יואב עטר</NextMeetingDisplayName>
    <NextMeetingUserUPN>028781599@GOV.IL, 029522976@GOV.IL, 032076986@GOV.IL</NextMeetingUserUPN>
    <PreviousMeetingDisplayName>דניאל בן טולילה, טל לחיאני שהם, יואב עטר</PreviousMeetingDisplayName>
    <PreviousMeetingUserUPN>028781599@GOV.IL, 029522976@GOV.IL, 032076986@GOV.IL</PreviousMeetingUserUPN>
  </dt_Sitting>
</DecisionTemplateDS>
</file>

<file path=customXml/itemProps1.xml><?xml version="1.0" encoding="utf-8"?>
<ds:datastoreItem xmlns:ds="http://schemas.openxmlformats.org/officeDocument/2006/customXml" ds:itemID="{00F6DF62-FC94-458B-8F92-86C0F93CDB2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12711</Words>
  <Characters>63559</Characters>
  <Application>Microsoft Office Word</Application>
  <DocSecurity>0</DocSecurity>
  <Lines>529</Lines>
  <Paragraphs>152</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76118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טטרואשילי</cp:lastModifiedBy>
  <cp:revision>2</cp:revision>
  <cp:lastPrinted>2023-12-19T09:36:00Z</cp:lastPrinted>
  <dcterms:created xsi:type="dcterms:W3CDTF">2023-12-20T08:56:00Z</dcterms:created>
  <dcterms:modified xsi:type="dcterms:W3CDTF">2023-12-20T08:56:00Z</dcterms:modified>
</cp:coreProperties>
</file>