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422" w:rsidRPr="00832AD7" w:rsidRDefault="002453CF" w:rsidP="00832AD7">
      <w:pPr>
        <w:spacing w:after="0" w:line="240" w:lineRule="auto"/>
        <w:rPr>
          <w:rFonts w:cs="David"/>
          <w:b/>
          <w:bCs/>
          <w:sz w:val="16"/>
          <w:szCs w:val="16"/>
          <w:rtl/>
        </w:rPr>
      </w:pPr>
      <w:bookmarkStart w:id="0" w:name="_GoBack"/>
      <w:bookmarkEnd w:id="0"/>
      <w:r w:rsidRPr="006C3B1F">
        <w:rPr>
          <w:rFonts w:cs="David" w:hint="cs"/>
          <w:b/>
          <w:bCs/>
          <w:sz w:val="24"/>
          <w:szCs w:val="24"/>
          <w:rtl/>
        </w:rPr>
        <w:t xml:space="preserve">                                 </w:t>
      </w:r>
      <w:r w:rsidR="006B7B96" w:rsidRPr="006C3B1F">
        <w:rPr>
          <w:rFonts w:cs="David" w:hint="cs"/>
          <w:b/>
          <w:bCs/>
          <w:sz w:val="24"/>
          <w:szCs w:val="24"/>
          <w:rtl/>
        </w:rPr>
        <w:t xml:space="preserve">           </w:t>
      </w:r>
      <w:r w:rsidR="00631744">
        <w:rPr>
          <w:rFonts w:cs="David" w:hint="cs"/>
          <w:b/>
          <w:bCs/>
          <w:sz w:val="24"/>
          <w:szCs w:val="24"/>
          <w:rtl/>
        </w:rPr>
        <w:t xml:space="preserve">           </w:t>
      </w:r>
      <w:r w:rsidR="006C3B1F">
        <w:rPr>
          <w:rFonts w:cs="David" w:hint="cs"/>
          <w:b/>
          <w:bCs/>
          <w:sz w:val="24"/>
          <w:szCs w:val="24"/>
          <w:rtl/>
        </w:rPr>
        <w:t xml:space="preserve">   </w:t>
      </w:r>
      <w:r w:rsidRPr="006C3B1F">
        <w:rPr>
          <w:rFonts w:cs="David" w:hint="cs"/>
          <w:b/>
          <w:bCs/>
          <w:sz w:val="24"/>
          <w:szCs w:val="24"/>
          <w:rtl/>
        </w:rPr>
        <w:t xml:space="preserve">  </w:t>
      </w:r>
      <w:r w:rsidR="001D42A7">
        <w:rPr>
          <w:rFonts w:hint="cs"/>
          <w:b/>
          <w:bCs/>
          <w:rtl/>
        </w:rPr>
        <w:t xml:space="preserve">  </w:t>
      </w:r>
    </w:p>
    <w:p w:rsidR="00983123" w:rsidRPr="00832AD7" w:rsidRDefault="00983123" w:rsidP="00832AD7">
      <w:pPr>
        <w:spacing w:after="0" w:line="240" w:lineRule="auto"/>
        <w:jc w:val="right"/>
        <w:rPr>
          <w:rFonts w:ascii="Times New Roman" w:eastAsia="Times New Roman" w:hAnsi="Times New Roman" w:cs="David"/>
          <w:sz w:val="16"/>
          <w:szCs w:val="16"/>
        </w:rPr>
      </w:pP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DocDateEng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04 ביוני 2024</w:t>
      </w:r>
      <w:r w:rsidRPr="00832AD7">
        <w:rPr>
          <w:rFonts w:ascii="Times New Roman" w:eastAsia="Times New Roman" w:hAnsi="Times New Roman" w:cs="David" w:hint="cs"/>
          <w:sz w:val="16"/>
          <w:szCs w:val="16"/>
          <w:rtl/>
        </w:rPr>
        <w:fldChar w:fldCharType="end"/>
      </w:r>
    </w:p>
    <w:p w:rsidR="00983123" w:rsidRPr="00832AD7" w:rsidRDefault="00983123" w:rsidP="00832AD7">
      <w:pPr>
        <w:spacing w:after="0" w:line="240" w:lineRule="auto"/>
        <w:jc w:val="right"/>
        <w:rPr>
          <w:rFonts w:ascii="Times New Roman" w:eastAsia="Times New Roman" w:hAnsi="Times New Roman" w:cs="David"/>
          <w:sz w:val="16"/>
          <w:szCs w:val="16"/>
          <w:rtl/>
        </w:rPr>
      </w:pPr>
      <w:r w:rsidRPr="00832AD7">
        <w:rPr>
          <w:rFonts w:ascii="Times New Roman" w:eastAsia="Times New Roman" w:hAnsi="Times New Roman" w:cs="David" w:hint="cs"/>
          <w:sz w:val="16"/>
          <w:szCs w:val="16"/>
          <w:rtl/>
        </w:rPr>
        <w:t xml:space="preserve">                                                                                                   </w:t>
      </w: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DocDateHeb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כ"ז באייר תשפ"ד</w:t>
      </w:r>
      <w:r w:rsidRPr="00832AD7">
        <w:rPr>
          <w:rFonts w:ascii="Times New Roman" w:eastAsia="Times New Roman" w:hAnsi="Times New Roman" w:cs="David" w:hint="cs"/>
          <w:sz w:val="16"/>
          <w:szCs w:val="16"/>
          <w:rtl/>
        </w:rPr>
        <w:fldChar w:fldCharType="end"/>
      </w:r>
    </w:p>
    <w:p w:rsidR="00515986" w:rsidRPr="00E677CD" w:rsidRDefault="00983123" w:rsidP="00E677CD">
      <w:pPr>
        <w:spacing w:after="0" w:line="240" w:lineRule="auto"/>
        <w:jc w:val="right"/>
        <w:rPr>
          <w:rFonts w:ascii="Times New Roman" w:eastAsia="Times New Roman" w:hAnsi="Times New Roman" w:cs="David"/>
          <w:sz w:val="24"/>
          <w:szCs w:val="24"/>
          <w:rtl/>
        </w:rPr>
      </w:pP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DocNumber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4700-1039-2024-003937</w:t>
      </w:r>
      <w:r w:rsidRPr="00832AD7">
        <w:rPr>
          <w:rFonts w:ascii="Times New Roman" w:eastAsia="Times New Roman" w:hAnsi="Times New Roman" w:cs="David" w:hint="cs"/>
          <w:sz w:val="16"/>
          <w:szCs w:val="16"/>
          <w:rtl/>
        </w:rPr>
        <w:fldChar w:fldCharType="end"/>
      </w:r>
    </w:p>
    <w:p w:rsidR="00515986" w:rsidRPr="00515986" w:rsidRDefault="00515986" w:rsidP="000C4D75">
      <w:pPr>
        <w:tabs>
          <w:tab w:val="num" w:pos="1080"/>
        </w:tabs>
        <w:spacing w:after="0" w:line="276" w:lineRule="auto"/>
        <w:jc w:val="both"/>
        <w:rPr>
          <w:rFonts w:ascii="Arial" w:eastAsia="Times New Roman" w:hAnsi="Arial" w:cs="David"/>
          <w:b/>
          <w:bCs/>
          <w:sz w:val="24"/>
          <w:szCs w:val="24"/>
          <w:rtl/>
        </w:rPr>
      </w:pPr>
    </w:p>
    <w:p w:rsidR="00E677CD" w:rsidRDefault="00E677CD" w:rsidP="00E677CD">
      <w:pPr>
        <w:tabs>
          <w:tab w:val="num" w:pos="1080"/>
        </w:tabs>
        <w:spacing w:after="0" w:line="360" w:lineRule="auto"/>
        <w:jc w:val="center"/>
        <w:rPr>
          <w:rFonts w:ascii="FrankRuehl" w:hAnsi="FrankRuehl" w:cs="FrankRuehl"/>
          <w:b/>
          <w:bCs/>
          <w:color w:val="002060"/>
          <w:sz w:val="32"/>
          <w:szCs w:val="32"/>
          <w:u w:val="single"/>
          <w:rtl/>
        </w:rPr>
      </w:pPr>
    </w:p>
    <w:p w:rsidR="00E677CD" w:rsidRPr="00E677CD" w:rsidRDefault="00E677CD" w:rsidP="00E677CD">
      <w:pPr>
        <w:tabs>
          <w:tab w:val="num" w:pos="1080"/>
        </w:tabs>
        <w:spacing w:after="0" w:line="360" w:lineRule="auto"/>
        <w:jc w:val="center"/>
        <w:rPr>
          <w:rFonts w:ascii="FrankRuehl" w:hAnsi="FrankRuehl" w:cs="FrankRuehl"/>
          <w:b/>
          <w:bCs/>
          <w:color w:val="002060"/>
          <w:sz w:val="32"/>
          <w:szCs w:val="32"/>
          <w:u w:val="single"/>
        </w:rPr>
      </w:pPr>
      <w:r w:rsidRPr="00E677CD">
        <w:rPr>
          <w:rFonts w:ascii="FrankRuehl" w:hAnsi="FrankRuehl" w:cs="FrankRuehl"/>
          <w:b/>
          <w:bCs/>
          <w:color w:val="002060"/>
          <w:sz w:val="32"/>
          <w:szCs w:val="32"/>
          <w:u w:val="single"/>
          <w:rtl/>
        </w:rPr>
        <w:t xml:space="preserve">תקציר </w:t>
      </w:r>
      <w:r w:rsidRPr="00E677CD">
        <w:rPr>
          <w:rFonts w:ascii="FrankRuehl" w:hAnsi="FrankRuehl" w:cs="FrankRuehl" w:hint="cs"/>
          <w:b/>
          <w:bCs/>
          <w:color w:val="002060"/>
          <w:sz w:val="32"/>
          <w:szCs w:val="32"/>
          <w:u w:val="single"/>
          <w:rtl/>
        </w:rPr>
        <w:t xml:space="preserve">הכרעת-דין </w:t>
      </w:r>
      <w:r w:rsidRPr="00E677CD">
        <w:rPr>
          <w:rFonts w:ascii="FrankRuehl" w:hAnsi="FrankRuehl" w:cs="FrankRuehl"/>
          <w:b/>
          <w:bCs/>
          <w:color w:val="002060"/>
          <w:sz w:val="32"/>
          <w:szCs w:val="32"/>
          <w:u w:val="single"/>
          <w:rtl/>
        </w:rPr>
        <w:t xml:space="preserve">תפ"ח 31337-11-20  מדינת ישראל נ' </w:t>
      </w:r>
      <w:proofErr w:type="spellStart"/>
      <w:r w:rsidRPr="00E677CD">
        <w:rPr>
          <w:rFonts w:ascii="FrankRuehl" w:hAnsi="FrankRuehl" w:cs="FrankRuehl"/>
          <w:b/>
          <w:bCs/>
          <w:color w:val="002060"/>
          <w:sz w:val="32"/>
          <w:szCs w:val="32"/>
          <w:u w:val="single"/>
          <w:rtl/>
        </w:rPr>
        <w:t>תאג</w:t>
      </w:r>
      <w:proofErr w:type="spellEnd"/>
      <w:r w:rsidRPr="00E677CD">
        <w:rPr>
          <w:rFonts w:ascii="FrankRuehl" w:hAnsi="FrankRuehl" w:cs="FrankRuehl"/>
          <w:b/>
          <w:bCs/>
          <w:color w:val="002060"/>
          <w:sz w:val="32"/>
          <w:szCs w:val="32"/>
          <w:u w:val="single"/>
          <w:rtl/>
        </w:rPr>
        <w:t>'</w:t>
      </w:r>
    </w:p>
    <w:p w:rsidR="00541C9E" w:rsidRDefault="00E677CD" w:rsidP="00E677CD">
      <w:pPr>
        <w:spacing w:after="120" w:line="360" w:lineRule="auto"/>
        <w:jc w:val="center"/>
        <w:rPr>
          <w:rFonts w:ascii="FrankRuehl" w:hAnsi="FrankRuehl" w:cs="FrankRuehl"/>
          <w:b/>
          <w:bCs/>
          <w:color w:val="002060"/>
          <w:sz w:val="32"/>
          <w:szCs w:val="32"/>
          <w:rtl/>
        </w:rPr>
      </w:pPr>
      <w:r>
        <w:rPr>
          <w:rFonts w:ascii="FrankRuehl" w:hAnsi="FrankRuehl" w:cs="FrankRuehl"/>
          <w:b/>
          <w:bCs/>
          <w:color w:val="002060"/>
          <w:sz w:val="32"/>
          <w:szCs w:val="32"/>
          <w:rtl/>
        </w:rPr>
        <w:t>אב"ד סגן הנשיאה עמי קובו, הש</w:t>
      </w:r>
      <w:r>
        <w:rPr>
          <w:rFonts w:ascii="FrankRuehl" w:hAnsi="FrankRuehl" w:cs="FrankRuehl" w:hint="cs"/>
          <w:b/>
          <w:bCs/>
          <w:color w:val="002060"/>
          <w:sz w:val="32"/>
          <w:szCs w:val="32"/>
          <w:rtl/>
        </w:rPr>
        <w:t>ופט</w:t>
      </w:r>
      <w:r>
        <w:rPr>
          <w:rFonts w:ascii="FrankRuehl" w:hAnsi="FrankRuehl" w:cs="FrankRuehl"/>
          <w:b/>
          <w:bCs/>
          <w:color w:val="002060"/>
          <w:sz w:val="32"/>
          <w:szCs w:val="32"/>
          <w:rtl/>
        </w:rPr>
        <w:t xml:space="preserve"> מיכאל קרשן, הש</w:t>
      </w:r>
      <w:r>
        <w:rPr>
          <w:rFonts w:ascii="FrankRuehl" w:hAnsi="FrankRuehl" w:cs="FrankRuehl" w:hint="cs"/>
          <w:b/>
          <w:bCs/>
          <w:color w:val="002060"/>
          <w:sz w:val="32"/>
          <w:szCs w:val="32"/>
          <w:rtl/>
        </w:rPr>
        <w:t>ופטת</w:t>
      </w:r>
      <w:r w:rsidRPr="00E677CD">
        <w:rPr>
          <w:rFonts w:ascii="FrankRuehl" w:hAnsi="FrankRuehl" w:cs="FrankRuehl"/>
          <w:b/>
          <w:bCs/>
          <w:color w:val="002060"/>
          <w:sz w:val="32"/>
          <w:szCs w:val="32"/>
          <w:rtl/>
        </w:rPr>
        <w:t xml:space="preserve"> מרב גרינברג</w:t>
      </w:r>
    </w:p>
    <w:p w:rsidR="00E677CD" w:rsidRPr="000071E5" w:rsidRDefault="00E677CD" w:rsidP="00E677CD">
      <w:pPr>
        <w:spacing w:after="120" w:line="360" w:lineRule="auto"/>
        <w:jc w:val="center"/>
        <w:rPr>
          <w:rFonts w:ascii="FrankRuehl" w:hAnsi="FrankRuehl" w:cs="FrankRuehl"/>
          <w:b/>
          <w:bCs/>
          <w:color w:val="002060"/>
          <w:sz w:val="32"/>
          <w:szCs w:val="32"/>
          <w:rtl/>
        </w:rPr>
      </w:pPr>
    </w:p>
    <w:p w:rsidR="00E677CD" w:rsidRPr="000A6B55" w:rsidRDefault="00E677CD" w:rsidP="00E677CD">
      <w:pPr>
        <w:pStyle w:val="a9"/>
        <w:spacing w:after="0" w:line="360" w:lineRule="auto"/>
        <w:ind w:left="-58"/>
        <w:jc w:val="both"/>
        <w:rPr>
          <w:rFonts w:ascii="David" w:hAnsi="David" w:cs="David"/>
          <w:sz w:val="24"/>
          <w:szCs w:val="24"/>
          <w:rtl/>
        </w:rPr>
      </w:pPr>
      <w:r w:rsidRPr="002E7466">
        <w:rPr>
          <w:rFonts w:cs="David" w:hint="cs"/>
          <w:sz w:val="24"/>
          <w:szCs w:val="24"/>
          <w:rtl/>
        </w:rPr>
        <w:t>בית המשפט המחוזי מרכז</w:t>
      </w:r>
      <w:r>
        <w:rPr>
          <w:rFonts w:cs="David" w:hint="cs"/>
          <w:sz w:val="24"/>
          <w:szCs w:val="24"/>
          <w:rtl/>
        </w:rPr>
        <w:t xml:space="preserve">-לוד, הרכב סגן הנשיאה </w:t>
      </w:r>
      <w:r w:rsidRPr="002E7466">
        <w:rPr>
          <w:rFonts w:cs="David" w:hint="cs"/>
          <w:sz w:val="24"/>
          <w:szCs w:val="24"/>
          <w:rtl/>
        </w:rPr>
        <w:t>עמי קובו</w:t>
      </w:r>
      <w:r>
        <w:rPr>
          <w:rFonts w:cs="David" w:hint="cs"/>
          <w:sz w:val="24"/>
          <w:szCs w:val="24"/>
          <w:rtl/>
        </w:rPr>
        <w:t>, השופט מיכאל קרשן והשופטת מרב גרינברג,</w:t>
      </w:r>
      <w:r w:rsidRPr="002E7466">
        <w:rPr>
          <w:rFonts w:cs="David" w:hint="cs"/>
          <w:sz w:val="24"/>
          <w:szCs w:val="24"/>
          <w:rtl/>
        </w:rPr>
        <w:t xml:space="preserve"> הרשיע</w:t>
      </w:r>
      <w:r>
        <w:rPr>
          <w:rFonts w:cs="David" w:hint="cs"/>
          <w:sz w:val="24"/>
          <w:szCs w:val="24"/>
          <w:rtl/>
        </w:rPr>
        <w:t xml:space="preserve"> היום</w:t>
      </w:r>
      <w:r w:rsidRPr="002E7466">
        <w:rPr>
          <w:rFonts w:cs="David" w:hint="cs"/>
          <w:sz w:val="24"/>
          <w:szCs w:val="24"/>
          <w:rtl/>
        </w:rPr>
        <w:t xml:space="preserve"> את הנאשם </w:t>
      </w:r>
      <w:r>
        <w:rPr>
          <w:rFonts w:cs="David" w:hint="cs"/>
          <w:sz w:val="24"/>
          <w:szCs w:val="24"/>
          <w:rtl/>
        </w:rPr>
        <w:t xml:space="preserve">מוחמד </w:t>
      </w:r>
      <w:proofErr w:type="spellStart"/>
      <w:r>
        <w:rPr>
          <w:rFonts w:cs="David" w:hint="cs"/>
          <w:sz w:val="24"/>
          <w:szCs w:val="24"/>
          <w:rtl/>
        </w:rPr>
        <w:t>תאג</w:t>
      </w:r>
      <w:proofErr w:type="spellEnd"/>
      <w:r>
        <w:rPr>
          <w:rFonts w:cs="David" w:hint="cs"/>
          <w:sz w:val="24"/>
          <w:szCs w:val="24"/>
          <w:rtl/>
        </w:rPr>
        <w:t>'</w:t>
      </w:r>
      <w:r w:rsidRPr="002E7466">
        <w:rPr>
          <w:rFonts w:cs="David" w:hint="cs"/>
          <w:sz w:val="24"/>
          <w:szCs w:val="24"/>
          <w:rtl/>
        </w:rPr>
        <w:t xml:space="preserve">, </w:t>
      </w:r>
      <w:r>
        <w:rPr>
          <w:rFonts w:cs="David" w:hint="cs"/>
          <w:sz w:val="24"/>
          <w:szCs w:val="24"/>
          <w:rtl/>
        </w:rPr>
        <w:t xml:space="preserve">בעבירת </w:t>
      </w:r>
      <w:r w:rsidRPr="000A6B55">
        <w:rPr>
          <w:rFonts w:cs="David" w:hint="cs"/>
          <w:b/>
          <w:bCs/>
          <w:sz w:val="24"/>
          <w:szCs w:val="24"/>
          <w:rtl/>
        </w:rPr>
        <w:t>רצח בכוונה בנסיבות מחמירות</w:t>
      </w:r>
      <w:r>
        <w:rPr>
          <w:rFonts w:cs="David" w:hint="cs"/>
          <w:sz w:val="24"/>
          <w:szCs w:val="24"/>
          <w:rtl/>
        </w:rPr>
        <w:t xml:space="preserve"> ועבירות </w:t>
      </w:r>
      <w:r w:rsidRPr="000A6B55">
        <w:rPr>
          <w:rFonts w:ascii="David" w:hAnsi="David" w:cs="David" w:hint="cs"/>
          <w:sz w:val="24"/>
          <w:szCs w:val="24"/>
          <w:rtl/>
        </w:rPr>
        <w:t xml:space="preserve">נוספות. </w:t>
      </w:r>
    </w:p>
    <w:p w:rsidR="00E677CD" w:rsidRDefault="00E677CD" w:rsidP="00E677CD">
      <w:pPr>
        <w:pStyle w:val="a9"/>
        <w:spacing w:after="0" w:line="360" w:lineRule="auto"/>
        <w:ind w:left="-58"/>
        <w:jc w:val="both"/>
        <w:rPr>
          <w:rFonts w:ascii="David" w:hAnsi="David" w:cs="David"/>
          <w:sz w:val="24"/>
          <w:szCs w:val="24"/>
          <w:rtl/>
        </w:rPr>
      </w:pPr>
    </w:p>
    <w:p w:rsidR="00E677CD" w:rsidRDefault="00E677CD" w:rsidP="00E677CD">
      <w:pPr>
        <w:pStyle w:val="a9"/>
        <w:spacing w:after="0" w:line="360" w:lineRule="auto"/>
        <w:ind w:left="-58"/>
        <w:jc w:val="both"/>
        <w:rPr>
          <w:rFonts w:ascii="David" w:hAnsi="David" w:cs="David"/>
          <w:sz w:val="24"/>
          <w:szCs w:val="24"/>
          <w:rtl/>
        </w:rPr>
      </w:pPr>
      <w:r>
        <w:rPr>
          <w:rFonts w:ascii="David" w:hAnsi="David" w:cs="David" w:hint="cs"/>
          <w:sz w:val="24"/>
          <w:szCs w:val="24"/>
          <w:rtl/>
        </w:rPr>
        <w:t xml:space="preserve">הנאשם הורשע בכך שחדר לדירת המנוח, זקן ערירי בן למעלה מ-90, אותו הכיר על רקע עבודתו בה בעבר כאיש שיפוצים, וזאת באישון לילה למטרת שוד. במהלך השוד </w:t>
      </w:r>
      <w:r w:rsidRPr="000753C6">
        <w:rPr>
          <w:rFonts w:ascii="David" w:hAnsi="David" w:cs="David" w:hint="cs"/>
          <w:sz w:val="24"/>
          <w:szCs w:val="24"/>
          <w:rtl/>
        </w:rPr>
        <w:t xml:space="preserve">תקף </w:t>
      </w:r>
      <w:r>
        <w:rPr>
          <w:rFonts w:ascii="David" w:hAnsi="David" w:cs="David" w:hint="cs"/>
          <w:sz w:val="24"/>
          <w:szCs w:val="24"/>
          <w:rtl/>
        </w:rPr>
        <w:t xml:space="preserve">הנאשם </w:t>
      </w:r>
      <w:r w:rsidRPr="000753C6">
        <w:rPr>
          <w:rFonts w:ascii="David" w:hAnsi="David" w:cs="David" w:hint="cs"/>
          <w:sz w:val="24"/>
          <w:szCs w:val="24"/>
          <w:rtl/>
        </w:rPr>
        <w:t xml:space="preserve">באכזריות רבה את המנוח, </w:t>
      </w:r>
      <w:r w:rsidRPr="000753C6">
        <w:rPr>
          <w:rFonts w:ascii="David" w:hAnsi="David" w:cs="David" w:hint="eastAsia"/>
          <w:sz w:val="24"/>
          <w:szCs w:val="24"/>
          <w:rtl/>
        </w:rPr>
        <w:t>גרר</w:t>
      </w:r>
      <w:r w:rsidRPr="000753C6">
        <w:rPr>
          <w:rFonts w:ascii="David" w:hAnsi="David" w:cs="David"/>
          <w:sz w:val="24"/>
          <w:szCs w:val="24"/>
          <w:rtl/>
        </w:rPr>
        <w:t xml:space="preserve"> </w:t>
      </w:r>
      <w:r w:rsidRPr="000753C6">
        <w:rPr>
          <w:rFonts w:ascii="David" w:hAnsi="David" w:cs="David" w:hint="eastAsia"/>
          <w:sz w:val="24"/>
          <w:szCs w:val="24"/>
          <w:rtl/>
        </w:rPr>
        <w:t>אותו</w:t>
      </w:r>
      <w:r w:rsidRPr="000753C6">
        <w:rPr>
          <w:rFonts w:ascii="David" w:hAnsi="David" w:cs="David"/>
          <w:sz w:val="24"/>
          <w:szCs w:val="24"/>
          <w:rtl/>
        </w:rPr>
        <w:t xml:space="preserve"> </w:t>
      </w:r>
      <w:r w:rsidRPr="000753C6">
        <w:rPr>
          <w:rFonts w:ascii="David" w:hAnsi="David" w:cs="David" w:hint="eastAsia"/>
          <w:sz w:val="24"/>
          <w:szCs w:val="24"/>
          <w:rtl/>
        </w:rPr>
        <w:t>מחדר</w:t>
      </w:r>
      <w:r w:rsidRPr="000753C6">
        <w:rPr>
          <w:rFonts w:ascii="David" w:hAnsi="David" w:cs="David"/>
          <w:sz w:val="24"/>
          <w:szCs w:val="24"/>
          <w:rtl/>
        </w:rPr>
        <w:t xml:space="preserve"> </w:t>
      </w:r>
      <w:r w:rsidRPr="000753C6">
        <w:rPr>
          <w:rFonts w:ascii="David" w:hAnsi="David" w:cs="David" w:hint="eastAsia"/>
          <w:sz w:val="24"/>
          <w:szCs w:val="24"/>
          <w:rtl/>
        </w:rPr>
        <w:t>לחדר</w:t>
      </w:r>
      <w:r w:rsidRPr="000753C6">
        <w:rPr>
          <w:rFonts w:ascii="David" w:hAnsi="David" w:cs="David"/>
          <w:sz w:val="24"/>
          <w:szCs w:val="24"/>
          <w:rtl/>
        </w:rPr>
        <w:t xml:space="preserve"> </w:t>
      </w:r>
      <w:r w:rsidRPr="000753C6">
        <w:rPr>
          <w:rFonts w:ascii="David" w:hAnsi="David" w:cs="David" w:hint="eastAsia"/>
          <w:sz w:val="24"/>
          <w:szCs w:val="24"/>
          <w:rtl/>
        </w:rPr>
        <w:t>בדירה</w:t>
      </w:r>
      <w:r>
        <w:rPr>
          <w:rFonts w:ascii="David" w:hAnsi="David" w:cs="David" w:hint="cs"/>
          <w:sz w:val="24"/>
          <w:szCs w:val="24"/>
          <w:rtl/>
        </w:rPr>
        <w:t xml:space="preserve">, תקף אותו בכל חלקי גופו וחנק אותו באופן שהביא למותו. </w:t>
      </w:r>
    </w:p>
    <w:p w:rsidR="00E677CD" w:rsidRDefault="00E677CD" w:rsidP="00E677CD">
      <w:pPr>
        <w:pStyle w:val="a9"/>
        <w:spacing w:after="0" w:line="360" w:lineRule="auto"/>
        <w:ind w:left="-58"/>
        <w:jc w:val="both"/>
        <w:rPr>
          <w:rFonts w:ascii="David" w:hAnsi="David" w:cs="David"/>
          <w:sz w:val="24"/>
          <w:szCs w:val="24"/>
          <w:rtl/>
        </w:rPr>
      </w:pPr>
    </w:p>
    <w:p w:rsidR="00E677CD" w:rsidRDefault="00E677CD" w:rsidP="00E677CD">
      <w:pPr>
        <w:pStyle w:val="a9"/>
        <w:spacing w:after="0" w:line="360" w:lineRule="auto"/>
        <w:ind w:left="-58"/>
        <w:jc w:val="both"/>
        <w:rPr>
          <w:rFonts w:ascii="David" w:hAnsi="David" w:cs="David"/>
          <w:sz w:val="24"/>
          <w:szCs w:val="24"/>
          <w:rtl/>
        </w:rPr>
      </w:pPr>
      <w:r>
        <w:rPr>
          <w:rFonts w:ascii="David" w:hAnsi="David" w:cs="David" w:hint="cs"/>
          <w:sz w:val="24"/>
          <w:szCs w:val="24"/>
          <w:rtl/>
        </w:rPr>
        <w:t xml:space="preserve">המחלוקת בין הצדדים נגעה לזהות האדם שתקף את המנוח והביא למותו. </w:t>
      </w:r>
    </w:p>
    <w:p w:rsidR="00E677CD" w:rsidRDefault="00E677CD" w:rsidP="00E677CD">
      <w:pPr>
        <w:pStyle w:val="a9"/>
        <w:spacing w:after="0" w:line="360" w:lineRule="auto"/>
        <w:ind w:left="-58"/>
        <w:jc w:val="both"/>
        <w:rPr>
          <w:rFonts w:ascii="David" w:hAnsi="David" w:cs="David"/>
          <w:sz w:val="24"/>
          <w:szCs w:val="24"/>
          <w:rtl/>
        </w:rPr>
      </w:pPr>
    </w:p>
    <w:p w:rsidR="00541C9E" w:rsidRPr="00E677CD" w:rsidRDefault="00E677CD" w:rsidP="00E677CD">
      <w:pPr>
        <w:pStyle w:val="a9"/>
        <w:spacing w:after="0" w:line="360" w:lineRule="auto"/>
        <w:ind w:left="-58"/>
        <w:jc w:val="both"/>
        <w:rPr>
          <w:rFonts w:ascii="David" w:hAnsi="David" w:cs="David"/>
          <w:sz w:val="24"/>
          <w:szCs w:val="24"/>
        </w:rPr>
      </w:pPr>
      <w:r>
        <w:rPr>
          <w:rFonts w:ascii="David" w:hAnsi="David" w:cs="David" w:hint="cs"/>
          <w:sz w:val="24"/>
          <w:szCs w:val="24"/>
          <w:rtl/>
        </w:rPr>
        <w:t xml:space="preserve">הראיות שעמדו לחובת הנאשם היו ראיות נסיבתיות. בית המשפט קבע כי מכלול הראיות הנסיבתיות, שכלל גם את מעשיו של הנאשם לפני הרצח ולאחריו, סיבך את הנאשם בביצוע העבירות שיוחסו לו בכתב האישום. בפרט נתן בית המשפט משקל לכך שנמצא מברג ועליו </w:t>
      </w:r>
      <w:r>
        <w:rPr>
          <w:rFonts w:ascii="David" w:hAnsi="David" w:cs="David" w:hint="cs"/>
          <w:sz w:val="24"/>
          <w:szCs w:val="24"/>
        </w:rPr>
        <w:t>DNA</w:t>
      </w:r>
      <w:r>
        <w:rPr>
          <w:rFonts w:ascii="David" w:hAnsi="David" w:cs="David" w:hint="cs"/>
          <w:sz w:val="24"/>
          <w:szCs w:val="24"/>
          <w:rtl/>
        </w:rPr>
        <w:t xml:space="preserve"> של הנאשם על גבי תריס בחדר המקלחת של המנוח, שדרכו בוצעה ההתפרצות לדירה. הנאשם, אשר גרסתו נדחתה על ידי בית המשפט כבלתי מהימנה, לא העמיד הסבר חלופי בעל אחיזה ממשית בחומר הראיות שיכול להקים ספק סביר </w:t>
      </w:r>
      <w:proofErr w:type="spellStart"/>
      <w:r>
        <w:rPr>
          <w:rFonts w:ascii="David" w:hAnsi="David" w:cs="David" w:hint="cs"/>
          <w:sz w:val="24"/>
          <w:szCs w:val="24"/>
          <w:rtl/>
        </w:rPr>
        <w:t>אמיתי</w:t>
      </w:r>
      <w:proofErr w:type="spellEnd"/>
      <w:r>
        <w:rPr>
          <w:rFonts w:ascii="David" w:hAnsi="David" w:cs="David" w:hint="cs"/>
          <w:sz w:val="24"/>
          <w:szCs w:val="24"/>
          <w:rtl/>
        </w:rPr>
        <w:t xml:space="preserve"> באשמתו. </w:t>
      </w:r>
    </w:p>
    <w:p w:rsidR="00541C9E" w:rsidRDefault="00541C9E" w:rsidP="00541C9E">
      <w:pPr>
        <w:spacing w:after="120" w:line="360" w:lineRule="auto"/>
        <w:jc w:val="both"/>
        <w:rPr>
          <w:rFonts w:ascii="FrankRuehl" w:hAnsi="FrankRuehl" w:cs="FrankRuehl"/>
          <w:color w:val="323E4F" w:themeColor="text2" w:themeShade="BF"/>
          <w:sz w:val="26"/>
          <w:szCs w:val="26"/>
          <w:rtl/>
        </w:rPr>
      </w:pPr>
    </w:p>
    <w:p w:rsidR="00541C9E" w:rsidRPr="000071E5" w:rsidRDefault="00541C9E" w:rsidP="00541C9E">
      <w:pPr>
        <w:spacing w:after="120" w:line="360" w:lineRule="auto"/>
        <w:jc w:val="center"/>
        <w:rPr>
          <w:rFonts w:ascii="FrankRuehl" w:hAnsi="FrankRuehl" w:cs="FrankRuehl"/>
          <w:b/>
          <w:bCs/>
          <w:color w:val="002060"/>
          <w:sz w:val="26"/>
          <w:szCs w:val="26"/>
        </w:rPr>
      </w:pPr>
      <w:r w:rsidRPr="000071E5">
        <w:rPr>
          <w:rFonts w:ascii="FrankRuehl" w:hAnsi="FrankRuehl" w:cs="FrankRuehl" w:hint="cs"/>
          <w:b/>
          <w:bCs/>
          <w:color w:val="002060"/>
          <w:sz w:val="26"/>
          <w:szCs w:val="26"/>
          <w:rtl/>
        </w:rPr>
        <w:t xml:space="preserve">*** </w:t>
      </w:r>
      <w:r w:rsidRPr="000071E5">
        <w:rPr>
          <w:rFonts w:ascii="FrankRuehl" w:hAnsi="FrankRuehl" w:cs="FrankRuehl"/>
          <w:b/>
          <w:bCs/>
          <w:color w:val="002060"/>
          <w:sz w:val="26"/>
          <w:szCs w:val="26"/>
          <w:rtl/>
        </w:rPr>
        <w:t xml:space="preserve">התקציר אינו בא </w:t>
      </w:r>
      <w:r w:rsidR="00E677CD">
        <w:rPr>
          <w:rFonts w:ascii="FrankRuehl" w:hAnsi="FrankRuehl" w:cs="FrankRuehl"/>
          <w:b/>
          <w:bCs/>
          <w:color w:val="002060"/>
          <w:sz w:val="26"/>
          <w:szCs w:val="26"/>
          <w:rtl/>
        </w:rPr>
        <w:t xml:space="preserve">להחליף את </w:t>
      </w:r>
      <w:r w:rsidR="00E677CD">
        <w:rPr>
          <w:rFonts w:ascii="FrankRuehl" w:hAnsi="FrankRuehl" w:cs="FrankRuehl" w:hint="cs"/>
          <w:b/>
          <w:bCs/>
          <w:color w:val="002060"/>
          <w:sz w:val="26"/>
          <w:szCs w:val="26"/>
          <w:rtl/>
        </w:rPr>
        <w:t>הכרעת</w:t>
      </w:r>
      <w:r w:rsidRPr="000071E5">
        <w:rPr>
          <w:rFonts w:ascii="FrankRuehl" w:hAnsi="FrankRuehl" w:cs="FrankRuehl" w:hint="cs"/>
          <w:b/>
          <w:bCs/>
          <w:color w:val="002060"/>
          <w:sz w:val="26"/>
          <w:szCs w:val="26"/>
          <w:rtl/>
        </w:rPr>
        <w:t>-</w:t>
      </w:r>
      <w:r w:rsidR="00E677CD">
        <w:rPr>
          <w:rFonts w:ascii="FrankRuehl" w:hAnsi="FrankRuehl" w:cs="FrankRuehl"/>
          <w:b/>
          <w:bCs/>
          <w:color w:val="002060"/>
          <w:sz w:val="26"/>
          <w:szCs w:val="26"/>
          <w:rtl/>
        </w:rPr>
        <w:t xml:space="preserve">הדין, הנוסח המחייב הוא זה של </w:t>
      </w:r>
      <w:r w:rsidR="00E677CD">
        <w:rPr>
          <w:rFonts w:ascii="FrankRuehl" w:hAnsi="FrankRuehl" w:cs="FrankRuehl" w:hint="cs"/>
          <w:b/>
          <w:bCs/>
          <w:color w:val="002060"/>
          <w:sz w:val="26"/>
          <w:szCs w:val="26"/>
          <w:rtl/>
        </w:rPr>
        <w:t>הכרעת</w:t>
      </w:r>
      <w:r w:rsidRPr="000071E5">
        <w:rPr>
          <w:rFonts w:ascii="FrankRuehl" w:hAnsi="FrankRuehl" w:cs="FrankRuehl"/>
          <w:b/>
          <w:bCs/>
          <w:color w:val="002060"/>
          <w:sz w:val="26"/>
          <w:szCs w:val="26"/>
          <w:rtl/>
        </w:rPr>
        <w:t>-הדין המלא</w:t>
      </w:r>
      <w:r w:rsidR="00E677CD">
        <w:rPr>
          <w:rFonts w:ascii="FrankRuehl" w:hAnsi="FrankRuehl" w:cs="FrankRuehl" w:hint="cs"/>
          <w:b/>
          <w:bCs/>
          <w:color w:val="002060"/>
          <w:sz w:val="26"/>
          <w:szCs w:val="26"/>
          <w:rtl/>
        </w:rPr>
        <w:t>ה</w:t>
      </w:r>
      <w:r w:rsidRPr="000071E5">
        <w:rPr>
          <w:rFonts w:ascii="FrankRuehl" w:hAnsi="FrankRuehl" w:cs="FrankRuehl" w:hint="cs"/>
          <w:b/>
          <w:bCs/>
          <w:color w:val="002060"/>
          <w:sz w:val="26"/>
          <w:szCs w:val="26"/>
          <w:rtl/>
        </w:rPr>
        <w:t xml:space="preserve"> ***</w:t>
      </w:r>
    </w:p>
    <w:p w:rsidR="00515986" w:rsidRDefault="00515986" w:rsidP="000C4D75">
      <w:pPr>
        <w:tabs>
          <w:tab w:val="num" w:pos="1080"/>
        </w:tabs>
        <w:spacing w:after="0" w:line="276" w:lineRule="auto"/>
        <w:jc w:val="both"/>
        <w:rPr>
          <w:rFonts w:ascii="Arial" w:eastAsia="Times New Roman" w:hAnsi="Arial" w:cs="David"/>
          <w:b/>
          <w:bCs/>
          <w:sz w:val="24"/>
          <w:szCs w:val="24"/>
          <w:rtl/>
        </w:rPr>
      </w:pPr>
    </w:p>
    <w:p w:rsidR="00515986" w:rsidRDefault="00515986" w:rsidP="000C4D75">
      <w:pPr>
        <w:tabs>
          <w:tab w:val="num" w:pos="1080"/>
        </w:tabs>
        <w:spacing w:after="0" w:line="276" w:lineRule="auto"/>
        <w:jc w:val="both"/>
        <w:rPr>
          <w:rFonts w:ascii="Arial" w:eastAsia="Times New Roman" w:hAnsi="Arial" w:cs="David"/>
          <w:b/>
          <w:bCs/>
          <w:sz w:val="24"/>
          <w:szCs w:val="24"/>
          <w:rtl/>
        </w:rPr>
      </w:pPr>
    </w:p>
    <w:p w:rsidR="002453CF" w:rsidRPr="007B7899" w:rsidRDefault="002453CF" w:rsidP="007B7899">
      <w:pPr>
        <w:spacing w:before="100" w:beforeAutospacing="1" w:after="100" w:afterAutospacing="1" w:line="240" w:lineRule="auto"/>
        <w:ind w:left="4320"/>
        <w:jc w:val="both"/>
        <w:rPr>
          <w:rFonts w:ascii="Times New Roman" w:eastAsia="Times New Roman" w:hAnsi="Times New Roman" w:cs="David"/>
          <w:b/>
          <w:bCs/>
          <w:color w:val="002060"/>
          <w:rtl/>
        </w:rPr>
      </w:pPr>
    </w:p>
    <w:sectPr w:rsidR="002453CF" w:rsidRPr="007B7899" w:rsidSect="00B16422">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354" w:rsidRDefault="00B87354" w:rsidP="00730CA1">
      <w:pPr>
        <w:spacing w:after="0" w:line="240" w:lineRule="auto"/>
      </w:pPr>
      <w:r>
        <w:separator/>
      </w:r>
    </w:p>
  </w:endnote>
  <w:endnote w:type="continuationSeparator" w:id="0">
    <w:p w:rsidR="00B87354" w:rsidRDefault="00B87354" w:rsidP="00730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C9E" w:rsidRPr="003C61AF" w:rsidRDefault="00541C9E" w:rsidP="00541C9E">
    <w:pPr>
      <w:tabs>
        <w:tab w:val="center" w:pos="4153"/>
        <w:tab w:val="right" w:pos="8306"/>
      </w:tabs>
      <w:spacing w:after="0" w:line="240" w:lineRule="auto"/>
      <w:rPr>
        <w:rFonts w:ascii="Times New Roman" w:eastAsia="Times New Roman" w:hAnsi="Times New Roman" w:cs="FrankRuehl"/>
        <w:b/>
        <w:bCs/>
        <w:color w:val="000080"/>
        <w:spacing w:val="6"/>
        <w:sz w:val="24"/>
        <w:szCs w:val="24"/>
        <w:rtl/>
      </w:rPr>
    </w:pPr>
    <w:r w:rsidRPr="003C61AF">
      <w:rPr>
        <w:rFonts w:ascii="Times New Roman" w:eastAsia="Times New Roman" w:hAnsi="Times New Roman" w:cs="FrankRuehl"/>
        <w:b/>
        <w:bCs/>
        <w:color w:val="000080"/>
        <w:spacing w:val="6"/>
        <w:sz w:val="24"/>
        <w:szCs w:val="24"/>
        <w:rtl/>
      </w:rPr>
      <w:t>________________________________________________________________</w:t>
    </w:r>
  </w:p>
  <w:p w:rsidR="00541C9E" w:rsidRPr="003C61AF"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Pr>
        <w:rFonts w:ascii="Times New Roman" w:eastAsia="Times New Roman" w:hAnsi="Times New Roman" w:cs="FrankRuehl" w:hint="cs"/>
        <w:b/>
        <w:bCs/>
        <w:color w:val="000080"/>
        <w:spacing w:val="6"/>
        <w:sz w:val="24"/>
        <w:szCs w:val="24"/>
        <w:rtl/>
      </w:rPr>
      <w:t xml:space="preserve">בית משפט העליון | רחוב דרך השופט מאיר שמגר 1 | </w:t>
    </w:r>
    <w:proofErr w:type="spellStart"/>
    <w:r>
      <w:rPr>
        <w:rFonts w:ascii="Times New Roman" w:eastAsia="Times New Roman" w:hAnsi="Times New Roman" w:cs="FrankRuehl" w:hint="cs"/>
        <w:b/>
        <w:bCs/>
        <w:color w:val="000080"/>
        <w:spacing w:val="6"/>
        <w:sz w:val="24"/>
        <w:szCs w:val="24"/>
        <w:rtl/>
      </w:rPr>
      <w:t>קרית</w:t>
    </w:r>
    <w:proofErr w:type="spellEnd"/>
    <w:r>
      <w:rPr>
        <w:rFonts w:ascii="Times New Roman" w:eastAsia="Times New Roman" w:hAnsi="Times New Roman" w:cs="FrankRuehl" w:hint="cs"/>
        <w:b/>
        <w:bCs/>
        <w:color w:val="000080"/>
        <w:spacing w:val="6"/>
        <w:sz w:val="24"/>
        <w:szCs w:val="24"/>
        <w:rtl/>
      </w:rPr>
      <w:t xml:space="preserve"> בן גוריון |</w:t>
    </w:r>
    <w:r w:rsidRPr="003C61AF">
      <w:rPr>
        <w:rFonts w:ascii="Times New Roman" w:eastAsia="Times New Roman" w:hAnsi="Times New Roman" w:cs="FrankRuehl" w:hint="cs"/>
        <w:b/>
        <w:bCs/>
        <w:color w:val="000080"/>
        <w:spacing w:val="6"/>
        <w:sz w:val="24"/>
        <w:szCs w:val="24"/>
        <w:rtl/>
      </w:rPr>
      <w:t xml:space="preserve"> ירושלים</w:t>
    </w:r>
  </w:p>
  <w:p w:rsidR="003C61AF" w:rsidRPr="00541C9E"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Pr>
    </w:pPr>
    <w:r w:rsidRPr="003C61AF">
      <w:rPr>
        <w:rFonts w:ascii="Times New Roman" w:eastAsia="Times New Roman" w:hAnsi="Times New Roman" w:cs="FrankRuehl" w:hint="cs"/>
        <w:b/>
        <w:bCs/>
        <w:color w:val="000080"/>
        <w:spacing w:val="6"/>
        <w:sz w:val="24"/>
        <w:szCs w:val="24"/>
        <w:rtl/>
      </w:rPr>
      <w:t xml:space="preserve">טל: </w:t>
    </w:r>
    <w:r w:rsidRPr="003C61AF">
      <w:rPr>
        <w:rFonts w:ascii="Times New Roman" w:eastAsia="Times New Roman" w:hAnsi="Times New Roman" w:cs="FrankRuehl"/>
        <w:b/>
        <w:bCs/>
        <w:color w:val="000080"/>
        <w:spacing w:val="6"/>
        <w:sz w:val="24"/>
        <w:szCs w:val="24"/>
      </w:rPr>
      <w:t>074-7480412</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דוא"ל</w:t>
    </w:r>
    <w:r w:rsidRPr="003C61AF">
      <w:rPr>
        <w:rFonts w:ascii="Times New Roman" w:eastAsia="Times New Roman" w:hAnsi="Times New Roman" w:cs="FrankRuehl"/>
        <w:b/>
        <w:bCs/>
        <w:color w:val="000080"/>
        <w:spacing w:val="6"/>
        <w:sz w:val="24"/>
        <w:szCs w:val="24"/>
      </w:rPr>
      <w:t>:</w:t>
    </w:r>
    <w:r w:rsidRPr="003C61AF">
      <w:rPr>
        <w:rFonts w:ascii="Times New Roman" w:eastAsia="Times New Roman" w:hAnsi="Times New Roman" w:cs="FrankRuehl" w:hint="cs"/>
        <w:b/>
        <w:bCs/>
        <w:color w:val="000080"/>
        <w:spacing w:val="6"/>
        <w:sz w:val="24"/>
        <w:szCs w:val="24"/>
        <w:rtl/>
      </w:rPr>
      <w:t xml:space="preserve">  </w:t>
    </w:r>
    <w:hyperlink r:id="rId1" w:history="1">
      <w:r w:rsidRPr="003C61AF">
        <w:rPr>
          <w:rFonts w:ascii="Times New Roman" w:eastAsia="Times New Roman" w:hAnsi="Times New Roman" w:cs="FrankRuehl"/>
          <w:b/>
          <w:bCs/>
          <w:color w:val="0000FF"/>
          <w:spacing w:val="6"/>
          <w:sz w:val="24"/>
          <w:szCs w:val="24"/>
          <w:u w:val="single"/>
        </w:rPr>
        <w:t>Dover@court.gov.il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354" w:rsidRDefault="00B87354" w:rsidP="00730CA1">
      <w:pPr>
        <w:spacing w:after="0" w:line="240" w:lineRule="auto"/>
      </w:pPr>
      <w:r>
        <w:separator/>
      </w:r>
    </w:p>
  </w:footnote>
  <w:footnote w:type="continuationSeparator" w:id="0">
    <w:p w:rsidR="00B87354" w:rsidRDefault="00B87354" w:rsidP="00730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extent cx="523875" cy="619125"/>
          <wp:effectExtent l="0" t="0" r="9525" b="9525"/>
          <wp:docPr id="1" name="תמונה 2" descr="תיאור: 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r w:rsidRPr="005253B2">
      <w:rPr>
        <w:rFonts w:ascii="Century" w:eastAsia="Times New Roman" w:hAnsi="Century" w:cs="FrankRuehl" w:hint="cs"/>
        <w:noProof/>
        <w:spacing w:val="10"/>
        <w:sz w:val="20"/>
        <w:szCs w:val="28"/>
        <w:rtl/>
        <w:lang w:eastAsia="he-IL"/>
      </w:rPr>
      <w:t xml:space="preserve">                                            </w:t>
    </w:r>
  </w:p>
  <w:p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rtl/>
        <w:lang w:eastAsia="he-IL"/>
      </w:rPr>
    </w:pPr>
    <w:r w:rsidRPr="005253B2">
      <w:rPr>
        <w:rFonts w:ascii="Times New Roman" w:eastAsia="Times New Roman" w:hAnsi="Times New Roman" w:cs="FrankRuehl" w:hint="cs"/>
        <w:b/>
        <w:bCs/>
        <w:color w:val="000080"/>
        <w:spacing w:val="6"/>
        <w:sz w:val="28"/>
        <w:szCs w:val="28"/>
        <w:rtl/>
        <w:lang w:eastAsia="he-IL"/>
      </w:rPr>
      <w:t>מערכת בתי המשפט</w:t>
    </w:r>
  </w:p>
  <w:p w:rsidR="007007D7"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lang w:eastAsia="he-IL"/>
      </w:rPr>
    </w:pPr>
    <w:r w:rsidRPr="005253B2">
      <w:rPr>
        <w:rFonts w:ascii="Times New Roman" w:eastAsia="Times New Roman" w:hAnsi="Times New Roman" w:cs="FrankRuehl" w:hint="cs"/>
        <w:b/>
        <w:bCs/>
        <w:color w:val="000080"/>
        <w:spacing w:val="6"/>
        <w:sz w:val="28"/>
        <w:szCs w:val="28"/>
        <w:rtl/>
        <w:lang w:eastAsia="he-IL"/>
      </w:rPr>
      <w:t>דוברות והסברה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B27"/>
    <w:multiLevelType w:val="multilevel"/>
    <w:tmpl w:val="2EA02F4A"/>
    <w:lvl w:ilvl="0">
      <w:start w:val="1"/>
      <w:numFmt w:val="decimal"/>
      <w:lvlText w:val="%1."/>
      <w:lvlJc w:val="left"/>
      <w:pPr>
        <w:tabs>
          <w:tab w:val="num" w:pos="454"/>
        </w:tabs>
        <w:ind w:left="454" w:hanging="454"/>
      </w:pPr>
      <w:rPr>
        <w:rFonts w:hint="default"/>
        <w:bCs w:val="0"/>
        <w:iCs w:val="0"/>
        <w:szCs w:val="24"/>
      </w:rPr>
    </w:lvl>
    <w:lvl w:ilvl="1">
      <w:start w:val="1"/>
      <w:numFmt w:val="hebrew1"/>
      <w:lvlText w:val="%2."/>
      <w:lvlJc w:val="left"/>
      <w:pPr>
        <w:tabs>
          <w:tab w:val="num" w:pos="907"/>
        </w:tabs>
        <w:ind w:left="908" w:hanging="454"/>
      </w:pPr>
      <w:rPr>
        <w:rFonts w:cs="David" w:hint="cs"/>
        <w:bCs w:val="0"/>
        <w:iCs w:val="0"/>
        <w:szCs w:val="26"/>
      </w:rPr>
    </w:lvl>
    <w:lvl w:ilvl="2">
      <w:start w:val="1"/>
      <w:numFmt w:val="decimal"/>
      <w:lvlText w:val="(%3)"/>
      <w:lvlJc w:val="left"/>
      <w:pPr>
        <w:tabs>
          <w:tab w:val="num" w:pos="1361"/>
        </w:tabs>
        <w:ind w:left="1362" w:hanging="454"/>
      </w:pPr>
      <w:rPr>
        <w:rFonts w:ascii="Times New Roman" w:hAnsi="Times New Roman" w:cs="David" w:hint="default"/>
        <w:b w:val="0"/>
        <w:bCs w:val="0"/>
        <w:i w:val="0"/>
        <w:iCs w:val="0"/>
        <w:sz w:val="24"/>
        <w:szCs w:val="24"/>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CF"/>
    <w:rsid w:val="000011AE"/>
    <w:rsid w:val="00025761"/>
    <w:rsid w:val="000A2ACA"/>
    <w:rsid w:val="000C4D75"/>
    <w:rsid w:val="001D42A7"/>
    <w:rsid w:val="002453CF"/>
    <w:rsid w:val="002C0E83"/>
    <w:rsid w:val="003921C3"/>
    <w:rsid w:val="003C61AF"/>
    <w:rsid w:val="003E6E39"/>
    <w:rsid w:val="003E7EB7"/>
    <w:rsid w:val="00426AA7"/>
    <w:rsid w:val="00515986"/>
    <w:rsid w:val="005253B2"/>
    <w:rsid w:val="00541C9E"/>
    <w:rsid w:val="00631744"/>
    <w:rsid w:val="00690B6F"/>
    <w:rsid w:val="006B7B96"/>
    <w:rsid w:val="006C3B1F"/>
    <w:rsid w:val="006F1E1F"/>
    <w:rsid w:val="007007D7"/>
    <w:rsid w:val="00711675"/>
    <w:rsid w:val="00730CA1"/>
    <w:rsid w:val="007B7899"/>
    <w:rsid w:val="00832AD7"/>
    <w:rsid w:val="008C02E0"/>
    <w:rsid w:val="00983123"/>
    <w:rsid w:val="009E5C0E"/>
    <w:rsid w:val="00AD7644"/>
    <w:rsid w:val="00B16422"/>
    <w:rsid w:val="00B22AFC"/>
    <w:rsid w:val="00B87354"/>
    <w:rsid w:val="00BA3143"/>
    <w:rsid w:val="00C22E08"/>
    <w:rsid w:val="00C37F37"/>
    <w:rsid w:val="00C50C55"/>
    <w:rsid w:val="00C529CC"/>
    <w:rsid w:val="00C842A7"/>
    <w:rsid w:val="00C85A27"/>
    <w:rsid w:val="00CA2D6A"/>
    <w:rsid w:val="00CB4940"/>
    <w:rsid w:val="00CD280B"/>
    <w:rsid w:val="00D11F77"/>
    <w:rsid w:val="00D205AB"/>
    <w:rsid w:val="00D43C0E"/>
    <w:rsid w:val="00D5319F"/>
    <w:rsid w:val="00E35DF3"/>
    <w:rsid w:val="00E677CD"/>
    <w:rsid w:val="00EB6609"/>
    <w:rsid w:val="00F46250"/>
    <w:rsid w:val="00FF55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43B57-6867-4F06-9DF1-55588D3D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AA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26AA7"/>
    <w:rPr>
      <w:rFonts w:ascii="Tahoma" w:hAnsi="Tahoma" w:cs="Tahoma"/>
      <w:sz w:val="18"/>
      <w:szCs w:val="18"/>
    </w:rPr>
  </w:style>
  <w:style w:type="character" w:styleId="Hyperlink">
    <w:name w:val="Hyperlink"/>
    <w:basedOn w:val="a0"/>
    <w:uiPriority w:val="99"/>
    <w:unhideWhenUsed/>
    <w:rsid w:val="00E35DF3"/>
    <w:rPr>
      <w:color w:val="0563C1" w:themeColor="hyperlink"/>
      <w:u w:val="single"/>
    </w:rPr>
  </w:style>
  <w:style w:type="paragraph" w:styleId="a5">
    <w:name w:val="header"/>
    <w:basedOn w:val="a"/>
    <w:link w:val="a6"/>
    <w:uiPriority w:val="99"/>
    <w:unhideWhenUsed/>
    <w:rsid w:val="00730CA1"/>
    <w:pPr>
      <w:tabs>
        <w:tab w:val="center" w:pos="4153"/>
        <w:tab w:val="right" w:pos="8306"/>
      </w:tabs>
      <w:spacing w:after="0" w:line="240" w:lineRule="auto"/>
    </w:pPr>
  </w:style>
  <w:style w:type="character" w:customStyle="1" w:styleId="a6">
    <w:name w:val="כותרת עליונה תו"/>
    <w:basedOn w:val="a0"/>
    <w:link w:val="a5"/>
    <w:uiPriority w:val="99"/>
    <w:rsid w:val="00730CA1"/>
  </w:style>
  <w:style w:type="paragraph" w:styleId="a7">
    <w:name w:val="footer"/>
    <w:basedOn w:val="a"/>
    <w:link w:val="a8"/>
    <w:uiPriority w:val="99"/>
    <w:unhideWhenUsed/>
    <w:rsid w:val="00730CA1"/>
    <w:pPr>
      <w:tabs>
        <w:tab w:val="center" w:pos="4153"/>
        <w:tab w:val="right" w:pos="8306"/>
      </w:tabs>
      <w:spacing w:after="0" w:line="240" w:lineRule="auto"/>
    </w:pPr>
  </w:style>
  <w:style w:type="character" w:customStyle="1" w:styleId="a8">
    <w:name w:val="כותרת תחתונה תו"/>
    <w:basedOn w:val="a0"/>
    <w:link w:val="a7"/>
    <w:uiPriority w:val="99"/>
    <w:rsid w:val="00730CA1"/>
  </w:style>
  <w:style w:type="paragraph" w:styleId="a9">
    <w:name w:val="List Paragraph"/>
    <w:basedOn w:val="a"/>
    <w:uiPriority w:val="34"/>
    <w:qFormat/>
    <w:rsid w:val="00E6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39060">
      <w:bodyDiv w:val="1"/>
      <w:marLeft w:val="0"/>
      <w:marRight w:val="0"/>
      <w:marTop w:val="0"/>
      <w:marBottom w:val="0"/>
      <w:divBdr>
        <w:top w:val="none" w:sz="0" w:space="0" w:color="auto"/>
        <w:left w:val="none" w:sz="0" w:space="0" w:color="auto"/>
        <w:bottom w:val="none" w:sz="0" w:space="0" w:color="auto"/>
        <w:right w:val="none" w:sz="0" w:space="0" w:color="auto"/>
      </w:divBdr>
    </w:div>
    <w:div w:id="1171139320">
      <w:bodyDiv w:val="1"/>
      <w:marLeft w:val="0"/>
      <w:marRight w:val="0"/>
      <w:marTop w:val="0"/>
      <w:marBottom w:val="0"/>
      <w:divBdr>
        <w:top w:val="none" w:sz="0" w:space="0" w:color="auto"/>
        <w:left w:val="none" w:sz="0" w:space="0" w:color="auto"/>
        <w:bottom w:val="none" w:sz="0" w:space="0" w:color="auto"/>
        <w:right w:val="none" w:sz="0" w:space="0" w:color="auto"/>
      </w:divBdr>
    </w:div>
    <w:div w:id="1432776229">
      <w:bodyDiv w:val="1"/>
      <w:marLeft w:val="0"/>
      <w:marRight w:val="0"/>
      <w:marTop w:val="0"/>
      <w:marBottom w:val="0"/>
      <w:divBdr>
        <w:top w:val="none" w:sz="0" w:space="0" w:color="auto"/>
        <w:left w:val="none" w:sz="0" w:space="0" w:color="auto"/>
        <w:bottom w:val="none" w:sz="0" w:space="0" w:color="auto"/>
        <w:right w:val="none" w:sz="0" w:space="0" w:color="auto"/>
      </w:divBdr>
    </w:div>
    <w:div w:id="1552304460">
      <w:bodyDiv w:val="1"/>
      <w:marLeft w:val="0"/>
      <w:marRight w:val="0"/>
      <w:marTop w:val="0"/>
      <w:marBottom w:val="0"/>
      <w:divBdr>
        <w:top w:val="none" w:sz="0" w:space="0" w:color="auto"/>
        <w:left w:val="none" w:sz="0" w:space="0" w:color="auto"/>
        <w:bottom w:val="none" w:sz="0" w:space="0" w:color="auto"/>
        <w:right w:val="none" w:sz="0" w:space="0" w:color="auto"/>
      </w:divBdr>
    </w:div>
    <w:div w:id="20642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over@cour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9A6BAD83-576B-4F15-B19E-E96C4002FF08}">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1244</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נירית לזימי</dc:creator>
  <cp:keywords/>
  <dc:description/>
  <cp:lastModifiedBy>אסתר טטרואשילי</cp:lastModifiedBy>
  <cp:revision>2</cp:revision>
  <cp:lastPrinted>2017-11-13T12:38:00Z</cp:lastPrinted>
  <dcterms:created xsi:type="dcterms:W3CDTF">2024-06-06T11:43:00Z</dcterms:created>
  <dcterms:modified xsi:type="dcterms:W3CDTF">2024-06-06T11:43:00Z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04 ביוני 2024</vt:lpwstr>
  </property>
  <property fmtid="{D5CDD505-2E9C-101B-9397-08002B2CF9AE}" pid="3" name="DocDateHeb">
    <vt:lpwstr>כ"ז באייר תשפ"ד</vt:lpwstr>
  </property>
  <property fmtid="{D5CDD505-2E9C-101B-9397-08002B2CF9AE}" pid="4" name="DocNumber">
    <vt:lpwstr>4700-1039-2024-003937</vt:lpwstr>
  </property>
  <property fmtid="{D5CDD505-2E9C-101B-9397-08002B2CF9AE}" pid="5" name="DocRecipientsName">
    <vt:lpwstr/>
  </property>
  <property fmtid="{D5CDD505-2E9C-101B-9397-08002B2CF9AE}" pid="6" name="DocToName">
    <vt:lpwstr/>
  </property>
  <property fmtid="{D5CDD505-2E9C-101B-9397-08002B2CF9AE}" pid="7" name="DocObjectName">
    <vt:lpwstr>תפ"ח 31337-11-20  מדינת ישראל נ' תאג' – תקציר הכרעת דין</vt:lpwstr>
  </property>
</Properties>
</file>