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9"/>
        <w:bidiVisual/>
        <w:tblW w:w="882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743"/>
        <w:gridCol w:w="2506"/>
        <w:gridCol w:w="5571"/>
      </w:tblGrid>
      <w:tr w:rsidR="00E31C2B" w:rsidRPr="009826DF">
        <w:trPr>
          <w:jc w:val="center"/>
        </w:trPr>
        <w:tc>
          <w:tcPr>
            <w:tcW w:w="743" w:type="dxa"/>
          </w:tcPr>
          <w:p w:rsidR="00E31C2B" w:rsidRPr="009826DF" w:rsidRDefault="00FD7A63">
            <w:pPr>
              <w:jc w:val="both"/>
              <w:rPr>
                <w:rFonts w:ascii="Arial" w:hAnsi="Arial"/>
                <w:b/>
                <w:bCs/>
                <w:sz w:val="26"/>
                <w:szCs w:val="26"/>
              </w:rPr>
            </w:pPr>
            <w:bookmarkStart w:id="0" w:name="_GoBack"/>
            <w:bookmarkEnd w:id="0"/>
            <w:r w:rsidRPr="009826DF">
              <w:rPr>
                <w:rFonts w:ascii="Arial" w:hAnsi="Arial" w:hint="cs"/>
                <w:b/>
                <w:bCs/>
                <w:sz w:val="26"/>
                <w:szCs w:val="26"/>
                <w:rtl/>
              </w:rPr>
              <w:t>ל</w:t>
            </w:r>
            <w:r w:rsidR="00E31C2B" w:rsidRPr="009826DF">
              <w:rPr>
                <w:rFonts w:ascii="Arial" w:hAnsi="Arial"/>
                <w:b/>
                <w:bCs/>
                <w:sz w:val="26"/>
                <w:szCs w:val="26"/>
                <w:rtl/>
              </w:rPr>
              <w:t xml:space="preserve">פני </w:t>
            </w:r>
          </w:p>
        </w:tc>
        <w:tc>
          <w:tcPr>
            <w:tcW w:w="8077" w:type="dxa"/>
            <w:gridSpan w:val="2"/>
          </w:tcPr>
          <w:p w:rsidR="00E31C2B" w:rsidRPr="009826DF" w:rsidRDefault="00A34133" w:rsidP="00622821">
            <w:pPr>
              <w:rPr>
                <w:b/>
                <w:bCs/>
                <w:sz w:val="26"/>
                <w:szCs w:val="26"/>
              </w:rPr>
            </w:pPr>
            <w:r>
              <w:rPr>
                <w:b/>
                <w:bCs/>
                <w:sz w:val="26"/>
                <w:szCs w:val="26"/>
                <w:rtl/>
              </w:rPr>
              <w:t>כבוד השופטים יהודית שבח, סג"נ, יונה אטדגי, שלומית יעקובוביץ</w:t>
            </w:r>
          </w:p>
        </w:tc>
      </w:tr>
      <w:tr w:rsidR="00E31C2B" w:rsidRPr="009826DF">
        <w:trPr>
          <w:jc w:val="center"/>
        </w:trPr>
        <w:tc>
          <w:tcPr>
            <w:tcW w:w="3249" w:type="dxa"/>
            <w:gridSpan w:val="2"/>
          </w:tcPr>
          <w:p w:rsidR="00E31C2B" w:rsidRPr="009826DF" w:rsidRDefault="00E31C2B">
            <w:pPr>
              <w:bidi w:val="0"/>
              <w:jc w:val="right"/>
              <w:rPr>
                <w:rFonts w:ascii="Arial" w:hAnsi="Arial"/>
                <w:b/>
                <w:bCs/>
                <w:noProof w:val="0"/>
                <w:sz w:val="26"/>
                <w:szCs w:val="26"/>
              </w:rPr>
            </w:pPr>
          </w:p>
          <w:sdt>
            <w:sdtPr>
              <w:rPr>
                <w:sz w:val="26"/>
                <w:szCs w:val="26"/>
              </w:rPr>
              <w:alias w:val="1180"/>
              <w:tag w:val="1180"/>
              <w:id w:val="637458750"/>
              <w:text w:multiLine="1"/>
            </w:sdtPr>
            <w:sdtEndPr/>
            <w:sdtContent>
              <w:p w:rsidR="00C90D0B" w:rsidRDefault="00FF767A" w:rsidP="00FF767A">
                <w:pPr>
                  <w:bidi w:val="0"/>
                  <w:jc w:val="right"/>
                  <w:rPr>
                    <w:rFonts w:ascii="Arial" w:hAnsi="Arial"/>
                    <w:b/>
                    <w:bCs/>
                    <w:noProof w:val="0"/>
                    <w:sz w:val="26"/>
                    <w:szCs w:val="26"/>
                  </w:rPr>
                </w:pPr>
                <w:r>
                  <w:rPr>
                    <w:rFonts w:ascii="Arial" w:hAnsi="Arial" w:hint="cs"/>
                    <w:b/>
                    <w:bCs/>
                    <w:noProof w:val="0"/>
                    <w:sz w:val="26"/>
                    <w:szCs w:val="26"/>
                    <w:rtl/>
                  </w:rPr>
                  <w:t xml:space="preserve">בעניין </w:t>
                </w:r>
              </w:p>
            </w:sdtContent>
          </w:sdt>
        </w:tc>
        <w:tc>
          <w:tcPr>
            <w:tcW w:w="5571" w:type="dxa"/>
          </w:tcPr>
          <w:p w:rsidR="00E31C2B" w:rsidRPr="009826DF" w:rsidRDefault="00E31C2B">
            <w:pPr>
              <w:rPr>
                <w:rFonts w:ascii="Arial" w:hAnsi="Arial"/>
                <w:b/>
                <w:bCs/>
                <w:noProof w:val="0"/>
                <w:sz w:val="26"/>
                <w:szCs w:val="26"/>
                <w:rtl/>
              </w:rPr>
            </w:pPr>
          </w:p>
          <w:p w:rsidR="004756D5" w:rsidRDefault="007464B1">
            <w:pPr>
              <w:rPr>
                <w:sz w:val="26"/>
                <w:szCs w:val="26"/>
                <w:rtl/>
              </w:rPr>
            </w:pPr>
            <w:sdt>
              <w:sdtPr>
                <w:rPr>
                  <w:sz w:val="26"/>
                  <w:szCs w:val="26"/>
                  <w:rtl/>
                </w:rPr>
                <w:alias w:val="1462"/>
                <w:tag w:val="1462"/>
                <w:id w:val="-2139489462"/>
                <w:text w:multiLine="1"/>
              </w:sdtPr>
              <w:sdtEndPr/>
              <w:sdtContent>
                <w:r w:rsidR="00A34133">
                  <w:rPr>
                    <w:rFonts w:ascii="Arial" w:hAnsi="Arial"/>
                    <w:b/>
                    <w:bCs/>
                    <w:noProof w:val="0"/>
                    <w:sz w:val="26"/>
                    <w:szCs w:val="26"/>
                    <w:rtl/>
                  </w:rPr>
                  <w:t>1</w:t>
                </w:r>
              </w:sdtContent>
            </w:sdt>
            <w:r w:rsidR="00E31C2B" w:rsidRPr="009826DF">
              <w:rPr>
                <w:b/>
                <w:bCs/>
                <w:noProof w:val="0"/>
                <w:sz w:val="26"/>
                <w:szCs w:val="26"/>
                <w:rtl/>
              </w:rPr>
              <w:t>.</w:t>
            </w:r>
            <w:r w:rsidR="00E31C2B" w:rsidRPr="009826DF">
              <w:rPr>
                <w:rFonts w:hint="cs"/>
                <w:b/>
                <w:bCs/>
                <w:noProof w:val="0"/>
                <w:sz w:val="26"/>
                <w:szCs w:val="26"/>
                <w:rtl/>
              </w:rPr>
              <w:t xml:space="preserve"> </w:t>
            </w:r>
            <w:sdt>
              <w:sdtPr>
                <w:rPr>
                  <w:sz w:val="26"/>
                  <w:szCs w:val="26"/>
                  <w:rtl/>
                </w:rPr>
                <w:alias w:val="1478"/>
                <w:tag w:val="1478"/>
                <w:id w:val="-2076122985"/>
                <w:text w:multiLine="1"/>
              </w:sdtPr>
              <w:sdtEndPr/>
              <w:sdtContent>
                <w:r w:rsidR="00A34133">
                  <w:rPr>
                    <w:rFonts w:ascii="Arial" w:hAnsi="Arial"/>
                    <w:b/>
                    <w:bCs/>
                    <w:noProof w:val="0"/>
                    <w:sz w:val="26"/>
                    <w:szCs w:val="26"/>
                    <w:rtl/>
                  </w:rPr>
                  <w:t>יוסי כהן</w:t>
                </w:r>
              </w:sdtContent>
            </w:sdt>
          </w:p>
          <w:p w:rsidR="004756D5" w:rsidRDefault="007464B1" w:rsidP="00E917E2">
            <w:pPr>
              <w:rPr>
                <w:sz w:val="26"/>
                <w:szCs w:val="26"/>
                <w:rtl/>
              </w:rPr>
            </w:pPr>
            <w:sdt>
              <w:sdtPr>
                <w:rPr>
                  <w:sz w:val="26"/>
                  <w:szCs w:val="26"/>
                  <w:rtl/>
                </w:rPr>
                <w:alias w:val="1462"/>
                <w:tag w:val="1462"/>
                <w:id w:val="-436522294"/>
                <w:text w:multiLine="1"/>
              </w:sdtPr>
              <w:sdtEndPr/>
              <w:sdtContent>
                <w:r w:rsidR="00A34133">
                  <w:rPr>
                    <w:rFonts w:ascii="Arial" w:hAnsi="Arial"/>
                    <w:b/>
                    <w:bCs/>
                    <w:noProof w:val="0"/>
                    <w:sz w:val="26"/>
                    <w:szCs w:val="26"/>
                    <w:rtl/>
                  </w:rPr>
                  <w:t>2</w:t>
                </w:r>
              </w:sdtContent>
            </w:sdt>
            <w:r w:rsidR="00E31C2B" w:rsidRPr="009826DF">
              <w:rPr>
                <w:b/>
                <w:bCs/>
                <w:noProof w:val="0"/>
                <w:sz w:val="26"/>
                <w:szCs w:val="26"/>
                <w:rtl/>
              </w:rPr>
              <w:t>.</w:t>
            </w:r>
            <w:r w:rsidR="00E31C2B" w:rsidRPr="009826DF">
              <w:rPr>
                <w:rFonts w:hint="cs"/>
                <w:b/>
                <w:bCs/>
                <w:noProof w:val="0"/>
                <w:sz w:val="26"/>
                <w:szCs w:val="26"/>
                <w:rtl/>
              </w:rPr>
              <w:t xml:space="preserve"> </w:t>
            </w:r>
            <w:sdt>
              <w:sdtPr>
                <w:rPr>
                  <w:sz w:val="26"/>
                  <w:szCs w:val="26"/>
                  <w:rtl/>
                </w:rPr>
                <w:alias w:val="1478"/>
                <w:tag w:val="1478"/>
                <w:id w:val="-1309315633"/>
                <w:text w:multiLine="1"/>
              </w:sdtPr>
              <w:sdtEndPr/>
              <w:sdtContent>
                <w:r w:rsidR="00A34133">
                  <w:rPr>
                    <w:rFonts w:ascii="Arial" w:hAnsi="Arial"/>
                    <w:b/>
                    <w:bCs/>
                    <w:noProof w:val="0"/>
                    <w:sz w:val="26"/>
                    <w:szCs w:val="26"/>
                    <w:rtl/>
                  </w:rPr>
                  <w:t>אמנון זכאי</w:t>
                </w:r>
              </w:sdtContent>
            </w:sdt>
            <w:r w:rsidR="00457105">
              <w:rPr>
                <w:rFonts w:hint="cs"/>
                <w:sz w:val="26"/>
                <w:szCs w:val="26"/>
                <w:rtl/>
              </w:rPr>
              <w:t xml:space="preserve"> </w:t>
            </w:r>
            <w:r w:rsidR="00457105">
              <w:rPr>
                <w:sz w:val="26"/>
                <w:szCs w:val="26"/>
                <w:rtl/>
              </w:rPr>
              <w:t>–</w:t>
            </w:r>
            <w:r w:rsidR="00457105">
              <w:rPr>
                <w:rFonts w:hint="cs"/>
                <w:sz w:val="26"/>
                <w:szCs w:val="26"/>
                <w:rtl/>
              </w:rPr>
              <w:t xml:space="preserve"> </w:t>
            </w:r>
            <w:r w:rsidR="00E917E2">
              <w:rPr>
                <w:rFonts w:hint="cs"/>
                <w:sz w:val="26"/>
                <w:szCs w:val="26"/>
                <w:rtl/>
              </w:rPr>
              <w:t xml:space="preserve">      הערעור נדחה </w:t>
            </w:r>
            <w:r w:rsidR="00457105">
              <w:rPr>
                <w:rFonts w:hint="cs"/>
                <w:sz w:val="26"/>
                <w:szCs w:val="26"/>
                <w:rtl/>
              </w:rPr>
              <w:t xml:space="preserve"> ביום 24.11.2022</w:t>
            </w:r>
          </w:p>
          <w:p w:rsidR="004756D5" w:rsidRDefault="007464B1" w:rsidP="00E917E2">
            <w:pPr>
              <w:rPr>
                <w:sz w:val="26"/>
                <w:szCs w:val="26"/>
                <w:rtl/>
              </w:rPr>
            </w:pPr>
            <w:sdt>
              <w:sdtPr>
                <w:rPr>
                  <w:sz w:val="26"/>
                  <w:szCs w:val="26"/>
                  <w:rtl/>
                </w:rPr>
                <w:alias w:val="1462"/>
                <w:tag w:val="1462"/>
                <w:id w:val="-1091853766"/>
                <w:text w:multiLine="1"/>
              </w:sdtPr>
              <w:sdtEndPr/>
              <w:sdtContent>
                <w:r w:rsidR="00A34133">
                  <w:rPr>
                    <w:rFonts w:ascii="Arial" w:hAnsi="Arial"/>
                    <w:b/>
                    <w:bCs/>
                    <w:noProof w:val="0"/>
                    <w:sz w:val="26"/>
                    <w:szCs w:val="26"/>
                    <w:rtl/>
                  </w:rPr>
                  <w:t>3</w:t>
                </w:r>
              </w:sdtContent>
            </w:sdt>
            <w:r w:rsidR="00E31C2B" w:rsidRPr="009826DF">
              <w:rPr>
                <w:b/>
                <w:bCs/>
                <w:noProof w:val="0"/>
                <w:sz w:val="26"/>
                <w:szCs w:val="26"/>
                <w:rtl/>
              </w:rPr>
              <w:t>.</w:t>
            </w:r>
            <w:r w:rsidR="00E31C2B" w:rsidRPr="009826DF">
              <w:rPr>
                <w:rFonts w:hint="cs"/>
                <w:b/>
                <w:bCs/>
                <w:noProof w:val="0"/>
                <w:sz w:val="26"/>
                <w:szCs w:val="26"/>
                <w:rtl/>
              </w:rPr>
              <w:t xml:space="preserve"> </w:t>
            </w:r>
            <w:sdt>
              <w:sdtPr>
                <w:rPr>
                  <w:sz w:val="26"/>
                  <w:szCs w:val="26"/>
                  <w:rtl/>
                </w:rPr>
                <w:alias w:val="1478"/>
                <w:tag w:val="1478"/>
                <w:id w:val="-200399357"/>
                <w:text w:multiLine="1"/>
              </w:sdtPr>
              <w:sdtEndPr/>
              <w:sdtContent>
                <w:r w:rsidR="00A34133">
                  <w:rPr>
                    <w:rFonts w:ascii="Arial" w:hAnsi="Arial"/>
                    <w:b/>
                    <w:bCs/>
                    <w:noProof w:val="0"/>
                    <w:sz w:val="26"/>
                    <w:szCs w:val="26"/>
                    <w:rtl/>
                  </w:rPr>
                  <w:t>עופרה שמעוני</w:t>
                </w:r>
              </w:sdtContent>
            </w:sdt>
            <w:r w:rsidR="00457105">
              <w:rPr>
                <w:rFonts w:hint="cs"/>
                <w:sz w:val="26"/>
                <w:szCs w:val="26"/>
                <w:rtl/>
              </w:rPr>
              <w:t xml:space="preserve"> </w:t>
            </w:r>
            <w:r w:rsidR="00457105">
              <w:rPr>
                <w:sz w:val="26"/>
                <w:szCs w:val="26"/>
                <w:rtl/>
              </w:rPr>
              <w:t>–</w:t>
            </w:r>
            <w:r w:rsidR="00E917E2">
              <w:rPr>
                <w:rFonts w:hint="cs"/>
                <w:sz w:val="26"/>
                <w:szCs w:val="26"/>
                <w:rtl/>
              </w:rPr>
              <w:t xml:space="preserve"> הערעור נדחה </w:t>
            </w:r>
            <w:r w:rsidR="00457105">
              <w:rPr>
                <w:rFonts w:hint="cs"/>
                <w:sz w:val="26"/>
                <w:szCs w:val="26"/>
                <w:rtl/>
              </w:rPr>
              <w:t>ביום 24.11.2022</w:t>
            </w:r>
          </w:p>
          <w:p w:rsidR="00E31C2B" w:rsidRDefault="00E917E2">
            <w:pPr>
              <w:rPr>
                <w:b/>
                <w:bCs/>
                <w:noProof w:val="0"/>
                <w:sz w:val="26"/>
                <w:szCs w:val="26"/>
                <w:rtl/>
              </w:rPr>
            </w:pPr>
            <w:r>
              <w:rPr>
                <w:rFonts w:hint="cs"/>
                <w:sz w:val="26"/>
                <w:szCs w:val="26"/>
                <w:rtl/>
              </w:rPr>
              <w:t xml:space="preserve">מערער 1 </w:t>
            </w:r>
            <w:r w:rsidR="004756D5">
              <w:rPr>
                <w:rFonts w:hint="cs"/>
                <w:sz w:val="26"/>
                <w:szCs w:val="26"/>
                <w:rtl/>
              </w:rPr>
              <w:t>ע"י ב"כ עו"ד</w:t>
            </w:r>
            <w:r w:rsidR="00457105">
              <w:rPr>
                <w:rFonts w:hint="cs"/>
                <w:sz w:val="26"/>
                <w:szCs w:val="26"/>
                <w:rtl/>
              </w:rPr>
              <w:t xml:space="preserve"> רינה מיוחס</w:t>
            </w:r>
          </w:p>
          <w:p w:rsidR="00457105" w:rsidRDefault="00457105">
            <w:pPr>
              <w:rPr>
                <w:b/>
                <w:bCs/>
                <w:noProof w:val="0"/>
                <w:sz w:val="26"/>
                <w:szCs w:val="26"/>
                <w:rtl/>
              </w:rPr>
            </w:pPr>
          </w:p>
          <w:p w:rsidR="00FF767A" w:rsidRPr="00457105" w:rsidRDefault="00FF767A">
            <w:pPr>
              <w:rPr>
                <w:noProof w:val="0"/>
                <w:sz w:val="26"/>
                <w:szCs w:val="26"/>
              </w:rPr>
            </w:pPr>
            <w:r w:rsidRPr="00E917E2">
              <w:rPr>
                <w:rFonts w:hint="cs"/>
                <w:noProof w:val="0"/>
                <w:sz w:val="26"/>
                <w:szCs w:val="26"/>
                <w:rtl/>
              </w:rPr>
              <w:t xml:space="preserve">                                       </w:t>
            </w:r>
            <w:r w:rsidRPr="00E917E2">
              <w:rPr>
                <w:rFonts w:ascii="Arial" w:hAnsi="Arial"/>
                <w:b/>
                <w:bCs/>
                <w:noProof w:val="0"/>
                <w:sz w:val="26"/>
                <w:szCs w:val="26"/>
                <w:rtl/>
              </w:rPr>
              <w:t>מערערים</w:t>
            </w:r>
            <w:r w:rsidRPr="00E917E2">
              <w:rPr>
                <w:rFonts w:ascii="Arial" w:hAnsi="Arial" w:hint="cs"/>
                <w:b/>
                <w:bCs/>
                <w:noProof w:val="0"/>
                <w:sz w:val="26"/>
                <w:szCs w:val="26"/>
                <w:rtl/>
              </w:rPr>
              <w:t xml:space="preserve"> בע"א</w:t>
            </w:r>
            <w:r w:rsidRPr="00E917E2">
              <w:rPr>
                <w:rFonts w:ascii="Arial" w:hAnsi="Arial" w:hint="cs"/>
                <w:noProof w:val="0"/>
                <w:sz w:val="26"/>
                <w:szCs w:val="26"/>
                <w:rtl/>
              </w:rPr>
              <w:t xml:space="preserve"> </w:t>
            </w:r>
            <w:r w:rsidRPr="00E917E2">
              <w:rPr>
                <w:rFonts w:ascii="Arial" w:hAnsi="Arial" w:hint="cs"/>
                <w:b/>
                <w:bCs/>
                <w:noProof w:val="0"/>
                <w:sz w:val="26"/>
                <w:szCs w:val="26"/>
                <w:rtl/>
              </w:rPr>
              <w:t>30785-11-21</w:t>
            </w:r>
          </w:p>
        </w:tc>
      </w:tr>
      <w:tr w:rsidR="00E31C2B" w:rsidRPr="009826DF">
        <w:trPr>
          <w:jc w:val="center"/>
        </w:trPr>
        <w:tc>
          <w:tcPr>
            <w:tcW w:w="8820" w:type="dxa"/>
            <w:gridSpan w:val="3"/>
          </w:tcPr>
          <w:p w:rsidR="00E31C2B" w:rsidRDefault="00E31C2B">
            <w:pPr>
              <w:rPr>
                <w:rFonts w:ascii="Arial" w:hAnsi="Arial"/>
                <w:b/>
                <w:bCs/>
                <w:noProof w:val="0"/>
                <w:sz w:val="26"/>
                <w:szCs w:val="26"/>
                <w:rtl/>
              </w:rPr>
            </w:pPr>
          </w:p>
          <w:p w:rsidR="00FF767A" w:rsidRDefault="00457105" w:rsidP="00457105">
            <w:pPr>
              <w:rPr>
                <w:rFonts w:ascii="Arial" w:hAnsi="Arial"/>
                <w:b/>
                <w:bCs/>
                <w:noProof w:val="0"/>
                <w:sz w:val="26"/>
                <w:szCs w:val="26"/>
                <w:rtl/>
              </w:rPr>
            </w:pPr>
            <w:r>
              <w:rPr>
                <w:rFonts w:ascii="Arial" w:hAnsi="Arial" w:hint="cs"/>
                <w:b/>
                <w:bCs/>
                <w:noProof w:val="0"/>
                <w:sz w:val="26"/>
                <w:szCs w:val="26"/>
                <w:rtl/>
              </w:rPr>
              <w:t xml:space="preserve">ובעניין                                    </w:t>
            </w:r>
            <w:r w:rsidR="00FF767A">
              <w:rPr>
                <w:rFonts w:ascii="Arial" w:hAnsi="Arial" w:hint="cs"/>
                <w:b/>
                <w:bCs/>
                <w:noProof w:val="0"/>
                <w:sz w:val="26"/>
                <w:szCs w:val="26"/>
                <w:rtl/>
              </w:rPr>
              <w:t xml:space="preserve">        הליכוד </w:t>
            </w:r>
            <w:r w:rsidR="00FF767A">
              <w:rPr>
                <w:rFonts w:ascii="Arial" w:hAnsi="Arial"/>
                <w:b/>
                <w:bCs/>
                <w:noProof w:val="0"/>
                <w:sz w:val="26"/>
                <w:szCs w:val="26"/>
                <w:rtl/>
              </w:rPr>
              <w:t>–</w:t>
            </w:r>
            <w:r w:rsidR="00FF767A">
              <w:rPr>
                <w:rFonts w:ascii="Arial" w:hAnsi="Arial" w:hint="cs"/>
                <w:b/>
                <w:bCs/>
                <w:noProof w:val="0"/>
                <w:sz w:val="26"/>
                <w:szCs w:val="26"/>
                <w:rtl/>
              </w:rPr>
              <w:t xml:space="preserve"> תנועה לאומית ליברלית</w:t>
            </w:r>
          </w:p>
          <w:p w:rsidR="008D1394" w:rsidRDefault="008D1394" w:rsidP="008D1394">
            <w:pPr>
              <w:rPr>
                <w:b/>
                <w:bCs/>
                <w:noProof w:val="0"/>
                <w:sz w:val="26"/>
                <w:szCs w:val="26"/>
                <w:rtl/>
              </w:rPr>
            </w:pPr>
            <w:r>
              <w:rPr>
                <w:rFonts w:ascii="Arial" w:hAnsi="Arial" w:hint="cs"/>
                <w:b/>
                <w:bCs/>
                <w:noProof w:val="0"/>
                <w:sz w:val="26"/>
                <w:szCs w:val="26"/>
                <w:rtl/>
              </w:rPr>
              <w:t xml:space="preserve">                                                       </w:t>
            </w:r>
            <w:r>
              <w:rPr>
                <w:rFonts w:hint="cs"/>
                <w:sz w:val="26"/>
                <w:szCs w:val="26"/>
                <w:rtl/>
              </w:rPr>
              <w:t xml:space="preserve"> ע"י ב"כ עוה"ד אבי הלוי וניבה הלוי </w:t>
            </w:r>
          </w:p>
          <w:p w:rsidR="008D1394" w:rsidRDefault="008D1394" w:rsidP="00457105">
            <w:pPr>
              <w:rPr>
                <w:rFonts w:ascii="Arial" w:hAnsi="Arial"/>
                <w:b/>
                <w:bCs/>
                <w:noProof w:val="0"/>
                <w:sz w:val="26"/>
                <w:szCs w:val="26"/>
                <w:rtl/>
              </w:rPr>
            </w:pPr>
          </w:p>
          <w:p w:rsidR="00457105" w:rsidRDefault="00457105" w:rsidP="00457105">
            <w:pPr>
              <w:rPr>
                <w:rFonts w:ascii="Arial" w:hAnsi="Arial"/>
                <w:b/>
                <w:bCs/>
                <w:noProof w:val="0"/>
                <w:sz w:val="26"/>
                <w:szCs w:val="26"/>
                <w:rtl/>
              </w:rPr>
            </w:pPr>
          </w:p>
          <w:p w:rsidR="00457105" w:rsidRPr="00E917E2" w:rsidRDefault="00457105" w:rsidP="00457105">
            <w:pPr>
              <w:rPr>
                <w:rFonts w:ascii="Arial" w:hAnsi="Arial"/>
                <w:b/>
                <w:bCs/>
                <w:noProof w:val="0"/>
                <w:sz w:val="26"/>
                <w:szCs w:val="26"/>
                <w:rtl/>
              </w:rPr>
            </w:pPr>
            <w:r>
              <w:rPr>
                <w:rFonts w:ascii="Arial" w:hAnsi="Arial" w:hint="cs"/>
                <w:b/>
                <w:bCs/>
                <w:noProof w:val="0"/>
                <w:sz w:val="26"/>
                <w:szCs w:val="26"/>
                <w:rtl/>
              </w:rPr>
              <w:t xml:space="preserve">                                                                                               </w:t>
            </w:r>
            <w:r w:rsidRPr="00E917E2">
              <w:rPr>
                <w:rFonts w:ascii="Arial" w:hAnsi="Arial" w:hint="cs"/>
                <w:b/>
                <w:bCs/>
                <w:noProof w:val="0"/>
                <w:sz w:val="26"/>
                <w:szCs w:val="26"/>
                <w:rtl/>
              </w:rPr>
              <w:t>מערערת בע"א 32530-11-21</w:t>
            </w:r>
          </w:p>
          <w:p w:rsidR="00FF767A" w:rsidRPr="009826DF" w:rsidRDefault="00FF767A">
            <w:pPr>
              <w:rPr>
                <w:rFonts w:ascii="Arial" w:hAnsi="Arial"/>
                <w:b/>
                <w:bCs/>
                <w:noProof w:val="0"/>
                <w:sz w:val="26"/>
                <w:szCs w:val="26"/>
                <w:rtl/>
              </w:rPr>
            </w:pPr>
            <w:r>
              <w:rPr>
                <w:rFonts w:ascii="Arial" w:hAnsi="Arial" w:hint="cs"/>
                <w:b/>
                <w:bCs/>
                <w:noProof w:val="0"/>
                <w:sz w:val="26"/>
                <w:szCs w:val="26"/>
                <w:rtl/>
              </w:rPr>
              <w:t xml:space="preserve">    </w:t>
            </w:r>
          </w:p>
          <w:p w:rsidR="00E31C2B" w:rsidRPr="009826DF" w:rsidRDefault="00E31C2B">
            <w:pPr>
              <w:jc w:val="center"/>
              <w:rPr>
                <w:rFonts w:ascii="Arial" w:hAnsi="Arial"/>
                <w:b/>
                <w:bCs/>
                <w:noProof w:val="0"/>
                <w:sz w:val="26"/>
                <w:szCs w:val="26"/>
                <w:rtl/>
              </w:rPr>
            </w:pPr>
            <w:r w:rsidRPr="009826DF">
              <w:rPr>
                <w:rFonts w:ascii="Arial" w:hAnsi="Arial"/>
                <w:b/>
                <w:bCs/>
                <w:noProof w:val="0"/>
                <w:sz w:val="26"/>
                <w:szCs w:val="26"/>
                <w:rtl/>
              </w:rPr>
              <w:t>נגד</w:t>
            </w:r>
          </w:p>
          <w:p w:rsidR="00E31C2B" w:rsidRPr="009826DF" w:rsidRDefault="00E31C2B">
            <w:pPr>
              <w:rPr>
                <w:rFonts w:ascii="Arial" w:hAnsi="Arial"/>
                <w:b/>
                <w:bCs/>
                <w:noProof w:val="0"/>
                <w:sz w:val="26"/>
                <w:szCs w:val="26"/>
              </w:rPr>
            </w:pPr>
          </w:p>
        </w:tc>
      </w:tr>
      <w:tr w:rsidR="00E31C2B" w:rsidRPr="009826DF">
        <w:trPr>
          <w:jc w:val="center"/>
        </w:trPr>
        <w:tc>
          <w:tcPr>
            <w:tcW w:w="3249" w:type="dxa"/>
            <w:gridSpan w:val="2"/>
          </w:tcPr>
          <w:p w:rsidR="00E31C2B" w:rsidRPr="009826DF" w:rsidRDefault="00E31C2B">
            <w:pPr>
              <w:rPr>
                <w:rFonts w:ascii="Arial" w:hAnsi="Arial"/>
                <w:b/>
                <w:bCs/>
                <w:noProof w:val="0"/>
                <w:sz w:val="26"/>
                <w:szCs w:val="26"/>
                <w:rtl/>
              </w:rPr>
            </w:pPr>
          </w:p>
          <w:p w:rsidR="00E31C2B" w:rsidRPr="009826DF" w:rsidRDefault="007464B1" w:rsidP="00457105">
            <w:pPr>
              <w:rPr>
                <w:rFonts w:ascii="Arial" w:hAnsi="Arial"/>
                <w:b/>
                <w:bCs/>
                <w:noProof w:val="0"/>
                <w:sz w:val="26"/>
                <w:szCs w:val="26"/>
              </w:rPr>
            </w:pPr>
            <w:sdt>
              <w:sdtPr>
                <w:rPr>
                  <w:sz w:val="26"/>
                  <w:szCs w:val="26"/>
                  <w:rtl/>
                </w:rPr>
                <w:alias w:val="1184"/>
                <w:tag w:val="1184"/>
                <w:id w:val="-340621022"/>
                <w:text w:multiLine="1"/>
              </w:sdtPr>
              <w:sdtEndPr/>
              <w:sdtContent>
                <w:r w:rsidR="00457105">
                  <w:rPr>
                    <w:rFonts w:ascii="Arial" w:hAnsi="Arial" w:hint="cs"/>
                    <w:b/>
                    <w:bCs/>
                    <w:noProof w:val="0"/>
                    <w:sz w:val="26"/>
                    <w:szCs w:val="26"/>
                    <w:rtl/>
                  </w:rPr>
                  <w:t>ובעניין</w:t>
                </w:r>
              </w:sdtContent>
            </w:sdt>
          </w:p>
        </w:tc>
        <w:tc>
          <w:tcPr>
            <w:tcW w:w="5571" w:type="dxa"/>
          </w:tcPr>
          <w:p w:rsidR="00E31C2B" w:rsidRPr="009826DF" w:rsidRDefault="00E31C2B">
            <w:pPr>
              <w:rPr>
                <w:rFonts w:ascii="Arial" w:hAnsi="Arial"/>
                <w:b/>
                <w:bCs/>
                <w:noProof w:val="0"/>
                <w:sz w:val="26"/>
                <w:szCs w:val="26"/>
                <w:rtl/>
              </w:rPr>
            </w:pPr>
          </w:p>
          <w:p w:rsidR="004756D5" w:rsidRDefault="007464B1" w:rsidP="00457105">
            <w:pPr>
              <w:rPr>
                <w:sz w:val="26"/>
                <w:szCs w:val="26"/>
                <w:rtl/>
              </w:rPr>
            </w:pPr>
            <w:sdt>
              <w:sdtPr>
                <w:rPr>
                  <w:sz w:val="26"/>
                  <w:szCs w:val="26"/>
                  <w:rtl/>
                </w:rPr>
                <w:alias w:val="1486"/>
                <w:tag w:val="1486"/>
                <w:id w:val="-309872140"/>
                <w:text w:multiLine="1"/>
              </w:sdtPr>
              <w:sdtEndPr/>
              <w:sdtContent>
                <w:r w:rsidR="00A34133">
                  <w:rPr>
                    <w:rFonts w:ascii="Arial" w:hAnsi="Arial"/>
                    <w:b/>
                    <w:bCs/>
                    <w:noProof w:val="0"/>
                    <w:sz w:val="26"/>
                    <w:szCs w:val="26"/>
                    <w:rtl/>
                  </w:rPr>
                  <w:t>מנחם נפתלי</w:t>
                </w:r>
              </w:sdtContent>
            </w:sdt>
            <w:r w:rsidR="00457105">
              <w:rPr>
                <w:rFonts w:hint="cs"/>
                <w:sz w:val="26"/>
                <w:szCs w:val="26"/>
                <w:rtl/>
              </w:rPr>
              <w:t xml:space="preserve"> ואח'</w:t>
            </w:r>
          </w:p>
          <w:p w:rsidR="008D1394" w:rsidRPr="008D1394" w:rsidRDefault="008D1394" w:rsidP="008D1394">
            <w:pPr>
              <w:rPr>
                <w:noProof w:val="0"/>
                <w:sz w:val="26"/>
                <w:szCs w:val="26"/>
                <w:rtl/>
              </w:rPr>
            </w:pPr>
            <w:r w:rsidRPr="008D1394">
              <w:rPr>
                <w:rFonts w:hint="cs"/>
                <w:sz w:val="26"/>
                <w:szCs w:val="26"/>
                <w:rtl/>
              </w:rPr>
              <w:t xml:space="preserve">ע"י ב"כ עו"ד </w:t>
            </w:r>
            <w:r w:rsidRPr="008D1394">
              <w:rPr>
                <w:rFonts w:hint="cs"/>
                <w:noProof w:val="0"/>
                <w:sz w:val="26"/>
                <w:szCs w:val="26"/>
                <w:rtl/>
              </w:rPr>
              <w:t>גונן בן יצחק</w:t>
            </w:r>
            <w:r w:rsidR="00E917E2">
              <w:rPr>
                <w:rFonts w:hint="cs"/>
                <w:noProof w:val="0"/>
                <w:sz w:val="26"/>
                <w:szCs w:val="26"/>
                <w:rtl/>
              </w:rPr>
              <w:t xml:space="preserve">                          </w:t>
            </w:r>
            <w:r w:rsidR="00E917E2" w:rsidRPr="00E917E2">
              <w:rPr>
                <w:rFonts w:hint="cs"/>
                <w:b/>
                <w:bCs/>
                <w:noProof w:val="0"/>
                <w:sz w:val="26"/>
                <w:szCs w:val="26"/>
                <w:rtl/>
              </w:rPr>
              <w:t>המשיב</w:t>
            </w:r>
          </w:p>
          <w:p w:rsidR="008D1394" w:rsidRDefault="008D1394" w:rsidP="00457105">
            <w:pPr>
              <w:rPr>
                <w:sz w:val="26"/>
                <w:szCs w:val="26"/>
                <w:rtl/>
              </w:rPr>
            </w:pPr>
          </w:p>
          <w:p w:rsidR="00E31C2B" w:rsidRPr="009826DF" w:rsidRDefault="00E31C2B">
            <w:pPr>
              <w:rPr>
                <w:b/>
                <w:bCs/>
                <w:noProof w:val="0"/>
                <w:sz w:val="26"/>
                <w:szCs w:val="26"/>
                <w:rtl/>
              </w:rPr>
            </w:pPr>
          </w:p>
        </w:tc>
      </w:tr>
      <w:tr w:rsidR="00694556">
        <w:trPr>
          <w:jc w:val="center"/>
        </w:trPr>
        <w:tc>
          <w:tcPr>
            <w:tcW w:w="8820" w:type="dxa"/>
            <w:gridSpan w:val="3"/>
          </w:tcPr>
          <w:p w:rsidR="00694556" w:rsidRPr="009826DF" w:rsidRDefault="003658C8">
            <w:pPr>
              <w:bidi w:val="0"/>
              <w:jc w:val="center"/>
              <w:rPr>
                <w:rFonts w:ascii="Arial" w:hAnsi="Arial"/>
                <w:b/>
                <w:bCs/>
                <w:noProof w:val="0"/>
                <w:sz w:val="28"/>
                <w:szCs w:val="28"/>
                <w:u w:val="single"/>
              </w:rPr>
            </w:pPr>
            <w:r w:rsidRPr="009826DF">
              <w:rPr>
                <w:rFonts w:ascii="Arial" w:hAnsi="Arial" w:hint="cs"/>
                <w:b/>
                <w:bCs/>
                <w:noProof w:val="0"/>
                <w:sz w:val="28"/>
                <w:szCs w:val="28"/>
                <w:u w:val="single"/>
                <w:rtl/>
              </w:rPr>
              <w:t>פסק דין</w:t>
            </w:r>
          </w:p>
        </w:tc>
      </w:tr>
    </w:tbl>
    <w:p w:rsidR="00ED59CE" w:rsidRPr="00ED59CE" w:rsidRDefault="00ED59CE" w:rsidP="008D1394">
      <w:pPr>
        <w:spacing w:after="120" w:line="360" w:lineRule="auto"/>
        <w:jc w:val="both"/>
        <w:rPr>
          <w:rFonts w:asciiTheme="minorBidi" w:hAnsiTheme="minorBidi" w:cstheme="minorBidi"/>
          <w:sz w:val="22"/>
          <w:szCs w:val="22"/>
          <w:u w:val="single"/>
          <w:rtl/>
        </w:rPr>
      </w:pPr>
      <w:r w:rsidRPr="00ED59CE">
        <w:rPr>
          <w:rFonts w:asciiTheme="minorBidi" w:hAnsiTheme="minorBidi" w:cstheme="minorBidi" w:hint="cs"/>
          <w:b/>
          <w:bCs/>
          <w:sz w:val="22"/>
          <w:szCs w:val="22"/>
          <w:u w:val="single"/>
          <w:rtl/>
        </w:rPr>
        <w:t>השופטת י. שבח</w:t>
      </w:r>
      <w:r w:rsidRPr="00ED59CE">
        <w:rPr>
          <w:rFonts w:asciiTheme="minorBidi" w:hAnsiTheme="minorBidi" w:cstheme="minorBidi" w:hint="cs"/>
          <w:sz w:val="22"/>
          <w:szCs w:val="22"/>
          <w:rtl/>
        </w:rPr>
        <w:t>:</w:t>
      </w:r>
    </w:p>
    <w:p w:rsidR="00FF767A" w:rsidRDefault="00E917E2" w:rsidP="008D1394">
      <w:pPr>
        <w:spacing w:after="120" w:line="360" w:lineRule="auto"/>
        <w:jc w:val="both"/>
        <w:rPr>
          <w:rFonts w:asciiTheme="minorBidi" w:hAnsiTheme="minorBidi" w:cstheme="minorBidi"/>
          <w:b/>
          <w:bCs/>
          <w:sz w:val="22"/>
          <w:szCs w:val="22"/>
          <w:rtl/>
        </w:rPr>
      </w:pPr>
      <w:r>
        <w:rPr>
          <w:rFonts w:asciiTheme="minorBidi" w:hAnsiTheme="minorBidi" w:cstheme="minorBidi" w:hint="cs"/>
          <w:b/>
          <w:bCs/>
          <w:sz w:val="22"/>
          <w:szCs w:val="22"/>
          <w:rtl/>
        </w:rPr>
        <w:t xml:space="preserve">שני </w:t>
      </w:r>
      <w:r w:rsidR="00FF767A">
        <w:rPr>
          <w:rFonts w:asciiTheme="minorBidi" w:hAnsiTheme="minorBidi" w:cstheme="minorBidi"/>
          <w:b/>
          <w:bCs/>
          <w:sz w:val="22"/>
          <w:szCs w:val="22"/>
          <w:rtl/>
        </w:rPr>
        <w:t>ערעור</w:t>
      </w:r>
      <w:r>
        <w:rPr>
          <w:rFonts w:asciiTheme="minorBidi" w:hAnsiTheme="minorBidi" w:cstheme="minorBidi" w:hint="cs"/>
          <w:b/>
          <w:bCs/>
          <w:sz w:val="22"/>
          <w:szCs w:val="22"/>
          <w:rtl/>
        </w:rPr>
        <w:t>ים</w:t>
      </w:r>
      <w:r w:rsidR="00FF767A">
        <w:rPr>
          <w:rFonts w:asciiTheme="minorBidi" w:hAnsiTheme="minorBidi" w:cstheme="minorBidi"/>
          <w:b/>
          <w:bCs/>
          <w:sz w:val="22"/>
          <w:szCs w:val="22"/>
          <w:rtl/>
        </w:rPr>
        <w:t xml:space="preserve"> על פסק דינו של בית המשפט השלום בהרצליה (כבוד השופט גלעד הס) מיום 30.08.2021 בת</w:t>
      </w:r>
      <w:r w:rsidR="008D1394">
        <w:rPr>
          <w:rFonts w:asciiTheme="minorBidi" w:hAnsiTheme="minorBidi" w:cstheme="minorBidi" w:hint="cs"/>
          <w:b/>
          <w:bCs/>
          <w:sz w:val="22"/>
          <w:szCs w:val="22"/>
          <w:rtl/>
        </w:rPr>
        <w:t>"</w:t>
      </w:r>
      <w:r w:rsidR="00FF767A">
        <w:rPr>
          <w:rFonts w:asciiTheme="minorBidi" w:hAnsiTheme="minorBidi" w:cstheme="minorBidi"/>
          <w:b/>
          <w:bCs/>
          <w:sz w:val="22"/>
          <w:szCs w:val="22"/>
          <w:rtl/>
        </w:rPr>
        <w:t xml:space="preserve">א 564442-02-15 לפיו התקבלה תביעת לשון הרע שהגיש המשיב נגד שבעה נתבעים, ולפיו חויבו ששה מהם, לרבות המערער 1 בערעור מס' ע"א 30785-11-21 והמערערת בערעור מס' ע"א 32530-11-21 לשלם לו פיצויים בתוספת הוצאות משפט ושכר טרחת עו"ד. </w:t>
      </w:r>
    </w:p>
    <w:p w:rsidR="00FF767A" w:rsidRDefault="00FF767A" w:rsidP="008D1394">
      <w:pPr>
        <w:spacing w:after="120" w:line="360" w:lineRule="auto"/>
        <w:jc w:val="both"/>
        <w:rPr>
          <w:rFonts w:asciiTheme="minorBidi" w:hAnsiTheme="minorBidi" w:cstheme="minorBidi"/>
          <w:b/>
          <w:bCs/>
          <w:sz w:val="22"/>
          <w:szCs w:val="22"/>
        </w:rPr>
      </w:pPr>
      <w:r>
        <w:rPr>
          <w:rFonts w:asciiTheme="minorBidi" w:hAnsiTheme="minorBidi" w:cstheme="minorBidi"/>
          <w:b/>
          <w:bCs/>
          <w:sz w:val="22"/>
          <w:szCs w:val="22"/>
          <w:rtl/>
        </w:rPr>
        <w:t>רקע נדרש</w:t>
      </w:r>
    </w:p>
    <w:p w:rsidR="00FF767A" w:rsidRDefault="00FF767A" w:rsidP="008D1394">
      <w:pPr>
        <w:spacing w:after="120" w:line="360" w:lineRule="auto"/>
        <w:jc w:val="both"/>
        <w:rPr>
          <w:rFonts w:asciiTheme="minorBidi" w:hAnsiTheme="minorBidi" w:cstheme="minorBidi"/>
          <w:sz w:val="22"/>
          <w:szCs w:val="22"/>
          <w:rtl/>
        </w:rPr>
      </w:pPr>
      <w:r>
        <w:rPr>
          <w:rFonts w:asciiTheme="minorBidi" w:hAnsiTheme="minorBidi" w:cstheme="minorBidi"/>
          <w:sz w:val="22"/>
          <w:szCs w:val="22"/>
          <w:rtl/>
        </w:rPr>
        <w:t>1.</w:t>
      </w:r>
      <w:r>
        <w:rPr>
          <w:rFonts w:asciiTheme="minorBidi" w:hAnsiTheme="minorBidi" w:cstheme="minorBidi"/>
          <w:sz w:val="22"/>
          <w:szCs w:val="22"/>
          <w:rtl/>
        </w:rPr>
        <w:tab/>
        <w:t xml:space="preserve">הימים ימי שנת 2015, ימי הסערה הציבורית סביב פרסום דו"ח מבקר המדינה המעביר תחת שבט ביקורתו את נושא הוצאות אחזקת מעונו הרשמי של ראש הממשלה (להלן- </w:t>
      </w:r>
      <w:r>
        <w:rPr>
          <w:rFonts w:asciiTheme="minorBidi" w:hAnsiTheme="minorBidi" w:cstheme="minorBidi"/>
          <w:b/>
          <w:bCs/>
          <w:sz w:val="22"/>
          <w:szCs w:val="22"/>
          <w:rtl/>
        </w:rPr>
        <w:t>המעון</w:t>
      </w:r>
      <w:r>
        <w:rPr>
          <w:rFonts w:asciiTheme="minorBidi" w:hAnsiTheme="minorBidi" w:cstheme="minorBidi"/>
          <w:sz w:val="22"/>
          <w:szCs w:val="22"/>
          <w:rtl/>
        </w:rPr>
        <w:t xml:space="preserve">) בעת ההיא, מר בנימין נתניהו, סביב התפטרותו של אב-הבית של המעון המשיב מר מנחם נפתלי (להלן – </w:t>
      </w:r>
      <w:r>
        <w:rPr>
          <w:rFonts w:asciiTheme="minorBidi" w:hAnsiTheme="minorBidi" w:cstheme="minorBidi"/>
          <w:b/>
          <w:bCs/>
          <w:sz w:val="22"/>
          <w:szCs w:val="22"/>
          <w:rtl/>
        </w:rPr>
        <w:t>נפתלי</w:t>
      </w:r>
      <w:r>
        <w:rPr>
          <w:rFonts w:asciiTheme="minorBidi" w:hAnsiTheme="minorBidi" w:cstheme="minorBidi"/>
          <w:sz w:val="22"/>
          <w:szCs w:val="22"/>
          <w:rtl/>
        </w:rPr>
        <w:t>), והתגובות הציבוריות ל"</w:t>
      </w:r>
      <w:r>
        <w:rPr>
          <w:rFonts w:asciiTheme="minorBidi" w:hAnsiTheme="minorBidi" w:cstheme="minorBidi"/>
          <w:b/>
          <w:bCs/>
          <w:sz w:val="22"/>
          <w:szCs w:val="22"/>
          <w:rtl/>
        </w:rPr>
        <w:t>פרשת המעונות</w:t>
      </w:r>
      <w:r>
        <w:rPr>
          <w:rFonts w:asciiTheme="minorBidi" w:hAnsiTheme="minorBidi" w:cstheme="minorBidi"/>
          <w:sz w:val="22"/>
          <w:szCs w:val="22"/>
          <w:rtl/>
        </w:rPr>
        <w:t>", מכאן ומכאן.</w:t>
      </w:r>
    </w:p>
    <w:p w:rsidR="00FF767A" w:rsidRDefault="00FF767A" w:rsidP="008D1394">
      <w:pPr>
        <w:spacing w:after="120" w:line="360" w:lineRule="auto"/>
        <w:jc w:val="both"/>
        <w:rPr>
          <w:rFonts w:asciiTheme="minorBidi" w:hAnsiTheme="minorBidi" w:cstheme="minorBidi"/>
          <w:sz w:val="22"/>
          <w:szCs w:val="22"/>
          <w:rtl/>
        </w:rPr>
      </w:pPr>
      <w:r>
        <w:rPr>
          <w:rFonts w:asciiTheme="minorBidi" w:hAnsiTheme="minorBidi" w:cstheme="minorBidi"/>
          <w:sz w:val="22"/>
          <w:szCs w:val="22"/>
          <w:rtl/>
        </w:rPr>
        <w:t xml:space="preserve">אלו מתומכי ראש הממשלה דאז נחפזו לחלוק על ממצאי הדו"ח, טענו לחוסר מעורבותה של רעייתו בהוצאות החריגות, וגלגלו, בפרסומים כאלו ואחרים, את האשם לפתחו של נפתלי, בהיותו אב הבית של </w:t>
      </w:r>
      <w:r>
        <w:rPr>
          <w:rFonts w:asciiTheme="minorBidi" w:hAnsiTheme="minorBidi" w:cstheme="minorBidi"/>
          <w:sz w:val="22"/>
          <w:szCs w:val="22"/>
          <w:rtl/>
        </w:rPr>
        <w:lastRenderedPageBreak/>
        <w:t>המעון והאחראי על הוצאותיו. נפתלי ראה בחלק מהפרסומים הוצאת דיבה אודותיו, והגיש את התביעה שפסק הדין שניתן בה הוא נושא שני הערעורים המונחים לפנינו.</w:t>
      </w:r>
    </w:p>
    <w:p w:rsidR="00FF767A" w:rsidRDefault="00FF767A" w:rsidP="008D1394">
      <w:pPr>
        <w:spacing w:after="120" w:line="360" w:lineRule="auto"/>
        <w:jc w:val="both"/>
        <w:rPr>
          <w:rFonts w:asciiTheme="minorBidi" w:hAnsiTheme="minorBidi" w:cstheme="minorBidi"/>
          <w:b/>
          <w:bCs/>
          <w:sz w:val="22"/>
          <w:szCs w:val="22"/>
          <w:rtl/>
        </w:rPr>
      </w:pPr>
      <w:r>
        <w:rPr>
          <w:rFonts w:asciiTheme="minorBidi" w:hAnsiTheme="minorBidi" w:cstheme="minorBidi"/>
          <w:b/>
          <w:bCs/>
          <w:sz w:val="22"/>
          <w:szCs w:val="22"/>
          <w:rtl/>
        </w:rPr>
        <w:t>התביעה</w:t>
      </w:r>
    </w:p>
    <w:p w:rsidR="00FF767A" w:rsidRDefault="00FF767A" w:rsidP="008D1394">
      <w:pPr>
        <w:spacing w:after="120" w:line="360" w:lineRule="auto"/>
        <w:jc w:val="both"/>
        <w:rPr>
          <w:rFonts w:asciiTheme="minorBidi" w:hAnsiTheme="minorBidi" w:cstheme="minorBidi"/>
          <w:sz w:val="22"/>
          <w:szCs w:val="22"/>
          <w:rtl/>
        </w:rPr>
      </w:pPr>
      <w:r>
        <w:rPr>
          <w:rFonts w:asciiTheme="minorBidi" w:hAnsiTheme="minorBidi" w:cstheme="minorBidi"/>
          <w:sz w:val="22"/>
          <w:szCs w:val="22"/>
          <w:rtl/>
        </w:rPr>
        <w:t>2.</w:t>
      </w:r>
      <w:r>
        <w:rPr>
          <w:rFonts w:asciiTheme="minorBidi" w:hAnsiTheme="minorBidi" w:cstheme="minorBidi"/>
          <w:sz w:val="22"/>
          <w:szCs w:val="22"/>
          <w:rtl/>
        </w:rPr>
        <w:tab/>
        <w:t xml:space="preserve">התביעה הכספית על סך 500,000 ₪ שעילתה פרסום לשון הרע לפי חוק איסור לשון הרע, תשכ"ה- 1965 (להלן- </w:t>
      </w:r>
      <w:r>
        <w:rPr>
          <w:rFonts w:asciiTheme="minorBidi" w:hAnsiTheme="minorBidi" w:cstheme="minorBidi"/>
          <w:b/>
          <w:bCs/>
          <w:sz w:val="22"/>
          <w:szCs w:val="22"/>
          <w:rtl/>
        </w:rPr>
        <w:t>החוק</w:t>
      </w:r>
      <w:r>
        <w:rPr>
          <w:rFonts w:asciiTheme="minorBidi" w:hAnsiTheme="minorBidi" w:cstheme="minorBidi"/>
          <w:sz w:val="22"/>
          <w:szCs w:val="22"/>
          <w:rtl/>
        </w:rPr>
        <w:t>) הוגשה נגד שבעה נתבעים: ניר חפץ - מנהל קמפיין הליכוד בשעתו שנמחק מהתביעה ביום 02.12.2019, עו"ד דוד שמרון; עו"ד שולמית אשבול; עו"ד יוסי כהן</w:t>
      </w:r>
      <w:r w:rsidR="008D1394">
        <w:rPr>
          <w:rFonts w:asciiTheme="minorBidi" w:hAnsiTheme="minorBidi" w:cstheme="minorBidi" w:hint="cs"/>
          <w:sz w:val="22"/>
          <w:szCs w:val="22"/>
          <w:rtl/>
        </w:rPr>
        <w:t xml:space="preserve"> </w:t>
      </w:r>
      <w:r>
        <w:rPr>
          <w:rFonts w:asciiTheme="minorBidi" w:hAnsiTheme="minorBidi" w:cstheme="minorBidi"/>
          <w:sz w:val="22"/>
          <w:szCs w:val="22"/>
          <w:rtl/>
        </w:rPr>
        <w:t xml:space="preserve">- נתבע 4 בבית משפט קמא והמערער בערעור מספר </w:t>
      </w:r>
      <w:r>
        <w:rPr>
          <w:rFonts w:asciiTheme="minorBidi" w:hAnsiTheme="minorBidi" w:cstheme="minorBidi"/>
          <w:b/>
          <w:bCs/>
          <w:sz w:val="22"/>
          <w:szCs w:val="22"/>
          <w:rtl/>
        </w:rPr>
        <w:t>ע"א 30785-11-21</w:t>
      </w:r>
      <w:r>
        <w:rPr>
          <w:rFonts w:asciiTheme="minorBidi" w:hAnsiTheme="minorBidi" w:cstheme="minorBidi"/>
          <w:sz w:val="22"/>
          <w:szCs w:val="22"/>
          <w:rtl/>
        </w:rPr>
        <w:t xml:space="preserve"> (להלן- </w:t>
      </w:r>
      <w:r>
        <w:rPr>
          <w:rFonts w:asciiTheme="minorBidi" w:hAnsiTheme="minorBidi" w:cstheme="minorBidi"/>
          <w:b/>
          <w:bCs/>
          <w:sz w:val="22"/>
          <w:szCs w:val="22"/>
          <w:rtl/>
        </w:rPr>
        <w:t>כהן</w:t>
      </w:r>
      <w:r>
        <w:rPr>
          <w:rFonts w:asciiTheme="minorBidi" w:hAnsiTheme="minorBidi" w:cstheme="minorBidi"/>
          <w:sz w:val="22"/>
          <w:szCs w:val="22"/>
          <w:rtl/>
        </w:rPr>
        <w:t xml:space="preserve">); הליכוד- תנועה לאומית ליברלית, נתבעת 5 בבית משפט קמא והמערערת בערעור מספר </w:t>
      </w:r>
      <w:r>
        <w:rPr>
          <w:rFonts w:asciiTheme="minorBidi" w:hAnsiTheme="minorBidi" w:cstheme="minorBidi"/>
          <w:b/>
          <w:bCs/>
          <w:sz w:val="22"/>
          <w:szCs w:val="22"/>
          <w:rtl/>
        </w:rPr>
        <w:t>ע"א 32530-11-21</w:t>
      </w:r>
      <w:r>
        <w:rPr>
          <w:rFonts w:asciiTheme="minorBidi" w:hAnsiTheme="minorBidi" w:cstheme="minorBidi"/>
          <w:sz w:val="22"/>
          <w:szCs w:val="22"/>
          <w:rtl/>
        </w:rPr>
        <w:t xml:space="preserve"> (להלן- </w:t>
      </w:r>
      <w:r>
        <w:rPr>
          <w:rFonts w:asciiTheme="minorBidi" w:hAnsiTheme="minorBidi" w:cstheme="minorBidi"/>
          <w:b/>
          <w:bCs/>
          <w:sz w:val="22"/>
          <w:szCs w:val="22"/>
          <w:rtl/>
        </w:rPr>
        <w:t>הליכוד</w:t>
      </w:r>
      <w:r>
        <w:rPr>
          <w:rFonts w:asciiTheme="minorBidi" w:hAnsiTheme="minorBidi" w:cstheme="minorBidi"/>
          <w:sz w:val="22"/>
          <w:szCs w:val="22"/>
          <w:rtl/>
        </w:rPr>
        <w:t xml:space="preserve">); אמנון זכאי, נתבע 6 (להלן- </w:t>
      </w:r>
      <w:r>
        <w:rPr>
          <w:rFonts w:asciiTheme="minorBidi" w:hAnsiTheme="minorBidi" w:cstheme="minorBidi"/>
          <w:b/>
          <w:bCs/>
          <w:sz w:val="22"/>
          <w:szCs w:val="22"/>
          <w:rtl/>
        </w:rPr>
        <w:t>זכאי</w:t>
      </w:r>
      <w:r>
        <w:rPr>
          <w:rFonts w:asciiTheme="minorBidi" w:hAnsiTheme="minorBidi" w:cstheme="minorBidi"/>
          <w:sz w:val="22"/>
          <w:szCs w:val="22"/>
          <w:rtl/>
        </w:rPr>
        <w:t xml:space="preserve">); ועופרה שמעוני, נתבעת 7 (להלן - </w:t>
      </w:r>
      <w:r>
        <w:rPr>
          <w:rFonts w:asciiTheme="minorBidi" w:hAnsiTheme="minorBidi" w:cstheme="minorBidi"/>
          <w:b/>
          <w:bCs/>
          <w:sz w:val="22"/>
          <w:szCs w:val="22"/>
          <w:rtl/>
        </w:rPr>
        <w:t>שמעוני</w:t>
      </w:r>
      <w:r>
        <w:rPr>
          <w:rFonts w:asciiTheme="minorBidi" w:hAnsiTheme="minorBidi" w:cstheme="minorBidi"/>
          <w:sz w:val="22"/>
          <w:szCs w:val="22"/>
          <w:rtl/>
        </w:rPr>
        <w:t xml:space="preserve">) המערערים 2 ו- 3 בערעור מספר </w:t>
      </w:r>
      <w:r>
        <w:rPr>
          <w:rFonts w:asciiTheme="minorBidi" w:hAnsiTheme="minorBidi" w:cstheme="minorBidi"/>
          <w:b/>
          <w:bCs/>
          <w:sz w:val="22"/>
          <w:szCs w:val="22"/>
          <w:rtl/>
        </w:rPr>
        <w:t>ע"א 30785-11-21.</w:t>
      </w:r>
    </w:p>
    <w:p w:rsidR="00FF767A" w:rsidRDefault="00FF767A" w:rsidP="008D1394">
      <w:pPr>
        <w:spacing w:after="120" w:line="360" w:lineRule="auto"/>
        <w:jc w:val="both"/>
        <w:rPr>
          <w:rFonts w:asciiTheme="minorBidi" w:hAnsiTheme="minorBidi" w:cstheme="minorBidi"/>
          <w:sz w:val="22"/>
          <w:szCs w:val="22"/>
          <w:rtl/>
        </w:rPr>
      </w:pPr>
      <w:r>
        <w:rPr>
          <w:rFonts w:asciiTheme="minorBidi" w:hAnsiTheme="minorBidi" w:cstheme="minorBidi"/>
          <w:sz w:val="22"/>
          <w:szCs w:val="22"/>
          <w:rtl/>
        </w:rPr>
        <w:t>בפתח תביעתו גולל נפתלי את משנתו באשר להתנהלות במעון בתקופה בה שימש אב הבית השנים 2011-2012 שהתאפיינה, לדבריו, באי-סדרים, כאוס וניפוח הוצאות.</w:t>
      </w:r>
    </w:p>
    <w:p w:rsidR="00FF767A" w:rsidRDefault="00FF767A" w:rsidP="008D1394">
      <w:pPr>
        <w:spacing w:after="120" w:line="360" w:lineRule="auto"/>
        <w:jc w:val="both"/>
        <w:rPr>
          <w:rFonts w:asciiTheme="minorBidi" w:hAnsiTheme="minorBidi" w:cstheme="minorBidi"/>
          <w:sz w:val="22"/>
          <w:szCs w:val="22"/>
          <w:rtl/>
        </w:rPr>
      </w:pPr>
      <w:r>
        <w:rPr>
          <w:rFonts w:asciiTheme="minorBidi" w:hAnsiTheme="minorBidi" w:cstheme="minorBidi"/>
          <w:sz w:val="22"/>
          <w:szCs w:val="22"/>
          <w:rtl/>
        </w:rPr>
        <w:t>את מעמדו במעון השווה לתפקיד "</w:t>
      </w:r>
      <w:r>
        <w:rPr>
          <w:rFonts w:asciiTheme="minorBidi" w:hAnsiTheme="minorBidi" w:cstheme="minorBidi"/>
          <w:b/>
          <w:bCs/>
          <w:sz w:val="22"/>
          <w:szCs w:val="22"/>
          <w:rtl/>
        </w:rPr>
        <w:t>השרת</w:t>
      </w:r>
      <w:r>
        <w:rPr>
          <w:rFonts w:asciiTheme="minorBidi" w:hAnsiTheme="minorBidi" w:cstheme="minorBidi"/>
          <w:sz w:val="22"/>
          <w:szCs w:val="22"/>
          <w:rtl/>
        </w:rPr>
        <w:t>" מימי בית הספר, תפקיד "</w:t>
      </w:r>
      <w:r>
        <w:rPr>
          <w:rFonts w:asciiTheme="minorBidi" w:hAnsiTheme="minorBidi" w:cstheme="minorBidi"/>
          <w:b/>
          <w:bCs/>
          <w:sz w:val="22"/>
          <w:szCs w:val="22"/>
          <w:rtl/>
        </w:rPr>
        <w:t>זוטר</w:t>
      </w:r>
      <w:r>
        <w:rPr>
          <w:rFonts w:asciiTheme="minorBidi" w:hAnsiTheme="minorBidi" w:cstheme="minorBidi"/>
          <w:sz w:val="22"/>
          <w:szCs w:val="22"/>
          <w:rtl/>
        </w:rPr>
        <w:t>" ש"</w:t>
      </w:r>
      <w:r>
        <w:rPr>
          <w:rFonts w:asciiTheme="minorBidi" w:hAnsiTheme="minorBidi" w:cstheme="minorBidi"/>
          <w:b/>
          <w:bCs/>
          <w:sz w:val="22"/>
          <w:szCs w:val="22"/>
          <w:rtl/>
        </w:rPr>
        <w:t>אינו הגורם המוסמך ו/או המאשר את הוצאות המעון</w:t>
      </w:r>
      <w:r>
        <w:rPr>
          <w:rFonts w:asciiTheme="minorBidi" w:hAnsiTheme="minorBidi" w:cstheme="minorBidi"/>
          <w:sz w:val="22"/>
          <w:szCs w:val="22"/>
          <w:rtl/>
        </w:rPr>
        <w:t>" וטען כי "</w:t>
      </w:r>
      <w:r>
        <w:rPr>
          <w:rFonts w:asciiTheme="minorBidi" w:hAnsiTheme="minorBidi" w:cstheme="minorBidi"/>
          <w:b/>
          <w:bCs/>
          <w:sz w:val="22"/>
          <w:szCs w:val="22"/>
          <w:rtl/>
        </w:rPr>
        <w:t>לתובע אין ולא היה שיקול דעת ו/או חלק ולו מזערי בהחלטות מהיכן מזמינים, כמה מזמינים ומה מזמינים</w:t>
      </w:r>
      <w:r>
        <w:rPr>
          <w:rFonts w:asciiTheme="minorBidi" w:hAnsiTheme="minorBidi" w:cstheme="minorBidi"/>
          <w:sz w:val="22"/>
          <w:szCs w:val="22"/>
          <w:rtl/>
        </w:rPr>
        <w:t>", וכי היה אחראי רק על ביצוען של ההוראות שקיבל.</w:t>
      </w:r>
    </w:p>
    <w:p w:rsidR="00FF767A" w:rsidRDefault="00FF767A" w:rsidP="008D1394">
      <w:pPr>
        <w:spacing w:after="120" w:line="360" w:lineRule="auto"/>
        <w:jc w:val="both"/>
        <w:rPr>
          <w:rFonts w:asciiTheme="minorBidi" w:hAnsiTheme="minorBidi" w:cstheme="minorBidi"/>
          <w:sz w:val="22"/>
          <w:szCs w:val="22"/>
          <w:rtl/>
        </w:rPr>
      </w:pPr>
      <w:r>
        <w:rPr>
          <w:rFonts w:asciiTheme="minorBidi" w:hAnsiTheme="minorBidi" w:cstheme="minorBidi"/>
          <w:sz w:val="22"/>
          <w:szCs w:val="22"/>
          <w:rtl/>
        </w:rPr>
        <w:t xml:space="preserve">נפתלי גם כפר בעובדת גידול הוצאות המעון בתקופתו, והוסיף וטען כי אם אמנם כך הוא הדבר, הרי שהדבר נבע מהוצאות חריגות שכלל לא קשורות אליו כמו שיפוצים, החלפת מזגנים, ועוד. </w:t>
      </w:r>
    </w:p>
    <w:p w:rsidR="00FF767A" w:rsidRDefault="00FF767A" w:rsidP="008D1394">
      <w:pPr>
        <w:spacing w:after="120" w:line="360" w:lineRule="auto"/>
        <w:jc w:val="both"/>
        <w:rPr>
          <w:rFonts w:asciiTheme="minorBidi" w:hAnsiTheme="minorBidi" w:cstheme="minorBidi"/>
          <w:sz w:val="22"/>
          <w:szCs w:val="22"/>
          <w:rtl/>
        </w:rPr>
      </w:pPr>
      <w:r>
        <w:rPr>
          <w:rFonts w:asciiTheme="minorBidi" w:hAnsiTheme="minorBidi" w:cstheme="minorBidi"/>
          <w:sz w:val="22"/>
          <w:szCs w:val="22"/>
          <w:rtl/>
        </w:rPr>
        <w:t>לגופה של תביעה נטען כי הנתבעים פרסמו אודותיו לשון הרע עת ייחסו לו את האחריות לגידול בהוצאות.</w:t>
      </w:r>
    </w:p>
    <w:p w:rsidR="00FF767A" w:rsidRDefault="00FF767A" w:rsidP="008D1394">
      <w:pPr>
        <w:spacing w:after="120" w:line="360" w:lineRule="auto"/>
        <w:jc w:val="both"/>
        <w:rPr>
          <w:rFonts w:asciiTheme="minorBidi" w:hAnsiTheme="minorBidi" w:cstheme="minorBidi"/>
          <w:b/>
          <w:bCs/>
          <w:sz w:val="22"/>
          <w:szCs w:val="22"/>
          <w:rtl/>
        </w:rPr>
      </w:pPr>
      <w:r>
        <w:rPr>
          <w:rFonts w:asciiTheme="minorBidi" w:hAnsiTheme="minorBidi" w:cstheme="minorBidi"/>
          <w:b/>
          <w:bCs/>
          <w:sz w:val="22"/>
          <w:szCs w:val="22"/>
          <w:rtl/>
        </w:rPr>
        <w:t xml:space="preserve">הפרסומים </w:t>
      </w:r>
    </w:p>
    <w:p w:rsidR="00FF767A" w:rsidRDefault="00FF767A" w:rsidP="008D1394">
      <w:pPr>
        <w:spacing w:after="120" w:line="360" w:lineRule="auto"/>
        <w:jc w:val="both"/>
        <w:rPr>
          <w:rFonts w:asciiTheme="minorBidi" w:hAnsiTheme="minorBidi" w:cstheme="minorBidi"/>
          <w:sz w:val="22"/>
          <w:szCs w:val="22"/>
          <w:rtl/>
        </w:rPr>
      </w:pPr>
      <w:r>
        <w:rPr>
          <w:rFonts w:asciiTheme="minorBidi" w:hAnsiTheme="minorBidi" w:cstheme="minorBidi"/>
          <w:sz w:val="22"/>
          <w:szCs w:val="22"/>
          <w:rtl/>
        </w:rPr>
        <w:t>3.</w:t>
      </w:r>
      <w:r>
        <w:rPr>
          <w:rFonts w:asciiTheme="minorBidi" w:hAnsiTheme="minorBidi" w:cstheme="minorBidi"/>
          <w:sz w:val="22"/>
          <w:szCs w:val="22"/>
          <w:rtl/>
        </w:rPr>
        <w:tab/>
        <w:t>בפתח הדיון בערעור נדחו הערעורים שהוגשו בשם זכאי ושמעוני, ומשכך יסוב פסק דיננו רק על אותם הפרסומים שנעשו ע"י כהן והליכוד ואשר צוטטו ע"י נפתלי בכתב תביעתו ככאלו המבטאים את דברי לשון הרע שפורסמו אודותיו, ורק על הטענות שנטענו לפנינו בקשר לאותם הפרסומים.</w:t>
      </w:r>
    </w:p>
    <w:p w:rsidR="00FF767A" w:rsidRDefault="00FF767A" w:rsidP="008D1394">
      <w:pPr>
        <w:spacing w:after="120" w:line="360" w:lineRule="auto"/>
        <w:jc w:val="both"/>
        <w:rPr>
          <w:rFonts w:asciiTheme="minorBidi" w:hAnsiTheme="minorBidi" w:cstheme="minorBidi"/>
          <w:sz w:val="22"/>
          <w:szCs w:val="22"/>
          <w:u w:val="single"/>
          <w:rtl/>
        </w:rPr>
      </w:pPr>
      <w:r>
        <w:rPr>
          <w:rFonts w:asciiTheme="minorBidi" w:hAnsiTheme="minorBidi" w:cstheme="minorBidi"/>
          <w:sz w:val="22"/>
          <w:szCs w:val="22"/>
          <w:u w:val="single"/>
          <w:rtl/>
        </w:rPr>
        <w:t>פרסומי כהן</w:t>
      </w:r>
    </w:p>
    <w:p w:rsidR="00FF767A" w:rsidRDefault="00FF767A" w:rsidP="008D1394">
      <w:pPr>
        <w:spacing w:after="120" w:line="360" w:lineRule="auto"/>
        <w:jc w:val="both"/>
        <w:rPr>
          <w:rFonts w:asciiTheme="minorBidi" w:hAnsiTheme="minorBidi" w:cstheme="minorBidi"/>
          <w:sz w:val="22"/>
          <w:szCs w:val="22"/>
          <w:rtl/>
        </w:rPr>
      </w:pPr>
      <w:r>
        <w:rPr>
          <w:rFonts w:asciiTheme="minorBidi" w:hAnsiTheme="minorBidi" w:cstheme="minorBidi"/>
          <w:sz w:val="22"/>
          <w:szCs w:val="22"/>
          <w:rtl/>
        </w:rPr>
        <w:t xml:space="preserve">בראיון שנתן כהן באחד מערוצי הטלויזיה בחודש פברואר 2015, נאמרו על ידו, בין היתר, הביטויים הבאים, שאין מחלוקת כי כוונו לנפתלי: </w:t>
      </w:r>
    </w:p>
    <w:p w:rsidR="00FF767A" w:rsidRDefault="00FF767A" w:rsidP="008D1394">
      <w:pPr>
        <w:spacing w:after="120" w:line="360" w:lineRule="auto"/>
        <w:jc w:val="both"/>
        <w:rPr>
          <w:rFonts w:asciiTheme="minorBidi" w:hAnsiTheme="minorBidi" w:cstheme="minorBidi"/>
          <w:b/>
          <w:bCs/>
          <w:sz w:val="22"/>
          <w:szCs w:val="22"/>
          <w:rtl/>
        </w:rPr>
      </w:pPr>
      <w:r>
        <w:rPr>
          <w:rFonts w:asciiTheme="minorBidi" w:hAnsiTheme="minorBidi" w:cstheme="minorBidi"/>
          <w:sz w:val="22"/>
          <w:szCs w:val="22"/>
          <w:rtl/>
        </w:rPr>
        <w:lastRenderedPageBreak/>
        <w:t>"</w:t>
      </w:r>
      <w:r>
        <w:rPr>
          <w:rFonts w:asciiTheme="minorBidi" w:hAnsiTheme="minorBidi" w:cstheme="minorBidi"/>
          <w:b/>
          <w:bCs/>
          <w:sz w:val="22"/>
          <w:szCs w:val="22"/>
          <w:rtl/>
        </w:rPr>
        <w:t>אני באתי לומר לכל עם ישראל שמדובר באדם שאסור להאמין לו וזה כעו"ד, לא הייתי מעיז להחתים אותו על תצהיר ויש לי ראיות מפרוטוקולים להליך פלילי</w:t>
      </w:r>
      <w:r>
        <w:rPr>
          <w:rFonts w:asciiTheme="minorBidi" w:hAnsiTheme="minorBidi" w:cstheme="minorBidi"/>
          <w:sz w:val="22"/>
          <w:szCs w:val="22"/>
          <w:rtl/>
        </w:rPr>
        <w:t>";</w:t>
      </w:r>
    </w:p>
    <w:p w:rsidR="00FF767A" w:rsidRDefault="00FF767A" w:rsidP="008D1394">
      <w:pPr>
        <w:spacing w:after="120" w:line="360" w:lineRule="auto"/>
        <w:jc w:val="both"/>
        <w:rPr>
          <w:rFonts w:asciiTheme="minorBidi" w:hAnsiTheme="minorBidi" w:cstheme="minorBidi"/>
          <w:b/>
          <w:bCs/>
          <w:sz w:val="22"/>
          <w:szCs w:val="22"/>
          <w:rtl/>
        </w:rPr>
      </w:pPr>
      <w:r>
        <w:rPr>
          <w:rFonts w:asciiTheme="minorBidi" w:hAnsiTheme="minorBidi" w:cstheme="minorBidi"/>
          <w:sz w:val="22"/>
          <w:szCs w:val="22"/>
          <w:rtl/>
        </w:rPr>
        <w:t>"...</w:t>
      </w:r>
      <w:r>
        <w:rPr>
          <w:rFonts w:asciiTheme="minorBidi" w:hAnsiTheme="minorBidi" w:cstheme="minorBidi"/>
          <w:b/>
          <w:bCs/>
          <w:sz w:val="22"/>
          <w:szCs w:val="22"/>
          <w:rtl/>
        </w:rPr>
        <w:t>פנו אלי עשרות אנשים...והציבו בידי ראיות חותכות שמדובר באדם כזבן, בלתי אמין, פרובוקטיבי</w:t>
      </w:r>
      <w:r>
        <w:rPr>
          <w:rFonts w:asciiTheme="minorBidi" w:hAnsiTheme="minorBidi" w:cstheme="minorBidi"/>
          <w:sz w:val="22"/>
          <w:szCs w:val="22"/>
          <w:rtl/>
        </w:rPr>
        <w:t>";</w:t>
      </w:r>
    </w:p>
    <w:p w:rsidR="00FF767A" w:rsidRDefault="00FF767A" w:rsidP="008D1394">
      <w:pPr>
        <w:spacing w:after="120" w:line="360" w:lineRule="auto"/>
        <w:jc w:val="both"/>
        <w:rPr>
          <w:rFonts w:asciiTheme="minorBidi" w:hAnsiTheme="minorBidi" w:cstheme="minorBidi"/>
          <w:sz w:val="22"/>
          <w:szCs w:val="22"/>
          <w:rtl/>
        </w:rPr>
      </w:pPr>
      <w:r>
        <w:rPr>
          <w:rFonts w:asciiTheme="minorBidi" w:hAnsiTheme="minorBidi" w:cstheme="minorBidi"/>
          <w:sz w:val="22"/>
          <w:szCs w:val="22"/>
          <w:rtl/>
        </w:rPr>
        <w:t>"</w:t>
      </w:r>
      <w:r>
        <w:rPr>
          <w:rFonts w:asciiTheme="minorBidi" w:hAnsiTheme="minorBidi" w:cstheme="minorBidi"/>
          <w:b/>
          <w:bCs/>
          <w:sz w:val="22"/>
          <w:szCs w:val="22"/>
          <w:rtl/>
        </w:rPr>
        <w:t>בתקופתו, הוצאות כל מזון כמעט הוכפלו, בגלל שהוא נהג בצורה לא מאוזנת</w:t>
      </w:r>
      <w:r>
        <w:rPr>
          <w:rFonts w:asciiTheme="minorBidi" w:hAnsiTheme="minorBidi" w:cstheme="minorBidi"/>
          <w:sz w:val="22"/>
          <w:szCs w:val="22"/>
          <w:rtl/>
        </w:rPr>
        <w:t>";</w:t>
      </w:r>
    </w:p>
    <w:p w:rsidR="00FF767A" w:rsidRDefault="00FF767A" w:rsidP="008D1394">
      <w:pPr>
        <w:spacing w:after="120" w:line="360" w:lineRule="auto"/>
        <w:jc w:val="both"/>
        <w:rPr>
          <w:rFonts w:asciiTheme="minorBidi" w:hAnsiTheme="minorBidi" w:cstheme="minorBidi"/>
          <w:b/>
          <w:bCs/>
          <w:sz w:val="22"/>
          <w:szCs w:val="22"/>
          <w:rtl/>
        </w:rPr>
      </w:pPr>
      <w:r>
        <w:rPr>
          <w:rFonts w:asciiTheme="minorBidi" w:hAnsiTheme="minorBidi" w:cstheme="minorBidi"/>
          <w:sz w:val="22"/>
          <w:szCs w:val="22"/>
          <w:rtl/>
        </w:rPr>
        <w:t>"</w:t>
      </w:r>
      <w:r>
        <w:rPr>
          <w:rFonts w:asciiTheme="minorBidi" w:hAnsiTheme="minorBidi" w:cstheme="minorBidi"/>
          <w:b/>
          <w:bCs/>
          <w:sz w:val="22"/>
          <w:szCs w:val="22"/>
          <w:rtl/>
        </w:rPr>
        <w:t>הוא נהג לשים מוצרים שלא היו נחוצים</w:t>
      </w:r>
      <w:r>
        <w:rPr>
          <w:rFonts w:asciiTheme="minorBidi" w:hAnsiTheme="minorBidi" w:cstheme="minorBidi"/>
          <w:sz w:val="22"/>
          <w:szCs w:val="22"/>
          <w:rtl/>
        </w:rPr>
        <w:t>";</w:t>
      </w:r>
    </w:p>
    <w:p w:rsidR="00FF767A" w:rsidRDefault="00FF767A" w:rsidP="008D1394">
      <w:pPr>
        <w:spacing w:after="120" w:line="360" w:lineRule="auto"/>
        <w:jc w:val="both"/>
        <w:rPr>
          <w:rFonts w:asciiTheme="minorBidi" w:hAnsiTheme="minorBidi" w:cstheme="minorBidi"/>
          <w:b/>
          <w:bCs/>
          <w:sz w:val="22"/>
          <w:szCs w:val="22"/>
          <w:rtl/>
        </w:rPr>
      </w:pPr>
      <w:r>
        <w:rPr>
          <w:rFonts w:asciiTheme="minorBidi" w:hAnsiTheme="minorBidi" w:cstheme="minorBidi"/>
          <w:sz w:val="22"/>
          <w:szCs w:val="22"/>
          <w:rtl/>
        </w:rPr>
        <w:t>"</w:t>
      </w:r>
      <w:r>
        <w:rPr>
          <w:rFonts w:asciiTheme="minorBidi" w:hAnsiTheme="minorBidi" w:cstheme="minorBidi"/>
          <w:b/>
          <w:bCs/>
          <w:sz w:val="22"/>
          <w:szCs w:val="22"/>
          <w:rtl/>
        </w:rPr>
        <w:t>הוא הוציא (הוצאות כספיות) והוא עשה זאת בכוונה</w:t>
      </w:r>
      <w:r>
        <w:rPr>
          <w:rFonts w:asciiTheme="minorBidi" w:hAnsiTheme="minorBidi" w:cstheme="minorBidi"/>
          <w:sz w:val="22"/>
          <w:szCs w:val="22"/>
          <w:rtl/>
        </w:rPr>
        <w:t>";</w:t>
      </w:r>
    </w:p>
    <w:p w:rsidR="00FF767A" w:rsidRDefault="00FF767A" w:rsidP="008D1394">
      <w:pPr>
        <w:spacing w:after="120" w:line="360" w:lineRule="auto"/>
        <w:jc w:val="both"/>
        <w:rPr>
          <w:rFonts w:asciiTheme="minorBidi" w:hAnsiTheme="minorBidi" w:cstheme="minorBidi"/>
          <w:sz w:val="22"/>
          <w:szCs w:val="22"/>
          <w:u w:val="single"/>
          <w:rtl/>
        </w:rPr>
      </w:pPr>
      <w:r>
        <w:rPr>
          <w:rFonts w:asciiTheme="minorBidi" w:hAnsiTheme="minorBidi" w:cstheme="minorBidi"/>
          <w:sz w:val="22"/>
          <w:szCs w:val="22"/>
          <w:u w:val="single"/>
          <w:rtl/>
        </w:rPr>
        <w:t>פרסומי הליכוד</w:t>
      </w:r>
    </w:p>
    <w:p w:rsidR="00FF767A" w:rsidRDefault="00FF767A" w:rsidP="008D1394">
      <w:pPr>
        <w:spacing w:after="120" w:line="360" w:lineRule="auto"/>
        <w:jc w:val="both"/>
        <w:rPr>
          <w:rFonts w:asciiTheme="minorBidi" w:hAnsiTheme="minorBidi" w:cstheme="minorBidi"/>
          <w:sz w:val="22"/>
          <w:szCs w:val="22"/>
          <w:rtl/>
        </w:rPr>
      </w:pPr>
      <w:r>
        <w:rPr>
          <w:rFonts w:asciiTheme="minorBidi" w:hAnsiTheme="minorBidi" w:cstheme="minorBidi"/>
          <w:sz w:val="22"/>
          <w:szCs w:val="22"/>
          <w:rtl/>
        </w:rPr>
        <w:t>4.</w:t>
      </w:r>
      <w:r>
        <w:rPr>
          <w:rFonts w:asciiTheme="minorBidi" w:hAnsiTheme="minorBidi" w:cstheme="minorBidi"/>
          <w:sz w:val="22"/>
          <w:szCs w:val="22"/>
          <w:rtl/>
        </w:rPr>
        <w:tab/>
        <w:t>בפוסט שפורסם בעמוד הפייסבוק של הליכוד, נכתב בין היתר:</w:t>
      </w:r>
    </w:p>
    <w:p w:rsidR="00FF767A" w:rsidRDefault="00FF767A" w:rsidP="008D1394">
      <w:pPr>
        <w:spacing w:after="120" w:line="360" w:lineRule="auto"/>
        <w:jc w:val="both"/>
        <w:rPr>
          <w:rFonts w:asciiTheme="minorBidi" w:hAnsiTheme="minorBidi" w:cstheme="minorBidi"/>
          <w:b/>
          <w:bCs/>
          <w:sz w:val="22"/>
          <w:szCs w:val="22"/>
          <w:rtl/>
        </w:rPr>
      </w:pPr>
      <w:r>
        <w:rPr>
          <w:rFonts w:asciiTheme="minorBidi" w:hAnsiTheme="minorBidi" w:cstheme="minorBidi"/>
          <w:sz w:val="22"/>
          <w:szCs w:val="22"/>
          <w:rtl/>
        </w:rPr>
        <w:t>"...</w:t>
      </w:r>
      <w:r>
        <w:rPr>
          <w:rFonts w:asciiTheme="minorBidi" w:hAnsiTheme="minorBidi" w:cstheme="minorBidi"/>
          <w:b/>
          <w:bCs/>
          <w:sz w:val="22"/>
          <w:szCs w:val="22"/>
          <w:rtl/>
        </w:rPr>
        <w:t xml:space="preserve"> ההוצאות גדלו משמעותית בתקופה מסויימת, שבה ניהל את המעון הרשמי מני נפתלי - עובד ממורמר לשעבר, המוביל מסע השמצות והכפשות נגד ראש הממשלה, על מנת להוציא כספים שלא כדין מקופת המדינה ולפגוע בראש הממשלה ובליכוד בתקופת בחירות. הוצאות המעון הרשמי ירדו ופחתו משמעותית לאחר עזיבתו של נפתלי את התפקיד</w:t>
      </w:r>
      <w:r>
        <w:rPr>
          <w:rFonts w:asciiTheme="minorBidi" w:hAnsiTheme="minorBidi" w:cstheme="minorBidi"/>
          <w:sz w:val="22"/>
          <w:szCs w:val="22"/>
          <w:rtl/>
        </w:rPr>
        <w:t>".</w:t>
      </w:r>
    </w:p>
    <w:p w:rsidR="00FF767A" w:rsidRDefault="00FF767A" w:rsidP="008D1394">
      <w:pPr>
        <w:spacing w:after="120" w:line="360" w:lineRule="auto"/>
        <w:jc w:val="both"/>
        <w:rPr>
          <w:rFonts w:asciiTheme="minorBidi" w:hAnsiTheme="minorBidi" w:cstheme="minorBidi"/>
          <w:b/>
          <w:bCs/>
          <w:sz w:val="22"/>
          <w:szCs w:val="22"/>
          <w:rtl/>
        </w:rPr>
      </w:pPr>
      <w:r>
        <w:rPr>
          <w:rFonts w:asciiTheme="minorBidi" w:hAnsiTheme="minorBidi" w:cstheme="minorBidi"/>
          <w:b/>
          <w:bCs/>
          <w:sz w:val="22"/>
          <w:szCs w:val="22"/>
          <w:rtl/>
        </w:rPr>
        <w:t>ההגנה</w:t>
      </w:r>
    </w:p>
    <w:p w:rsidR="00FF767A" w:rsidRDefault="00FF767A" w:rsidP="008D1394">
      <w:pPr>
        <w:spacing w:after="120" w:line="360" w:lineRule="auto"/>
        <w:jc w:val="both"/>
        <w:rPr>
          <w:rFonts w:asciiTheme="minorBidi" w:hAnsiTheme="minorBidi" w:cstheme="minorBidi"/>
          <w:sz w:val="22"/>
          <w:szCs w:val="22"/>
          <w:rtl/>
        </w:rPr>
      </w:pPr>
      <w:r>
        <w:rPr>
          <w:rFonts w:asciiTheme="minorBidi" w:hAnsiTheme="minorBidi" w:cstheme="minorBidi"/>
          <w:sz w:val="22"/>
          <w:szCs w:val="22"/>
          <w:rtl/>
        </w:rPr>
        <w:t>5.</w:t>
      </w:r>
      <w:r>
        <w:rPr>
          <w:rFonts w:asciiTheme="minorBidi" w:hAnsiTheme="minorBidi" w:cstheme="minorBidi"/>
          <w:sz w:val="22"/>
          <w:szCs w:val="22"/>
          <w:rtl/>
        </w:rPr>
        <w:tab/>
        <w:t xml:space="preserve">הנתבעים, כל אחד לפי פרסומיו, גייסו לעזרתם את מרבית ההגנות המנויות בחוק, וטענו לפרסומים מותרים – לפי סעיף 13 לחוק, להגנות תום הלב- לפי סעיף 15 לחוק, לרבות פרסום תוך כדי דיון, דין וחשבון נכון והוגן על מה שנאמר בישיבה פומבית, פרסום שהמפרסם היה חייב לעשותו על פי דין, הבעת דעה, ועוד. </w:t>
      </w:r>
    </w:p>
    <w:p w:rsidR="00FF767A" w:rsidRDefault="00FF767A" w:rsidP="008D1394">
      <w:pPr>
        <w:spacing w:after="120" w:line="360" w:lineRule="auto"/>
        <w:jc w:val="both"/>
        <w:rPr>
          <w:rFonts w:asciiTheme="minorBidi" w:hAnsiTheme="minorBidi" w:cstheme="minorBidi"/>
          <w:sz w:val="22"/>
          <w:szCs w:val="22"/>
          <w:rtl/>
        </w:rPr>
      </w:pPr>
      <w:r>
        <w:rPr>
          <w:rFonts w:asciiTheme="minorBidi" w:hAnsiTheme="minorBidi" w:cstheme="minorBidi"/>
          <w:sz w:val="22"/>
          <w:szCs w:val="22"/>
          <w:rtl/>
        </w:rPr>
        <w:t>טענת ההגנה המרכזית התמקדה בהגנת האמת בפרסום, כך גם הדיון, וכך גם פסק הדין.</w:t>
      </w:r>
    </w:p>
    <w:p w:rsidR="00FF767A" w:rsidRDefault="00FF767A" w:rsidP="008D1394">
      <w:pPr>
        <w:spacing w:after="120" w:line="360" w:lineRule="auto"/>
        <w:jc w:val="both"/>
        <w:rPr>
          <w:rFonts w:asciiTheme="minorBidi" w:hAnsiTheme="minorBidi" w:cstheme="minorBidi"/>
          <w:b/>
          <w:bCs/>
          <w:sz w:val="22"/>
          <w:szCs w:val="22"/>
          <w:rtl/>
        </w:rPr>
      </w:pPr>
      <w:r>
        <w:rPr>
          <w:rFonts w:asciiTheme="minorBidi" w:hAnsiTheme="minorBidi" w:cstheme="minorBidi"/>
          <w:b/>
          <w:bCs/>
          <w:sz w:val="22"/>
          <w:szCs w:val="22"/>
          <w:rtl/>
        </w:rPr>
        <w:t>פסק הדין</w:t>
      </w:r>
    </w:p>
    <w:p w:rsidR="00FF767A" w:rsidRDefault="00FF767A" w:rsidP="008D1394">
      <w:pPr>
        <w:spacing w:after="120" w:line="360" w:lineRule="auto"/>
        <w:jc w:val="both"/>
        <w:rPr>
          <w:rFonts w:asciiTheme="minorBidi" w:hAnsiTheme="minorBidi" w:cstheme="minorBidi"/>
          <w:sz w:val="22"/>
          <w:szCs w:val="22"/>
          <w:rtl/>
        </w:rPr>
      </w:pPr>
      <w:r>
        <w:rPr>
          <w:rFonts w:asciiTheme="minorBidi" w:hAnsiTheme="minorBidi" w:cstheme="minorBidi"/>
          <w:sz w:val="22"/>
          <w:szCs w:val="22"/>
          <w:rtl/>
        </w:rPr>
        <w:t>6.</w:t>
      </w:r>
      <w:r>
        <w:rPr>
          <w:rFonts w:asciiTheme="minorBidi" w:hAnsiTheme="minorBidi" w:cstheme="minorBidi"/>
          <w:sz w:val="22"/>
          <w:szCs w:val="22"/>
          <w:rtl/>
        </w:rPr>
        <w:tab/>
        <w:t>בפסק דין מפורט ומנומק הכולל התייחסות מקיפה לפסיקה הרלבנטית, כמו גם התייחסות לטענות המרובות שבעלי הדין הרעיפו עליו, קבע בית המשפט קמא, כצעד ראשון, כי "</w:t>
      </w:r>
      <w:r>
        <w:rPr>
          <w:rFonts w:asciiTheme="minorBidi" w:hAnsiTheme="minorBidi" w:cstheme="minorBidi"/>
          <w:b/>
          <w:bCs/>
          <w:sz w:val="22"/>
          <w:szCs w:val="22"/>
          <w:rtl/>
        </w:rPr>
        <w:t>כלל הפרסומים המפורטים בכתב התביעה מהווים לשון הרע כמובנו בחוק איסור לשון הרע</w:t>
      </w:r>
      <w:r>
        <w:rPr>
          <w:rFonts w:asciiTheme="minorBidi" w:hAnsiTheme="minorBidi" w:cstheme="minorBidi"/>
          <w:sz w:val="22"/>
          <w:szCs w:val="22"/>
          <w:rtl/>
        </w:rPr>
        <w:t>"; לאחר מכן דחה את מקבץ הטענות שעניינן בפרסומים מותרים לפי סעיף 13 לחוק, שאז נפנה לבחון את הגנת האמת, בה התמקד עיקר הדיון לפניו, ובהלימה גם פסק הדין.</w:t>
      </w:r>
    </w:p>
    <w:p w:rsidR="00FF767A" w:rsidRDefault="00FF767A" w:rsidP="00FF767A">
      <w:pPr>
        <w:spacing w:after="120" w:line="360" w:lineRule="auto"/>
        <w:jc w:val="both"/>
        <w:rPr>
          <w:rFonts w:asciiTheme="minorBidi" w:hAnsiTheme="minorBidi" w:cstheme="minorBidi"/>
          <w:sz w:val="22"/>
          <w:szCs w:val="22"/>
          <w:rtl/>
        </w:rPr>
      </w:pPr>
      <w:r>
        <w:rPr>
          <w:rFonts w:asciiTheme="minorBidi" w:hAnsiTheme="minorBidi" w:cstheme="minorBidi"/>
          <w:sz w:val="22"/>
          <w:szCs w:val="22"/>
          <w:rtl/>
        </w:rPr>
        <w:lastRenderedPageBreak/>
        <w:t xml:space="preserve">בראש ובראשונה בחן בית משפט קמא את הפרסום שעניינו בגידול ברכישות במעון, ובחלקו של נפתלי ברכישות ובגידול בהיקפן, לו הוקדש החלק המרכזי של פסק הדין, והחיל עליו את הגנת האמת, תוך קביעת הממצא לפיו ההוצאות אכן גדלו: </w:t>
      </w:r>
      <w:r>
        <w:rPr>
          <w:rFonts w:asciiTheme="minorBidi" w:hAnsiTheme="minorBidi" w:cstheme="minorBidi"/>
          <w:noProof w:val="0"/>
          <w:sz w:val="22"/>
          <w:szCs w:val="22"/>
          <w:rtl/>
        </w:rPr>
        <w:t xml:space="preserve">"... </w:t>
      </w:r>
      <w:r>
        <w:rPr>
          <w:rFonts w:asciiTheme="minorBidi" w:hAnsiTheme="minorBidi" w:cstheme="minorBidi"/>
          <w:b/>
          <w:bCs/>
          <w:noProof w:val="0"/>
          <w:sz w:val="22"/>
          <w:szCs w:val="22"/>
          <w:rtl/>
        </w:rPr>
        <w:t>אין מחלוקת כי בשנים 2011-2012 עלו הוצאות המעון הרשמי באופן משמעותי. עוד אין מחלוקת, כי מרבית העלייה נובעת מעליה בהוצאות המזון והוצאות הניקיון</w:t>
      </w:r>
      <w:r>
        <w:rPr>
          <w:rFonts w:asciiTheme="minorBidi" w:hAnsiTheme="minorBidi" w:cstheme="minorBidi"/>
          <w:noProof w:val="0"/>
          <w:sz w:val="22"/>
          <w:szCs w:val="22"/>
          <w:rtl/>
        </w:rPr>
        <w:t>" (סעיף 124 לפסה"ד).</w:t>
      </w:r>
    </w:p>
    <w:p w:rsidR="00FF767A" w:rsidRDefault="00FF767A" w:rsidP="00FF767A">
      <w:pPr>
        <w:spacing w:after="120" w:line="360" w:lineRule="auto"/>
        <w:jc w:val="both"/>
        <w:rPr>
          <w:rFonts w:asciiTheme="minorBidi" w:hAnsiTheme="minorBidi" w:cstheme="minorBidi"/>
          <w:noProof w:val="0"/>
          <w:sz w:val="22"/>
          <w:szCs w:val="22"/>
          <w:rtl/>
        </w:rPr>
      </w:pPr>
      <w:r>
        <w:rPr>
          <w:rFonts w:asciiTheme="minorBidi" w:hAnsiTheme="minorBidi" w:cstheme="minorBidi"/>
          <w:noProof w:val="0"/>
          <w:sz w:val="22"/>
          <w:szCs w:val="22"/>
          <w:rtl/>
        </w:rPr>
        <w:t xml:space="preserve">בית המשפט קמא דחה את טענת נפתלי לפיה נשא בתפקיד זוטר וקבע כי "... </w:t>
      </w:r>
      <w:r>
        <w:rPr>
          <w:rFonts w:asciiTheme="minorBidi" w:hAnsiTheme="minorBidi" w:cstheme="minorBidi"/>
          <w:b/>
          <w:bCs/>
          <w:noProof w:val="0"/>
          <w:sz w:val="22"/>
          <w:szCs w:val="22"/>
          <w:rtl/>
        </w:rPr>
        <w:t>עצם העובדה כי התובע אחראי על מספר עובדים ומנהל אותם, מחייבת את המסקנה, כי אין מדובר בתפקיד זוטר, כפי שמציג זאת התובע</w:t>
      </w:r>
      <w:r>
        <w:rPr>
          <w:rFonts w:asciiTheme="minorBidi" w:hAnsiTheme="minorBidi" w:cstheme="minorBidi"/>
          <w:noProof w:val="0"/>
          <w:sz w:val="22"/>
          <w:szCs w:val="22"/>
          <w:rtl/>
        </w:rPr>
        <w:t xml:space="preserve"> (סעיף 155 לפסה"ד), כי הרכישות היו חלק אינטגרלי מתפקידו "...</w:t>
      </w:r>
      <w:r>
        <w:rPr>
          <w:rFonts w:asciiTheme="minorBidi" w:hAnsiTheme="minorBidi" w:cstheme="minorBidi"/>
          <w:b/>
          <w:bCs/>
          <w:noProof w:val="0"/>
          <w:sz w:val="22"/>
          <w:szCs w:val="22"/>
          <w:rtl/>
        </w:rPr>
        <w:t>כאשר במסגרת תקציב זה היה התובע, כאב הבית, אחראי לבצע את הרכישות... היה זה תפקידו של התובע כאב הבית לבצע את הרכישות</w:t>
      </w:r>
      <w:r>
        <w:rPr>
          <w:rFonts w:asciiTheme="minorBidi" w:hAnsiTheme="minorBidi" w:cstheme="minorBidi"/>
          <w:noProof w:val="0"/>
          <w:sz w:val="22"/>
          <w:szCs w:val="22"/>
          <w:rtl/>
        </w:rPr>
        <w:t>" (סעיף 134 לפסה"ד), וכי "...</w:t>
      </w:r>
      <w:r>
        <w:rPr>
          <w:rFonts w:asciiTheme="minorBidi" w:hAnsiTheme="minorBidi" w:cstheme="minorBidi"/>
          <w:b/>
          <w:bCs/>
          <w:noProof w:val="0"/>
          <w:sz w:val="22"/>
          <w:szCs w:val="22"/>
          <w:rtl/>
        </w:rPr>
        <w:t>התובע לא היה רק חוליה טכנית ושולית בניהול התקציב ובאחריות להוצאות, אלא היה בעל תפקיד משמעותי בעניין, תפקיד הכולל אחריות ושיקול דעת</w:t>
      </w:r>
      <w:r>
        <w:rPr>
          <w:rFonts w:asciiTheme="minorBidi" w:hAnsiTheme="minorBidi" w:cstheme="minorBidi"/>
          <w:noProof w:val="0"/>
          <w:sz w:val="22"/>
          <w:szCs w:val="22"/>
          <w:rtl/>
        </w:rPr>
        <w:t>" (סעיף 156 לפסה"ד).</w:t>
      </w:r>
    </w:p>
    <w:p w:rsidR="00FF767A" w:rsidRDefault="00FF767A" w:rsidP="00FF767A">
      <w:pPr>
        <w:spacing w:after="120" w:line="360" w:lineRule="auto"/>
        <w:jc w:val="both"/>
        <w:rPr>
          <w:rFonts w:asciiTheme="minorBidi" w:hAnsiTheme="minorBidi" w:cstheme="minorBidi"/>
          <w:noProof w:val="0"/>
          <w:sz w:val="22"/>
          <w:szCs w:val="22"/>
          <w:rtl/>
        </w:rPr>
      </w:pPr>
      <w:r>
        <w:rPr>
          <w:rFonts w:asciiTheme="minorBidi" w:hAnsiTheme="minorBidi" w:cstheme="minorBidi"/>
          <w:noProof w:val="0"/>
          <w:sz w:val="22"/>
          <w:szCs w:val="22"/>
          <w:rtl/>
        </w:rPr>
        <w:t>בית משפט קמא הוסיף וקבע את אחריותו של נפתלי, המשותפת לאחרים, לגידול ברכישות ולחריגה מהתקציב: "</w:t>
      </w:r>
      <w:r>
        <w:rPr>
          <w:rFonts w:asciiTheme="minorBidi" w:hAnsiTheme="minorBidi" w:cstheme="minorBidi"/>
          <w:b/>
          <w:bCs/>
          <w:noProof w:val="0"/>
          <w:sz w:val="22"/>
          <w:szCs w:val="22"/>
          <w:rtl/>
        </w:rPr>
        <w:t>גם לתובע אחריות של ממש לגידול בהוצאות בתקופתו כאב הבית במעון הרשמי</w:t>
      </w:r>
      <w:r>
        <w:rPr>
          <w:rFonts w:asciiTheme="minorBidi" w:hAnsiTheme="minorBidi" w:cstheme="minorBidi"/>
          <w:noProof w:val="0"/>
          <w:sz w:val="22"/>
          <w:szCs w:val="22"/>
          <w:rtl/>
        </w:rPr>
        <w:t>" (סעיף 148 לפסה"ד), "</w:t>
      </w:r>
      <w:r>
        <w:rPr>
          <w:rFonts w:asciiTheme="minorBidi" w:hAnsiTheme="minorBidi" w:cstheme="minorBidi"/>
          <w:b/>
          <w:bCs/>
          <w:noProof w:val="0"/>
          <w:sz w:val="22"/>
          <w:szCs w:val="22"/>
          <w:rtl/>
        </w:rPr>
        <w:t>שותף פעיל בהוצאות העודפות</w:t>
      </w:r>
      <w:r>
        <w:rPr>
          <w:rFonts w:asciiTheme="minorBidi" w:hAnsiTheme="minorBidi" w:cstheme="minorBidi"/>
          <w:noProof w:val="0"/>
          <w:sz w:val="22"/>
          <w:szCs w:val="22"/>
          <w:rtl/>
        </w:rPr>
        <w:t>"</w:t>
      </w:r>
      <w:r>
        <w:rPr>
          <w:rFonts w:asciiTheme="minorBidi" w:hAnsiTheme="minorBidi" w:cstheme="minorBidi"/>
          <w:b/>
          <w:bCs/>
          <w:noProof w:val="0"/>
          <w:sz w:val="22"/>
          <w:szCs w:val="22"/>
          <w:rtl/>
        </w:rPr>
        <w:t xml:space="preserve"> </w:t>
      </w:r>
      <w:r>
        <w:rPr>
          <w:rFonts w:asciiTheme="minorBidi" w:hAnsiTheme="minorBidi" w:cstheme="minorBidi"/>
          <w:noProof w:val="0"/>
          <w:sz w:val="22"/>
          <w:szCs w:val="22"/>
          <w:rtl/>
        </w:rPr>
        <w:t>(סעיף 172 לפסה"ד).</w:t>
      </w:r>
    </w:p>
    <w:p w:rsidR="00FF767A" w:rsidRDefault="00FF767A" w:rsidP="00FF767A">
      <w:pPr>
        <w:spacing w:after="120" w:line="360" w:lineRule="auto"/>
        <w:jc w:val="both"/>
        <w:rPr>
          <w:rFonts w:asciiTheme="minorBidi" w:hAnsiTheme="minorBidi" w:cstheme="minorBidi"/>
          <w:noProof w:val="0"/>
          <w:sz w:val="22"/>
          <w:szCs w:val="22"/>
          <w:rtl/>
        </w:rPr>
      </w:pPr>
      <w:r>
        <w:rPr>
          <w:rFonts w:asciiTheme="minorBidi" w:hAnsiTheme="minorBidi" w:cstheme="minorBidi"/>
          <w:noProof w:val="0"/>
          <w:sz w:val="22"/>
          <w:szCs w:val="22"/>
          <w:rtl/>
        </w:rPr>
        <w:t xml:space="preserve">כפועל יוצא מהאמור קבע כי </w:t>
      </w:r>
      <w:r w:rsidRPr="000635B1">
        <w:rPr>
          <w:rFonts w:asciiTheme="minorBidi" w:hAnsiTheme="minorBidi" w:cstheme="minorBidi"/>
          <w:noProof w:val="0"/>
          <w:sz w:val="22"/>
          <w:szCs w:val="22"/>
          <w:rtl/>
        </w:rPr>
        <w:t>"</w:t>
      </w:r>
      <w:r>
        <w:rPr>
          <w:rFonts w:asciiTheme="minorBidi" w:hAnsiTheme="minorBidi" w:cstheme="minorBidi"/>
          <w:b/>
          <w:bCs/>
          <w:noProof w:val="0"/>
          <w:sz w:val="22"/>
          <w:szCs w:val="22"/>
          <w:rtl/>
        </w:rPr>
        <w:t>החלקים בפרסום הנוגעים להוצאות המעון הרשמי, אשר כפי שנטען בפרסום עלו בתקופת כהונתו של התובע כאב בית וירדו לאחר מכן, מדובר בפרסום שהינו אמת</w:t>
      </w:r>
      <w:r>
        <w:rPr>
          <w:rFonts w:asciiTheme="minorBidi" w:hAnsiTheme="minorBidi" w:cstheme="minorBidi"/>
          <w:noProof w:val="0"/>
          <w:sz w:val="22"/>
          <w:szCs w:val="22"/>
          <w:rtl/>
        </w:rPr>
        <w:t>" (סעיף 187 לפסה"ד)</w:t>
      </w:r>
      <w:r w:rsidR="000635B1">
        <w:rPr>
          <w:rFonts w:asciiTheme="minorBidi" w:hAnsiTheme="minorBidi" w:cstheme="minorBidi" w:hint="cs"/>
          <w:noProof w:val="0"/>
          <w:sz w:val="22"/>
          <w:szCs w:val="22"/>
          <w:rtl/>
        </w:rPr>
        <w:t>.</w:t>
      </w:r>
      <w:r>
        <w:rPr>
          <w:rFonts w:asciiTheme="minorBidi" w:hAnsiTheme="minorBidi" w:cstheme="minorBidi"/>
          <w:noProof w:val="0"/>
          <w:sz w:val="22"/>
          <w:szCs w:val="22"/>
          <w:rtl/>
        </w:rPr>
        <w:t xml:space="preserve"> </w:t>
      </w:r>
    </w:p>
    <w:p w:rsidR="00FF767A" w:rsidRDefault="00FF767A" w:rsidP="00FF767A">
      <w:pPr>
        <w:spacing w:after="120" w:line="360" w:lineRule="auto"/>
        <w:jc w:val="both"/>
        <w:rPr>
          <w:rFonts w:asciiTheme="minorBidi" w:hAnsiTheme="minorBidi" w:cstheme="minorBidi"/>
          <w:noProof w:val="0"/>
          <w:sz w:val="22"/>
          <w:szCs w:val="22"/>
          <w:rtl/>
        </w:rPr>
      </w:pPr>
      <w:r>
        <w:rPr>
          <w:rFonts w:asciiTheme="minorBidi" w:hAnsiTheme="minorBidi" w:cstheme="minorBidi"/>
          <w:noProof w:val="0"/>
          <w:sz w:val="22"/>
          <w:szCs w:val="22"/>
          <w:rtl/>
        </w:rPr>
        <w:t>7.</w:t>
      </w:r>
      <w:r>
        <w:rPr>
          <w:rFonts w:asciiTheme="minorBidi" w:hAnsiTheme="minorBidi" w:cstheme="minorBidi"/>
          <w:noProof w:val="0"/>
          <w:sz w:val="22"/>
          <w:szCs w:val="22"/>
          <w:rtl/>
        </w:rPr>
        <w:tab/>
        <w:t xml:space="preserve">לאחר מכן נפנה בימ"ש קמא לבחון את הגנת האמת בנוגע ליתר הפרסומים.   </w:t>
      </w:r>
    </w:p>
    <w:p w:rsidR="00FF767A" w:rsidRDefault="00FF767A" w:rsidP="00FF767A">
      <w:pPr>
        <w:spacing w:after="120" w:line="360" w:lineRule="auto"/>
        <w:jc w:val="both"/>
        <w:rPr>
          <w:rFonts w:asciiTheme="minorBidi" w:hAnsiTheme="minorBidi" w:cstheme="minorBidi"/>
          <w:b/>
          <w:bCs/>
          <w:noProof w:val="0"/>
          <w:sz w:val="22"/>
          <w:szCs w:val="22"/>
          <w:rtl/>
        </w:rPr>
      </w:pPr>
      <w:r>
        <w:rPr>
          <w:rFonts w:asciiTheme="minorBidi" w:hAnsiTheme="minorBidi" w:cstheme="minorBidi"/>
          <w:noProof w:val="0"/>
          <w:sz w:val="22"/>
          <w:szCs w:val="22"/>
          <w:rtl/>
        </w:rPr>
        <w:t>באשר להיגד מפי כהן לפיו "</w:t>
      </w:r>
      <w:r>
        <w:rPr>
          <w:rFonts w:asciiTheme="minorBidi" w:hAnsiTheme="minorBidi" w:cstheme="minorBidi"/>
          <w:b/>
          <w:bCs/>
          <w:noProof w:val="0"/>
          <w:sz w:val="22"/>
          <w:szCs w:val="22"/>
          <w:rtl/>
        </w:rPr>
        <w:t>הוא הוציא, והוא עשה זאת בכוונה</w:t>
      </w:r>
      <w:r>
        <w:rPr>
          <w:rFonts w:asciiTheme="minorBidi" w:hAnsiTheme="minorBidi" w:cstheme="minorBidi"/>
          <w:noProof w:val="0"/>
          <w:sz w:val="22"/>
          <w:szCs w:val="22"/>
          <w:rtl/>
        </w:rPr>
        <w:t>", גם אותו בחן בימ"ש קמא מההיבט העובדתי, קבע כי</w:t>
      </w:r>
      <w:r>
        <w:rPr>
          <w:rFonts w:asciiTheme="minorBidi" w:hAnsiTheme="minorBidi" w:cstheme="minorBidi"/>
          <w:b/>
          <w:bCs/>
          <w:noProof w:val="0"/>
          <w:sz w:val="22"/>
          <w:szCs w:val="22"/>
          <w:rtl/>
        </w:rPr>
        <w:t xml:space="preserve"> </w:t>
      </w:r>
      <w:r w:rsidRPr="000635B1">
        <w:rPr>
          <w:rFonts w:asciiTheme="minorBidi" w:hAnsiTheme="minorBidi" w:cstheme="minorBidi"/>
          <w:noProof w:val="0"/>
          <w:sz w:val="22"/>
          <w:szCs w:val="22"/>
          <w:rtl/>
        </w:rPr>
        <w:t>"</w:t>
      </w:r>
      <w:r>
        <w:rPr>
          <w:rFonts w:asciiTheme="minorBidi" w:hAnsiTheme="minorBidi" w:cstheme="minorBidi"/>
          <w:b/>
          <w:bCs/>
          <w:noProof w:val="0"/>
          <w:sz w:val="22"/>
          <w:szCs w:val="22"/>
          <w:rtl/>
        </w:rPr>
        <w:t>אין מדובר באמת בפרסום. אמנם, קיימת לתובע אחריות להוצאות, כפי שקבעתי לעיל, אולם לא מצאתי בחומר הראיות כל אינדיקציה, שלא לומר הוכחה, כי עשה זאת 'בכוונה' וזאת כפי שניתן להבין את האמירה 'בכוונה' באופן אובייקטיבי מהפרסום הזה</w:t>
      </w:r>
      <w:r>
        <w:rPr>
          <w:rFonts w:asciiTheme="minorBidi" w:hAnsiTheme="minorBidi" w:cstheme="minorBidi"/>
          <w:noProof w:val="0"/>
          <w:sz w:val="22"/>
          <w:szCs w:val="22"/>
          <w:rtl/>
        </w:rPr>
        <w:t xml:space="preserve">" (סעיף 185 לפסה"ד). </w:t>
      </w:r>
    </w:p>
    <w:p w:rsidR="00FF767A" w:rsidRDefault="00FF767A" w:rsidP="000635B1">
      <w:pPr>
        <w:spacing w:after="120" w:line="360" w:lineRule="auto"/>
        <w:jc w:val="both"/>
        <w:rPr>
          <w:rFonts w:asciiTheme="minorBidi" w:hAnsiTheme="minorBidi" w:cstheme="minorBidi"/>
          <w:sz w:val="22"/>
          <w:szCs w:val="22"/>
          <w:rtl/>
        </w:rPr>
      </w:pPr>
      <w:r>
        <w:rPr>
          <w:rFonts w:asciiTheme="minorBidi" w:hAnsiTheme="minorBidi" w:cstheme="minorBidi"/>
          <w:noProof w:val="0"/>
          <w:sz w:val="22"/>
          <w:szCs w:val="22"/>
          <w:rtl/>
        </w:rPr>
        <w:t xml:space="preserve">כן נדחתה הגנת האמת בכל הנוגע לאותם הפרסומים המתייחסים לאופיו של נפתלי ותכונותיו עת נקבע </w:t>
      </w:r>
      <w:r>
        <w:rPr>
          <w:rFonts w:asciiTheme="minorBidi" w:hAnsiTheme="minorBidi" w:cstheme="minorBidi"/>
          <w:sz w:val="22"/>
          <w:szCs w:val="22"/>
          <w:rtl/>
        </w:rPr>
        <w:t>"</w:t>
      </w:r>
      <w:r>
        <w:rPr>
          <w:rFonts w:asciiTheme="minorBidi" w:hAnsiTheme="minorBidi" w:cstheme="minorBidi"/>
          <w:b/>
          <w:bCs/>
          <w:sz w:val="22"/>
          <w:szCs w:val="22"/>
          <w:rtl/>
        </w:rPr>
        <w:t>... מצאתי שלא רק שהנתבעים לא הוכיחו כי התובע הינו אדם בלתי אמין ושקרן גדול, אלא שמחומר הראיות שלפניי עולה כי התובע הינו אדם אמין</w:t>
      </w:r>
      <w:r>
        <w:rPr>
          <w:rFonts w:asciiTheme="minorBidi" w:hAnsiTheme="minorBidi" w:cstheme="minorBidi"/>
          <w:sz w:val="22"/>
          <w:szCs w:val="22"/>
          <w:rtl/>
        </w:rPr>
        <w:t>" (סעיף 195 לפסה"ד);  כי "</w:t>
      </w:r>
      <w:r>
        <w:rPr>
          <w:rFonts w:asciiTheme="minorBidi" w:hAnsiTheme="minorBidi" w:cstheme="minorBidi"/>
          <w:b/>
          <w:bCs/>
          <w:sz w:val="22"/>
          <w:szCs w:val="22"/>
          <w:rtl/>
        </w:rPr>
        <w:t xml:space="preserve">בחינה של הראיות שהוצגו </w:t>
      </w:r>
      <w:r>
        <w:rPr>
          <w:rFonts w:asciiTheme="minorBidi" w:hAnsiTheme="minorBidi" w:cstheme="minorBidi"/>
          <w:b/>
          <w:bCs/>
          <w:sz w:val="22"/>
          <w:szCs w:val="22"/>
          <w:rtl/>
        </w:rPr>
        <w:lastRenderedPageBreak/>
        <w:t>לגבי המקרים המפורטים מגלה כי לא עולה מהם כי התובע הינו אדם שקרן, ובוודאי שלא 'כזבן מועד'</w:t>
      </w:r>
      <w:r>
        <w:rPr>
          <w:rFonts w:asciiTheme="minorBidi" w:hAnsiTheme="minorBidi" w:cstheme="minorBidi"/>
          <w:sz w:val="22"/>
          <w:szCs w:val="22"/>
          <w:rtl/>
        </w:rPr>
        <w:t>" (סעיף 195 לפסה"ד); "...</w:t>
      </w:r>
      <w:r>
        <w:rPr>
          <w:rFonts w:asciiTheme="minorBidi" w:hAnsiTheme="minorBidi" w:cstheme="minorBidi"/>
          <w:b/>
          <w:bCs/>
          <w:sz w:val="22"/>
          <w:szCs w:val="22"/>
          <w:rtl/>
        </w:rPr>
        <w:t>אלא דווקא באדם ערכי ואמין</w:t>
      </w:r>
      <w:r>
        <w:rPr>
          <w:rFonts w:asciiTheme="minorBidi" w:hAnsiTheme="minorBidi" w:cstheme="minorBidi"/>
          <w:sz w:val="22"/>
          <w:szCs w:val="22"/>
          <w:rtl/>
        </w:rPr>
        <w:t>" (סעיף 261 לפסה"ד).</w:t>
      </w:r>
    </w:p>
    <w:p w:rsidR="00FF767A" w:rsidRDefault="00FF767A" w:rsidP="00FF767A">
      <w:pPr>
        <w:spacing w:after="120" w:line="360" w:lineRule="auto"/>
        <w:jc w:val="both"/>
        <w:rPr>
          <w:rFonts w:asciiTheme="minorBidi" w:hAnsiTheme="minorBidi" w:cstheme="minorBidi"/>
          <w:noProof w:val="0"/>
          <w:sz w:val="22"/>
          <w:szCs w:val="22"/>
          <w:rtl/>
        </w:rPr>
      </w:pPr>
      <w:r>
        <w:rPr>
          <w:rFonts w:asciiTheme="minorBidi" w:hAnsiTheme="minorBidi" w:cstheme="minorBidi"/>
          <w:noProof w:val="0"/>
          <w:sz w:val="22"/>
          <w:szCs w:val="22"/>
          <w:rtl/>
        </w:rPr>
        <w:t>8.</w:t>
      </w:r>
      <w:r>
        <w:rPr>
          <w:rFonts w:asciiTheme="minorBidi" w:hAnsiTheme="minorBidi" w:cstheme="minorBidi"/>
          <w:noProof w:val="0"/>
          <w:sz w:val="22"/>
          <w:szCs w:val="22"/>
          <w:rtl/>
        </w:rPr>
        <w:tab/>
        <w:t>בית משפט קמא לא ראה מקום להכריע בטענת כהן והנתבעים האחרים לפיה נפתלי מתאפיין ב"</w:t>
      </w:r>
      <w:r>
        <w:rPr>
          <w:rFonts w:asciiTheme="minorBidi" w:hAnsiTheme="minorBidi" w:cstheme="minorBidi"/>
          <w:b/>
          <w:bCs/>
          <w:sz w:val="22"/>
          <w:szCs w:val="22"/>
          <w:rtl/>
        </w:rPr>
        <w:t>תכונות של אלימות, עבריינות כללית ואף תקיפה מינית</w:t>
      </w:r>
      <w:r>
        <w:rPr>
          <w:rFonts w:asciiTheme="minorBidi" w:hAnsiTheme="minorBidi" w:cstheme="minorBidi"/>
          <w:sz w:val="22"/>
          <w:szCs w:val="22"/>
          <w:rtl/>
        </w:rPr>
        <w:t>" אך מהנימוק לפיו "</w:t>
      </w:r>
      <w:r>
        <w:rPr>
          <w:rFonts w:asciiTheme="minorBidi" w:hAnsiTheme="minorBidi" w:cstheme="minorBidi"/>
          <w:b/>
          <w:bCs/>
          <w:sz w:val="22"/>
          <w:szCs w:val="22"/>
          <w:rtl/>
        </w:rPr>
        <w:t>... כאשר אין טענות כאלו כלפי התובע בפרסומים, לא מצאתי לנכון לדון בנושאים וטענות אלו</w:t>
      </w:r>
      <w:r>
        <w:rPr>
          <w:rFonts w:asciiTheme="minorBidi" w:hAnsiTheme="minorBidi" w:cstheme="minorBidi"/>
          <w:sz w:val="22"/>
          <w:szCs w:val="22"/>
          <w:rtl/>
        </w:rPr>
        <w:t>" (סעיף 195 לפסה"ד).</w:t>
      </w:r>
    </w:p>
    <w:p w:rsidR="00FF767A" w:rsidRDefault="00FF767A" w:rsidP="00FF767A">
      <w:pPr>
        <w:spacing w:after="120" w:line="360" w:lineRule="auto"/>
        <w:jc w:val="both"/>
        <w:rPr>
          <w:rFonts w:asciiTheme="minorBidi" w:hAnsiTheme="minorBidi" w:cstheme="minorBidi"/>
          <w:sz w:val="22"/>
          <w:szCs w:val="22"/>
          <w:rtl/>
        </w:rPr>
      </w:pPr>
      <w:r>
        <w:rPr>
          <w:rFonts w:asciiTheme="minorBidi" w:hAnsiTheme="minorBidi" w:cstheme="minorBidi"/>
          <w:sz w:val="22"/>
          <w:szCs w:val="22"/>
          <w:rtl/>
        </w:rPr>
        <w:t>9.</w:t>
      </w:r>
      <w:r>
        <w:rPr>
          <w:rFonts w:asciiTheme="minorBidi" w:hAnsiTheme="minorBidi" w:cstheme="minorBidi"/>
          <w:sz w:val="22"/>
          <w:szCs w:val="22"/>
          <w:rtl/>
        </w:rPr>
        <w:tab/>
        <w:t>בית משפט קמא קבע "</w:t>
      </w:r>
      <w:r>
        <w:rPr>
          <w:rFonts w:asciiTheme="minorBidi" w:hAnsiTheme="minorBidi" w:cstheme="minorBidi"/>
          <w:b/>
          <w:bCs/>
          <w:sz w:val="22"/>
          <w:szCs w:val="22"/>
          <w:rtl/>
        </w:rPr>
        <w:t>שאין כלל צורך לבחון את חזקות סעיף 15</w:t>
      </w:r>
      <w:r>
        <w:rPr>
          <w:rFonts w:asciiTheme="minorBidi" w:hAnsiTheme="minorBidi" w:cstheme="minorBidi"/>
          <w:sz w:val="22"/>
          <w:szCs w:val="22"/>
          <w:rtl/>
        </w:rPr>
        <w:t>" כי</w:t>
      </w:r>
      <w:r>
        <w:rPr>
          <w:rFonts w:asciiTheme="minorBidi" w:hAnsiTheme="minorBidi" w:cstheme="minorBidi"/>
          <w:b/>
          <w:bCs/>
          <w:sz w:val="22"/>
          <w:szCs w:val="22"/>
          <w:rtl/>
        </w:rPr>
        <w:t xml:space="preserve"> </w:t>
      </w:r>
      <w:r>
        <w:rPr>
          <w:rFonts w:asciiTheme="minorBidi" w:hAnsiTheme="minorBidi" w:cstheme="minorBidi"/>
          <w:sz w:val="22"/>
          <w:szCs w:val="22"/>
          <w:rtl/>
        </w:rPr>
        <w:t>"</w:t>
      </w:r>
      <w:r>
        <w:rPr>
          <w:rFonts w:asciiTheme="minorBidi" w:hAnsiTheme="minorBidi" w:cstheme="minorBidi"/>
          <w:b/>
          <w:bCs/>
          <w:sz w:val="22"/>
          <w:szCs w:val="22"/>
          <w:rtl/>
        </w:rPr>
        <w:t>הפרסום נעשה שלא בתום לב, ואף מתקיימת חזקת חוסר תום הלב לגביהם</w:t>
      </w:r>
      <w:r>
        <w:rPr>
          <w:rFonts w:asciiTheme="minorBidi" w:hAnsiTheme="minorBidi" w:cstheme="minorBidi"/>
          <w:sz w:val="22"/>
          <w:szCs w:val="22"/>
          <w:rtl/>
        </w:rPr>
        <w:t>" זאת משום הניסוח "</w:t>
      </w:r>
      <w:r>
        <w:rPr>
          <w:rFonts w:asciiTheme="minorBidi" w:hAnsiTheme="minorBidi" w:cstheme="minorBidi"/>
          <w:b/>
          <w:bCs/>
          <w:sz w:val="22"/>
          <w:szCs w:val="22"/>
          <w:rtl/>
        </w:rPr>
        <w:t>בלשון בוטה ואגרסיבית שאין בה מידתיות אלא רצון לפגוע בתובע</w:t>
      </w:r>
      <w:r>
        <w:rPr>
          <w:rFonts w:asciiTheme="minorBidi" w:hAnsiTheme="minorBidi" w:cstheme="minorBidi"/>
          <w:sz w:val="22"/>
          <w:szCs w:val="22"/>
          <w:rtl/>
        </w:rPr>
        <w:t>".</w:t>
      </w:r>
      <w:r>
        <w:rPr>
          <w:rFonts w:asciiTheme="minorBidi" w:hAnsiTheme="minorBidi" w:cstheme="minorBidi"/>
          <w:noProof w:val="0"/>
          <w:sz w:val="22"/>
          <w:szCs w:val="22"/>
          <w:rtl/>
        </w:rPr>
        <w:tab/>
      </w:r>
    </w:p>
    <w:p w:rsidR="00FF767A" w:rsidRDefault="00FF767A" w:rsidP="008D1394">
      <w:pPr>
        <w:spacing w:after="120" w:line="360" w:lineRule="auto"/>
        <w:jc w:val="both"/>
        <w:rPr>
          <w:rFonts w:asciiTheme="minorBidi" w:hAnsiTheme="minorBidi" w:cstheme="minorBidi"/>
          <w:noProof w:val="0"/>
          <w:sz w:val="22"/>
          <w:szCs w:val="22"/>
          <w:rtl/>
        </w:rPr>
      </w:pPr>
      <w:r>
        <w:rPr>
          <w:rFonts w:asciiTheme="minorBidi" w:hAnsiTheme="minorBidi" w:cstheme="minorBidi"/>
          <w:noProof w:val="0"/>
          <w:sz w:val="22"/>
          <w:szCs w:val="22"/>
          <w:rtl/>
        </w:rPr>
        <w:t>10.</w:t>
      </w:r>
      <w:r>
        <w:rPr>
          <w:rFonts w:asciiTheme="minorBidi" w:hAnsiTheme="minorBidi" w:cstheme="minorBidi"/>
          <w:noProof w:val="0"/>
          <w:sz w:val="22"/>
          <w:szCs w:val="22"/>
          <w:rtl/>
        </w:rPr>
        <w:tab/>
        <w:t xml:space="preserve">בסופו של יום חויבו ששת הנתבעים לפצות את נפתלי. </w:t>
      </w:r>
    </w:p>
    <w:p w:rsidR="00FF767A" w:rsidRDefault="00FF767A" w:rsidP="008D1394">
      <w:pPr>
        <w:spacing w:after="120" w:line="360" w:lineRule="auto"/>
        <w:jc w:val="both"/>
        <w:rPr>
          <w:rFonts w:asciiTheme="minorBidi" w:hAnsiTheme="minorBidi" w:cstheme="minorBidi"/>
          <w:noProof w:val="0"/>
          <w:sz w:val="22"/>
          <w:szCs w:val="22"/>
          <w:rtl/>
        </w:rPr>
      </w:pPr>
      <w:r>
        <w:rPr>
          <w:rFonts w:asciiTheme="minorBidi" w:hAnsiTheme="minorBidi" w:cstheme="minorBidi"/>
          <w:noProof w:val="0"/>
          <w:sz w:val="22"/>
          <w:szCs w:val="22"/>
          <w:rtl/>
        </w:rPr>
        <w:t>על כהן הושת פיצוי בסך 65,000 ₪ בתוספת שכר טרחת עו"ד בסך 25,000 ₪, ועל הליכוד הושת פיצוי בסך 25,000 ₪ בתוספת שכ"ט עו"ד בסך 10,000 ₪.</w:t>
      </w:r>
    </w:p>
    <w:p w:rsidR="00FF767A" w:rsidRDefault="00FF767A" w:rsidP="008D1394">
      <w:pPr>
        <w:spacing w:after="120" w:line="360" w:lineRule="auto"/>
        <w:rPr>
          <w:rFonts w:asciiTheme="minorBidi" w:hAnsiTheme="minorBidi" w:cstheme="minorBidi"/>
          <w:b/>
          <w:bCs/>
          <w:sz w:val="22"/>
          <w:szCs w:val="22"/>
          <w:rtl/>
        </w:rPr>
      </w:pPr>
      <w:r>
        <w:rPr>
          <w:rFonts w:asciiTheme="minorBidi" w:hAnsiTheme="minorBidi" w:cstheme="minorBidi"/>
          <w:b/>
          <w:bCs/>
          <w:sz w:val="22"/>
          <w:szCs w:val="22"/>
          <w:rtl/>
        </w:rPr>
        <w:t>הערעורים</w:t>
      </w:r>
    </w:p>
    <w:p w:rsidR="00FF767A" w:rsidRDefault="00FF767A" w:rsidP="008D1394">
      <w:pPr>
        <w:spacing w:after="120" w:line="360" w:lineRule="auto"/>
        <w:jc w:val="both"/>
        <w:rPr>
          <w:rFonts w:asciiTheme="minorBidi" w:hAnsiTheme="minorBidi" w:cstheme="minorBidi"/>
          <w:sz w:val="22"/>
          <w:szCs w:val="22"/>
          <w:rtl/>
        </w:rPr>
      </w:pPr>
      <w:r>
        <w:rPr>
          <w:rFonts w:asciiTheme="minorBidi" w:hAnsiTheme="minorBidi" w:cstheme="minorBidi"/>
          <w:sz w:val="22"/>
          <w:szCs w:val="22"/>
          <w:rtl/>
        </w:rPr>
        <w:t>11.</w:t>
      </w:r>
      <w:r>
        <w:rPr>
          <w:rFonts w:asciiTheme="minorBidi" w:hAnsiTheme="minorBidi" w:cstheme="minorBidi"/>
          <w:sz w:val="22"/>
          <w:szCs w:val="22"/>
          <w:rtl/>
        </w:rPr>
        <w:tab/>
        <w:t xml:space="preserve">בפתח הדיון בערעור נדחו הערעורים שהוגשו בשם זכאי ושמעוני כך שיריעת המחלוקת הצריכה הכרעה בערעורים צומצמה ונסבה רק על הקביעות המתייחסות לפרסומיהם של כהן והליכוד. </w:t>
      </w:r>
    </w:p>
    <w:p w:rsidR="00FF767A" w:rsidRDefault="00FF767A" w:rsidP="008D1394">
      <w:pPr>
        <w:spacing w:after="120" w:line="360" w:lineRule="auto"/>
        <w:jc w:val="both"/>
        <w:rPr>
          <w:rFonts w:asciiTheme="minorBidi" w:hAnsiTheme="minorBidi" w:cstheme="minorBidi"/>
          <w:sz w:val="22"/>
          <w:szCs w:val="22"/>
          <w:rtl/>
        </w:rPr>
      </w:pPr>
      <w:r>
        <w:rPr>
          <w:rFonts w:asciiTheme="minorBidi" w:hAnsiTheme="minorBidi" w:cstheme="minorBidi"/>
          <w:sz w:val="22"/>
          <w:szCs w:val="22"/>
          <w:rtl/>
        </w:rPr>
        <w:t>הקביעות לגבי ארבעת הנתבעים האחרים  - הפכו חלוטות.</w:t>
      </w:r>
    </w:p>
    <w:p w:rsidR="00FF767A" w:rsidRDefault="00FF767A" w:rsidP="008D1394">
      <w:pPr>
        <w:spacing w:after="120" w:line="360" w:lineRule="auto"/>
        <w:jc w:val="both"/>
        <w:rPr>
          <w:rFonts w:asciiTheme="minorBidi" w:hAnsiTheme="minorBidi" w:cstheme="minorBidi"/>
          <w:sz w:val="22"/>
          <w:szCs w:val="22"/>
          <w:u w:val="single"/>
          <w:rtl/>
        </w:rPr>
      </w:pPr>
      <w:r>
        <w:rPr>
          <w:rFonts w:asciiTheme="minorBidi" w:hAnsiTheme="minorBidi" w:cstheme="minorBidi"/>
          <w:sz w:val="22"/>
          <w:szCs w:val="22"/>
          <w:u w:val="single"/>
          <w:rtl/>
        </w:rPr>
        <w:t>ערעור כהן</w:t>
      </w:r>
    </w:p>
    <w:p w:rsidR="00FF767A" w:rsidRDefault="00FF767A" w:rsidP="008D1394">
      <w:pPr>
        <w:spacing w:after="120" w:line="360" w:lineRule="auto"/>
        <w:jc w:val="both"/>
        <w:rPr>
          <w:rFonts w:asciiTheme="minorBidi" w:hAnsiTheme="minorBidi" w:cstheme="minorBidi"/>
          <w:sz w:val="22"/>
          <w:szCs w:val="22"/>
          <w:rtl/>
        </w:rPr>
      </w:pPr>
      <w:r>
        <w:rPr>
          <w:rFonts w:asciiTheme="minorBidi" w:hAnsiTheme="minorBidi" w:cstheme="minorBidi"/>
          <w:sz w:val="22"/>
          <w:szCs w:val="22"/>
          <w:rtl/>
        </w:rPr>
        <w:t>12.</w:t>
      </w:r>
      <w:r>
        <w:rPr>
          <w:rFonts w:asciiTheme="minorBidi" w:hAnsiTheme="minorBidi" w:cstheme="minorBidi"/>
          <w:sz w:val="22"/>
          <w:szCs w:val="22"/>
          <w:rtl/>
        </w:rPr>
        <w:tab/>
        <w:t>בערע</w:t>
      </w:r>
      <w:r>
        <w:rPr>
          <w:rFonts w:asciiTheme="minorBidi" w:hAnsiTheme="minorBidi" w:cstheme="minorBidi"/>
          <w:b/>
          <w:bCs/>
          <w:sz w:val="22"/>
          <w:szCs w:val="22"/>
          <w:rtl/>
        </w:rPr>
        <w:t>ו</w:t>
      </w:r>
      <w:r>
        <w:rPr>
          <w:rFonts w:asciiTheme="minorBidi" w:hAnsiTheme="minorBidi" w:cstheme="minorBidi"/>
          <w:sz w:val="22"/>
          <w:szCs w:val="22"/>
          <w:rtl/>
        </w:rPr>
        <w:t>רו, טוען כהן אך להגנת האמת, ומונה תשע-עשרה "</w:t>
      </w:r>
      <w:r>
        <w:rPr>
          <w:rFonts w:asciiTheme="minorBidi" w:hAnsiTheme="minorBidi" w:cstheme="minorBidi"/>
          <w:b/>
          <w:bCs/>
          <w:sz w:val="22"/>
          <w:szCs w:val="22"/>
          <w:rtl/>
        </w:rPr>
        <w:t>שגגות</w:t>
      </w:r>
      <w:r>
        <w:rPr>
          <w:rFonts w:asciiTheme="minorBidi" w:hAnsiTheme="minorBidi" w:cstheme="minorBidi"/>
          <w:sz w:val="22"/>
          <w:szCs w:val="22"/>
          <w:rtl/>
        </w:rPr>
        <w:t xml:space="preserve">" שנפלו לדבריו בפסק הדין, בהקשר להגנה זו. </w:t>
      </w:r>
    </w:p>
    <w:p w:rsidR="00FF767A" w:rsidRDefault="00FF767A" w:rsidP="008D1394">
      <w:pPr>
        <w:spacing w:after="120" w:line="360" w:lineRule="auto"/>
        <w:jc w:val="both"/>
        <w:rPr>
          <w:rFonts w:asciiTheme="minorBidi" w:hAnsiTheme="minorBidi" w:cstheme="minorBidi"/>
          <w:sz w:val="22"/>
          <w:szCs w:val="22"/>
          <w:rtl/>
        </w:rPr>
      </w:pPr>
      <w:r>
        <w:rPr>
          <w:rFonts w:asciiTheme="minorBidi" w:hAnsiTheme="minorBidi" w:cstheme="minorBidi"/>
          <w:sz w:val="22"/>
          <w:szCs w:val="22"/>
          <w:rtl/>
        </w:rPr>
        <w:t>הראש האחד של טענותיו עניינו בהתעלמותו המוחלטת של בימ"ש קמא משורה ארוכה של ראיות החותרות תחת מסקנתו להיות נפתלי "</w:t>
      </w:r>
      <w:r>
        <w:rPr>
          <w:rFonts w:asciiTheme="minorBidi" w:hAnsiTheme="minorBidi" w:cstheme="minorBidi"/>
          <w:b/>
          <w:bCs/>
          <w:sz w:val="22"/>
          <w:szCs w:val="22"/>
          <w:rtl/>
        </w:rPr>
        <w:t>אמין וערכי</w:t>
      </w:r>
      <w:r>
        <w:rPr>
          <w:rFonts w:asciiTheme="minorBidi" w:hAnsiTheme="minorBidi" w:cstheme="minorBidi"/>
          <w:sz w:val="22"/>
          <w:szCs w:val="22"/>
          <w:rtl/>
        </w:rPr>
        <w:t xml:space="preserve">", כמו למשל עדות עובדת המעון ס'ג', שבה נהג נפתלי לפי עדותה באלימות מינית; עדות עו"ד נתן שרייבר המלמדת על התנהגות אלימה של נפתלי; עדות אב הבית אפי אזולאי; ועוד. </w:t>
      </w:r>
    </w:p>
    <w:p w:rsidR="00FF767A" w:rsidRDefault="00FF767A" w:rsidP="008D1394">
      <w:pPr>
        <w:spacing w:after="120" w:line="360" w:lineRule="auto"/>
        <w:jc w:val="both"/>
        <w:rPr>
          <w:rFonts w:asciiTheme="minorBidi" w:hAnsiTheme="minorBidi" w:cstheme="minorBidi"/>
          <w:sz w:val="22"/>
          <w:szCs w:val="22"/>
          <w:rtl/>
        </w:rPr>
      </w:pPr>
      <w:r>
        <w:rPr>
          <w:rFonts w:asciiTheme="minorBidi" w:hAnsiTheme="minorBidi" w:cstheme="minorBidi"/>
          <w:sz w:val="22"/>
          <w:szCs w:val="22"/>
          <w:rtl/>
        </w:rPr>
        <w:t xml:space="preserve">הראש השני של הטענות יוצא נגד מסקנותיו של בימ"ש קמא שאינן מתיישבות, כך נטען, עם הממצאים שבית משפט קמא בעצמו קבע, ואינן עולות בקנה אחד עמם. </w:t>
      </w:r>
    </w:p>
    <w:p w:rsidR="00FF767A" w:rsidRDefault="00FF767A" w:rsidP="008D1394">
      <w:pPr>
        <w:spacing w:after="120" w:line="360" w:lineRule="auto"/>
        <w:jc w:val="both"/>
        <w:rPr>
          <w:rFonts w:asciiTheme="minorBidi" w:hAnsiTheme="minorBidi" w:cstheme="minorBidi"/>
          <w:sz w:val="22"/>
          <w:szCs w:val="22"/>
          <w:rtl/>
        </w:rPr>
      </w:pPr>
      <w:r>
        <w:rPr>
          <w:rFonts w:asciiTheme="minorBidi" w:hAnsiTheme="minorBidi" w:cstheme="minorBidi"/>
          <w:sz w:val="22"/>
          <w:szCs w:val="22"/>
          <w:rtl/>
        </w:rPr>
        <w:lastRenderedPageBreak/>
        <w:t>כהן גם יוצא נגד אמירת בית משפט קמא לפיה נפתלי הוא אולי שקרן אך "</w:t>
      </w:r>
      <w:r>
        <w:rPr>
          <w:rFonts w:asciiTheme="minorBidi" w:hAnsiTheme="minorBidi" w:cstheme="minorBidi"/>
          <w:b/>
          <w:bCs/>
          <w:sz w:val="22"/>
          <w:szCs w:val="22"/>
          <w:rtl/>
        </w:rPr>
        <w:t>לא באופן בוטה</w:t>
      </w:r>
      <w:r>
        <w:rPr>
          <w:rFonts w:asciiTheme="minorBidi" w:hAnsiTheme="minorBidi" w:cstheme="minorBidi"/>
          <w:sz w:val="22"/>
          <w:szCs w:val="22"/>
          <w:rtl/>
        </w:rPr>
        <w:t>", שקרן אך לא "</w:t>
      </w:r>
      <w:r>
        <w:rPr>
          <w:rFonts w:asciiTheme="minorBidi" w:hAnsiTheme="minorBidi" w:cstheme="minorBidi"/>
          <w:b/>
          <w:bCs/>
          <w:sz w:val="22"/>
          <w:szCs w:val="22"/>
          <w:rtl/>
        </w:rPr>
        <w:t>שקרן גדול</w:t>
      </w:r>
      <w:r>
        <w:rPr>
          <w:rFonts w:asciiTheme="minorBidi" w:hAnsiTheme="minorBidi" w:cstheme="minorBidi"/>
          <w:sz w:val="22"/>
          <w:szCs w:val="22"/>
          <w:rtl/>
        </w:rPr>
        <w:t>". לדבריו, אם הוכחה אמירת שקר מפי נפתלי הרי "</w:t>
      </w:r>
      <w:r>
        <w:rPr>
          <w:rFonts w:asciiTheme="minorBidi" w:hAnsiTheme="minorBidi" w:cstheme="minorBidi"/>
          <w:b/>
          <w:bCs/>
          <w:sz w:val="22"/>
          <w:szCs w:val="22"/>
          <w:rtl/>
        </w:rPr>
        <w:t>האיש שקרן יהיו מניעיו אשר יהיו</w:t>
      </w:r>
      <w:r>
        <w:rPr>
          <w:rFonts w:asciiTheme="minorBidi" w:hAnsiTheme="minorBidi" w:cstheme="minorBidi"/>
          <w:sz w:val="22"/>
          <w:szCs w:val="22"/>
          <w:rtl/>
        </w:rPr>
        <w:t xml:space="preserve">", ואין נפקא מינא אם קטן הוא או גדול. </w:t>
      </w:r>
    </w:p>
    <w:p w:rsidR="00FF767A" w:rsidRDefault="00FF767A" w:rsidP="008D1394">
      <w:pPr>
        <w:spacing w:after="120" w:line="360" w:lineRule="auto"/>
        <w:jc w:val="both"/>
        <w:rPr>
          <w:rFonts w:asciiTheme="minorBidi" w:hAnsiTheme="minorBidi" w:cstheme="minorBidi"/>
          <w:sz w:val="22"/>
          <w:szCs w:val="22"/>
          <w:rtl/>
        </w:rPr>
      </w:pPr>
      <w:r>
        <w:rPr>
          <w:rFonts w:asciiTheme="minorBidi" w:hAnsiTheme="minorBidi" w:cstheme="minorBidi"/>
          <w:sz w:val="22"/>
          <w:szCs w:val="22"/>
          <w:rtl/>
        </w:rPr>
        <w:t>כהן גם מלין על התעלמות בית משפט קמא מהכלל הקובע שבהגנת האמת אין לדרוש זהות מוחלטת בין הפרסום לבין המציאות העובדתית.</w:t>
      </w:r>
    </w:p>
    <w:p w:rsidR="00FF767A" w:rsidRDefault="00FF767A" w:rsidP="008D1394">
      <w:pPr>
        <w:spacing w:after="120" w:line="360" w:lineRule="auto"/>
        <w:jc w:val="both"/>
        <w:rPr>
          <w:rFonts w:asciiTheme="minorBidi" w:hAnsiTheme="minorBidi" w:cstheme="minorBidi"/>
          <w:sz w:val="22"/>
          <w:szCs w:val="22"/>
          <w:u w:val="single"/>
          <w:rtl/>
        </w:rPr>
      </w:pPr>
      <w:r>
        <w:rPr>
          <w:rFonts w:asciiTheme="minorBidi" w:hAnsiTheme="minorBidi" w:cstheme="minorBidi"/>
          <w:sz w:val="22"/>
          <w:szCs w:val="22"/>
          <w:u w:val="single"/>
          <w:rtl/>
        </w:rPr>
        <w:t>ערעור הליכוד</w:t>
      </w:r>
    </w:p>
    <w:p w:rsidR="00FF767A" w:rsidRDefault="00FF767A" w:rsidP="008D1394">
      <w:pPr>
        <w:spacing w:after="120" w:line="360" w:lineRule="auto"/>
        <w:jc w:val="both"/>
        <w:rPr>
          <w:rFonts w:asciiTheme="minorBidi" w:hAnsiTheme="minorBidi" w:cstheme="minorBidi"/>
          <w:sz w:val="22"/>
          <w:szCs w:val="22"/>
          <w:rtl/>
        </w:rPr>
      </w:pPr>
      <w:r>
        <w:rPr>
          <w:rFonts w:asciiTheme="minorBidi" w:hAnsiTheme="minorBidi" w:cstheme="minorBidi"/>
          <w:sz w:val="22"/>
          <w:szCs w:val="22"/>
          <w:rtl/>
        </w:rPr>
        <w:t>13.</w:t>
      </w:r>
      <w:r>
        <w:rPr>
          <w:rFonts w:asciiTheme="minorBidi" w:hAnsiTheme="minorBidi" w:cstheme="minorBidi"/>
          <w:sz w:val="22"/>
          <w:szCs w:val="22"/>
          <w:rtl/>
        </w:rPr>
        <w:tab/>
        <w:t>הליכוד חוזרת על טענת הרקע לפיה תביעת נפתלי היתה "</w:t>
      </w:r>
      <w:r>
        <w:rPr>
          <w:rFonts w:asciiTheme="minorBidi" w:hAnsiTheme="minorBidi" w:cstheme="minorBidi"/>
          <w:b/>
          <w:bCs/>
          <w:sz w:val="22"/>
          <w:szCs w:val="22"/>
          <w:rtl/>
        </w:rPr>
        <w:t>חלק מקמפיין תקשורתי</w:t>
      </w:r>
      <w:r w:rsidRPr="000635B1">
        <w:rPr>
          <w:rFonts w:asciiTheme="minorBidi" w:hAnsiTheme="minorBidi" w:cstheme="minorBidi"/>
          <w:sz w:val="22"/>
          <w:szCs w:val="22"/>
          <w:rtl/>
        </w:rPr>
        <w:t>"</w:t>
      </w:r>
      <w:r>
        <w:rPr>
          <w:rFonts w:asciiTheme="minorBidi" w:hAnsiTheme="minorBidi" w:cstheme="minorBidi"/>
          <w:sz w:val="22"/>
          <w:szCs w:val="22"/>
          <w:rtl/>
        </w:rPr>
        <w:t xml:space="preserve"> ששם לו למטרה לפגוע במועמד הליכוד לראשות הממשלה</w:t>
      </w:r>
      <w:r>
        <w:rPr>
          <w:rFonts w:asciiTheme="minorBidi" w:hAnsiTheme="minorBidi" w:cstheme="minorBidi"/>
          <w:b/>
          <w:bCs/>
          <w:sz w:val="22"/>
          <w:szCs w:val="22"/>
          <w:rtl/>
        </w:rPr>
        <w:t xml:space="preserve"> </w:t>
      </w:r>
      <w:r>
        <w:rPr>
          <w:rFonts w:asciiTheme="minorBidi" w:hAnsiTheme="minorBidi" w:cstheme="minorBidi"/>
          <w:sz w:val="22"/>
          <w:szCs w:val="22"/>
          <w:rtl/>
        </w:rPr>
        <w:t>ו"</w:t>
      </w:r>
      <w:r>
        <w:rPr>
          <w:rFonts w:asciiTheme="minorBidi" w:hAnsiTheme="minorBidi" w:cstheme="minorBidi"/>
          <w:b/>
          <w:bCs/>
          <w:sz w:val="22"/>
          <w:szCs w:val="22"/>
          <w:rtl/>
        </w:rPr>
        <w:t>בסיכויי הליכוד לזכות בבחירות, להטות פוליטית את תוצאותיהן</w:t>
      </w:r>
      <w:r>
        <w:rPr>
          <w:rFonts w:asciiTheme="minorBidi" w:hAnsiTheme="minorBidi" w:cstheme="minorBidi"/>
          <w:sz w:val="22"/>
          <w:szCs w:val="22"/>
          <w:rtl/>
        </w:rPr>
        <w:t>".</w:t>
      </w:r>
    </w:p>
    <w:p w:rsidR="00FF767A" w:rsidRDefault="00FF767A" w:rsidP="008D1394">
      <w:pPr>
        <w:spacing w:after="120" w:line="360" w:lineRule="auto"/>
        <w:jc w:val="both"/>
        <w:rPr>
          <w:rFonts w:asciiTheme="minorBidi" w:hAnsiTheme="minorBidi" w:cstheme="minorBidi"/>
          <w:sz w:val="22"/>
          <w:szCs w:val="22"/>
          <w:rtl/>
        </w:rPr>
      </w:pPr>
      <w:r>
        <w:rPr>
          <w:rFonts w:asciiTheme="minorBidi" w:hAnsiTheme="minorBidi" w:cstheme="minorBidi"/>
          <w:sz w:val="22"/>
          <w:szCs w:val="22"/>
          <w:rtl/>
        </w:rPr>
        <w:t>לגופו של הפרסום בפוסט נטען כי כל ההיגדים שצוטטו בתביעה אינם עולים כדי לשון הרע לפי מבחן האדם הסביר; כי הפרסום חוסה בצל הגנת תום הלב בהיותו פרסום ש"</w:t>
      </w:r>
      <w:r>
        <w:rPr>
          <w:rFonts w:asciiTheme="minorBidi" w:hAnsiTheme="minorBidi" w:cstheme="minorBidi"/>
          <w:b/>
          <w:bCs/>
          <w:sz w:val="22"/>
          <w:szCs w:val="22"/>
          <w:rtl/>
        </w:rPr>
        <w:t>היחסים שבינו לבין האדם שאליו הופנה הפרסום הטילו עליו חובה חוקית, מוסרית או חברתית לעשות אותו פרסום</w:t>
      </w:r>
      <w:r>
        <w:rPr>
          <w:rFonts w:asciiTheme="minorBidi" w:hAnsiTheme="minorBidi" w:cstheme="minorBidi"/>
          <w:sz w:val="22"/>
          <w:szCs w:val="22"/>
          <w:rtl/>
        </w:rPr>
        <w:t>"</w:t>
      </w:r>
      <w:r>
        <w:rPr>
          <w:rFonts w:asciiTheme="minorBidi" w:hAnsiTheme="minorBidi" w:cstheme="minorBidi"/>
          <w:b/>
          <w:bCs/>
          <w:sz w:val="22"/>
          <w:szCs w:val="22"/>
          <w:rtl/>
        </w:rPr>
        <w:t xml:space="preserve"> </w:t>
      </w:r>
      <w:r>
        <w:rPr>
          <w:rFonts w:asciiTheme="minorBidi" w:hAnsiTheme="minorBidi" w:cstheme="minorBidi"/>
          <w:sz w:val="22"/>
          <w:szCs w:val="22"/>
          <w:rtl/>
        </w:rPr>
        <w:t>לפי סעיף 15(2) לחוק, משנוכח המועד בו נעשה - פרסום דו"ח מבקר המדינה - "</w:t>
      </w:r>
      <w:r>
        <w:rPr>
          <w:rFonts w:asciiTheme="minorBidi" w:hAnsiTheme="minorBidi" w:cstheme="minorBidi"/>
          <w:b/>
          <w:bCs/>
          <w:sz w:val="22"/>
          <w:szCs w:val="22"/>
          <w:rtl/>
        </w:rPr>
        <w:t>הייתה לליכוד זכות ואף חובה להציג בפני הציבור את גרסתה לקמפיין של המשיב וכן לדוח מבקר המדינה</w:t>
      </w:r>
      <w:r>
        <w:rPr>
          <w:rFonts w:asciiTheme="minorBidi" w:hAnsiTheme="minorBidi" w:cstheme="minorBidi"/>
          <w:sz w:val="22"/>
          <w:szCs w:val="22"/>
          <w:rtl/>
        </w:rPr>
        <w:t>...", אף מחמת ההגנה שבסעיף 15(10) לחוק. כן נטען כי אף הוכחה הגנת האמת.</w:t>
      </w:r>
    </w:p>
    <w:p w:rsidR="00FF767A" w:rsidRDefault="00FF767A" w:rsidP="008D1394">
      <w:pPr>
        <w:spacing w:after="120" w:line="360" w:lineRule="auto"/>
        <w:jc w:val="both"/>
        <w:rPr>
          <w:rFonts w:asciiTheme="minorBidi" w:hAnsiTheme="minorBidi" w:cstheme="minorBidi"/>
          <w:sz w:val="22"/>
          <w:szCs w:val="22"/>
          <w:u w:val="single"/>
          <w:rtl/>
        </w:rPr>
      </w:pPr>
      <w:r>
        <w:rPr>
          <w:rFonts w:asciiTheme="minorBidi" w:hAnsiTheme="minorBidi" w:cstheme="minorBidi"/>
          <w:sz w:val="22"/>
          <w:szCs w:val="22"/>
          <w:u w:val="single"/>
          <w:rtl/>
        </w:rPr>
        <w:t>תשובת נפתלי</w:t>
      </w:r>
    </w:p>
    <w:p w:rsidR="00FF767A" w:rsidRDefault="00FF767A" w:rsidP="008D1394">
      <w:pPr>
        <w:spacing w:after="120" w:line="360" w:lineRule="auto"/>
        <w:jc w:val="both"/>
        <w:rPr>
          <w:rFonts w:asciiTheme="minorBidi" w:hAnsiTheme="minorBidi" w:cstheme="minorBidi"/>
          <w:sz w:val="22"/>
          <w:szCs w:val="22"/>
          <w:rtl/>
        </w:rPr>
      </w:pPr>
      <w:r>
        <w:rPr>
          <w:rFonts w:asciiTheme="minorBidi" w:hAnsiTheme="minorBidi" w:cstheme="minorBidi"/>
          <w:sz w:val="22"/>
          <w:szCs w:val="22"/>
          <w:rtl/>
        </w:rPr>
        <w:t>14.</w:t>
      </w:r>
      <w:r>
        <w:rPr>
          <w:rFonts w:asciiTheme="minorBidi" w:hAnsiTheme="minorBidi" w:cstheme="minorBidi"/>
          <w:sz w:val="22"/>
          <w:szCs w:val="22"/>
          <w:rtl/>
        </w:rPr>
        <w:tab/>
        <w:t>בפתח טיעונו עתר נפתלי לדחיית ערעורם של זכאי ושמעון משלא הפקידו ערבון.</w:t>
      </w:r>
    </w:p>
    <w:p w:rsidR="00FF767A" w:rsidRDefault="00FF767A" w:rsidP="008D1394">
      <w:pPr>
        <w:spacing w:after="120" w:line="360" w:lineRule="auto"/>
        <w:jc w:val="both"/>
        <w:rPr>
          <w:rFonts w:asciiTheme="minorBidi" w:hAnsiTheme="minorBidi" w:cstheme="minorBidi"/>
          <w:sz w:val="22"/>
          <w:szCs w:val="22"/>
          <w:rtl/>
        </w:rPr>
      </w:pPr>
      <w:r>
        <w:rPr>
          <w:rFonts w:asciiTheme="minorBidi" w:hAnsiTheme="minorBidi" w:cstheme="minorBidi"/>
          <w:sz w:val="22"/>
          <w:szCs w:val="22"/>
          <w:rtl/>
        </w:rPr>
        <w:t>לגופם של ערעורים טען נפתלי כי המערערים מבקשים לנהל את ההליך מחדש, אף מערערים  על ממצאי עובדה וקביעות מהימנות, שערכאת הערעור לא נוהגת להתערב בהם.</w:t>
      </w:r>
    </w:p>
    <w:p w:rsidR="00FF767A" w:rsidRDefault="00FF767A" w:rsidP="008D1394">
      <w:pPr>
        <w:spacing w:after="120" w:line="360" w:lineRule="auto"/>
        <w:jc w:val="both"/>
        <w:rPr>
          <w:rFonts w:asciiTheme="minorBidi" w:hAnsiTheme="minorBidi" w:cstheme="minorBidi"/>
          <w:sz w:val="22"/>
          <w:szCs w:val="22"/>
          <w:rtl/>
        </w:rPr>
      </w:pPr>
      <w:r>
        <w:rPr>
          <w:rFonts w:asciiTheme="minorBidi" w:hAnsiTheme="minorBidi" w:cstheme="minorBidi"/>
          <w:sz w:val="22"/>
          <w:szCs w:val="22"/>
          <w:rtl/>
        </w:rPr>
        <w:t>ביחס לערעורו של כהן טען נפתלי כי עדיו נתגלו כעדי שקר; כי טענותיו קרסו במהלך הדיון; כי המסמכים שהגיש מוכיחים שטענותיו הן "</w:t>
      </w:r>
      <w:r>
        <w:rPr>
          <w:rFonts w:asciiTheme="minorBidi" w:hAnsiTheme="minorBidi" w:cstheme="minorBidi"/>
          <w:b/>
          <w:bCs/>
          <w:sz w:val="22"/>
          <w:szCs w:val="22"/>
          <w:rtl/>
        </w:rPr>
        <w:t>טענות כזב ארסיות</w:t>
      </w:r>
      <w:r>
        <w:rPr>
          <w:rFonts w:asciiTheme="minorBidi" w:hAnsiTheme="minorBidi" w:cstheme="minorBidi"/>
          <w:sz w:val="22"/>
          <w:szCs w:val="22"/>
          <w:rtl/>
        </w:rPr>
        <w:t>"; כי נימוקי ביהמ"ש קמא משתרעים על מסכת ראייתית רחבה; כי כהן כשל מלהוכיח פגם באישיותו של נפתלי; כי זכאי ושמעון העידו עדות שקר משום שחששו למקום עבודתם; כי כהן ניסה להשחיר את דמותו של נפתלי; כי עו"ד שרייבר שלל התנהגות אלימה מצד נפתלי; וכי בית המשפט קבע כי עדותה של עובדת המעון היתה רצופה אי אמירת אמת.</w:t>
      </w:r>
    </w:p>
    <w:p w:rsidR="00FF767A" w:rsidRDefault="00FF767A" w:rsidP="008D1394">
      <w:pPr>
        <w:spacing w:after="120" w:line="360" w:lineRule="auto"/>
        <w:jc w:val="both"/>
        <w:rPr>
          <w:rFonts w:asciiTheme="minorBidi" w:hAnsiTheme="minorBidi" w:cstheme="minorBidi"/>
          <w:sz w:val="22"/>
          <w:szCs w:val="22"/>
          <w:rtl/>
        </w:rPr>
      </w:pPr>
      <w:r>
        <w:rPr>
          <w:rFonts w:asciiTheme="minorBidi" w:hAnsiTheme="minorBidi" w:cstheme="minorBidi"/>
          <w:sz w:val="22"/>
          <w:szCs w:val="22"/>
          <w:rtl/>
        </w:rPr>
        <w:t xml:space="preserve">וביחס לערעור הליכוד - נפתלי מפנה להרשעתם של הגברת שרה נתניהו ועזרא סיידוף, ולזכייתו בתביעה שהגיש נגדם לבית הדין לעבודה. נפתלי טוען כי כלל לא ניהל קמפיין תקשורתי; כי הסערה הציבורית לא </w:t>
      </w:r>
      <w:r>
        <w:rPr>
          <w:rFonts w:asciiTheme="minorBidi" w:hAnsiTheme="minorBidi" w:cstheme="minorBidi"/>
          <w:sz w:val="22"/>
          <w:szCs w:val="22"/>
          <w:rtl/>
        </w:rPr>
        <w:lastRenderedPageBreak/>
        <w:t>היתה פרי יוזמתו; כי הפרסום נעשה לא כחלק מחובה מוסרית כי אם "</w:t>
      </w:r>
      <w:r>
        <w:rPr>
          <w:rFonts w:asciiTheme="minorBidi" w:hAnsiTheme="minorBidi" w:cstheme="minorBidi"/>
          <w:b/>
          <w:bCs/>
          <w:sz w:val="22"/>
          <w:szCs w:val="22"/>
          <w:rtl/>
        </w:rPr>
        <w:t>חלק מקמפיין פוליטי</w:t>
      </w:r>
      <w:r>
        <w:rPr>
          <w:rFonts w:asciiTheme="minorBidi" w:hAnsiTheme="minorBidi" w:cstheme="minorBidi"/>
          <w:sz w:val="22"/>
          <w:szCs w:val="22"/>
          <w:rtl/>
        </w:rPr>
        <w:t>" ערב הבחירות, אף כדי "</w:t>
      </w:r>
      <w:r>
        <w:rPr>
          <w:rFonts w:asciiTheme="minorBidi" w:hAnsiTheme="minorBidi" w:cstheme="minorBidi"/>
          <w:b/>
          <w:bCs/>
          <w:sz w:val="22"/>
          <w:szCs w:val="22"/>
          <w:rtl/>
        </w:rPr>
        <w:t>להשיב למשיב כגמולו</w:t>
      </w:r>
      <w:r>
        <w:rPr>
          <w:rFonts w:asciiTheme="minorBidi" w:hAnsiTheme="minorBidi" w:cstheme="minorBidi"/>
          <w:sz w:val="22"/>
          <w:szCs w:val="22"/>
          <w:rtl/>
        </w:rPr>
        <w:t>"; כי הליכוד כשלה מלהוכיח את הגנת תום הלב; כי אינה מפרשת כהלכה את מבחן האדם הסביר; וכי הגנת החובה המוסרית לפרסום טעונה אדן עובדתי שלא הונח כלל.</w:t>
      </w:r>
    </w:p>
    <w:p w:rsidR="00FF767A" w:rsidRDefault="00FF767A" w:rsidP="00FF767A">
      <w:pPr>
        <w:spacing w:after="120" w:line="360" w:lineRule="auto"/>
        <w:ind w:right="426"/>
        <w:jc w:val="both"/>
        <w:rPr>
          <w:rFonts w:asciiTheme="minorBidi" w:hAnsiTheme="minorBidi" w:cstheme="minorBidi"/>
          <w:b/>
          <w:bCs/>
          <w:sz w:val="28"/>
          <w:szCs w:val="28"/>
          <w:rtl/>
        </w:rPr>
      </w:pPr>
      <w:r>
        <w:rPr>
          <w:rFonts w:asciiTheme="minorBidi" w:hAnsiTheme="minorBidi" w:cstheme="minorBidi"/>
          <w:b/>
          <w:bCs/>
          <w:sz w:val="28"/>
          <w:szCs w:val="28"/>
          <w:rtl/>
        </w:rPr>
        <w:t>ד י ו ן   ו ה כ ר ע ה</w:t>
      </w:r>
    </w:p>
    <w:p w:rsidR="00FF767A" w:rsidRDefault="00FF767A" w:rsidP="000635B1">
      <w:pPr>
        <w:spacing w:after="120" w:line="360" w:lineRule="auto"/>
        <w:ind w:right="142"/>
        <w:jc w:val="both"/>
        <w:rPr>
          <w:rFonts w:asciiTheme="minorBidi" w:hAnsiTheme="minorBidi" w:cstheme="minorBidi"/>
          <w:sz w:val="22"/>
          <w:szCs w:val="22"/>
          <w:rtl/>
        </w:rPr>
      </w:pPr>
      <w:r>
        <w:rPr>
          <w:rFonts w:asciiTheme="minorBidi" w:hAnsiTheme="minorBidi" w:cstheme="minorBidi"/>
          <w:sz w:val="22"/>
          <w:szCs w:val="22"/>
          <w:rtl/>
        </w:rPr>
        <w:t>15.</w:t>
      </w:r>
      <w:r>
        <w:rPr>
          <w:rFonts w:asciiTheme="minorBidi" w:hAnsiTheme="minorBidi" w:cstheme="minorBidi"/>
          <w:sz w:val="22"/>
          <w:szCs w:val="22"/>
          <w:rtl/>
        </w:rPr>
        <w:tab/>
        <w:t xml:space="preserve">כאמור לעיל, פסק דיננו יתייחס רק לאותן הקביעות שבפסק דינו של בית משפט קמא באשר לפרסומי כהן והליכוד. </w:t>
      </w:r>
    </w:p>
    <w:p w:rsidR="00FF767A" w:rsidRDefault="00FF767A" w:rsidP="00FF767A">
      <w:pPr>
        <w:spacing w:after="120" w:line="360" w:lineRule="auto"/>
        <w:ind w:right="142"/>
        <w:jc w:val="both"/>
        <w:rPr>
          <w:rFonts w:asciiTheme="minorBidi" w:hAnsiTheme="minorBidi" w:cstheme="minorBidi"/>
          <w:sz w:val="22"/>
          <w:szCs w:val="22"/>
          <w:rtl/>
        </w:rPr>
      </w:pPr>
      <w:r>
        <w:rPr>
          <w:rFonts w:asciiTheme="minorBidi" w:hAnsiTheme="minorBidi" w:cstheme="minorBidi"/>
          <w:sz w:val="22"/>
          <w:szCs w:val="22"/>
          <w:rtl/>
        </w:rPr>
        <w:t>הפסיקה הישראלית שופעת הלכות בהקשר לדיני פרסום לשון הרע: חופש הביטוי מזה, והזכות לשם טוב מזה, פרסומים מותרים, הגנות, חופש הביטוי במישור הציבורי, ועוד. ההלכה ברורה והתקדימים, לרבות אלו המתייחסים לפרסומים בעלי רקע פוליטי, כפי ענייננו, מרובים המה. לא אכביר אפוא מילים מיותרות, ומשההכרעה בערעורים שלפנינו עוברת דרך שדה משפטי חרוש, אגש ישירות לשאלות הצריכות הכרעה.</w:t>
      </w:r>
    </w:p>
    <w:p w:rsidR="00FF767A" w:rsidRDefault="00FF767A" w:rsidP="00FF767A">
      <w:pPr>
        <w:spacing w:after="120" w:line="360" w:lineRule="auto"/>
        <w:ind w:right="142"/>
        <w:jc w:val="both"/>
        <w:rPr>
          <w:rFonts w:asciiTheme="minorBidi" w:hAnsiTheme="minorBidi" w:cstheme="minorBidi"/>
          <w:b/>
          <w:bCs/>
          <w:sz w:val="22"/>
          <w:szCs w:val="22"/>
          <w:rtl/>
        </w:rPr>
      </w:pPr>
      <w:r>
        <w:rPr>
          <w:rFonts w:asciiTheme="minorBidi" w:hAnsiTheme="minorBidi" w:cstheme="minorBidi"/>
          <w:b/>
          <w:bCs/>
          <w:sz w:val="22"/>
          <w:szCs w:val="22"/>
          <w:rtl/>
        </w:rPr>
        <w:t>ערעור כהן</w:t>
      </w:r>
    </w:p>
    <w:p w:rsidR="00FF767A" w:rsidRDefault="00FF767A" w:rsidP="00FF767A">
      <w:pPr>
        <w:spacing w:after="120" w:line="360" w:lineRule="auto"/>
        <w:jc w:val="both"/>
        <w:rPr>
          <w:rFonts w:asciiTheme="minorBidi" w:hAnsiTheme="minorBidi" w:cstheme="minorBidi"/>
          <w:sz w:val="22"/>
          <w:szCs w:val="22"/>
          <w:rtl/>
        </w:rPr>
      </w:pPr>
      <w:r>
        <w:rPr>
          <w:rFonts w:asciiTheme="minorBidi" w:hAnsiTheme="minorBidi" w:cstheme="minorBidi"/>
          <w:sz w:val="22"/>
          <w:szCs w:val="22"/>
          <w:rtl/>
        </w:rPr>
        <w:t>16.</w:t>
      </w:r>
      <w:r>
        <w:rPr>
          <w:rFonts w:asciiTheme="minorBidi" w:hAnsiTheme="minorBidi" w:cstheme="minorBidi"/>
          <w:sz w:val="22"/>
          <w:szCs w:val="22"/>
          <w:rtl/>
        </w:rPr>
        <w:tab/>
        <w:t xml:space="preserve">כתב התביעה מייחס לכהן פרסום לשון הרע בגין חמשת ההיגדים שצוטטו בסעיף 3 לעיל. </w:t>
      </w:r>
    </w:p>
    <w:p w:rsidR="00FF767A" w:rsidRDefault="00FF767A" w:rsidP="00FF767A">
      <w:pPr>
        <w:spacing w:after="120" w:line="360" w:lineRule="auto"/>
        <w:jc w:val="both"/>
        <w:rPr>
          <w:rFonts w:asciiTheme="minorBidi" w:hAnsiTheme="minorBidi" w:cstheme="minorBidi"/>
          <w:b/>
          <w:bCs/>
          <w:sz w:val="22"/>
          <w:szCs w:val="22"/>
          <w:rtl/>
        </w:rPr>
      </w:pPr>
      <w:r>
        <w:rPr>
          <w:rFonts w:asciiTheme="minorBidi" w:hAnsiTheme="minorBidi" w:cstheme="minorBidi"/>
          <w:sz w:val="22"/>
          <w:szCs w:val="22"/>
          <w:rtl/>
        </w:rPr>
        <w:t>שלושה מהם עוסקים בגידול שחל ברכישות שבוצעו במעון ובחלקו של נפתלי בגידול זה, והשניים הנותרים – בנפתלי האיש: "</w:t>
      </w:r>
      <w:r>
        <w:rPr>
          <w:rFonts w:asciiTheme="minorBidi" w:hAnsiTheme="minorBidi" w:cstheme="minorBidi"/>
          <w:b/>
          <w:bCs/>
          <w:sz w:val="22"/>
          <w:szCs w:val="22"/>
          <w:rtl/>
        </w:rPr>
        <w:t>אדם שאסור להאמין לו</w:t>
      </w:r>
      <w:r>
        <w:rPr>
          <w:rFonts w:asciiTheme="minorBidi" w:hAnsiTheme="minorBidi" w:cstheme="minorBidi"/>
          <w:sz w:val="22"/>
          <w:szCs w:val="22"/>
          <w:rtl/>
        </w:rPr>
        <w:t>";</w:t>
      </w:r>
      <w:r>
        <w:rPr>
          <w:rFonts w:asciiTheme="minorBidi" w:hAnsiTheme="minorBidi" w:cstheme="minorBidi"/>
          <w:b/>
          <w:bCs/>
          <w:sz w:val="22"/>
          <w:szCs w:val="22"/>
          <w:rtl/>
        </w:rPr>
        <w:t xml:space="preserve"> </w:t>
      </w:r>
      <w:r>
        <w:rPr>
          <w:rFonts w:asciiTheme="minorBidi" w:hAnsiTheme="minorBidi" w:cstheme="minorBidi"/>
          <w:sz w:val="22"/>
          <w:szCs w:val="22"/>
          <w:rtl/>
        </w:rPr>
        <w:t>"</w:t>
      </w:r>
      <w:r>
        <w:rPr>
          <w:rFonts w:asciiTheme="minorBidi" w:hAnsiTheme="minorBidi" w:cstheme="minorBidi"/>
          <w:b/>
          <w:bCs/>
          <w:sz w:val="22"/>
          <w:szCs w:val="22"/>
          <w:rtl/>
        </w:rPr>
        <w:t>מדובר באדם כזבן, בלתי אמין, פרובוקטיבי</w:t>
      </w:r>
      <w:r>
        <w:rPr>
          <w:rFonts w:asciiTheme="minorBidi" w:hAnsiTheme="minorBidi" w:cstheme="minorBidi"/>
          <w:sz w:val="22"/>
          <w:szCs w:val="22"/>
          <w:rtl/>
        </w:rPr>
        <w:t>";</w:t>
      </w:r>
      <w:r>
        <w:rPr>
          <w:rFonts w:asciiTheme="minorBidi" w:hAnsiTheme="minorBidi" w:cstheme="minorBidi"/>
          <w:sz w:val="22"/>
          <w:szCs w:val="22"/>
          <w:rtl/>
        </w:rPr>
        <w:tab/>
      </w:r>
    </w:p>
    <w:p w:rsidR="00FF767A" w:rsidRDefault="00FF767A" w:rsidP="008D1394">
      <w:pPr>
        <w:spacing w:after="120" w:line="360" w:lineRule="auto"/>
        <w:jc w:val="both"/>
        <w:rPr>
          <w:rFonts w:asciiTheme="minorBidi" w:hAnsiTheme="minorBidi" w:cstheme="minorBidi"/>
          <w:noProof w:val="0"/>
          <w:sz w:val="22"/>
          <w:szCs w:val="22"/>
          <w:rtl/>
        </w:rPr>
      </w:pPr>
      <w:r>
        <w:rPr>
          <w:rFonts w:asciiTheme="minorBidi" w:hAnsiTheme="minorBidi" w:cstheme="minorBidi"/>
          <w:sz w:val="22"/>
          <w:szCs w:val="22"/>
          <w:rtl/>
        </w:rPr>
        <w:t xml:space="preserve">משלושת הפרסומים המתייחסים לרכישות במעון נותר במחלוקת רק ההיגד </w:t>
      </w:r>
      <w:r>
        <w:rPr>
          <w:rFonts w:asciiTheme="minorBidi" w:hAnsiTheme="minorBidi" w:cstheme="minorBidi"/>
          <w:noProof w:val="0"/>
          <w:sz w:val="22"/>
          <w:szCs w:val="22"/>
          <w:rtl/>
        </w:rPr>
        <w:t>"</w:t>
      </w:r>
      <w:r>
        <w:rPr>
          <w:rFonts w:asciiTheme="minorBidi" w:hAnsiTheme="minorBidi" w:cstheme="minorBidi"/>
          <w:b/>
          <w:bCs/>
          <w:noProof w:val="0"/>
          <w:sz w:val="22"/>
          <w:szCs w:val="22"/>
          <w:rtl/>
        </w:rPr>
        <w:t>הוא הוציא, והוא עשה זאת בכוונה</w:t>
      </w:r>
      <w:r>
        <w:rPr>
          <w:rFonts w:asciiTheme="minorBidi" w:hAnsiTheme="minorBidi" w:cstheme="minorBidi"/>
          <w:noProof w:val="0"/>
          <w:sz w:val="22"/>
          <w:szCs w:val="22"/>
          <w:rtl/>
        </w:rPr>
        <w:t xml:space="preserve">", </w:t>
      </w:r>
      <w:r>
        <w:rPr>
          <w:rFonts w:asciiTheme="minorBidi" w:hAnsiTheme="minorBidi" w:cstheme="minorBidi"/>
          <w:sz w:val="22"/>
          <w:szCs w:val="22"/>
          <w:rtl/>
        </w:rPr>
        <w:t>שהרי בית משפט קמא פסק לגבי הנותרים, באופן החלטי, כי הם אמת: "</w:t>
      </w:r>
      <w:r>
        <w:rPr>
          <w:rFonts w:asciiTheme="minorBidi" w:hAnsiTheme="minorBidi" w:cstheme="minorBidi"/>
          <w:b/>
          <w:bCs/>
          <w:noProof w:val="0"/>
          <w:sz w:val="22"/>
          <w:szCs w:val="22"/>
          <w:rtl/>
        </w:rPr>
        <w:t>לגבי הפרסום 'בתקופתו, הוצאות כל מזון כמעט הוכפלו, בגלל שהוא נהג בצורה לא מאוזנת' אני סבור כי לאור קביעותיי לעיל, האמירה מהווה אמת, כאשר התובע לא פעל בצורה מאוזנת בעניין ההוצאות</w:t>
      </w:r>
      <w:r>
        <w:rPr>
          <w:rFonts w:asciiTheme="minorBidi" w:hAnsiTheme="minorBidi" w:cstheme="minorBidi"/>
          <w:noProof w:val="0"/>
          <w:sz w:val="22"/>
          <w:szCs w:val="22"/>
          <w:rtl/>
        </w:rPr>
        <w:t>", תוך סיוג ההיגד "</w:t>
      </w:r>
      <w:r>
        <w:rPr>
          <w:rFonts w:asciiTheme="minorBidi" w:hAnsiTheme="minorBidi" w:cstheme="minorBidi"/>
          <w:b/>
          <w:bCs/>
          <w:noProof w:val="0"/>
          <w:sz w:val="22"/>
          <w:szCs w:val="22"/>
          <w:rtl/>
        </w:rPr>
        <w:t>כוונה</w:t>
      </w:r>
      <w:r>
        <w:rPr>
          <w:rFonts w:asciiTheme="minorBidi" w:hAnsiTheme="minorBidi" w:cstheme="minorBidi"/>
          <w:noProof w:val="0"/>
          <w:sz w:val="22"/>
          <w:szCs w:val="22"/>
          <w:rtl/>
        </w:rPr>
        <w:t>" לגביו קבע כי "</w:t>
      </w:r>
      <w:r>
        <w:rPr>
          <w:rFonts w:asciiTheme="minorBidi" w:hAnsiTheme="minorBidi" w:cstheme="minorBidi"/>
          <w:b/>
          <w:bCs/>
          <w:noProof w:val="0"/>
          <w:sz w:val="22"/>
          <w:szCs w:val="22"/>
          <w:rtl/>
        </w:rPr>
        <w:t>אין מדובר באמת בפרסום</w:t>
      </w:r>
      <w:r>
        <w:rPr>
          <w:rFonts w:asciiTheme="minorBidi" w:hAnsiTheme="minorBidi" w:cstheme="minorBidi"/>
          <w:noProof w:val="0"/>
          <w:sz w:val="22"/>
          <w:szCs w:val="22"/>
          <w:rtl/>
        </w:rPr>
        <w:t xml:space="preserve">" וכי לא נמצאה </w:t>
      </w:r>
      <w:r>
        <w:rPr>
          <w:rFonts w:asciiTheme="minorBidi" w:hAnsiTheme="minorBidi" w:cstheme="minorBidi"/>
          <w:b/>
          <w:bCs/>
          <w:noProof w:val="0"/>
          <w:sz w:val="22"/>
          <w:szCs w:val="22"/>
          <w:rtl/>
        </w:rPr>
        <w:t>"בחומר הראיות כל אינדיקציה, שלא לומר הוכחה, כי עשה זאת 'בכוונה'</w:t>
      </w:r>
      <w:r>
        <w:rPr>
          <w:rFonts w:asciiTheme="minorBidi" w:hAnsiTheme="minorBidi" w:cstheme="minorBidi"/>
          <w:noProof w:val="0"/>
          <w:sz w:val="22"/>
          <w:szCs w:val="22"/>
          <w:rtl/>
        </w:rPr>
        <w:t>" (סעיף  185 לפסה"ד).</w:t>
      </w:r>
    </w:p>
    <w:p w:rsidR="00FF767A" w:rsidRDefault="00FF767A" w:rsidP="00FF767A">
      <w:pPr>
        <w:spacing w:after="120" w:line="360" w:lineRule="auto"/>
        <w:jc w:val="both"/>
        <w:rPr>
          <w:rFonts w:asciiTheme="minorBidi" w:hAnsiTheme="minorBidi" w:cstheme="minorBidi"/>
          <w:noProof w:val="0"/>
          <w:sz w:val="22"/>
          <w:szCs w:val="22"/>
          <w:rtl/>
        </w:rPr>
      </w:pPr>
      <w:r>
        <w:rPr>
          <w:rFonts w:asciiTheme="minorBidi" w:hAnsiTheme="minorBidi" w:cstheme="minorBidi"/>
          <w:noProof w:val="0"/>
          <w:sz w:val="22"/>
          <w:szCs w:val="22"/>
          <w:rtl/>
        </w:rPr>
        <w:t>על המדוכה נותרו אפוא רק ההיגד "</w:t>
      </w:r>
      <w:r>
        <w:rPr>
          <w:rFonts w:asciiTheme="minorBidi" w:hAnsiTheme="minorBidi" w:cstheme="minorBidi"/>
          <w:b/>
          <w:bCs/>
          <w:noProof w:val="0"/>
          <w:sz w:val="22"/>
          <w:szCs w:val="22"/>
          <w:rtl/>
        </w:rPr>
        <w:t>בכוונה</w:t>
      </w:r>
      <w:r>
        <w:rPr>
          <w:rFonts w:asciiTheme="minorBidi" w:hAnsiTheme="minorBidi" w:cstheme="minorBidi"/>
          <w:noProof w:val="0"/>
          <w:sz w:val="22"/>
          <w:szCs w:val="22"/>
          <w:rtl/>
        </w:rPr>
        <w:t>" בהקשר לגידול ברכישות, ושתי האמירות הנוספות אודות נפתלי.</w:t>
      </w:r>
    </w:p>
    <w:p w:rsidR="00FF767A" w:rsidRDefault="00FF767A" w:rsidP="00FF767A">
      <w:pPr>
        <w:spacing w:after="120" w:line="360" w:lineRule="auto"/>
        <w:jc w:val="both"/>
        <w:rPr>
          <w:rFonts w:asciiTheme="minorBidi" w:hAnsiTheme="minorBidi" w:cstheme="minorBidi"/>
          <w:sz w:val="22"/>
          <w:szCs w:val="22"/>
          <w:rtl/>
        </w:rPr>
      </w:pPr>
      <w:r>
        <w:rPr>
          <w:rFonts w:asciiTheme="minorBidi" w:hAnsiTheme="minorBidi" w:cstheme="minorBidi"/>
          <w:noProof w:val="0"/>
          <w:sz w:val="22"/>
          <w:szCs w:val="22"/>
          <w:rtl/>
        </w:rPr>
        <w:t>17.</w:t>
      </w:r>
      <w:r>
        <w:rPr>
          <w:rFonts w:asciiTheme="minorBidi" w:hAnsiTheme="minorBidi" w:cstheme="minorBidi"/>
          <w:noProof w:val="0"/>
          <w:sz w:val="22"/>
          <w:szCs w:val="22"/>
          <w:rtl/>
        </w:rPr>
        <w:tab/>
        <w:t>כאמור, כהן ייחד את ערעורו להגנת האמת, ולה בלבד, וטען לפנינו כי בית משפט קמא התעלם</w:t>
      </w:r>
      <w:r>
        <w:rPr>
          <w:rFonts w:asciiTheme="minorBidi" w:hAnsiTheme="minorBidi" w:cstheme="minorBidi"/>
          <w:b/>
          <w:bCs/>
          <w:noProof w:val="0"/>
          <w:sz w:val="22"/>
          <w:szCs w:val="22"/>
          <w:rtl/>
        </w:rPr>
        <w:t xml:space="preserve"> </w:t>
      </w:r>
      <w:r>
        <w:rPr>
          <w:rFonts w:asciiTheme="minorBidi" w:hAnsiTheme="minorBidi" w:cstheme="minorBidi"/>
          <w:sz w:val="22"/>
          <w:szCs w:val="22"/>
          <w:rtl/>
        </w:rPr>
        <w:t xml:space="preserve">התעלמות מוחלטת משורה נכבדה של ראיות ועדויות שאינן מתיישבות עם מסקנתו להיותו של נפתלי </w:t>
      </w:r>
      <w:r>
        <w:rPr>
          <w:rFonts w:asciiTheme="minorBidi" w:hAnsiTheme="minorBidi" w:cstheme="minorBidi"/>
          <w:sz w:val="22"/>
          <w:szCs w:val="22"/>
          <w:rtl/>
        </w:rPr>
        <w:lastRenderedPageBreak/>
        <w:t>"</w:t>
      </w:r>
      <w:r>
        <w:rPr>
          <w:rFonts w:asciiTheme="minorBidi" w:hAnsiTheme="minorBidi" w:cstheme="minorBidi"/>
          <w:b/>
          <w:bCs/>
          <w:sz w:val="22"/>
          <w:szCs w:val="22"/>
          <w:rtl/>
        </w:rPr>
        <w:t>אמין וערכי</w:t>
      </w:r>
      <w:r>
        <w:rPr>
          <w:rFonts w:asciiTheme="minorBidi" w:hAnsiTheme="minorBidi" w:cstheme="minorBidi"/>
          <w:sz w:val="22"/>
          <w:szCs w:val="22"/>
          <w:rtl/>
        </w:rPr>
        <w:t>", והדגיש במיוחד את עדות עובדת המעון ס'ג', שסיפרה כי נפתלי, שהיה אחראי על רישום שעות העבודה שלה, לרבות אישור השעות הנוספות, נהג כלפיה באלימות מינית, במלל ובמעשה,</w:t>
      </w:r>
      <w:r>
        <w:rPr>
          <w:rFonts w:asciiTheme="minorBidi" w:hAnsiTheme="minorBidi" w:cstheme="minorBidi"/>
          <w:b/>
          <w:bCs/>
          <w:sz w:val="22"/>
          <w:szCs w:val="22"/>
          <w:rtl/>
        </w:rPr>
        <w:t xml:space="preserve"> </w:t>
      </w:r>
      <w:r>
        <w:rPr>
          <w:rFonts w:asciiTheme="minorBidi" w:hAnsiTheme="minorBidi" w:cstheme="minorBidi"/>
          <w:sz w:val="22"/>
          <w:szCs w:val="22"/>
          <w:rtl/>
        </w:rPr>
        <w:t>כמו גם את עדותו של  עו"ד נתן שריבר, שייצג את קרובו של נפתלי בהליך פלילי, ממנה יש להסיק התנהגות אלימה של נפתלי.</w:t>
      </w:r>
    </w:p>
    <w:p w:rsidR="00FF767A" w:rsidRDefault="00FF767A" w:rsidP="008D1394">
      <w:pPr>
        <w:spacing w:after="120" w:line="360" w:lineRule="auto"/>
        <w:jc w:val="both"/>
        <w:rPr>
          <w:rFonts w:asciiTheme="minorBidi" w:hAnsiTheme="minorBidi" w:cstheme="minorBidi"/>
          <w:b/>
          <w:bCs/>
          <w:sz w:val="22"/>
          <w:szCs w:val="22"/>
          <w:rtl/>
        </w:rPr>
      </w:pPr>
      <w:r>
        <w:rPr>
          <w:rFonts w:asciiTheme="minorBidi" w:hAnsiTheme="minorBidi" w:cstheme="minorBidi"/>
          <w:sz w:val="22"/>
          <w:szCs w:val="22"/>
          <w:rtl/>
        </w:rPr>
        <w:t>18.</w:t>
      </w:r>
      <w:r>
        <w:rPr>
          <w:rFonts w:asciiTheme="minorBidi" w:hAnsiTheme="minorBidi" w:cstheme="minorBidi"/>
          <w:sz w:val="22"/>
          <w:szCs w:val="22"/>
          <w:rtl/>
        </w:rPr>
        <w:tab/>
        <w:t xml:space="preserve">בית משפט קמא הקדיש בפסק דינו לעדות ס'ג' סעיף אחד בלבד (סעיף 256), אף שעדותה מחזיקה לא פחות מ 67 עמודי פרוטוקול (ישיבה מיום 05.11.2919 עמו' 80-147) ודחה את עדותה, </w:t>
      </w:r>
      <w:r>
        <w:rPr>
          <w:rFonts w:asciiTheme="minorBidi" w:hAnsiTheme="minorBidi" w:cstheme="minorBidi"/>
          <w:noProof w:val="0"/>
          <w:sz w:val="22"/>
          <w:szCs w:val="22"/>
          <w:rtl/>
        </w:rPr>
        <w:t>לפיה נפתלי נהג כלפיה באלימות,</w:t>
      </w:r>
      <w:r>
        <w:rPr>
          <w:rFonts w:asciiTheme="minorBidi" w:hAnsiTheme="minorBidi" w:cstheme="minorBidi"/>
          <w:b/>
          <w:bCs/>
          <w:noProof w:val="0"/>
          <w:sz w:val="22"/>
          <w:szCs w:val="22"/>
          <w:rtl/>
        </w:rPr>
        <w:t xml:space="preserve"> אך </w:t>
      </w:r>
      <w:r>
        <w:rPr>
          <w:rFonts w:asciiTheme="minorBidi" w:hAnsiTheme="minorBidi" w:cstheme="minorBidi"/>
          <w:noProof w:val="0"/>
          <w:sz w:val="22"/>
          <w:szCs w:val="22"/>
          <w:rtl/>
        </w:rPr>
        <w:t>מהסיבה לפיה "</w:t>
      </w:r>
      <w:r>
        <w:rPr>
          <w:rFonts w:asciiTheme="minorBidi" w:hAnsiTheme="minorBidi" w:cstheme="minorBidi"/>
          <w:b/>
          <w:bCs/>
          <w:sz w:val="22"/>
          <w:szCs w:val="22"/>
          <w:rtl/>
        </w:rPr>
        <w:t>עיון בפרוטוקול עדותה של הגב' --מגלה כי זו לא אמרה אמת לבית המשפט וכי אין לקבל את גרסתה</w:t>
      </w:r>
      <w:r>
        <w:rPr>
          <w:rFonts w:asciiTheme="minorBidi" w:hAnsiTheme="minorBidi" w:cstheme="minorBidi"/>
          <w:sz w:val="22"/>
          <w:szCs w:val="22"/>
          <w:rtl/>
        </w:rPr>
        <w:t>" וכי עדותה "</w:t>
      </w:r>
      <w:r>
        <w:rPr>
          <w:rFonts w:asciiTheme="minorBidi" w:hAnsiTheme="minorBidi" w:cstheme="minorBidi"/>
          <w:b/>
          <w:bCs/>
          <w:sz w:val="22"/>
          <w:szCs w:val="22"/>
          <w:rtl/>
        </w:rPr>
        <w:t>הייתה רצופה אי אמירות אמת ואי דיוקים ולא ניתן להסתמך על עדותה</w:t>
      </w:r>
      <w:r>
        <w:rPr>
          <w:rFonts w:asciiTheme="minorBidi" w:hAnsiTheme="minorBidi" w:cstheme="minorBidi"/>
          <w:sz w:val="22"/>
          <w:szCs w:val="22"/>
          <w:rtl/>
        </w:rPr>
        <w:t>", ללא הסבר נוסף.</w:t>
      </w:r>
    </w:p>
    <w:p w:rsidR="00FF767A" w:rsidRDefault="00FF767A" w:rsidP="00FF767A">
      <w:pPr>
        <w:spacing w:after="120" w:line="360" w:lineRule="auto"/>
        <w:jc w:val="both"/>
        <w:rPr>
          <w:rFonts w:asciiTheme="minorBidi" w:hAnsiTheme="minorBidi" w:cstheme="minorBidi"/>
          <w:sz w:val="22"/>
          <w:szCs w:val="22"/>
          <w:rtl/>
        </w:rPr>
      </w:pPr>
      <w:r>
        <w:rPr>
          <w:rFonts w:asciiTheme="minorBidi" w:hAnsiTheme="minorBidi" w:cstheme="minorBidi"/>
          <w:noProof w:val="0"/>
          <w:sz w:val="22"/>
          <w:szCs w:val="22"/>
          <w:rtl/>
        </w:rPr>
        <w:t xml:space="preserve">גם עדותו של עו"ד </w:t>
      </w:r>
      <w:proofErr w:type="spellStart"/>
      <w:r>
        <w:rPr>
          <w:rFonts w:asciiTheme="minorBidi" w:hAnsiTheme="minorBidi" w:cstheme="minorBidi"/>
          <w:noProof w:val="0"/>
          <w:sz w:val="22"/>
          <w:szCs w:val="22"/>
          <w:rtl/>
        </w:rPr>
        <w:t>שרייבר</w:t>
      </w:r>
      <w:proofErr w:type="spellEnd"/>
      <w:r>
        <w:rPr>
          <w:rFonts w:asciiTheme="minorBidi" w:hAnsiTheme="minorBidi" w:cstheme="minorBidi"/>
          <w:noProof w:val="0"/>
          <w:sz w:val="22"/>
          <w:szCs w:val="22"/>
          <w:rtl/>
        </w:rPr>
        <w:t xml:space="preserve">, </w:t>
      </w:r>
      <w:r>
        <w:rPr>
          <w:rFonts w:asciiTheme="minorBidi" w:hAnsiTheme="minorBidi" w:cstheme="minorBidi"/>
          <w:sz w:val="22"/>
          <w:szCs w:val="22"/>
          <w:rtl/>
        </w:rPr>
        <w:t xml:space="preserve">המשתרעת על פני 34 עמודי פרוטוקול, </w:t>
      </w:r>
      <w:r>
        <w:rPr>
          <w:rFonts w:asciiTheme="minorBidi" w:hAnsiTheme="minorBidi" w:cstheme="minorBidi"/>
          <w:noProof w:val="0"/>
          <w:sz w:val="22"/>
          <w:szCs w:val="22"/>
          <w:rtl/>
        </w:rPr>
        <w:t xml:space="preserve">קיבלה בפסק הדין ביטוי בסעיף אחד בלבד (סעיף 257) בו נקבע </w:t>
      </w:r>
      <w:r>
        <w:rPr>
          <w:rFonts w:asciiTheme="minorBidi" w:hAnsiTheme="minorBidi" w:cstheme="minorBidi"/>
          <w:sz w:val="22"/>
          <w:szCs w:val="22"/>
          <w:rtl/>
        </w:rPr>
        <w:t>כי "</w:t>
      </w:r>
      <w:r>
        <w:rPr>
          <w:rFonts w:asciiTheme="minorBidi" w:hAnsiTheme="minorBidi" w:cstheme="minorBidi"/>
          <w:b/>
          <w:bCs/>
          <w:sz w:val="22"/>
          <w:szCs w:val="22"/>
          <w:rtl/>
        </w:rPr>
        <w:t>עד זה שלל התנהגות לא נורמטיבית של התובע בביקורו בבית הכלא, כמו גם שלל התנהגות לא הולמת של התובע למאבטחים בבית המשפט</w:t>
      </w:r>
      <w:r>
        <w:rPr>
          <w:rFonts w:asciiTheme="minorBidi" w:hAnsiTheme="minorBidi" w:cstheme="minorBidi"/>
          <w:sz w:val="22"/>
          <w:szCs w:val="22"/>
          <w:rtl/>
        </w:rPr>
        <w:t>", ללא התייחסות שהיא למסמך הנושא כותרת "</w:t>
      </w:r>
      <w:r>
        <w:rPr>
          <w:rFonts w:asciiTheme="minorBidi" w:hAnsiTheme="minorBidi" w:cstheme="minorBidi"/>
          <w:b/>
          <w:bCs/>
          <w:sz w:val="22"/>
          <w:szCs w:val="22"/>
          <w:rtl/>
        </w:rPr>
        <w:t>תצהיר</w:t>
      </w:r>
      <w:r>
        <w:rPr>
          <w:rFonts w:asciiTheme="minorBidi" w:hAnsiTheme="minorBidi" w:cstheme="minorBidi"/>
          <w:sz w:val="22"/>
          <w:szCs w:val="22"/>
          <w:rtl/>
        </w:rPr>
        <w:t>", אף שמסמך זה ותוכנו עמדו במוקד החקירה הנגדית, ואף שעו"ד שרייבר אישר בעדותו, (עמו' 46-80, ישיבה מיום 02.12.2019) את חתימתו עליו (עמוד 67), אישר כי המסמך נוסח על ידו "</w:t>
      </w:r>
      <w:r>
        <w:rPr>
          <w:rFonts w:asciiTheme="minorBidi" w:hAnsiTheme="minorBidi" w:cstheme="minorBidi"/>
          <w:b/>
          <w:bCs/>
          <w:sz w:val="22"/>
          <w:szCs w:val="22"/>
          <w:rtl/>
        </w:rPr>
        <w:t>אני עוד שני עורכי דין</w:t>
      </w:r>
      <w:r>
        <w:rPr>
          <w:rFonts w:asciiTheme="minorBidi" w:hAnsiTheme="minorBidi" w:cstheme="minorBidi"/>
          <w:sz w:val="22"/>
          <w:szCs w:val="22"/>
          <w:rtl/>
        </w:rPr>
        <w:t>" (עמוד 69 שורה 1), אף הודפס במשרדו (עמוד 68).</w:t>
      </w:r>
    </w:p>
    <w:p w:rsidR="00FF767A" w:rsidRDefault="00FF767A" w:rsidP="00076EE1">
      <w:pPr>
        <w:spacing w:after="120" w:line="360" w:lineRule="auto"/>
        <w:jc w:val="both"/>
        <w:rPr>
          <w:rFonts w:asciiTheme="minorBidi" w:hAnsiTheme="minorBidi" w:cstheme="minorBidi"/>
          <w:sz w:val="22"/>
          <w:szCs w:val="22"/>
          <w:rtl/>
        </w:rPr>
      </w:pPr>
      <w:r>
        <w:rPr>
          <w:rFonts w:asciiTheme="minorBidi" w:hAnsiTheme="minorBidi" w:cstheme="minorBidi"/>
          <w:sz w:val="22"/>
          <w:szCs w:val="22"/>
          <w:rtl/>
        </w:rPr>
        <w:t>אלא שהערכאה הדיונית היא ששמעה את העדים שהופיעו לפניה והתרשמה מהם באופן בלתי אמצעי, ולא יהא זה נכון שערכאת הערעור תבכר את התרשמותה מהכתובים ותעדיפנה על פני התרשמותו הישירה של בית משפט קמא מן העדים בשר ודם וממהימנותם.</w:t>
      </w:r>
    </w:p>
    <w:p w:rsidR="00FF767A" w:rsidRDefault="00FF767A" w:rsidP="00FF767A">
      <w:pPr>
        <w:tabs>
          <w:tab w:val="left" w:pos="8307"/>
        </w:tabs>
        <w:spacing w:after="120" w:line="360" w:lineRule="auto"/>
        <w:jc w:val="both"/>
        <w:rPr>
          <w:rStyle w:val="ae"/>
          <w:b w:val="0"/>
          <w:bCs w:val="0"/>
        </w:rPr>
      </w:pPr>
      <w:r>
        <w:rPr>
          <w:rFonts w:asciiTheme="minorBidi" w:hAnsiTheme="minorBidi" w:cstheme="minorBidi"/>
          <w:sz w:val="22"/>
          <w:szCs w:val="22"/>
          <w:rtl/>
        </w:rPr>
        <w:t>19.       אעבור אם כך לטענתו הנוספת של כהן לפיה גם אם ערכאת הערעור לא תתערב בממצאי העובדה שנקבעו ע"י בית משפט קמא, וגם אם לא תסיק מהעדויות האחרות את שראוי היה להסיק מהן, עדיין, לפי הממצאים שבית משפט קמא קבע בעצמו, לא ניתן היה לדחות את הגנת האמת שבפיו, ולקבוע תחתיה שנפתלי הוא "</w:t>
      </w:r>
      <w:r>
        <w:rPr>
          <w:rFonts w:asciiTheme="minorBidi" w:hAnsiTheme="minorBidi" w:cstheme="minorBidi"/>
          <w:b/>
          <w:bCs/>
          <w:sz w:val="22"/>
          <w:szCs w:val="22"/>
          <w:rtl/>
        </w:rPr>
        <w:t xml:space="preserve">אדם ערכי </w:t>
      </w:r>
      <w:r>
        <w:rPr>
          <w:rStyle w:val="ae"/>
          <w:rFonts w:asciiTheme="minorBidi" w:hAnsiTheme="minorBidi" w:cstheme="minorBidi"/>
          <w:sz w:val="22"/>
          <w:szCs w:val="22"/>
          <w:rtl/>
        </w:rPr>
        <w:t>ואמין</w:t>
      </w:r>
      <w:r w:rsidRPr="00076EE1">
        <w:rPr>
          <w:rStyle w:val="ae"/>
          <w:rFonts w:asciiTheme="minorBidi" w:hAnsiTheme="minorBidi" w:cstheme="minorBidi"/>
          <w:b w:val="0"/>
          <w:bCs w:val="0"/>
          <w:sz w:val="22"/>
          <w:szCs w:val="22"/>
          <w:rtl/>
        </w:rPr>
        <w:t>".</w:t>
      </w:r>
    </w:p>
    <w:p w:rsidR="00FF767A" w:rsidRDefault="00FF767A" w:rsidP="00FF767A">
      <w:pPr>
        <w:spacing w:after="120" w:line="360" w:lineRule="auto"/>
        <w:jc w:val="both"/>
        <w:rPr>
          <w:rtl/>
        </w:rPr>
      </w:pPr>
      <w:r>
        <w:rPr>
          <w:rFonts w:asciiTheme="minorBidi" w:hAnsiTheme="minorBidi" w:cstheme="minorBidi"/>
          <w:sz w:val="22"/>
          <w:szCs w:val="22"/>
          <w:rtl/>
        </w:rPr>
        <w:t>בהקשר זה חוששני שלא נשמרה בטיעוניהם של בעלי הדין, גם בפסק-הדין, ההבחנה בין אותם הביטויים שבסיסם עובדתי המהווים נושא להגנת האמת, לבין הביטויים המהווים הבעת דעה בהיותם עוסקים באופיו של נפתלי, המשתייך למיתחם הבעת הדעה. "...</w:t>
      </w:r>
      <w:r>
        <w:rPr>
          <w:rFonts w:asciiTheme="minorBidi" w:hAnsiTheme="minorBidi" w:cstheme="minorBidi"/>
          <w:b/>
          <w:bCs/>
          <w:sz w:val="22"/>
          <w:szCs w:val="22"/>
          <w:rtl/>
        </w:rPr>
        <w:t xml:space="preserve">לעיתים קרובות ישנו ערבוב בין עובדות לדעות המושמעות, כאשר אלה משמשות את אלה. השאלה מתי אמירה היא תיאור עובדתי ומתי היא הבעת </w:t>
      </w:r>
      <w:r>
        <w:rPr>
          <w:rFonts w:asciiTheme="minorBidi" w:hAnsiTheme="minorBidi" w:cstheme="minorBidi"/>
          <w:b/>
          <w:bCs/>
          <w:sz w:val="22"/>
          <w:szCs w:val="22"/>
          <w:rtl/>
        </w:rPr>
        <w:lastRenderedPageBreak/>
        <w:t>דעה אינה פשוטה והיא סוגיה עובדתית – משפטית מעורבת ומורכבת</w:t>
      </w:r>
      <w:r>
        <w:rPr>
          <w:rFonts w:asciiTheme="minorBidi" w:hAnsiTheme="minorBidi" w:cstheme="minorBidi"/>
          <w:sz w:val="22"/>
          <w:szCs w:val="22"/>
          <w:rtl/>
        </w:rPr>
        <w:t xml:space="preserve">" (ע"א 89/04 </w:t>
      </w:r>
      <w:r>
        <w:rPr>
          <w:rFonts w:asciiTheme="minorBidi" w:hAnsiTheme="minorBidi" w:cstheme="minorBidi"/>
          <w:b/>
          <w:bCs/>
          <w:sz w:val="22"/>
          <w:szCs w:val="22"/>
          <w:rtl/>
        </w:rPr>
        <w:t xml:space="preserve">ד"ר נודלמן </w:t>
      </w:r>
      <w:r>
        <w:rPr>
          <w:rFonts w:asciiTheme="minorBidi" w:hAnsiTheme="minorBidi" w:cstheme="minorBidi"/>
          <w:sz w:val="22"/>
          <w:szCs w:val="22"/>
          <w:rtl/>
        </w:rPr>
        <w:t>נ'</w:t>
      </w:r>
      <w:r>
        <w:rPr>
          <w:rFonts w:asciiTheme="minorBidi" w:hAnsiTheme="minorBidi" w:cstheme="minorBidi"/>
          <w:b/>
          <w:bCs/>
          <w:sz w:val="22"/>
          <w:szCs w:val="22"/>
          <w:rtl/>
        </w:rPr>
        <w:t xml:space="preserve"> נתן שרנסקי</w:t>
      </w:r>
      <w:r>
        <w:rPr>
          <w:rFonts w:asciiTheme="minorBidi" w:hAnsiTheme="minorBidi" w:cstheme="minorBidi"/>
          <w:sz w:val="22"/>
          <w:szCs w:val="22"/>
          <w:rtl/>
        </w:rPr>
        <w:t>).</w:t>
      </w:r>
    </w:p>
    <w:p w:rsidR="00FF767A" w:rsidRDefault="00FF767A" w:rsidP="00FF767A">
      <w:pPr>
        <w:spacing w:after="120" w:line="360" w:lineRule="auto"/>
        <w:jc w:val="both"/>
        <w:rPr>
          <w:rFonts w:asciiTheme="minorBidi" w:hAnsiTheme="minorBidi" w:cstheme="minorBidi"/>
          <w:sz w:val="22"/>
          <w:szCs w:val="22"/>
          <w:rtl/>
        </w:rPr>
      </w:pPr>
      <w:r>
        <w:rPr>
          <w:rFonts w:asciiTheme="minorBidi" w:hAnsiTheme="minorBidi" w:cstheme="minorBidi"/>
          <w:sz w:val="22"/>
          <w:szCs w:val="22"/>
          <w:rtl/>
        </w:rPr>
        <w:t>מכל מקום, כהן לא טען בערעורו, גם לא בפנינו, להגנת הבעת הדעה; נפתלי לא טען שתוכן פרסומי כהן לא הולם הילוך בדרך סעיף 14 לחוק, לא בכתב הגנתו, לא בכתב התשובה לערעור, וגם לא בדיון לפנינו; וגם בית משפט קמא בחן את הפרסומים, כפי שהצדדים טענו בפניו, במשקפי הגנת האמת. אפסע אפוא אף אנוכי במיתווה זה, אברור מתוך קביעותיו וממצאיו של בימ"ש קמא את אלו שבסיסם עובדתי, ולאורם אבחן את טענת כהן לפיה דחיית הגנת האמת לגביו אינה מתיישבת עם הממצאים שבית משפט קמא בעצמו קבע בהקשר לנפתלי.</w:t>
      </w:r>
    </w:p>
    <w:p w:rsidR="00FF767A" w:rsidRDefault="00FF767A" w:rsidP="00FF767A">
      <w:pPr>
        <w:tabs>
          <w:tab w:val="left" w:pos="8307"/>
        </w:tabs>
        <w:spacing w:after="120" w:line="360" w:lineRule="auto"/>
        <w:ind w:right="426"/>
        <w:jc w:val="both"/>
        <w:rPr>
          <w:rFonts w:asciiTheme="minorBidi" w:hAnsiTheme="minorBidi" w:cstheme="minorBidi"/>
          <w:sz w:val="22"/>
          <w:szCs w:val="22"/>
          <w:rtl/>
        </w:rPr>
      </w:pPr>
      <w:r>
        <w:rPr>
          <w:rFonts w:asciiTheme="minorBidi" w:hAnsiTheme="minorBidi" w:cstheme="minorBidi"/>
          <w:sz w:val="22"/>
          <w:szCs w:val="22"/>
          <w:rtl/>
        </w:rPr>
        <w:t>20.    ואלו הממצאים שקבע בית משפט קמא בקשר לנפתלי (כל ההדגשים בקו הם של הח"מ):</w:t>
      </w:r>
    </w:p>
    <w:p w:rsidR="00FF767A" w:rsidRDefault="00FF767A" w:rsidP="00FF767A">
      <w:pPr>
        <w:pStyle w:val="ad"/>
        <w:numPr>
          <w:ilvl w:val="0"/>
          <w:numId w:val="1"/>
        </w:numPr>
        <w:spacing w:after="120" w:line="360" w:lineRule="auto"/>
        <w:jc w:val="both"/>
        <w:rPr>
          <w:rFonts w:asciiTheme="minorBidi" w:hAnsiTheme="minorBidi" w:cstheme="minorBidi"/>
          <w:noProof w:val="0"/>
          <w:sz w:val="22"/>
          <w:szCs w:val="22"/>
          <w:rtl/>
        </w:rPr>
      </w:pPr>
      <w:r>
        <w:rPr>
          <w:rFonts w:asciiTheme="minorBidi" w:hAnsiTheme="minorBidi" w:cstheme="minorBidi"/>
          <w:noProof w:val="0"/>
          <w:sz w:val="22"/>
          <w:szCs w:val="22"/>
          <w:rtl/>
        </w:rPr>
        <w:t>"...</w:t>
      </w:r>
      <w:r>
        <w:rPr>
          <w:rFonts w:asciiTheme="minorBidi" w:hAnsiTheme="minorBidi" w:cstheme="minorBidi"/>
          <w:b/>
          <w:bCs/>
          <w:noProof w:val="0"/>
          <w:sz w:val="22"/>
          <w:szCs w:val="22"/>
          <w:rtl/>
        </w:rPr>
        <w:t xml:space="preserve"> התובע בעצמו לכל אורך חקירתו </w:t>
      </w:r>
      <w:r>
        <w:rPr>
          <w:rFonts w:asciiTheme="minorBidi" w:hAnsiTheme="minorBidi" w:cstheme="minorBidi"/>
          <w:b/>
          <w:bCs/>
          <w:noProof w:val="0"/>
          <w:sz w:val="22"/>
          <w:szCs w:val="22"/>
          <w:u w:val="single"/>
          <w:rtl/>
        </w:rPr>
        <w:t>מודה</w:t>
      </w:r>
      <w:r>
        <w:rPr>
          <w:rFonts w:asciiTheme="minorBidi" w:hAnsiTheme="minorBidi" w:cstheme="minorBidi"/>
          <w:b/>
          <w:bCs/>
          <w:noProof w:val="0"/>
          <w:sz w:val="22"/>
          <w:szCs w:val="22"/>
          <w:rtl/>
        </w:rPr>
        <w:t xml:space="preserve"> בהגינותו כי </w:t>
      </w:r>
      <w:r>
        <w:rPr>
          <w:rFonts w:asciiTheme="minorBidi" w:hAnsiTheme="minorBidi" w:cstheme="minorBidi"/>
          <w:b/>
          <w:bCs/>
          <w:noProof w:val="0"/>
          <w:sz w:val="22"/>
          <w:szCs w:val="22"/>
          <w:u w:val="single"/>
          <w:rtl/>
        </w:rPr>
        <w:t>ביצע מעשים שאינם תקינים</w:t>
      </w:r>
      <w:r>
        <w:rPr>
          <w:rFonts w:asciiTheme="minorBidi" w:hAnsiTheme="minorBidi" w:cstheme="minorBidi"/>
          <w:b/>
          <w:bCs/>
          <w:noProof w:val="0"/>
          <w:sz w:val="22"/>
          <w:szCs w:val="22"/>
          <w:rtl/>
        </w:rPr>
        <w:t xml:space="preserve"> שגרמו לעלייה בהוצאות</w:t>
      </w:r>
      <w:r>
        <w:rPr>
          <w:rFonts w:asciiTheme="minorBidi" w:hAnsiTheme="minorBidi" w:cstheme="minorBidi"/>
          <w:noProof w:val="0"/>
          <w:sz w:val="22"/>
          <w:szCs w:val="22"/>
          <w:rtl/>
        </w:rPr>
        <w:t>..." (סעיף: 164 לפסה"ד)</w:t>
      </w:r>
    </w:p>
    <w:p w:rsidR="00FF767A" w:rsidRDefault="00FF767A" w:rsidP="00FF767A">
      <w:pPr>
        <w:pStyle w:val="ad"/>
        <w:numPr>
          <w:ilvl w:val="0"/>
          <w:numId w:val="1"/>
        </w:numPr>
        <w:spacing w:after="120" w:line="360" w:lineRule="auto"/>
        <w:rPr>
          <w:rFonts w:asciiTheme="minorBidi" w:hAnsiTheme="minorBidi" w:cstheme="minorBidi"/>
          <w:noProof w:val="0"/>
          <w:sz w:val="22"/>
          <w:szCs w:val="22"/>
        </w:rPr>
      </w:pPr>
      <w:r>
        <w:rPr>
          <w:rFonts w:asciiTheme="minorBidi" w:hAnsiTheme="minorBidi" w:cstheme="minorBidi"/>
          <w:noProof w:val="0"/>
          <w:sz w:val="22"/>
          <w:szCs w:val="22"/>
          <w:rtl/>
        </w:rPr>
        <w:t>"</w:t>
      </w:r>
      <w:r>
        <w:rPr>
          <w:rFonts w:asciiTheme="minorBidi" w:hAnsiTheme="minorBidi" w:cstheme="minorBidi"/>
          <w:b/>
          <w:bCs/>
          <w:noProof w:val="0"/>
          <w:sz w:val="22"/>
          <w:szCs w:val="22"/>
          <w:rtl/>
        </w:rPr>
        <w:t xml:space="preserve">... </w:t>
      </w:r>
      <w:r>
        <w:rPr>
          <w:rFonts w:asciiTheme="minorBidi" w:hAnsiTheme="minorBidi" w:cstheme="minorBidi"/>
          <w:b/>
          <w:bCs/>
          <w:noProof w:val="0"/>
          <w:sz w:val="22"/>
          <w:szCs w:val="22"/>
          <w:u w:val="single"/>
          <w:rtl/>
        </w:rPr>
        <w:t>התובע מודה כי ביצע מעשים אסורים,</w:t>
      </w:r>
      <w:r>
        <w:rPr>
          <w:rFonts w:asciiTheme="minorBidi" w:hAnsiTheme="minorBidi" w:cstheme="minorBidi"/>
          <w:b/>
          <w:bCs/>
          <w:noProof w:val="0"/>
          <w:sz w:val="22"/>
          <w:szCs w:val="22"/>
          <w:rtl/>
        </w:rPr>
        <w:t xml:space="preserve"> אלא שלטעמו לא יכול היה לסרב לעשות זאת</w:t>
      </w:r>
      <w:r>
        <w:rPr>
          <w:rFonts w:asciiTheme="minorBidi" w:hAnsiTheme="minorBidi" w:cstheme="minorBidi"/>
          <w:noProof w:val="0"/>
          <w:sz w:val="22"/>
          <w:szCs w:val="22"/>
          <w:rtl/>
        </w:rPr>
        <w:t>" (סעיף 151 לפסה"ד)</w:t>
      </w:r>
    </w:p>
    <w:p w:rsidR="00FF767A" w:rsidRDefault="00FF767A" w:rsidP="00FF767A">
      <w:pPr>
        <w:pStyle w:val="ad"/>
        <w:numPr>
          <w:ilvl w:val="0"/>
          <w:numId w:val="1"/>
        </w:numPr>
        <w:spacing w:after="120" w:line="360" w:lineRule="auto"/>
        <w:jc w:val="both"/>
        <w:rPr>
          <w:rFonts w:asciiTheme="minorBidi" w:hAnsiTheme="minorBidi" w:cstheme="minorBidi"/>
          <w:noProof w:val="0"/>
          <w:sz w:val="22"/>
          <w:szCs w:val="22"/>
        </w:rPr>
      </w:pPr>
      <w:r>
        <w:rPr>
          <w:rFonts w:asciiTheme="minorBidi" w:hAnsiTheme="minorBidi" w:cstheme="minorBidi"/>
          <w:noProof w:val="0"/>
          <w:sz w:val="22"/>
          <w:szCs w:val="22"/>
          <w:rtl/>
        </w:rPr>
        <w:t xml:space="preserve">"... </w:t>
      </w:r>
      <w:r>
        <w:rPr>
          <w:rFonts w:asciiTheme="minorBidi" w:hAnsiTheme="minorBidi" w:cstheme="minorBidi"/>
          <w:b/>
          <w:bCs/>
          <w:noProof w:val="0"/>
          <w:sz w:val="22"/>
          <w:szCs w:val="22"/>
          <w:rtl/>
        </w:rPr>
        <w:t xml:space="preserve">התובע </w:t>
      </w:r>
      <w:r>
        <w:rPr>
          <w:rFonts w:asciiTheme="minorBidi" w:hAnsiTheme="minorBidi" w:cstheme="minorBidi"/>
          <w:b/>
          <w:bCs/>
          <w:noProof w:val="0"/>
          <w:sz w:val="22"/>
          <w:szCs w:val="22"/>
          <w:u w:val="single"/>
          <w:rtl/>
        </w:rPr>
        <w:t xml:space="preserve">מודה </w:t>
      </w:r>
      <w:r>
        <w:rPr>
          <w:rFonts w:asciiTheme="minorBidi" w:hAnsiTheme="minorBidi" w:cstheme="minorBidi"/>
          <w:b/>
          <w:bCs/>
          <w:noProof w:val="0"/>
          <w:sz w:val="22"/>
          <w:szCs w:val="22"/>
          <w:rtl/>
        </w:rPr>
        <w:t xml:space="preserve">על דוכן העדים בבית משפט זה, </w:t>
      </w:r>
      <w:r>
        <w:rPr>
          <w:rFonts w:asciiTheme="minorBidi" w:hAnsiTheme="minorBidi" w:cstheme="minorBidi"/>
          <w:b/>
          <w:bCs/>
          <w:noProof w:val="0"/>
          <w:sz w:val="22"/>
          <w:szCs w:val="22"/>
          <w:u w:val="single"/>
          <w:rtl/>
        </w:rPr>
        <w:t>כי היה שותף מלא לזיוף מסמכים</w:t>
      </w:r>
      <w:r>
        <w:rPr>
          <w:rFonts w:asciiTheme="minorBidi" w:hAnsiTheme="minorBidi" w:cstheme="minorBidi"/>
          <w:b/>
          <w:bCs/>
          <w:noProof w:val="0"/>
          <w:sz w:val="22"/>
          <w:szCs w:val="22"/>
          <w:rtl/>
        </w:rPr>
        <w:t xml:space="preserve"> וזאת </w:t>
      </w:r>
      <w:r>
        <w:rPr>
          <w:rFonts w:asciiTheme="minorBidi" w:hAnsiTheme="minorBidi" w:cstheme="minorBidi"/>
          <w:b/>
          <w:bCs/>
          <w:noProof w:val="0"/>
          <w:sz w:val="22"/>
          <w:szCs w:val="22"/>
          <w:u w:val="single"/>
          <w:rtl/>
        </w:rPr>
        <w:t xml:space="preserve">על מנת להוציא כסף מחשבות משרד ראש הממשלה </w:t>
      </w:r>
      <w:r>
        <w:rPr>
          <w:rFonts w:asciiTheme="minorBidi" w:hAnsiTheme="minorBidi" w:cstheme="minorBidi"/>
          <w:b/>
          <w:bCs/>
          <w:noProof w:val="0"/>
          <w:sz w:val="22"/>
          <w:szCs w:val="22"/>
          <w:rtl/>
        </w:rPr>
        <w:t>שלא כדין</w:t>
      </w:r>
      <w:r>
        <w:rPr>
          <w:rFonts w:asciiTheme="minorBidi" w:hAnsiTheme="minorBidi" w:cstheme="minorBidi"/>
          <w:noProof w:val="0"/>
          <w:sz w:val="22"/>
          <w:szCs w:val="22"/>
          <w:rtl/>
        </w:rPr>
        <w:t>"  (סעיף 166 לפסה"ד)</w:t>
      </w:r>
    </w:p>
    <w:p w:rsidR="00FF767A" w:rsidRDefault="00FF767A" w:rsidP="00FF767A">
      <w:pPr>
        <w:pStyle w:val="ad"/>
        <w:numPr>
          <w:ilvl w:val="0"/>
          <w:numId w:val="1"/>
        </w:numPr>
        <w:spacing w:after="120" w:line="360" w:lineRule="auto"/>
        <w:jc w:val="both"/>
        <w:rPr>
          <w:rFonts w:asciiTheme="minorBidi" w:hAnsiTheme="minorBidi" w:cstheme="minorBidi"/>
          <w:noProof w:val="0"/>
          <w:sz w:val="22"/>
          <w:szCs w:val="22"/>
        </w:rPr>
      </w:pPr>
      <w:r>
        <w:rPr>
          <w:rFonts w:asciiTheme="minorBidi" w:hAnsiTheme="minorBidi" w:cstheme="minorBidi"/>
          <w:noProof w:val="0"/>
          <w:sz w:val="22"/>
          <w:szCs w:val="22"/>
          <w:rtl/>
        </w:rPr>
        <w:t>"...</w:t>
      </w:r>
      <w:r>
        <w:rPr>
          <w:rFonts w:asciiTheme="minorBidi" w:hAnsiTheme="minorBidi" w:cstheme="minorBidi"/>
          <w:b/>
          <w:bCs/>
          <w:noProof w:val="0"/>
          <w:sz w:val="22"/>
          <w:szCs w:val="22"/>
          <w:rtl/>
        </w:rPr>
        <w:t xml:space="preserve"> התובע </w:t>
      </w:r>
      <w:r>
        <w:rPr>
          <w:rFonts w:asciiTheme="minorBidi" w:hAnsiTheme="minorBidi" w:cstheme="minorBidi"/>
          <w:b/>
          <w:bCs/>
          <w:noProof w:val="0"/>
          <w:sz w:val="22"/>
          <w:szCs w:val="22"/>
          <w:u w:val="single"/>
          <w:rtl/>
        </w:rPr>
        <w:t>מודה</w:t>
      </w:r>
      <w:r>
        <w:rPr>
          <w:rFonts w:asciiTheme="minorBidi" w:hAnsiTheme="minorBidi" w:cstheme="minorBidi"/>
          <w:b/>
          <w:bCs/>
          <w:noProof w:val="0"/>
          <w:sz w:val="22"/>
          <w:szCs w:val="22"/>
          <w:rtl/>
        </w:rPr>
        <w:t xml:space="preserve"> כי ביצע בעצמו פעולות שגרמו להגדלת ההוצאות </w:t>
      </w:r>
      <w:r>
        <w:rPr>
          <w:rFonts w:asciiTheme="minorBidi" w:hAnsiTheme="minorBidi" w:cstheme="minorBidi"/>
          <w:b/>
          <w:bCs/>
          <w:noProof w:val="0"/>
          <w:sz w:val="22"/>
          <w:szCs w:val="22"/>
          <w:u w:val="single"/>
          <w:rtl/>
        </w:rPr>
        <w:t>בידיעה ובמודעות כי פעולות אלו אסורות</w:t>
      </w:r>
      <w:r>
        <w:rPr>
          <w:rFonts w:asciiTheme="minorBidi" w:hAnsiTheme="minorBidi" w:cstheme="minorBidi"/>
          <w:noProof w:val="0"/>
          <w:sz w:val="22"/>
          <w:szCs w:val="22"/>
          <w:rtl/>
        </w:rPr>
        <w:t>", בתירוץ לפיו</w:t>
      </w:r>
      <w:r>
        <w:rPr>
          <w:rFonts w:asciiTheme="minorBidi" w:hAnsiTheme="minorBidi" w:cstheme="minorBidi"/>
          <w:b/>
          <w:bCs/>
          <w:noProof w:val="0"/>
          <w:sz w:val="22"/>
          <w:szCs w:val="22"/>
          <w:rtl/>
        </w:rPr>
        <w:t xml:space="preserve"> </w:t>
      </w:r>
      <w:r>
        <w:rPr>
          <w:rFonts w:asciiTheme="minorBidi" w:hAnsiTheme="minorBidi" w:cstheme="minorBidi"/>
          <w:noProof w:val="0"/>
          <w:sz w:val="22"/>
          <w:szCs w:val="22"/>
          <w:rtl/>
        </w:rPr>
        <w:t>"</w:t>
      </w:r>
      <w:r>
        <w:rPr>
          <w:rFonts w:asciiTheme="minorBidi" w:hAnsiTheme="minorBidi" w:cstheme="minorBidi"/>
          <w:b/>
          <w:bCs/>
          <w:noProof w:val="0"/>
          <w:sz w:val="22"/>
          <w:szCs w:val="22"/>
          <w:rtl/>
        </w:rPr>
        <w:t>אני רציתי לקבל את התקן שלי</w:t>
      </w:r>
      <w:r>
        <w:rPr>
          <w:rFonts w:asciiTheme="minorBidi" w:hAnsiTheme="minorBidi" w:cstheme="minorBidi"/>
          <w:noProof w:val="0"/>
          <w:sz w:val="22"/>
          <w:szCs w:val="22"/>
          <w:rtl/>
        </w:rPr>
        <w:t>" (סעיף 166</w:t>
      </w:r>
      <w:r>
        <w:rPr>
          <w:rFonts w:asciiTheme="minorBidi" w:hAnsiTheme="minorBidi" w:cstheme="minorBidi"/>
          <w:b/>
          <w:bCs/>
          <w:noProof w:val="0"/>
          <w:sz w:val="22"/>
          <w:szCs w:val="22"/>
          <w:rtl/>
        </w:rPr>
        <w:t xml:space="preserve"> </w:t>
      </w:r>
      <w:r>
        <w:rPr>
          <w:rFonts w:asciiTheme="minorBidi" w:hAnsiTheme="minorBidi" w:cstheme="minorBidi"/>
          <w:noProof w:val="0"/>
          <w:sz w:val="22"/>
          <w:szCs w:val="22"/>
          <w:rtl/>
        </w:rPr>
        <w:t>לפסה"ד)</w:t>
      </w:r>
    </w:p>
    <w:p w:rsidR="00FF767A" w:rsidRDefault="00FF767A" w:rsidP="00FF767A">
      <w:pPr>
        <w:pStyle w:val="ad"/>
        <w:numPr>
          <w:ilvl w:val="0"/>
          <w:numId w:val="1"/>
        </w:numPr>
        <w:spacing w:after="120" w:line="360" w:lineRule="auto"/>
        <w:jc w:val="both"/>
        <w:rPr>
          <w:rFonts w:asciiTheme="minorBidi" w:hAnsiTheme="minorBidi" w:cstheme="minorBidi"/>
          <w:noProof w:val="0"/>
          <w:sz w:val="22"/>
          <w:szCs w:val="22"/>
          <w:rtl/>
        </w:rPr>
      </w:pPr>
      <w:r>
        <w:rPr>
          <w:rFonts w:asciiTheme="minorBidi" w:hAnsiTheme="minorBidi" w:cstheme="minorBidi"/>
          <w:noProof w:val="0"/>
          <w:sz w:val="22"/>
          <w:szCs w:val="22"/>
          <w:rtl/>
        </w:rPr>
        <w:t>"...</w:t>
      </w:r>
      <w:r>
        <w:rPr>
          <w:rFonts w:asciiTheme="minorBidi" w:hAnsiTheme="minorBidi" w:cstheme="minorBidi"/>
          <w:b/>
          <w:bCs/>
          <w:noProof w:val="0"/>
          <w:sz w:val="22"/>
          <w:szCs w:val="22"/>
          <w:rtl/>
        </w:rPr>
        <w:t xml:space="preserve"> לא רק בנושא ארוחות השף </w:t>
      </w:r>
      <w:r>
        <w:rPr>
          <w:rFonts w:asciiTheme="minorBidi" w:hAnsiTheme="minorBidi" w:cstheme="minorBidi"/>
          <w:b/>
          <w:bCs/>
          <w:noProof w:val="0"/>
          <w:sz w:val="22"/>
          <w:szCs w:val="22"/>
          <w:u w:val="single"/>
          <w:rtl/>
        </w:rPr>
        <w:t>עסק התובע בעיוות נתונים</w:t>
      </w:r>
      <w:r>
        <w:rPr>
          <w:rFonts w:asciiTheme="minorBidi" w:hAnsiTheme="minorBidi" w:cstheme="minorBidi"/>
          <w:b/>
          <w:bCs/>
          <w:noProof w:val="0"/>
          <w:sz w:val="22"/>
          <w:szCs w:val="22"/>
          <w:rtl/>
        </w:rPr>
        <w:t xml:space="preserve"> אשר גרמו להגדלת ההוצאות, אלא גם בנושאים נוספים, כגון </w:t>
      </w:r>
      <w:r>
        <w:rPr>
          <w:rFonts w:asciiTheme="minorBidi" w:hAnsiTheme="minorBidi" w:cstheme="minorBidi"/>
          <w:b/>
          <w:bCs/>
          <w:noProof w:val="0"/>
          <w:sz w:val="22"/>
          <w:szCs w:val="22"/>
          <w:u w:val="single"/>
          <w:rtl/>
        </w:rPr>
        <w:t>דיווח שעות לא נכונות של עובדים</w:t>
      </w:r>
      <w:r>
        <w:rPr>
          <w:rFonts w:asciiTheme="minorBidi" w:hAnsiTheme="minorBidi" w:cstheme="minorBidi"/>
          <w:b/>
          <w:bCs/>
          <w:noProof w:val="0"/>
          <w:sz w:val="22"/>
          <w:szCs w:val="22"/>
          <w:rtl/>
        </w:rPr>
        <w:t xml:space="preserve">, </w:t>
      </w:r>
      <w:r>
        <w:rPr>
          <w:rFonts w:asciiTheme="minorBidi" w:hAnsiTheme="minorBidi" w:cstheme="minorBidi"/>
          <w:b/>
          <w:bCs/>
          <w:noProof w:val="0"/>
          <w:sz w:val="22"/>
          <w:szCs w:val="22"/>
          <w:u w:val="single"/>
          <w:rtl/>
        </w:rPr>
        <w:t xml:space="preserve">מודה </w:t>
      </w:r>
      <w:r>
        <w:rPr>
          <w:rFonts w:asciiTheme="minorBidi" w:hAnsiTheme="minorBidi" w:cstheme="minorBidi"/>
          <w:b/>
          <w:bCs/>
          <w:noProof w:val="0"/>
          <w:sz w:val="22"/>
          <w:szCs w:val="22"/>
          <w:rtl/>
        </w:rPr>
        <w:t xml:space="preserve">התובע כי </w:t>
      </w:r>
      <w:r>
        <w:rPr>
          <w:rFonts w:asciiTheme="minorBidi" w:hAnsiTheme="minorBidi" w:cstheme="minorBidi"/>
          <w:b/>
          <w:bCs/>
          <w:noProof w:val="0"/>
          <w:sz w:val="22"/>
          <w:szCs w:val="22"/>
          <w:u w:val="single"/>
          <w:rtl/>
        </w:rPr>
        <w:t>פעל שלא כדין</w:t>
      </w:r>
      <w:r>
        <w:rPr>
          <w:rFonts w:asciiTheme="minorBidi" w:hAnsiTheme="minorBidi" w:cstheme="minorBidi"/>
          <w:noProof w:val="0"/>
          <w:sz w:val="22"/>
          <w:szCs w:val="22"/>
          <w:rtl/>
        </w:rPr>
        <w:t>..."</w:t>
      </w:r>
      <w:r>
        <w:rPr>
          <w:rFonts w:asciiTheme="minorBidi" w:hAnsiTheme="minorBidi" w:cstheme="minorBidi"/>
          <w:b/>
          <w:bCs/>
          <w:noProof w:val="0"/>
          <w:sz w:val="22"/>
          <w:szCs w:val="22"/>
          <w:rtl/>
        </w:rPr>
        <w:t xml:space="preserve"> </w:t>
      </w:r>
      <w:r>
        <w:rPr>
          <w:rFonts w:asciiTheme="minorBidi" w:hAnsiTheme="minorBidi" w:cstheme="minorBidi"/>
          <w:noProof w:val="0"/>
          <w:sz w:val="22"/>
          <w:szCs w:val="22"/>
          <w:rtl/>
        </w:rPr>
        <w:t>( סעיף</w:t>
      </w:r>
      <w:r>
        <w:rPr>
          <w:rFonts w:asciiTheme="minorBidi" w:hAnsiTheme="minorBidi" w:cstheme="minorBidi"/>
          <w:b/>
          <w:bCs/>
          <w:noProof w:val="0"/>
          <w:sz w:val="22"/>
          <w:szCs w:val="22"/>
          <w:rtl/>
        </w:rPr>
        <w:t xml:space="preserve"> </w:t>
      </w:r>
      <w:r>
        <w:rPr>
          <w:rFonts w:asciiTheme="minorBidi" w:hAnsiTheme="minorBidi" w:cstheme="minorBidi"/>
          <w:noProof w:val="0"/>
          <w:sz w:val="22"/>
          <w:szCs w:val="22"/>
          <w:rtl/>
        </w:rPr>
        <w:t xml:space="preserve">168 </w:t>
      </w:r>
      <w:r>
        <w:rPr>
          <w:rFonts w:asciiTheme="minorBidi" w:hAnsiTheme="minorBidi" w:cstheme="minorBidi"/>
          <w:b/>
          <w:bCs/>
          <w:noProof w:val="0"/>
          <w:sz w:val="22"/>
          <w:szCs w:val="22"/>
          <w:rtl/>
        </w:rPr>
        <w:t xml:space="preserve"> </w:t>
      </w:r>
      <w:r>
        <w:rPr>
          <w:rFonts w:asciiTheme="minorBidi" w:hAnsiTheme="minorBidi" w:cstheme="minorBidi"/>
          <w:noProof w:val="0"/>
          <w:sz w:val="22"/>
          <w:szCs w:val="22"/>
          <w:rtl/>
        </w:rPr>
        <w:t>לפסה"ד)</w:t>
      </w:r>
    </w:p>
    <w:p w:rsidR="00FF767A" w:rsidRDefault="00FF767A" w:rsidP="00FF767A">
      <w:pPr>
        <w:pStyle w:val="ad"/>
        <w:numPr>
          <w:ilvl w:val="0"/>
          <w:numId w:val="1"/>
        </w:numPr>
        <w:spacing w:after="120" w:line="360" w:lineRule="auto"/>
        <w:jc w:val="both"/>
        <w:rPr>
          <w:rFonts w:asciiTheme="minorBidi" w:hAnsiTheme="minorBidi" w:cstheme="minorBidi"/>
          <w:noProof w:val="0"/>
          <w:sz w:val="22"/>
          <w:szCs w:val="22"/>
          <w:rtl/>
        </w:rPr>
      </w:pPr>
      <w:r>
        <w:rPr>
          <w:rFonts w:asciiTheme="minorBidi" w:hAnsiTheme="minorBidi" w:cstheme="minorBidi"/>
          <w:noProof w:val="0"/>
          <w:sz w:val="22"/>
          <w:szCs w:val="22"/>
          <w:rtl/>
        </w:rPr>
        <w:t>"</w:t>
      </w:r>
      <w:r>
        <w:rPr>
          <w:rFonts w:asciiTheme="minorBidi" w:hAnsiTheme="minorBidi" w:cstheme="minorBidi"/>
          <w:b/>
          <w:bCs/>
          <w:noProof w:val="0"/>
          <w:sz w:val="22"/>
          <w:szCs w:val="22"/>
          <w:rtl/>
        </w:rPr>
        <w:t xml:space="preserve">התובע </w:t>
      </w:r>
      <w:r>
        <w:rPr>
          <w:rFonts w:asciiTheme="minorBidi" w:hAnsiTheme="minorBidi" w:cstheme="minorBidi"/>
          <w:b/>
          <w:bCs/>
          <w:noProof w:val="0"/>
          <w:sz w:val="22"/>
          <w:szCs w:val="22"/>
          <w:u w:val="single"/>
          <w:rtl/>
        </w:rPr>
        <w:t>מודה</w:t>
      </w:r>
      <w:r>
        <w:rPr>
          <w:rFonts w:asciiTheme="minorBidi" w:hAnsiTheme="minorBidi" w:cstheme="minorBidi"/>
          <w:b/>
          <w:bCs/>
          <w:noProof w:val="0"/>
          <w:sz w:val="22"/>
          <w:szCs w:val="22"/>
          <w:rtl/>
        </w:rPr>
        <w:t xml:space="preserve"> כי רשם לעובד מסוים ארבע שעות כאשר זה עבד רק שעתיים... כאשר התובע </w:t>
      </w:r>
      <w:r>
        <w:rPr>
          <w:rFonts w:asciiTheme="minorBidi" w:hAnsiTheme="minorBidi" w:cstheme="minorBidi"/>
          <w:b/>
          <w:bCs/>
          <w:noProof w:val="0"/>
          <w:sz w:val="22"/>
          <w:szCs w:val="22"/>
          <w:u w:val="single"/>
          <w:rtl/>
        </w:rPr>
        <w:t>יודע</w:t>
      </w:r>
      <w:r>
        <w:rPr>
          <w:rFonts w:asciiTheme="minorBidi" w:hAnsiTheme="minorBidi" w:cstheme="minorBidi"/>
          <w:b/>
          <w:bCs/>
          <w:noProof w:val="0"/>
          <w:sz w:val="22"/>
          <w:szCs w:val="22"/>
          <w:rtl/>
        </w:rPr>
        <w:t xml:space="preserve"> כי הוא </w:t>
      </w:r>
      <w:r>
        <w:rPr>
          <w:rFonts w:asciiTheme="minorBidi" w:hAnsiTheme="minorBidi" w:cstheme="minorBidi"/>
          <w:b/>
          <w:bCs/>
          <w:noProof w:val="0"/>
          <w:sz w:val="22"/>
          <w:szCs w:val="22"/>
          <w:u w:val="single"/>
          <w:rtl/>
        </w:rPr>
        <w:t>מזין מספר שעות שקרי</w:t>
      </w:r>
      <w:r>
        <w:rPr>
          <w:rFonts w:asciiTheme="minorBidi" w:hAnsiTheme="minorBidi" w:cstheme="minorBidi"/>
          <w:b/>
          <w:bCs/>
          <w:noProof w:val="0"/>
          <w:sz w:val="22"/>
          <w:szCs w:val="22"/>
          <w:rtl/>
        </w:rPr>
        <w:t>...</w:t>
      </w:r>
      <w:r>
        <w:rPr>
          <w:rFonts w:asciiTheme="minorBidi" w:hAnsiTheme="minorBidi" w:cstheme="minorBidi"/>
          <w:noProof w:val="0"/>
          <w:sz w:val="22"/>
          <w:szCs w:val="22"/>
          <w:rtl/>
        </w:rPr>
        <w:t>" ( סעיף</w:t>
      </w:r>
      <w:r>
        <w:rPr>
          <w:rFonts w:asciiTheme="minorBidi" w:hAnsiTheme="minorBidi" w:cstheme="minorBidi"/>
          <w:b/>
          <w:bCs/>
          <w:noProof w:val="0"/>
          <w:sz w:val="22"/>
          <w:szCs w:val="22"/>
          <w:rtl/>
        </w:rPr>
        <w:t xml:space="preserve"> </w:t>
      </w:r>
      <w:r>
        <w:rPr>
          <w:rFonts w:asciiTheme="minorBidi" w:hAnsiTheme="minorBidi" w:cstheme="minorBidi"/>
          <w:noProof w:val="0"/>
          <w:sz w:val="22"/>
          <w:szCs w:val="22"/>
          <w:rtl/>
        </w:rPr>
        <w:t>169 לפסה"ד)</w:t>
      </w:r>
    </w:p>
    <w:p w:rsidR="00FF767A" w:rsidRDefault="00FF767A" w:rsidP="00FF767A">
      <w:pPr>
        <w:pStyle w:val="ad"/>
        <w:numPr>
          <w:ilvl w:val="0"/>
          <w:numId w:val="1"/>
        </w:numPr>
        <w:spacing w:after="120" w:line="360" w:lineRule="auto"/>
        <w:jc w:val="both"/>
        <w:rPr>
          <w:rFonts w:asciiTheme="minorBidi" w:hAnsiTheme="minorBidi" w:cstheme="minorBidi"/>
          <w:noProof w:val="0"/>
          <w:sz w:val="22"/>
          <w:szCs w:val="22"/>
        </w:rPr>
      </w:pPr>
      <w:r>
        <w:rPr>
          <w:rFonts w:asciiTheme="minorBidi" w:hAnsiTheme="minorBidi" w:cstheme="minorBidi"/>
          <w:noProof w:val="0"/>
          <w:sz w:val="22"/>
          <w:szCs w:val="22"/>
        </w:rPr>
        <w:t>"</w:t>
      </w:r>
      <w:r>
        <w:rPr>
          <w:rFonts w:asciiTheme="minorBidi" w:hAnsiTheme="minorBidi" w:cstheme="minorBidi"/>
          <w:b/>
          <w:bCs/>
          <w:noProof w:val="0"/>
          <w:sz w:val="22"/>
          <w:szCs w:val="22"/>
          <w:rtl/>
        </w:rPr>
        <w:t xml:space="preserve">... וזאת בכך שמילא אחר הוראות </w:t>
      </w:r>
      <w:r>
        <w:rPr>
          <w:rFonts w:asciiTheme="minorBidi" w:hAnsiTheme="minorBidi" w:cstheme="minorBidi"/>
          <w:b/>
          <w:bCs/>
          <w:noProof w:val="0"/>
          <w:sz w:val="22"/>
          <w:szCs w:val="22"/>
          <w:u w:val="single"/>
          <w:rtl/>
        </w:rPr>
        <w:t>שידע היטב</w:t>
      </w:r>
      <w:r>
        <w:rPr>
          <w:rFonts w:asciiTheme="minorBidi" w:hAnsiTheme="minorBidi" w:cstheme="minorBidi"/>
          <w:b/>
          <w:bCs/>
          <w:noProof w:val="0"/>
          <w:sz w:val="22"/>
          <w:szCs w:val="22"/>
          <w:rtl/>
        </w:rPr>
        <w:t xml:space="preserve"> כי הן אינן תקינות או אינן חוקיות</w:t>
      </w:r>
      <w:r>
        <w:rPr>
          <w:rFonts w:asciiTheme="minorBidi" w:hAnsiTheme="minorBidi" w:cstheme="minorBidi"/>
          <w:noProof w:val="0"/>
          <w:sz w:val="22"/>
          <w:szCs w:val="22"/>
          <w:rtl/>
        </w:rPr>
        <w:t>" (סעיף 178 לפסה"ד)</w:t>
      </w:r>
    </w:p>
    <w:p w:rsidR="00FF767A" w:rsidRDefault="00FF767A" w:rsidP="00FF767A">
      <w:pPr>
        <w:pStyle w:val="ad"/>
        <w:numPr>
          <w:ilvl w:val="0"/>
          <w:numId w:val="1"/>
        </w:numPr>
        <w:spacing w:after="120" w:line="360" w:lineRule="auto"/>
        <w:jc w:val="both"/>
        <w:rPr>
          <w:rFonts w:asciiTheme="minorBidi" w:hAnsiTheme="minorBidi" w:cstheme="minorBidi"/>
          <w:noProof w:val="0"/>
          <w:sz w:val="22"/>
          <w:szCs w:val="22"/>
          <w:rtl/>
        </w:rPr>
      </w:pPr>
      <w:r>
        <w:rPr>
          <w:rFonts w:asciiTheme="minorBidi" w:hAnsiTheme="minorBidi" w:cstheme="minorBidi"/>
          <w:sz w:val="22"/>
          <w:szCs w:val="22"/>
          <w:rtl/>
        </w:rPr>
        <w:t>"</w:t>
      </w:r>
      <w:r>
        <w:rPr>
          <w:rFonts w:asciiTheme="minorBidi" w:hAnsiTheme="minorBidi" w:cstheme="minorBidi"/>
          <w:b/>
          <w:bCs/>
          <w:sz w:val="22"/>
          <w:szCs w:val="22"/>
          <w:rtl/>
        </w:rPr>
        <w:t xml:space="preserve">אכן </w:t>
      </w:r>
      <w:r>
        <w:rPr>
          <w:rFonts w:asciiTheme="minorBidi" w:hAnsiTheme="minorBidi" w:cstheme="minorBidi"/>
          <w:b/>
          <w:bCs/>
          <w:sz w:val="22"/>
          <w:szCs w:val="22"/>
          <w:u w:val="single"/>
          <w:rtl/>
        </w:rPr>
        <w:t>קיימת סתירה מסויימת</w:t>
      </w:r>
      <w:r>
        <w:rPr>
          <w:rFonts w:asciiTheme="minorBidi" w:hAnsiTheme="minorBidi" w:cstheme="minorBidi"/>
          <w:b/>
          <w:bCs/>
          <w:sz w:val="22"/>
          <w:szCs w:val="22"/>
          <w:rtl/>
        </w:rPr>
        <w:t xml:space="preserve"> בין אמירתו ... לבין תצהירו בבית הדין האזורי לעבודה בדבר נסיבות ההתפטרות</w:t>
      </w:r>
      <w:r>
        <w:rPr>
          <w:rFonts w:asciiTheme="minorBidi" w:hAnsiTheme="minorBidi" w:cstheme="minorBidi"/>
          <w:sz w:val="22"/>
          <w:szCs w:val="22"/>
          <w:rtl/>
        </w:rPr>
        <w:t xml:space="preserve">" (סעיף 219 לפסה"ד) </w:t>
      </w:r>
    </w:p>
    <w:p w:rsidR="00FF767A" w:rsidRDefault="00FF767A" w:rsidP="00FF767A">
      <w:pPr>
        <w:pStyle w:val="ad"/>
        <w:numPr>
          <w:ilvl w:val="0"/>
          <w:numId w:val="1"/>
        </w:numPr>
        <w:spacing w:after="120" w:line="360" w:lineRule="auto"/>
        <w:jc w:val="both"/>
        <w:rPr>
          <w:rFonts w:asciiTheme="minorBidi" w:hAnsiTheme="minorBidi" w:cstheme="minorBidi"/>
          <w:noProof w:val="0"/>
          <w:sz w:val="22"/>
          <w:szCs w:val="22"/>
        </w:rPr>
      </w:pPr>
      <w:r>
        <w:rPr>
          <w:rFonts w:asciiTheme="minorBidi" w:hAnsiTheme="minorBidi" w:cstheme="minorBidi"/>
          <w:sz w:val="22"/>
          <w:szCs w:val="22"/>
          <w:rtl/>
        </w:rPr>
        <w:lastRenderedPageBreak/>
        <w:t xml:space="preserve">" </w:t>
      </w:r>
      <w:r>
        <w:rPr>
          <w:rFonts w:asciiTheme="minorBidi" w:hAnsiTheme="minorBidi" w:cstheme="minorBidi"/>
          <w:b/>
          <w:bCs/>
          <w:sz w:val="22"/>
          <w:szCs w:val="22"/>
          <w:u w:val="single"/>
          <w:rtl/>
        </w:rPr>
        <w:t>יש סתירה מסויימת</w:t>
      </w:r>
      <w:r>
        <w:rPr>
          <w:rFonts w:asciiTheme="minorBidi" w:hAnsiTheme="minorBidi" w:cstheme="minorBidi"/>
          <w:b/>
          <w:bCs/>
          <w:sz w:val="22"/>
          <w:szCs w:val="22"/>
          <w:rtl/>
        </w:rPr>
        <w:t xml:space="preserve"> בין גרסה זו לבין גרסתו בהליך הפלילי במסגרתה טען כי התפטר עקב רצון לעזור ל.</w:t>
      </w:r>
      <w:r>
        <w:rPr>
          <w:rFonts w:asciiTheme="minorBidi" w:hAnsiTheme="minorBidi" w:cstheme="minorBidi"/>
          <w:sz w:val="22"/>
          <w:szCs w:val="22"/>
          <w:rtl/>
        </w:rPr>
        <w:t xml:space="preserve">.." (סעיף 223 לפסה"ד), </w:t>
      </w:r>
    </w:p>
    <w:p w:rsidR="00FF767A" w:rsidRDefault="00FF767A" w:rsidP="00FF767A">
      <w:pPr>
        <w:pStyle w:val="ad"/>
        <w:numPr>
          <w:ilvl w:val="0"/>
          <w:numId w:val="1"/>
        </w:numPr>
        <w:spacing w:after="120" w:line="360" w:lineRule="auto"/>
        <w:jc w:val="both"/>
        <w:rPr>
          <w:rFonts w:asciiTheme="minorBidi" w:hAnsiTheme="minorBidi" w:cstheme="minorBidi"/>
          <w:sz w:val="22"/>
          <w:szCs w:val="22"/>
          <w:rtl/>
        </w:rPr>
      </w:pPr>
      <w:r>
        <w:rPr>
          <w:rFonts w:asciiTheme="minorBidi" w:hAnsiTheme="minorBidi" w:cstheme="minorBidi"/>
          <w:sz w:val="22"/>
          <w:szCs w:val="22"/>
          <w:rtl/>
        </w:rPr>
        <w:t>"...</w:t>
      </w:r>
      <w:r>
        <w:rPr>
          <w:rFonts w:asciiTheme="minorBidi" w:hAnsiTheme="minorBidi" w:cstheme="minorBidi"/>
          <w:b/>
          <w:bCs/>
          <w:sz w:val="22"/>
          <w:szCs w:val="22"/>
          <w:rtl/>
        </w:rPr>
        <w:t xml:space="preserve">אף אם </w:t>
      </w:r>
      <w:r>
        <w:rPr>
          <w:rFonts w:asciiTheme="minorBidi" w:hAnsiTheme="minorBidi" w:cstheme="minorBidi"/>
          <w:b/>
          <w:bCs/>
          <w:sz w:val="22"/>
          <w:szCs w:val="22"/>
          <w:u w:val="single"/>
          <w:rtl/>
        </w:rPr>
        <w:t>התובע לא אמר את כל האמת במשפט</w:t>
      </w:r>
      <w:r>
        <w:rPr>
          <w:rFonts w:asciiTheme="minorBidi" w:hAnsiTheme="minorBidi" w:cstheme="minorBidi"/>
          <w:b/>
          <w:bCs/>
          <w:sz w:val="22"/>
          <w:szCs w:val="22"/>
          <w:rtl/>
        </w:rPr>
        <w:t xml:space="preserve"> הפלילי של א' כאשר ציין כי סיבת ההתפטרות היא הרצון לעזור לא'</w:t>
      </w:r>
      <w:r>
        <w:rPr>
          <w:rFonts w:asciiTheme="minorBidi" w:hAnsiTheme="minorBidi" w:cstheme="minorBidi"/>
          <w:sz w:val="22"/>
          <w:szCs w:val="22"/>
          <w:rtl/>
        </w:rPr>
        <w:t>" (סעיף 225 לפסה"ד), "</w:t>
      </w:r>
      <w:r>
        <w:rPr>
          <w:rFonts w:asciiTheme="minorBidi" w:hAnsiTheme="minorBidi" w:cstheme="minorBidi"/>
          <w:b/>
          <w:bCs/>
          <w:sz w:val="22"/>
          <w:szCs w:val="22"/>
          <w:rtl/>
        </w:rPr>
        <w:t xml:space="preserve">... </w:t>
      </w:r>
      <w:r>
        <w:rPr>
          <w:rFonts w:asciiTheme="minorBidi" w:hAnsiTheme="minorBidi" w:cstheme="minorBidi"/>
          <w:b/>
          <w:bCs/>
          <w:sz w:val="22"/>
          <w:szCs w:val="22"/>
          <w:u w:val="single"/>
          <w:rtl/>
        </w:rPr>
        <w:t>לא דייק</w:t>
      </w:r>
      <w:r>
        <w:rPr>
          <w:rFonts w:asciiTheme="minorBidi" w:hAnsiTheme="minorBidi" w:cstheme="minorBidi"/>
          <w:b/>
          <w:bCs/>
          <w:sz w:val="22"/>
          <w:szCs w:val="22"/>
          <w:rtl/>
        </w:rPr>
        <w:t xml:space="preserve"> בנסיבות ההתפטרות שלו מהמעון הרשמי</w:t>
      </w:r>
      <w:r>
        <w:rPr>
          <w:rFonts w:asciiTheme="minorBidi" w:hAnsiTheme="minorBidi" w:cstheme="minorBidi"/>
          <w:sz w:val="22"/>
          <w:szCs w:val="22"/>
          <w:rtl/>
        </w:rPr>
        <w:t>" (סעיף 223 לפסה"ד).</w:t>
      </w:r>
    </w:p>
    <w:p w:rsidR="00FF767A" w:rsidRDefault="00FF767A" w:rsidP="00FF767A">
      <w:pPr>
        <w:spacing w:after="120" w:line="360" w:lineRule="auto"/>
        <w:jc w:val="both"/>
        <w:rPr>
          <w:rFonts w:asciiTheme="minorBidi" w:hAnsiTheme="minorBidi" w:cstheme="minorBidi"/>
          <w:sz w:val="22"/>
          <w:szCs w:val="22"/>
          <w:rtl/>
        </w:rPr>
      </w:pPr>
      <w:r>
        <w:rPr>
          <w:rFonts w:asciiTheme="minorBidi" w:hAnsiTheme="minorBidi" w:cstheme="minorBidi"/>
          <w:noProof w:val="0"/>
          <w:sz w:val="22"/>
          <w:szCs w:val="22"/>
          <w:rtl/>
        </w:rPr>
        <w:t xml:space="preserve">ממצאי העובדה לעיל שנקבעו בפסק הדין ע"י בית משפט קמא בעצמו, ובמיוחד אלו המייחסים לנפתלי זיוף מסמכים על מנת לקבל כספים שלא מגיעים לו, עיוות נתונים, הזנת מספר שעות עבודה שקרי, אי אמירת כל האמת, ועוד, </w:t>
      </w:r>
      <w:proofErr w:type="spellStart"/>
      <w:r>
        <w:rPr>
          <w:rFonts w:asciiTheme="minorBidi" w:hAnsiTheme="minorBidi" w:cstheme="minorBidi"/>
          <w:noProof w:val="0"/>
          <w:sz w:val="22"/>
          <w:szCs w:val="22"/>
          <w:rtl/>
        </w:rPr>
        <w:t>הכל</w:t>
      </w:r>
      <w:proofErr w:type="spellEnd"/>
      <w:r>
        <w:rPr>
          <w:rFonts w:asciiTheme="minorBidi" w:hAnsiTheme="minorBidi" w:cstheme="minorBidi"/>
          <w:noProof w:val="0"/>
          <w:sz w:val="22"/>
          <w:szCs w:val="22"/>
          <w:rtl/>
        </w:rPr>
        <w:t xml:space="preserve"> במודעות – היה בכוחם, ברמת ההוכחה הנדרשת, להכניס את כהן תחת כנפיה של הגנת האמת. </w:t>
      </w:r>
    </w:p>
    <w:p w:rsidR="00FF767A" w:rsidRDefault="00FF767A" w:rsidP="00FF767A">
      <w:pPr>
        <w:spacing w:after="120" w:line="360" w:lineRule="auto"/>
        <w:jc w:val="both"/>
        <w:rPr>
          <w:rFonts w:asciiTheme="minorBidi" w:hAnsiTheme="minorBidi" w:cstheme="minorBidi"/>
          <w:noProof w:val="0"/>
          <w:sz w:val="22"/>
          <w:szCs w:val="22"/>
          <w:rtl/>
        </w:rPr>
      </w:pPr>
      <w:r>
        <w:rPr>
          <w:rFonts w:asciiTheme="minorBidi" w:hAnsiTheme="minorBidi" w:cstheme="minorBidi"/>
          <w:sz w:val="22"/>
          <w:szCs w:val="22"/>
          <w:rtl/>
        </w:rPr>
        <w:t>21.</w:t>
      </w:r>
      <w:r>
        <w:rPr>
          <w:rFonts w:asciiTheme="minorBidi" w:hAnsiTheme="minorBidi" w:cstheme="minorBidi"/>
          <w:sz w:val="22"/>
          <w:szCs w:val="22"/>
          <w:rtl/>
        </w:rPr>
        <w:tab/>
        <w:t>נותר עוד לבחון את ההיגד לפיו: "</w:t>
      </w:r>
      <w:r>
        <w:rPr>
          <w:rFonts w:asciiTheme="minorBidi" w:hAnsiTheme="minorBidi" w:cstheme="minorBidi"/>
          <w:b/>
          <w:bCs/>
          <w:sz w:val="22"/>
          <w:szCs w:val="22"/>
          <w:rtl/>
        </w:rPr>
        <w:t>הוא הוציא (הוצאות כספיות) והוא עשה זאת בכוונה</w:t>
      </w:r>
      <w:r>
        <w:rPr>
          <w:rFonts w:asciiTheme="minorBidi" w:hAnsiTheme="minorBidi" w:cstheme="minorBidi"/>
          <w:sz w:val="22"/>
          <w:szCs w:val="22"/>
          <w:rtl/>
        </w:rPr>
        <w:t>"</w:t>
      </w:r>
      <w:r>
        <w:rPr>
          <w:rFonts w:asciiTheme="minorBidi" w:hAnsiTheme="minorBidi" w:cstheme="minorBidi"/>
          <w:noProof w:val="0"/>
          <w:sz w:val="22"/>
          <w:szCs w:val="22"/>
          <w:rtl/>
        </w:rPr>
        <w:t>.</w:t>
      </w:r>
    </w:p>
    <w:p w:rsidR="00FF767A" w:rsidRDefault="00FF767A" w:rsidP="00FF767A">
      <w:pPr>
        <w:spacing w:after="120" w:line="360" w:lineRule="auto"/>
        <w:jc w:val="both"/>
        <w:rPr>
          <w:rFonts w:asciiTheme="minorBidi" w:hAnsiTheme="minorBidi" w:cstheme="minorBidi"/>
          <w:b/>
          <w:bCs/>
          <w:noProof w:val="0"/>
          <w:sz w:val="22"/>
          <w:szCs w:val="22"/>
          <w:rtl/>
        </w:rPr>
      </w:pPr>
      <w:r>
        <w:rPr>
          <w:rFonts w:asciiTheme="minorBidi" w:hAnsiTheme="minorBidi" w:cstheme="minorBidi"/>
          <w:noProof w:val="0"/>
          <w:sz w:val="22"/>
          <w:szCs w:val="22"/>
          <w:rtl/>
        </w:rPr>
        <w:t>בימ"ש קמא קבע כי לא מצא בחומר הראיות</w:t>
      </w:r>
      <w:r>
        <w:rPr>
          <w:rFonts w:asciiTheme="minorBidi" w:hAnsiTheme="minorBidi" w:cstheme="minorBidi"/>
          <w:b/>
          <w:bCs/>
          <w:noProof w:val="0"/>
          <w:sz w:val="22"/>
          <w:szCs w:val="22"/>
          <w:rtl/>
        </w:rPr>
        <w:t xml:space="preserve"> "כל אינדיקציה, שלא לומר הוכחה, כי עשה זאת 'בכוונה' וזאת כפי שניתן להבין את האמירה 'בכוונה' באופן אובייקטיבי מהפרסום הזה</w:t>
      </w:r>
      <w:r>
        <w:rPr>
          <w:rFonts w:asciiTheme="minorBidi" w:hAnsiTheme="minorBidi" w:cstheme="minorBidi"/>
          <w:noProof w:val="0"/>
          <w:sz w:val="22"/>
          <w:szCs w:val="22"/>
          <w:rtl/>
        </w:rPr>
        <w:t>" (סעיף 185 לפסה"ד), אלא שגם קביעתו זו  לא מתיישבת עם ממצאיו האחרים של בימ"ש קמא, בהקשר לגידול בהוצאות המעון,  לפיהם נפתלי "</w:t>
      </w:r>
      <w:r>
        <w:rPr>
          <w:rFonts w:asciiTheme="minorBidi" w:hAnsiTheme="minorBidi" w:cstheme="minorBidi"/>
          <w:b/>
          <w:bCs/>
          <w:noProof w:val="0"/>
          <w:sz w:val="22"/>
          <w:szCs w:val="22"/>
          <w:rtl/>
        </w:rPr>
        <w:t xml:space="preserve">ביצע בעצמו פעולות שגרמו להגדלת ההוצאות </w:t>
      </w:r>
      <w:r>
        <w:rPr>
          <w:rFonts w:asciiTheme="minorBidi" w:hAnsiTheme="minorBidi" w:cstheme="minorBidi"/>
          <w:b/>
          <w:bCs/>
          <w:noProof w:val="0"/>
          <w:sz w:val="22"/>
          <w:szCs w:val="22"/>
          <w:u w:val="single"/>
          <w:rtl/>
        </w:rPr>
        <w:t>בידיעה ובמודעות</w:t>
      </w:r>
      <w:r>
        <w:rPr>
          <w:rFonts w:asciiTheme="minorBidi" w:hAnsiTheme="minorBidi" w:cstheme="minorBidi"/>
          <w:b/>
          <w:bCs/>
          <w:noProof w:val="0"/>
          <w:sz w:val="22"/>
          <w:szCs w:val="22"/>
          <w:rtl/>
        </w:rPr>
        <w:t xml:space="preserve"> כי פעולות אלו אסורות</w:t>
      </w:r>
      <w:r>
        <w:rPr>
          <w:rFonts w:asciiTheme="minorBidi" w:hAnsiTheme="minorBidi" w:cstheme="minorBidi"/>
          <w:noProof w:val="0"/>
          <w:sz w:val="22"/>
          <w:szCs w:val="22"/>
          <w:rtl/>
        </w:rPr>
        <w:t>" (סעיף 166 לפסה"ד), וכי נפתלי "</w:t>
      </w:r>
      <w:r>
        <w:rPr>
          <w:rFonts w:asciiTheme="minorBidi" w:hAnsiTheme="minorBidi" w:cstheme="minorBidi"/>
          <w:b/>
          <w:bCs/>
          <w:noProof w:val="0"/>
          <w:sz w:val="22"/>
          <w:szCs w:val="22"/>
          <w:u w:val="single"/>
          <w:rtl/>
        </w:rPr>
        <w:t>ידע היטב</w:t>
      </w:r>
      <w:r>
        <w:rPr>
          <w:rFonts w:asciiTheme="minorBidi" w:hAnsiTheme="minorBidi" w:cstheme="minorBidi"/>
          <w:b/>
          <w:bCs/>
          <w:noProof w:val="0"/>
          <w:sz w:val="22"/>
          <w:szCs w:val="22"/>
          <w:rtl/>
        </w:rPr>
        <w:t xml:space="preserve"> כי הן אינן תקינות או אינן חוקיות</w:t>
      </w:r>
      <w:r>
        <w:rPr>
          <w:rFonts w:asciiTheme="minorBidi" w:hAnsiTheme="minorBidi" w:cstheme="minorBidi"/>
          <w:noProof w:val="0"/>
          <w:sz w:val="22"/>
          <w:szCs w:val="22"/>
          <w:rtl/>
        </w:rPr>
        <w:t xml:space="preserve">" (סעיף 178 לפסה"ד, ההדגשות בקו של הח"מ). </w:t>
      </w:r>
    </w:p>
    <w:p w:rsidR="00FF767A" w:rsidRDefault="00FF767A" w:rsidP="00FF767A">
      <w:pPr>
        <w:spacing w:after="120" w:line="360" w:lineRule="auto"/>
        <w:jc w:val="both"/>
        <w:rPr>
          <w:rFonts w:asciiTheme="minorBidi" w:hAnsiTheme="minorBidi" w:cstheme="minorBidi"/>
          <w:noProof w:val="0"/>
          <w:sz w:val="22"/>
          <w:szCs w:val="22"/>
          <w:rtl/>
        </w:rPr>
      </w:pPr>
      <w:r>
        <w:rPr>
          <w:rFonts w:asciiTheme="minorBidi" w:hAnsiTheme="minorBidi" w:cstheme="minorBidi"/>
          <w:noProof w:val="0"/>
          <w:sz w:val="22"/>
          <w:szCs w:val="22"/>
          <w:rtl/>
        </w:rPr>
        <w:t>ידיעה, מודעות וכוונה - הן סוגים שונים של מצב נפשי, ואין לראות הבדל, בהקשר של חוק לשון הרע, לא בהקשר פלילי, בין האמירה לפיה הדברים נעשו בכוונה, לבין הקביעה כי הדברים נעשו "</w:t>
      </w:r>
      <w:r>
        <w:rPr>
          <w:rFonts w:asciiTheme="minorBidi" w:hAnsiTheme="minorBidi" w:cstheme="minorBidi"/>
          <w:b/>
          <w:bCs/>
          <w:noProof w:val="0"/>
          <w:sz w:val="22"/>
          <w:szCs w:val="22"/>
          <w:rtl/>
        </w:rPr>
        <w:t>בידיעה היטב</w:t>
      </w:r>
      <w:r>
        <w:rPr>
          <w:rFonts w:asciiTheme="minorBidi" w:hAnsiTheme="minorBidi" w:cstheme="minorBidi"/>
          <w:noProof w:val="0"/>
          <w:sz w:val="22"/>
          <w:szCs w:val="22"/>
          <w:rtl/>
        </w:rPr>
        <w:t>" אף "</w:t>
      </w:r>
      <w:r>
        <w:rPr>
          <w:rFonts w:asciiTheme="minorBidi" w:hAnsiTheme="minorBidi" w:cstheme="minorBidi"/>
          <w:b/>
          <w:bCs/>
          <w:noProof w:val="0"/>
          <w:sz w:val="22"/>
          <w:szCs w:val="22"/>
          <w:rtl/>
        </w:rPr>
        <w:t>במודעות</w:t>
      </w:r>
      <w:r>
        <w:rPr>
          <w:rFonts w:asciiTheme="minorBidi" w:hAnsiTheme="minorBidi" w:cstheme="minorBidi"/>
          <w:noProof w:val="0"/>
          <w:sz w:val="22"/>
          <w:szCs w:val="22"/>
          <w:rtl/>
        </w:rPr>
        <w:t xml:space="preserve">". </w:t>
      </w:r>
    </w:p>
    <w:p w:rsidR="00FF767A" w:rsidRDefault="00FF767A" w:rsidP="00FF767A">
      <w:pPr>
        <w:spacing w:after="120" w:line="360" w:lineRule="auto"/>
        <w:jc w:val="both"/>
        <w:rPr>
          <w:rFonts w:asciiTheme="minorBidi" w:hAnsiTheme="minorBidi" w:cstheme="minorBidi"/>
          <w:sz w:val="22"/>
          <w:szCs w:val="22"/>
          <w:rtl/>
        </w:rPr>
      </w:pPr>
      <w:r>
        <w:rPr>
          <w:rFonts w:asciiTheme="minorBidi" w:hAnsiTheme="minorBidi" w:cstheme="minorBidi"/>
          <w:noProof w:val="0"/>
          <w:sz w:val="22"/>
          <w:szCs w:val="22"/>
          <w:rtl/>
        </w:rPr>
        <w:t xml:space="preserve">שנית, </w:t>
      </w:r>
      <w:r>
        <w:rPr>
          <w:rFonts w:asciiTheme="minorBidi" w:hAnsiTheme="minorBidi" w:cstheme="minorBidi"/>
          <w:sz w:val="22"/>
          <w:szCs w:val="22"/>
          <w:rtl/>
        </w:rPr>
        <w:t>המבחן הקובע הוא הפרשנות הניתנת לאמירה ע"י הקורא הסביר: "</w:t>
      </w:r>
      <w:r>
        <w:rPr>
          <w:rFonts w:asciiTheme="minorBidi" w:hAnsiTheme="minorBidi" w:cstheme="minorBidi"/>
          <w:b/>
          <w:bCs/>
          <w:sz w:val="22"/>
          <w:szCs w:val="22"/>
          <w:rtl/>
        </w:rPr>
        <w:t>המבחן העיקרי הוא מבחן הרושם הכללי שיוצר מירקם הכתבה בעיני הקורא הסביר או האדם הרגיל</w:t>
      </w:r>
      <w:r>
        <w:rPr>
          <w:rFonts w:asciiTheme="minorBidi" w:hAnsiTheme="minorBidi" w:cstheme="minorBidi"/>
          <w:sz w:val="22"/>
          <w:szCs w:val="22"/>
          <w:rtl/>
        </w:rPr>
        <w:t xml:space="preserve">" (ע"א 323/98 </w:t>
      </w:r>
      <w:r>
        <w:rPr>
          <w:rFonts w:asciiTheme="minorBidi" w:hAnsiTheme="minorBidi" w:cstheme="minorBidi"/>
          <w:b/>
          <w:bCs/>
          <w:sz w:val="22"/>
          <w:szCs w:val="22"/>
          <w:rtl/>
        </w:rPr>
        <w:t xml:space="preserve">אריאל שרון </w:t>
      </w:r>
      <w:r>
        <w:rPr>
          <w:rFonts w:asciiTheme="minorBidi" w:hAnsiTheme="minorBidi" w:cstheme="minorBidi"/>
          <w:sz w:val="22"/>
          <w:szCs w:val="22"/>
          <w:rtl/>
        </w:rPr>
        <w:t>נ'</w:t>
      </w:r>
      <w:r>
        <w:rPr>
          <w:rFonts w:asciiTheme="minorBidi" w:hAnsiTheme="minorBidi" w:cstheme="minorBidi"/>
          <w:b/>
          <w:bCs/>
          <w:sz w:val="22"/>
          <w:szCs w:val="22"/>
          <w:rtl/>
        </w:rPr>
        <w:t xml:space="preserve"> בנזימן</w:t>
      </w:r>
      <w:r>
        <w:rPr>
          <w:rFonts w:asciiTheme="minorBidi" w:hAnsiTheme="minorBidi" w:cstheme="minorBidi"/>
          <w:sz w:val="22"/>
          <w:szCs w:val="22"/>
          <w:rtl/>
        </w:rPr>
        <w:t xml:space="preserve">, עא 3199/93 </w:t>
      </w:r>
      <w:r>
        <w:rPr>
          <w:rFonts w:asciiTheme="minorBidi" w:hAnsiTheme="minorBidi" w:cstheme="minorBidi"/>
          <w:b/>
          <w:bCs/>
          <w:sz w:val="22"/>
          <w:szCs w:val="22"/>
          <w:rtl/>
        </w:rPr>
        <w:t xml:space="preserve">קראוס </w:t>
      </w:r>
      <w:r>
        <w:rPr>
          <w:rFonts w:asciiTheme="minorBidi" w:hAnsiTheme="minorBidi" w:cstheme="minorBidi"/>
          <w:sz w:val="22"/>
          <w:szCs w:val="22"/>
          <w:rtl/>
        </w:rPr>
        <w:t xml:space="preserve">נ' </w:t>
      </w:r>
      <w:r>
        <w:rPr>
          <w:rFonts w:asciiTheme="minorBidi" w:hAnsiTheme="minorBidi" w:cstheme="minorBidi"/>
          <w:b/>
          <w:bCs/>
          <w:sz w:val="22"/>
          <w:szCs w:val="22"/>
          <w:rtl/>
        </w:rPr>
        <w:t>ידיעות אחרונות</w:t>
      </w:r>
      <w:r>
        <w:rPr>
          <w:rFonts w:asciiTheme="minorBidi" w:hAnsiTheme="minorBidi" w:cstheme="minorBidi"/>
          <w:sz w:val="22"/>
          <w:szCs w:val="22"/>
          <w:rtl/>
        </w:rPr>
        <w:t>). "</w:t>
      </w:r>
      <w:r>
        <w:rPr>
          <w:rFonts w:asciiTheme="minorBidi" w:hAnsiTheme="minorBidi" w:cstheme="minorBidi"/>
          <w:b/>
          <w:bCs/>
          <w:color w:val="000000"/>
          <w:sz w:val="22"/>
          <w:szCs w:val="22"/>
          <w:shd w:val="clear" w:color="auto" w:fill="FFFFFF"/>
          <w:rtl/>
        </w:rPr>
        <w:t>... מהות הפרסום כקביעת עובדה או כהבעת דעה נבחנת לפי גורמים רבים, ובעיקר לפי התשובה לשאלה איך הפרסום נתפס בעיני האדם הסביר...</w:t>
      </w:r>
      <w:r>
        <w:rPr>
          <w:rFonts w:asciiTheme="minorBidi" w:hAnsiTheme="minorBidi" w:cstheme="minorBidi"/>
          <w:color w:val="000000"/>
          <w:sz w:val="22"/>
          <w:szCs w:val="22"/>
          <w:shd w:val="clear" w:color="auto" w:fill="FFFFFF"/>
          <w:rtl/>
        </w:rPr>
        <w:t xml:space="preserve">" (חאלד גנאים, מרדכי קרמניצר, בועז שנור, </w:t>
      </w:r>
      <w:r>
        <w:rPr>
          <w:rFonts w:asciiTheme="minorBidi" w:hAnsiTheme="minorBidi" w:cstheme="minorBidi"/>
          <w:b/>
          <w:bCs/>
          <w:color w:val="000000"/>
          <w:sz w:val="22"/>
          <w:szCs w:val="22"/>
          <w:shd w:val="clear" w:color="auto" w:fill="FFFFFF"/>
          <w:rtl/>
        </w:rPr>
        <w:t>דיני לשון הרע – הדין המצוי והדין הרצוי</w:t>
      </w:r>
      <w:r>
        <w:rPr>
          <w:rFonts w:asciiTheme="minorBidi" w:hAnsiTheme="minorBidi" w:cstheme="minorBidi"/>
          <w:color w:val="000000"/>
          <w:sz w:val="22"/>
          <w:szCs w:val="22"/>
          <w:shd w:val="clear" w:color="auto" w:fill="FFFFFF"/>
          <w:rtl/>
        </w:rPr>
        <w:t>,</w:t>
      </w:r>
      <w:r>
        <w:rPr>
          <w:rFonts w:asciiTheme="minorBidi" w:hAnsiTheme="minorBidi" w:cstheme="minorBidi"/>
          <w:b/>
          <w:bCs/>
          <w:color w:val="000000"/>
          <w:sz w:val="22"/>
          <w:szCs w:val="22"/>
          <w:shd w:val="clear" w:color="auto" w:fill="FFFFFF"/>
          <w:rtl/>
        </w:rPr>
        <w:t xml:space="preserve"> </w:t>
      </w:r>
      <w:r>
        <w:rPr>
          <w:rFonts w:asciiTheme="minorBidi" w:hAnsiTheme="minorBidi" w:cstheme="minorBidi"/>
          <w:color w:val="000000"/>
          <w:sz w:val="22"/>
          <w:szCs w:val="22"/>
          <w:shd w:val="clear" w:color="auto" w:fill="FFFFFF"/>
          <w:rtl/>
        </w:rPr>
        <w:t xml:space="preserve">מהדורה שנייה מורחבת-2019, 97; להלן - </w:t>
      </w:r>
      <w:r>
        <w:rPr>
          <w:rFonts w:asciiTheme="minorBidi" w:hAnsiTheme="minorBidi" w:cstheme="minorBidi"/>
          <w:b/>
          <w:bCs/>
          <w:color w:val="000000"/>
          <w:sz w:val="22"/>
          <w:szCs w:val="22"/>
          <w:shd w:val="clear" w:color="auto" w:fill="FFFFFF"/>
          <w:rtl/>
        </w:rPr>
        <w:t>גנאים-קרמניצר-שנור</w:t>
      </w:r>
      <w:r>
        <w:rPr>
          <w:rFonts w:asciiTheme="minorBidi" w:hAnsiTheme="minorBidi" w:cstheme="minorBidi"/>
          <w:color w:val="000000"/>
          <w:sz w:val="22"/>
          <w:szCs w:val="22"/>
          <w:shd w:val="clear" w:color="auto" w:fill="FFFFFF"/>
          <w:rtl/>
        </w:rPr>
        <w:t xml:space="preserve">). </w:t>
      </w:r>
    </w:p>
    <w:p w:rsidR="00FF767A" w:rsidRDefault="00FF767A" w:rsidP="00FF767A">
      <w:pPr>
        <w:spacing w:after="120" w:line="360" w:lineRule="auto"/>
        <w:jc w:val="both"/>
        <w:rPr>
          <w:rFonts w:asciiTheme="minorBidi" w:hAnsiTheme="minorBidi" w:cstheme="minorBidi"/>
          <w:sz w:val="22"/>
          <w:szCs w:val="22"/>
          <w:rtl/>
        </w:rPr>
      </w:pPr>
      <w:r>
        <w:rPr>
          <w:rFonts w:asciiTheme="minorBidi" w:hAnsiTheme="minorBidi" w:cstheme="minorBidi"/>
          <w:sz w:val="22"/>
          <w:szCs w:val="22"/>
          <w:rtl/>
        </w:rPr>
        <w:t>האדם הסביר יפרש את האמירה "</w:t>
      </w:r>
      <w:r>
        <w:rPr>
          <w:rFonts w:asciiTheme="minorBidi" w:hAnsiTheme="minorBidi" w:cstheme="minorBidi"/>
          <w:b/>
          <w:bCs/>
          <w:sz w:val="22"/>
          <w:szCs w:val="22"/>
          <w:rtl/>
        </w:rPr>
        <w:t>הוא הוציא הוצאות כספיות... בכוונה</w:t>
      </w:r>
      <w:r>
        <w:rPr>
          <w:rFonts w:asciiTheme="minorBidi" w:hAnsiTheme="minorBidi" w:cstheme="minorBidi"/>
          <w:sz w:val="22"/>
          <w:szCs w:val="22"/>
          <w:rtl/>
        </w:rPr>
        <w:t xml:space="preserve">" באופן שהאמירה מכוונת לכך שנפתלי לא עשה את המעשה המיוחס לו [הכפלת הרכישות] בשגגה, או בחוסר תשומת לב, או בחוסר </w:t>
      </w:r>
      <w:r>
        <w:rPr>
          <w:rFonts w:asciiTheme="minorBidi" w:hAnsiTheme="minorBidi" w:cstheme="minorBidi"/>
          <w:sz w:val="22"/>
          <w:szCs w:val="22"/>
          <w:rtl/>
        </w:rPr>
        <w:lastRenderedPageBreak/>
        <w:t>עירנות למעשיו, כי אם ביודעין ובהבנת הנעשה, כפי שבימ"ש קמא קבע בעצמו. השימוש במילה "</w:t>
      </w:r>
      <w:r>
        <w:rPr>
          <w:rFonts w:asciiTheme="minorBidi" w:hAnsiTheme="minorBidi" w:cstheme="minorBidi"/>
          <w:b/>
          <w:bCs/>
          <w:sz w:val="22"/>
          <w:szCs w:val="22"/>
          <w:rtl/>
        </w:rPr>
        <w:t>כוונה</w:t>
      </w:r>
      <w:r>
        <w:rPr>
          <w:rFonts w:asciiTheme="minorBidi" w:hAnsiTheme="minorBidi" w:cstheme="minorBidi"/>
          <w:sz w:val="22"/>
          <w:szCs w:val="22"/>
          <w:rtl/>
        </w:rPr>
        <w:t>" מבטא היטב את הרעיון.</w:t>
      </w:r>
    </w:p>
    <w:p w:rsidR="00FF767A" w:rsidRDefault="00FF767A" w:rsidP="00FF767A">
      <w:pPr>
        <w:spacing w:after="120" w:line="360" w:lineRule="auto"/>
        <w:jc w:val="both"/>
        <w:rPr>
          <w:rFonts w:asciiTheme="minorBidi" w:hAnsiTheme="minorBidi" w:cstheme="minorBidi"/>
          <w:sz w:val="22"/>
          <w:szCs w:val="22"/>
          <w:rtl/>
        </w:rPr>
      </w:pPr>
      <w:r>
        <w:rPr>
          <w:rFonts w:asciiTheme="minorBidi" w:hAnsiTheme="minorBidi" w:cstheme="minorBidi"/>
          <w:sz w:val="22"/>
          <w:szCs w:val="22"/>
          <w:rtl/>
        </w:rPr>
        <w:t>הנה כי כן, גם ההיגד "</w:t>
      </w:r>
      <w:r>
        <w:rPr>
          <w:rFonts w:asciiTheme="minorBidi" w:hAnsiTheme="minorBidi" w:cstheme="minorBidi"/>
          <w:b/>
          <w:bCs/>
          <w:sz w:val="22"/>
          <w:szCs w:val="22"/>
          <w:rtl/>
        </w:rPr>
        <w:t>בכוונה"</w:t>
      </w:r>
      <w:r>
        <w:rPr>
          <w:rFonts w:asciiTheme="minorBidi" w:hAnsiTheme="minorBidi" w:cstheme="minorBidi"/>
          <w:sz w:val="22"/>
          <w:szCs w:val="22"/>
          <w:rtl/>
        </w:rPr>
        <w:t xml:space="preserve"> צלח את הרף הנדרש.</w:t>
      </w:r>
    </w:p>
    <w:p w:rsidR="00FF767A" w:rsidRDefault="00FF767A" w:rsidP="00FF767A">
      <w:pPr>
        <w:spacing w:after="120" w:line="360" w:lineRule="auto"/>
        <w:jc w:val="both"/>
        <w:rPr>
          <w:rFonts w:asciiTheme="minorBidi" w:hAnsiTheme="minorBidi" w:cstheme="minorBidi"/>
          <w:sz w:val="22"/>
          <w:szCs w:val="22"/>
          <w:rtl/>
        </w:rPr>
      </w:pPr>
      <w:r>
        <w:rPr>
          <w:rFonts w:asciiTheme="minorBidi" w:hAnsiTheme="minorBidi" w:cstheme="minorBidi"/>
          <w:sz w:val="22"/>
          <w:szCs w:val="22"/>
          <w:rtl/>
        </w:rPr>
        <w:t>22.</w:t>
      </w:r>
      <w:r>
        <w:rPr>
          <w:rFonts w:asciiTheme="minorBidi" w:hAnsiTheme="minorBidi" w:cstheme="minorBidi"/>
          <w:sz w:val="22"/>
          <w:szCs w:val="22"/>
          <w:rtl/>
        </w:rPr>
        <w:tab/>
        <w:t>בכך לא תם הדיון. סעיף 14 לחוק דורש שבנוסף להוכחה "</w:t>
      </w:r>
      <w:r>
        <w:rPr>
          <w:rFonts w:asciiTheme="minorBidi" w:hAnsiTheme="minorBidi" w:cstheme="minorBidi"/>
          <w:b/>
          <w:bCs/>
          <w:sz w:val="22"/>
          <w:szCs w:val="22"/>
          <w:rtl/>
        </w:rPr>
        <w:t>שהדבר שפורסם היה אמת</w:t>
      </w:r>
      <w:r>
        <w:rPr>
          <w:rFonts w:asciiTheme="minorBidi" w:hAnsiTheme="minorBidi" w:cstheme="minorBidi"/>
          <w:sz w:val="22"/>
          <w:szCs w:val="22"/>
          <w:rtl/>
        </w:rPr>
        <w:t>" שהמפרסם גם יוכיח ש"</w:t>
      </w:r>
      <w:r>
        <w:rPr>
          <w:rFonts w:asciiTheme="minorBidi" w:hAnsiTheme="minorBidi" w:cstheme="minorBidi"/>
          <w:b/>
          <w:bCs/>
          <w:sz w:val="22"/>
          <w:szCs w:val="22"/>
          <w:rtl/>
        </w:rPr>
        <w:t>היה בפרסום עניין ציבורי</w:t>
      </w:r>
      <w:r>
        <w:rPr>
          <w:rFonts w:asciiTheme="minorBidi" w:hAnsiTheme="minorBidi" w:cstheme="minorBidi"/>
          <w:sz w:val="22"/>
          <w:szCs w:val="22"/>
          <w:rtl/>
        </w:rPr>
        <w:t>".</w:t>
      </w:r>
    </w:p>
    <w:p w:rsidR="00FF767A" w:rsidRDefault="00FF767A" w:rsidP="00FF767A">
      <w:pPr>
        <w:spacing w:after="120" w:line="360" w:lineRule="auto"/>
        <w:jc w:val="both"/>
        <w:rPr>
          <w:rFonts w:asciiTheme="minorBidi" w:hAnsiTheme="minorBidi" w:cstheme="minorBidi"/>
          <w:color w:val="000000"/>
          <w:sz w:val="22"/>
          <w:szCs w:val="22"/>
          <w:shd w:val="clear" w:color="auto" w:fill="FFFFFF"/>
          <w:rtl/>
        </w:rPr>
      </w:pPr>
      <w:r>
        <w:rPr>
          <w:rFonts w:asciiTheme="minorBidi" w:hAnsiTheme="minorBidi" w:cstheme="minorBidi"/>
          <w:color w:val="000000"/>
          <w:sz w:val="22"/>
          <w:szCs w:val="22"/>
          <w:shd w:val="clear" w:color="auto" w:fill="FFFFFF"/>
          <w:rtl/>
        </w:rPr>
        <w:t>נפתלי עצמו לא נמנה על המועמדים לכנסת בבחירות שעמדו על הפרק בתקופה הרלוונטית, גם לא נשא או היה מועמד לתפקיד ציבורי אחר. עם זאת, הקשר שבין הפרסומים לבין היותו של נפתלי "דמות ציבורית", ברמה כזו או אחרת, לפחות בהקשר הרלוונטי ובמועד הרלבנטי, בהיותו כרוך עם אנשים אחרים שאין מחלוקת לגבי היותם דמויות ציבוריות - מקובל אף על נפתלי עצמו עת טען בכתב תביעתו: "</w:t>
      </w:r>
      <w:r>
        <w:rPr>
          <w:rFonts w:asciiTheme="minorBidi" w:hAnsiTheme="minorBidi" w:cstheme="minorBidi"/>
          <w:b/>
          <w:bCs/>
          <w:color w:val="000000"/>
          <w:sz w:val="22"/>
          <w:szCs w:val="22"/>
          <w:shd w:val="clear" w:color="auto" w:fill="FFFFFF"/>
          <w:rtl/>
        </w:rPr>
        <w:t>...בניסיון נואל של ראש הממשלה ורעייתו לרתום את התובע בעל כורחו למערכה הפוליטית, על מנת לגייס מנדטים נוספים בבחירות שהתקיימו ביום 17.03.2015... גברו ההשמצות והגיעו לשיא חדש, עליו התובע אינו יכול להבליג</w:t>
      </w:r>
      <w:r>
        <w:rPr>
          <w:rFonts w:asciiTheme="minorBidi" w:hAnsiTheme="minorBidi" w:cstheme="minorBidi"/>
          <w:color w:val="000000"/>
          <w:sz w:val="22"/>
          <w:szCs w:val="22"/>
          <w:shd w:val="clear" w:color="auto" w:fill="FFFFFF"/>
          <w:rtl/>
        </w:rPr>
        <w:t>" (סעיף 85 לכתב התביעה המתוקן), וגם בסיכומים מטעמו – "</w:t>
      </w:r>
      <w:r>
        <w:rPr>
          <w:rFonts w:asciiTheme="minorBidi" w:hAnsiTheme="minorBidi" w:cstheme="minorBidi"/>
          <w:b/>
          <w:bCs/>
          <w:color w:val="000000"/>
          <w:sz w:val="22"/>
          <w:szCs w:val="22"/>
          <w:shd w:val="clear" w:color="auto" w:fill="FFFFFF"/>
          <w:rtl/>
        </w:rPr>
        <w:t>מעידה הנתבעת 5 כי הסיבה שהתובע סומן כמטרה היה החשש הפוליטי שדבריו ביחס למעון הרשמי של ראש הממשלה יגרמו נזק פוליטי. לא האמת עמדה לרגליהם של הנתבעים אלא עמודות מנדטים ופתקי הצבעה</w:t>
      </w:r>
      <w:r>
        <w:rPr>
          <w:rFonts w:asciiTheme="minorBidi" w:hAnsiTheme="minorBidi" w:cstheme="minorBidi"/>
          <w:color w:val="000000"/>
          <w:sz w:val="22"/>
          <w:szCs w:val="22"/>
          <w:shd w:val="clear" w:color="auto" w:fill="FFFFFF"/>
          <w:rtl/>
        </w:rPr>
        <w:t xml:space="preserve">" (סיכומים מיום 19.10.2020, סעיף 179). </w:t>
      </w:r>
    </w:p>
    <w:p w:rsidR="00FF767A" w:rsidRDefault="00FF767A" w:rsidP="00FF767A">
      <w:pPr>
        <w:spacing w:after="120" w:line="360" w:lineRule="auto"/>
        <w:jc w:val="both"/>
        <w:rPr>
          <w:rFonts w:asciiTheme="minorBidi" w:hAnsiTheme="minorBidi" w:cstheme="minorBidi"/>
          <w:sz w:val="22"/>
          <w:szCs w:val="22"/>
          <w:rtl/>
        </w:rPr>
      </w:pPr>
      <w:r>
        <w:rPr>
          <w:rFonts w:asciiTheme="minorBidi" w:hAnsiTheme="minorBidi" w:cstheme="minorBidi"/>
          <w:sz w:val="22"/>
          <w:szCs w:val="22"/>
          <w:rtl/>
        </w:rPr>
        <w:t>יש לזכור כי הימים הם ימי ערב הבחירות לכנסת העשרים, ואחרי פרסום דו"ח מבקר המדינה, עת מי שעמד בראש רשימת הליכוד היה ראש הממשלה המכהן שבמעונו שימש נפתלי כאב הבית. נפתלי, מתוקף תפקידו זה כאב הבית של המעון, זקף את האחריות לאי-הסדרים במעון לאשת ראש הממשלה המכהן דאז והלין בפומבי על תנאי העסקתו במעון ועל אופן סיומה.</w:t>
      </w:r>
    </w:p>
    <w:p w:rsidR="00FF767A" w:rsidRDefault="00FF767A" w:rsidP="00076EE1">
      <w:pPr>
        <w:spacing w:after="120" w:line="360" w:lineRule="auto"/>
        <w:jc w:val="both"/>
        <w:rPr>
          <w:rFonts w:asciiTheme="minorBidi" w:hAnsiTheme="minorBidi" w:cstheme="minorBidi"/>
          <w:color w:val="000000"/>
          <w:sz w:val="22"/>
          <w:szCs w:val="22"/>
          <w:shd w:val="clear" w:color="auto" w:fill="FFFFFF"/>
          <w:rtl/>
        </w:rPr>
      </w:pPr>
      <w:r>
        <w:rPr>
          <w:rFonts w:asciiTheme="minorBidi" w:hAnsiTheme="minorBidi" w:cstheme="minorBidi"/>
          <w:color w:val="000000"/>
          <w:sz w:val="22"/>
          <w:szCs w:val="22"/>
          <w:shd w:val="clear" w:color="auto" w:fill="FFFFFF"/>
          <w:rtl/>
        </w:rPr>
        <w:t>הצטברותן של הנסיבות המיוחדות: מקום עבודתו של נפתלי, היותו אב הבית  של המעון, התביעה שהגיש, דו"ח מבקר המדינה על המעון, והיות התקופה תקופת בחירות –</w:t>
      </w:r>
      <w:r w:rsidR="00076EE1">
        <w:rPr>
          <w:rFonts w:asciiTheme="minorBidi" w:hAnsiTheme="minorBidi" w:cstheme="minorBidi" w:hint="cs"/>
          <w:color w:val="000000"/>
          <w:sz w:val="22"/>
          <w:szCs w:val="22"/>
          <w:shd w:val="clear" w:color="auto" w:fill="FFFFFF"/>
          <w:rtl/>
        </w:rPr>
        <w:t xml:space="preserve"> </w:t>
      </w:r>
      <w:r>
        <w:rPr>
          <w:rFonts w:asciiTheme="minorBidi" w:hAnsiTheme="minorBidi" w:cstheme="minorBidi"/>
          <w:color w:val="000000"/>
          <w:sz w:val="22"/>
          <w:szCs w:val="22"/>
          <w:shd w:val="clear" w:color="auto" w:fill="FFFFFF"/>
          <w:rtl/>
        </w:rPr>
        <w:t>מגבשים את מסקנה המתבקשת לפיה מעשיו או דבריו של נפתלי מעוררים או עשויים לעורר עניין בציבור. יש להתבונן אפוא על הפרסום על נפתלי, בהקשר לנסיבות היחודיות, לרבות זיקתו לדמויות ציבוריות, לתפקיד, ולתקופה הרלבנטית -  כבעל "עניין ציבורי".</w:t>
      </w:r>
    </w:p>
    <w:p w:rsidR="00FF767A" w:rsidRDefault="00FF767A" w:rsidP="00FF767A">
      <w:pPr>
        <w:spacing w:after="120" w:line="360" w:lineRule="auto"/>
        <w:jc w:val="both"/>
        <w:rPr>
          <w:rFonts w:asciiTheme="minorBidi" w:hAnsiTheme="minorBidi" w:cstheme="minorBidi"/>
          <w:b/>
          <w:bCs/>
          <w:sz w:val="22"/>
          <w:szCs w:val="22"/>
          <w:rtl/>
        </w:rPr>
      </w:pPr>
      <w:r>
        <w:rPr>
          <w:rFonts w:asciiTheme="minorBidi" w:hAnsiTheme="minorBidi" w:cstheme="minorBidi"/>
          <w:b/>
          <w:bCs/>
          <w:sz w:val="22"/>
          <w:szCs w:val="22"/>
          <w:rtl/>
        </w:rPr>
        <w:t>ערעור הליכוד</w:t>
      </w:r>
    </w:p>
    <w:p w:rsidR="00FF767A" w:rsidRDefault="00FF767A" w:rsidP="00FF767A">
      <w:pPr>
        <w:spacing w:after="120" w:line="360" w:lineRule="auto"/>
        <w:jc w:val="both"/>
        <w:rPr>
          <w:rFonts w:asciiTheme="minorBidi" w:hAnsiTheme="minorBidi" w:cstheme="minorBidi"/>
          <w:noProof w:val="0"/>
          <w:sz w:val="22"/>
          <w:szCs w:val="22"/>
          <w:rtl/>
        </w:rPr>
      </w:pPr>
      <w:r>
        <w:rPr>
          <w:rFonts w:asciiTheme="minorBidi" w:hAnsiTheme="minorBidi" w:cstheme="minorBidi"/>
          <w:noProof w:val="0"/>
          <w:sz w:val="22"/>
          <w:szCs w:val="22"/>
          <w:rtl/>
        </w:rPr>
        <w:t>23.</w:t>
      </w:r>
      <w:r>
        <w:rPr>
          <w:rFonts w:asciiTheme="minorBidi" w:hAnsiTheme="minorBidi" w:cstheme="minorBidi"/>
          <w:noProof w:val="0"/>
          <w:sz w:val="22"/>
          <w:szCs w:val="22"/>
          <w:rtl/>
        </w:rPr>
        <w:tab/>
        <w:t xml:space="preserve">לשלושה היגדים מתוך הפוסט שפרסם הליכוד מייחס נפתלי פרסום לשון הרע אודותיו:  </w:t>
      </w:r>
    </w:p>
    <w:p w:rsidR="00FF767A" w:rsidRDefault="00FF767A" w:rsidP="00FF767A">
      <w:pPr>
        <w:spacing w:after="120" w:line="360" w:lineRule="auto"/>
        <w:jc w:val="both"/>
        <w:rPr>
          <w:rFonts w:asciiTheme="minorBidi" w:hAnsiTheme="minorBidi" w:cstheme="minorBidi"/>
          <w:noProof w:val="0"/>
          <w:sz w:val="22"/>
          <w:szCs w:val="22"/>
          <w:rtl/>
        </w:rPr>
      </w:pPr>
      <w:r>
        <w:rPr>
          <w:rFonts w:asciiTheme="minorBidi" w:hAnsiTheme="minorBidi" w:cstheme="minorBidi"/>
          <w:noProof w:val="0"/>
          <w:sz w:val="22"/>
          <w:szCs w:val="22"/>
          <w:rtl/>
        </w:rPr>
        <w:lastRenderedPageBreak/>
        <w:t>הראשון-</w:t>
      </w:r>
      <w:r>
        <w:rPr>
          <w:rFonts w:asciiTheme="minorBidi" w:hAnsiTheme="minorBidi" w:cstheme="minorBidi"/>
          <w:b/>
          <w:bCs/>
          <w:noProof w:val="0"/>
          <w:sz w:val="22"/>
          <w:szCs w:val="22"/>
          <w:rtl/>
        </w:rPr>
        <w:t xml:space="preserve"> </w:t>
      </w:r>
      <w:r>
        <w:rPr>
          <w:rFonts w:asciiTheme="minorBidi" w:hAnsiTheme="minorBidi" w:cstheme="minorBidi"/>
          <w:noProof w:val="0"/>
          <w:sz w:val="22"/>
          <w:szCs w:val="22"/>
          <w:rtl/>
        </w:rPr>
        <w:t>"</w:t>
      </w:r>
      <w:r>
        <w:rPr>
          <w:rFonts w:asciiTheme="minorBidi" w:hAnsiTheme="minorBidi" w:cstheme="minorBidi"/>
          <w:b/>
          <w:bCs/>
          <w:noProof w:val="0"/>
          <w:sz w:val="22"/>
          <w:szCs w:val="22"/>
          <w:rtl/>
        </w:rPr>
        <w:t>ההוצאות גדלו משמעותית בתקופה מסוימת, שבה ניהל את המעון הרשמי מני נפתלי</w:t>
      </w:r>
      <w:r>
        <w:rPr>
          <w:rFonts w:asciiTheme="minorBidi" w:hAnsiTheme="minorBidi" w:cstheme="minorBidi"/>
          <w:noProof w:val="0"/>
          <w:sz w:val="22"/>
          <w:szCs w:val="22"/>
          <w:rtl/>
        </w:rPr>
        <w:t>",</w:t>
      </w:r>
      <w:r>
        <w:rPr>
          <w:rFonts w:asciiTheme="minorBidi" w:hAnsiTheme="minorBidi" w:cstheme="minorBidi"/>
          <w:b/>
          <w:bCs/>
          <w:noProof w:val="0"/>
          <w:sz w:val="22"/>
          <w:szCs w:val="22"/>
          <w:rtl/>
        </w:rPr>
        <w:t xml:space="preserve"> </w:t>
      </w:r>
    </w:p>
    <w:p w:rsidR="00FF767A" w:rsidRDefault="00FF767A" w:rsidP="00FF767A">
      <w:pPr>
        <w:spacing w:after="120" w:line="360" w:lineRule="auto"/>
        <w:jc w:val="both"/>
        <w:rPr>
          <w:rFonts w:asciiTheme="minorBidi" w:hAnsiTheme="minorBidi" w:cstheme="minorBidi"/>
          <w:noProof w:val="0"/>
          <w:sz w:val="22"/>
          <w:szCs w:val="22"/>
          <w:rtl/>
        </w:rPr>
      </w:pPr>
      <w:r>
        <w:rPr>
          <w:rFonts w:asciiTheme="minorBidi" w:hAnsiTheme="minorBidi" w:cstheme="minorBidi"/>
          <w:noProof w:val="0"/>
          <w:sz w:val="22"/>
          <w:szCs w:val="22"/>
          <w:rtl/>
        </w:rPr>
        <w:t>השני –</w:t>
      </w:r>
      <w:r>
        <w:rPr>
          <w:rFonts w:asciiTheme="minorBidi" w:hAnsiTheme="minorBidi" w:cstheme="minorBidi"/>
          <w:b/>
          <w:bCs/>
          <w:noProof w:val="0"/>
          <w:sz w:val="22"/>
          <w:szCs w:val="22"/>
          <w:rtl/>
        </w:rPr>
        <w:t xml:space="preserve"> </w:t>
      </w:r>
      <w:r>
        <w:rPr>
          <w:rFonts w:asciiTheme="minorBidi" w:hAnsiTheme="minorBidi" w:cstheme="minorBidi"/>
          <w:noProof w:val="0"/>
          <w:sz w:val="22"/>
          <w:szCs w:val="22"/>
          <w:rtl/>
        </w:rPr>
        <w:t xml:space="preserve">  נפתלי הוא עובד</w:t>
      </w:r>
      <w:r>
        <w:rPr>
          <w:rFonts w:asciiTheme="minorBidi" w:hAnsiTheme="minorBidi" w:cstheme="minorBidi"/>
          <w:b/>
          <w:bCs/>
          <w:noProof w:val="0"/>
          <w:sz w:val="22"/>
          <w:szCs w:val="22"/>
          <w:rtl/>
        </w:rPr>
        <w:t xml:space="preserve"> </w:t>
      </w:r>
      <w:r>
        <w:rPr>
          <w:rFonts w:asciiTheme="minorBidi" w:hAnsiTheme="minorBidi" w:cstheme="minorBidi"/>
          <w:noProof w:val="0"/>
          <w:sz w:val="22"/>
          <w:szCs w:val="22"/>
          <w:rtl/>
        </w:rPr>
        <w:t>"</w:t>
      </w:r>
      <w:r>
        <w:rPr>
          <w:rFonts w:asciiTheme="minorBidi" w:hAnsiTheme="minorBidi" w:cstheme="minorBidi"/>
          <w:b/>
          <w:bCs/>
          <w:noProof w:val="0"/>
          <w:sz w:val="22"/>
          <w:szCs w:val="22"/>
          <w:rtl/>
        </w:rPr>
        <w:t>ממורמר</w:t>
      </w:r>
      <w:r>
        <w:rPr>
          <w:rFonts w:asciiTheme="minorBidi" w:hAnsiTheme="minorBidi" w:cstheme="minorBidi"/>
          <w:noProof w:val="0"/>
          <w:sz w:val="22"/>
          <w:szCs w:val="22"/>
          <w:rtl/>
        </w:rPr>
        <w:t xml:space="preserve">", </w:t>
      </w:r>
    </w:p>
    <w:p w:rsidR="00FF767A" w:rsidRDefault="00FF767A" w:rsidP="00FF767A">
      <w:pPr>
        <w:spacing w:after="120" w:line="360" w:lineRule="auto"/>
        <w:jc w:val="both"/>
        <w:rPr>
          <w:rFonts w:asciiTheme="minorBidi" w:hAnsiTheme="minorBidi" w:cstheme="minorBidi"/>
          <w:b/>
          <w:bCs/>
          <w:noProof w:val="0"/>
          <w:sz w:val="22"/>
          <w:szCs w:val="22"/>
          <w:rtl/>
        </w:rPr>
      </w:pPr>
      <w:r>
        <w:rPr>
          <w:rFonts w:asciiTheme="minorBidi" w:hAnsiTheme="minorBidi" w:cstheme="minorBidi"/>
          <w:noProof w:val="0"/>
          <w:sz w:val="22"/>
          <w:szCs w:val="22"/>
          <w:rtl/>
        </w:rPr>
        <w:t>השלישי -"</w:t>
      </w:r>
      <w:r>
        <w:rPr>
          <w:rFonts w:asciiTheme="minorBidi" w:hAnsiTheme="minorBidi" w:cstheme="minorBidi"/>
          <w:b/>
          <w:bCs/>
          <w:noProof w:val="0"/>
          <w:sz w:val="22"/>
          <w:szCs w:val="22"/>
          <w:rtl/>
        </w:rPr>
        <w:t xml:space="preserve">על מנת להוציא כספים </w:t>
      </w:r>
      <w:r>
        <w:rPr>
          <w:rFonts w:asciiTheme="minorBidi" w:hAnsiTheme="minorBidi" w:cstheme="minorBidi"/>
          <w:b/>
          <w:bCs/>
          <w:noProof w:val="0"/>
          <w:sz w:val="22"/>
          <w:szCs w:val="22"/>
          <w:u w:val="single"/>
          <w:rtl/>
        </w:rPr>
        <w:t>שלא כדין</w:t>
      </w:r>
      <w:r>
        <w:rPr>
          <w:rFonts w:asciiTheme="minorBidi" w:hAnsiTheme="minorBidi" w:cstheme="minorBidi"/>
          <w:b/>
          <w:bCs/>
          <w:noProof w:val="0"/>
          <w:sz w:val="22"/>
          <w:szCs w:val="22"/>
          <w:rtl/>
        </w:rPr>
        <w:t xml:space="preserve"> מקופת המדינה</w:t>
      </w:r>
      <w:r>
        <w:rPr>
          <w:rFonts w:asciiTheme="minorBidi" w:hAnsiTheme="minorBidi" w:cstheme="minorBidi"/>
          <w:noProof w:val="0"/>
          <w:sz w:val="22"/>
          <w:szCs w:val="22"/>
          <w:rtl/>
        </w:rPr>
        <w:t>"</w:t>
      </w:r>
    </w:p>
    <w:p w:rsidR="00FF767A" w:rsidRDefault="00FF767A" w:rsidP="00FF767A">
      <w:pPr>
        <w:spacing w:after="120" w:line="360" w:lineRule="auto"/>
        <w:jc w:val="both"/>
        <w:rPr>
          <w:rFonts w:asciiTheme="minorBidi" w:hAnsiTheme="minorBidi" w:cstheme="minorBidi"/>
          <w:noProof w:val="0"/>
          <w:sz w:val="22"/>
          <w:szCs w:val="22"/>
          <w:rtl/>
        </w:rPr>
      </w:pPr>
      <w:r>
        <w:rPr>
          <w:rFonts w:asciiTheme="minorBidi" w:hAnsiTheme="minorBidi" w:cstheme="minorBidi"/>
          <w:noProof w:val="0"/>
          <w:sz w:val="22"/>
          <w:szCs w:val="22"/>
          <w:rtl/>
        </w:rPr>
        <w:t>24.</w:t>
      </w:r>
      <w:r>
        <w:rPr>
          <w:rFonts w:asciiTheme="minorBidi" w:hAnsiTheme="minorBidi" w:cstheme="minorBidi"/>
          <w:noProof w:val="0"/>
          <w:sz w:val="22"/>
          <w:szCs w:val="22"/>
          <w:rtl/>
        </w:rPr>
        <w:tab/>
        <w:t>כבר ראינו לעיל כי בימ"ש קמא קבע כי על ההיגד הראשון חלה הגנת האמת: "</w:t>
      </w:r>
      <w:r>
        <w:rPr>
          <w:rFonts w:asciiTheme="minorBidi" w:hAnsiTheme="minorBidi" w:cstheme="minorBidi"/>
          <w:b/>
          <w:bCs/>
          <w:noProof w:val="0"/>
          <w:sz w:val="22"/>
          <w:szCs w:val="22"/>
          <w:rtl/>
        </w:rPr>
        <w:t>לגבי פרסום זה, אני סבור כי החלקים בפרסום הנוגעים להוצאות המעון הרשמי, אשר כפי שנטען בפרסום עלו בתקופת כהונתו של התובע כאב בית וירדו לאחר מכן, מדובר בפרסום שהינו אמת, וזאת גם אם אראה בפרסום כהטלת האחריות לאותה עלייה בהוצאות על התובע</w:t>
      </w:r>
      <w:r>
        <w:rPr>
          <w:rFonts w:asciiTheme="minorBidi" w:hAnsiTheme="minorBidi" w:cstheme="minorBidi"/>
          <w:noProof w:val="0"/>
          <w:sz w:val="22"/>
          <w:szCs w:val="22"/>
          <w:rtl/>
        </w:rPr>
        <w:t>".</w:t>
      </w:r>
    </w:p>
    <w:p w:rsidR="00FF767A" w:rsidRDefault="00FF767A" w:rsidP="00FF767A">
      <w:pPr>
        <w:spacing w:after="120" w:line="360" w:lineRule="auto"/>
        <w:jc w:val="both"/>
        <w:rPr>
          <w:rFonts w:asciiTheme="minorBidi" w:hAnsiTheme="minorBidi" w:cstheme="minorBidi"/>
          <w:noProof w:val="0"/>
          <w:sz w:val="22"/>
          <w:szCs w:val="22"/>
          <w:rtl/>
        </w:rPr>
      </w:pPr>
      <w:r>
        <w:rPr>
          <w:rFonts w:asciiTheme="minorBidi" w:hAnsiTheme="minorBidi" w:cstheme="minorBidi"/>
          <w:noProof w:val="0"/>
          <w:sz w:val="22"/>
          <w:szCs w:val="22"/>
          <w:rtl/>
        </w:rPr>
        <w:t xml:space="preserve"> היגד זה יוצא אפוא מגדרי הדיון. </w:t>
      </w:r>
    </w:p>
    <w:p w:rsidR="00FF767A" w:rsidRDefault="00FF767A" w:rsidP="00FF767A">
      <w:pPr>
        <w:spacing w:after="120" w:line="360" w:lineRule="auto"/>
        <w:jc w:val="both"/>
        <w:rPr>
          <w:rFonts w:asciiTheme="minorBidi" w:hAnsiTheme="minorBidi" w:cstheme="minorBidi"/>
          <w:color w:val="000000" w:themeColor="text1"/>
          <w:sz w:val="22"/>
          <w:szCs w:val="22"/>
          <w:rtl/>
        </w:rPr>
      </w:pPr>
      <w:r>
        <w:rPr>
          <w:rFonts w:asciiTheme="minorBidi" w:hAnsiTheme="minorBidi" w:cstheme="minorBidi"/>
          <w:noProof w:val="0"/>
          <w:sz w:val="22"/>
          <w:szCs w:val="22"/>
          <w:rtl/>
        </w:rPr>
        <w:t xml:space="preserve">נותר להכריע בהיגד השני והשלישי, לגביהם קבע בימ"ש קמא </w:t>
      </w:r>
      <w:r>
        <w:rPr>
          <w:rFonts w:asciiTheme="minorBidi" w:hAnsiTheme="minorBidi" w:cstheme="minorBidi"/>
          <w:color w:val="000000" w:themeColor="text1"/>
          <w:sz w:val="22"/>
          <w:szCs w:val="22"/>
          <w:rtl/>
        </w:rPr>
        <w:t>כי "</w:t>
      </w:r>
      <w:r>
        <w:rPr>
          <w:rFonts w:asciiTheme="minorBidi" w:hAnsiTheme="minorBidi" w:cstheme="minorBidi"/>
          <w:b/>
          <w:bCs/>
          <w:color w:val="000000" w:themeColor="text1"/>
          <w:sz w:val="22"/>
          <w:szCs w:val="22"/>
          <w:rtl/>
        </w:rPr>
        <w:t>הנתבעת 5 לא הוכיחה כי דברים אלו הינם אמת</w:t>
      </w:r>
      <w:r>
        <w:rPr>
          <w:rFonts w:asciiTheme="minorBidi" w:hAnsiTheme="minorBidi" w:cstheme="minorBidi"/>
          <w:color w:val="000000" w:themeColor="text1"/>
          <w:sz w:val="22"/>
          <w:szCs w:val="22"/>
          <w:rtl/>
        </w:rPr>
        <w:t>".</w:t>
      </w:r>
    </w:p>
    <w:p w:rsidR="00FF767A" w:rsidRDefault="00FF767A" w:rsidP="00FF767A">
      <w:pPr>
        <w:spacing w:after="120" w:line="360" w:lineRule="auto"/>
        <w:jc w:val="both"/>
        <w:rPr>
          <w:rFonts w:asciiTheme="minorBidi" w:hAnsiTheme="minorBidi" w:cstheme="minorBidi"/>
          <w:b/>
          <w:bCs/>
          <w:noProof w:val="0"/>
          <w:sz w:val="22"/>
          <w:szCs w:val="22"/>
          <w:rtl/>
        </w:rPr>
      </w:pPr>
      <w:r>
        <w:rPr>
          <w:rFonts w:asciiTheme="minorBidi" w:hAnsiTheme="minorBidi" w:cstheme="minorBidi"/>
          <w:color w:val="000000" w:themeColor="text1"/>
          <w:sz w:val="22"/>
          <w:szCs w:val="22"/>
          <w:rtl/>
        </w:rPr>
        <w:t xml:space="preserve">בימ"ש קמא אף דחה את טענת הגנת תום הלב שהעלתה הליכוד לפי סעיפים 15(2) ו-15(10) לחוק, עת קבע </w:t>
      </w:r>
      <w:r>
        <w:rPr>
          <w:rFonts w:asciiTheme="minorBidi" w:hAnsiTheme="minorBidi" w:cstheme="minorBidi"/>
          <w:sz w:val="22"/>
          <w:szCs w:val="22"/>
          <w:rtl/>
        </w:rPr>
        <w:t>כי "</w:t>
      </w:r>
      <w:r>
        <w:rPr>
          <w:rFonts w:asciiTheme="minorBidi" w:hAnsiTheme="minorBidi" w:cstheme="minorBidi"/>
          <w:b/>
          <w:bCs/>
          <w:sz w:val="22"/>
          <w:szCs w:val="22"/>
          <w:rtl/>
        </w:rPr>
        <w:t xml:space="preserve">לא </w:t>
      </w:r>
      <w:r>
        <w:rPr>
          <w:rFonts w:asciiTheme="minorBidi" w:hAnsiTheme="minorBidi" w:cstheme="minorBidi"/>
          <w:b/>
          <w:bCs/>
          <w:noProof w:val="0"/>
          <w:sz w:val="22"/>
          <w:szCs w:val="22"/>
          <w:rtl/>
        </w:rPr>
        <w:t>מצאתי כי מתקיימות חזקות אלו</w:t>
      </w:r>
      <w:r>
        <w:rPr>
          <w:rFonts w:asciiTheme="minorBidi" w:hAnsiTheme="minorBidi" w:cstheme="minorBidi"/>
          <w:noProof w:val="0"/>
          <w:sz w:val="22"/>
          <w:szCs w:val="22"/>
          <w:rtl/>
        </w:rPr>
        <w:t>", כי הטענה שהפרסום עולה כדי "</w:t>
      </w:r>
      <w:r>
        <w:rPr>
          <w:rFonts w:asciiTheme="minorBidi" w:hAnsiTheme="minorBidi" w:cstheme="minorBidi"/>
          <w:b/>
          <w:bCs/>
          <w:noProof w:val="0"/>
          <w:sz w:val="22"/>
          <w:szCs w:val="22"/>
          <w:rtl/>
        </w:rPr>
        <w:t>חובה מוסרית</w:t>
      </w:r>
      <w:r>
        <w:rPr>
          <w:rFonts w:asciiTheme="minorBidi" w:hAnsiTheme="minorBidi" w:cstheme="minorBidi"/>
          <w:noProof w:val="0"/>
          <w:sz w:val="22"/>
          <w:szCs w:val="22"/>
          <w:rtl/>
        </w:rPr>
        <w:t xml:space="preserve">" היא </w:t>
      </w:r>
      <w:r>
        <w:rPr>
          <w:rFonts w:asciiTheme="minorBidi" w:hAnsiTheme="minorBidi" w:cstheme="minorBidi"/>
          <w:b/>
          <w:bCs/>
          <w:noProof w:val="0"/>
          <w:sz w:val="22"/>
          <w:szCs w:val="22"/>
          <w:rtl/>
        </w:rPr>
        <w:t>"שאלה</w:t>
      </w:r>
      <w:r>
        <w:rPr>
          <w:rFonts w:asciiTheme="minorBidi" w:hAnsiTheme="minorBidi" w:cstheme="minorBidi"/>
          <w:noProof w:val="0"/>
          <w:sz w:val="22"/>
          <w:szCs w:val="22"/>
          <w:rtl/>
        </w:rPr>
        <w:t xml:space="preserve"> </w:t>
      </w:r>
      <w:r>
        <w:rPr>
          <w:rFonts w:asciiTheme="minorBidi" w:hAnsiTheme="minorBidi" w:cstheme="minorBidi"/>
          <w:b/>
          <w:bCs/>
          <w:noProof w:val="0"/>
          <w:sz w:val="22"/>
          <w:szCs w:val="22"/>
          <w:rtl/>
        </w:rPr>
        <w:t>מורכבת</w:t>
      </w:r>
      <w:r>
        <w:rPr>
          <w:rFonts w:asciiTheme="minorBidi" w:hAnsiTheme="minorBidi" w:cstheme="minorBidi"/>
          <w:noProof w:val="0"/>
          <w:sz w:val="22"/>
          <w:szCs w:val="22"/>
          <w:rtl/>
        </w:rPr>
        <w:t>"; וכי</w:t>
      </w:r>
      <w:r w:rsidRPr="00076EE1">
        <w:rPr>
          <w:rFonts w:asciiTheme="minorBidi" w:hAnsiTheme="minorBidi" w:cstheme="minorBidi"/>
          <w:noProof w:val="0"/>
          <w:sz w:val="22"/>
          <w:szCs w:val="22"/>
          <w:rtl/>
        </w:rPr>
        <w:t xml:space="preserve"> "</w:t>
      </w:r>
      <w:r>
        <w:rPr>
          <w:rFonts w:asciiTheme="minorBidi" w:hAnsiTheme="minorBidi" w:cstheme="minorBidi"/>
          <w:b/>
          <w:bCs/>
          <w:noProof w:val="0"/>
          <w:sz w:val="22"/>
          <w:szCs w:val="22"/>
          <w:rtl/>
        </w:rPr>
        <w:t>אין צורך לדון בה במקרה</w:t>
      </w:r>
      <w:r>
        <w:rPr>
          <w:rFonts w:asciiTheme="minorBidi" w:hAnsiTheme="minorBidi" w:cstheme="minorBidi"/>
          <w:noProof w:val="0"/>
          <w:sz w:val="22"/>
          <w:szCs w:val="22"/>
          <w:rtl/>
        </w:rPr>
        <w:t>" הנוכחי, משהפרסום שנעשה</w:t>
      </w:r>
      <w:r>
        <w:rPr>
          <w:rFonts w:asciiTheme="minorBidi" w:hAnsiTheme="minorBidi" w:cstheme="minorBidi"/>
          <w:b/>
          <w:bCs/>
          <w:noProof w:val="0"/>
          <w:sz w:val="22"/>
          <w:szCs w:val="22"/>
          <w:rtl/>
        </w:rPr>
        <w:t xml:space="preserve"> "חורג מאותה חובה</w:t>
      </w:r>
      <w:r>
        <w:rPr>
          <w:rFonts w:asciiTheme="minorBidi" w:hAnsiTheme="minorBidi" w:cstheme="minorBidi"/>
          <w:noProof w:val="0"/>
          <w:sz w:val="22"/>
          <w:szCs w:val="22"/>
          <w:rtl/>
        </w:rPr>
        <w:t>" (סעיף 337 לפסק הדין)</w:t>
      </w:r>
      <w:r>
        <w:rPr>
          <w:rFonts w:asciiTheme="minorBidi" w:hAnsiTheme="minorBidi" w:cstheme="minorBidi"/>
          <w:b/>
          <w:bCs/>
          <w:noProof w:val="0"/>
          <w:sz w:val="22"/>
          <w:szCs w:val="22"/>
          <w:rtl/>
        </w:rPr>
        <w:t xml:space="preserve"> </w:t>
      </w:r>
      <w:r>
        <w:rPr>
          <w:rFonts w:asciiTheme="minorBidi" w:hAnsiTheme="minorBidi" w:cstheme="minorBidi"/>
          <w:noProof w:val="0"/>
          <w:sz w:val="22"/>
          <w:szCs w:val="22"/>
          <w:rtl/>
        </w:rPr>
        <w:t>בהיותו "</w:t>
      </w:r>
      <w:r>
        <w:rPr>
          <w:rFonts w:asciiTheme="minorBidi" w:hAnsiTheme="minorBidi" w:cstheme="minorBidi"/>
          <w:b/>
          <w:bCs/>
          <w:noProof w:val="0"/>
          <w:sz w:val="22"/>
          <w:szCs w:val="22"/>
          <w:rtl/>
        </w:rPr>
        <w:t>משמיץ באופן אישי</w:t>
      </w:r>
      <w:r>
        <w:rPr>
          <w:rFonts w:asciiTheme="minorBidi" w:hAnsiTheme="minorBidi" w:cstheme="minorBidi"/>
          <w:noProof w:val="0"/>
          <w:sz w:val="22"/>
          <w:szCs w:val="22"/>
          <w:rtl/>
        </w:rPr>
        <w:t>"</w:t>
      </w:r>
      <w:r>
        <w:rPr>
          <w:rFonts w:asciiTheme="minorBidi" w:hAnsiTheme="minorBidi" w:cstheme="minorBidi"/>
          <w:b/>
          <w:bCs/>
          <w:noProof w:val="0"/>
          <w:sz w:val="22"/>
          <w:szCs w:val="22"/>
          <w:rtl/>
        </w:rPr>
        <w:t xml:space="preserve"> </w:t>
      </w:r>
      <w:r>
        <w:rPr>
          <w:rFonts w:asciiTheme="minorBidi" w:hAnsiTheme="minorBidi" w:cstheme="minorBidi"/>
          <w:noProof w:val="0"/>
          <w:sz w:val="22"/>
          <w:szCs w:val="22"/>
          <w:rtl/>
        </w:rPr>
        <w:t>וכן "</w:t>
      </w:r>
      <w:r>
        <w:rPr>
          <w:rFonts w:asciiTheme="minorBidi" w:hAnsiTheme="minorBidi" w:cstheme="minorBidi"/>
          <w:b/>
          <w:bCs/>
          <w:noProof w:val="0"/>
          <w:sz w:val="22"/>
          <w:szCs w:val="22"/>
          <w:rtl/>
        </w:rPr>
        <w:t>חסר קשר לדוח מבקר המדינה ולביקורת על ראש הממשלה מכוחו...</w:t>
      </w:r>
      <w:r>
        <w:rPr>
          <w:rFonts w:asciiTheme="minorBidi" w:hAnsiTheme="minorBidi" w:cstheme="minorBidi"/>
          <w:noProof w:val="0"/>
          <w:sz w:val="22"/>
          <w:szCs w:val="22"/>
          <w:rtl/>
        </w:rPr>
        <w:t>".</w:t>
      </w:r>
    </w:p>
    <w:p w:rsidR="00FF767A" w:rsidRDefault="00FF767A" w:rsidP="00FF767A">
      <w:pPr>
        <w:spacing w:after="120" w:line="360" w:lineRule="auto"/>
        <w:jc w:val="both"/>
        <w:rPr>
          <w:rFonts w:asciiTheme="minorBidi" w:hAnsiTheme="minorBidi" w:cstheme="minorBidi"/>
          <w:color w:val="000000"/>
          <w:sz w:val="22"/>
          <w:szCs w:val="22"/>
          <w:shd w:val="clear" w:color="auto" w:fill="FFFFFF"/>
          <w:rtl/>
        </w:rPr>
      </w:pPr>
      <w:r>
        <w:rPr>
          <w:rFonts w:asciiTheme="minorBidi" w:hAnsiTheme="minorBidi" w:cstheme="minorBidi"/>
          <w:sz w:val="22"/>
          <w:szCs w:val="22"/>
          <w:rtl/>
        </w:rPr>
        <w:t>25.</w:t>
      </w:r>
      <w:r>
        <w:rPr>
          <w:rFonts w:asciiTheme="minorBidi" w:hAnsiTheme="minorBidi" w:cstheme="minorBidi"/>
          <w:sz w:val="22"/>
          <w:szCs w:val="22"/>
          <w:rtl/>
        </w:rPr>
        <w:tab/>
        <w:t>הליכוד מלינה על הקביעה לעיל, וטוענת: ראשית, אין המדובר בכלל בלשון הרע; שנית, הדברים הם אמת לאמיתה; ושלישית, כי למצער חלות עליהם הגנות סעיף 15(2) לחוק איסור לשון הרע - "</w:t>
      </w:r>
      <w:r>
        <w:rPr>
          <w:rFonts w:asciiTheme="minorBidi" w:hAnsiTheme="minorBidi" w:cstheme="minorBidi"/>
          <w:b/>
          <w:bCs/>
          <w:color w:val="000000"/>
          <w:sz w:val="22"/>
          <w:szCs w:val="22"/>
          <w:shd w:val="clear" w:color="auto" w:fill="FFFFFF"/>
          <w:rtl/>
        </w:rPr>
        <w:t>היחסים שבינו לבין האדם שאליו הופנה הפרסום הטילו עליו חובה חוקית, מוסרית או חברתית לעשות אותו פרסום</w:t>
      </w:r>
      <w:r>
        <w:rPr>
          <w:rFonts w:asciiTheme="minorBidi" w:hAnsiTheme="minorBidi" w:cstheme="minorBidi"/>
          <w:sz w:val="22"/>
          <w:szCs w:val="22"/>
          <w:rtl/>
        </w:rPr>
        <w:t>", וסעיף 15(10) לחוק איסור לשון הרע - "</w:t>
      </w:r>
      <w:r>
        <w:rPr>
          <w:rFonts w:asciiTheme="minorBidi" w:hAnsiTheme="minorBidi" w:cstheme="minorBidi"/>
          <w:b/>
          <w:bCs/>
          <w:color w:val="000000"/>
          <w:sz w:val="22"/>
          <w:szCs w:val="22"/>
          <w:shd w:val="clear" w:color="auto" w:fill="FFFFFF"/>
          <w:rtl/>
        </w:rPr>
        <w:t>הפרסום לא נעשה אלא כדי לגנות או להכחיש לשון הרע שפורסמה קודם לכן</w:t>
      </w:r>
      <w:r>
        <w:rPr>
          <w:rFonts w:asciiTheme="minorBidi" w:hAnsiTheme="minorBidi" w:cstheme="minorBidi"/>
          <w:color w:val="000000"/>
          <w:sz w:val="22"/>
          <w:szCs w:val="22"/>
          <w:shd w:val="clear" w:color="auto" w:fill="FFFFFF"/>
          <w:rtl/>
        </w:rPr>
        <w:t>").</w:t>
      </w:r>
    </w:p>
    <w:p w:rsidR="00FF767A" w:rsidRDefault="00FF767A" w:rsidP="00FF767A">
      <w:pPr>
        <w:spacing w:after="120" w:line="360" w:lineRule="auto"/>
        <w:jc w:val="both"/>
        <w:rPr>
          <w:rFonts w:asciiTheme="minorBidi" w:hAnsiTheme="minorBidi" w:cstheme="minorBidi"/>
          <w:color w:val="000000"/>
          <w:sz w:val="22"/>
          <w:szCs w:val="22"/>
          <w:shd w:val="clear" w:color="auto" w:fill="FFFFFF"/>
          <w:rtl/>
        </w:rPr>
      </w:pPr>
      <w:r>
        <w:rPr>
          <w:rFonts w:asciiTheme="minorBidi" w:hAnsiTheme="minorBidi" w:cstheme="minorBidi"/>
          <w:color w:val="000000"/>
          <w:sz w:val="22"/>
          <w:szCs w:val="22"/>
          <w:shd w:val="clear" w:color="auto" w:fill="FFFFFF"/>
          <w:rtl/>
        </w:rPr>
        <w:t>זאת משלעמדתה "</w:t>
      </w:r>
      <w:r>
        <w:rPr>
          <w:rFonts w:asciiTheme="minorBidi" w:hAnsiTheme="minorBidi" w:cstheme="minorBidi"/>
          <w:b/>
          <w:bCs/>
          <w:color w:val="000000"/>
          <w:sz w:val="22"/>
          <w:szCs w:val="22"/>
          <w:shd w:val="clear" w:color="auto" w:fill="FFFFFF"/>
          <w:rtl/>
        </w:rPr>
        <w:t>הפרסום... נעשה על ידי המפלגה במהלך מערכת הבחירות... בדף הפייסבוק והוא הופנה אל אזרחי המדינה, בעלי הזכות לבחור, זכותם הפוליטית להצביע בבחירות לכנסת כללה גם את הזכות לדעת מה עמדתו של הליכוד ביחס להשמצותיו של התובע... חלק מחובתה החברתית של המפלגה להסביר לאזרחי המדינה, שבאותה עת גיבשו את עמדתם הפוליטית בעד מי להצביע בבחירות, מהי עמדתה ביחס להכפשות, שהתובע הטיח בראש הממשלה ורעייתו</w:t>
      </w:r>
      <w:r>
        <w:rPr>
          <w:rFonts w:asciiTheme="minorBidi" w:hAnsiTheme="minorBidi" w:cstheme="minorBidi"/>
          <w:color w:val="000000"/>
          <w:sz w:val="22"/>
          <w:szCs w:val="22"/>
          <w:shd w:val="clear" w:color="auto" w:fill="FFFFFF"/>
          <w:rtl/>
        </w:rPr>
        <w:t>".</w:t>
      </w:r>
    </w:p>
    <w:p w:rsidR="00FF767A" w:rsidRDefault="00FF767A" w:rsidP="00076EE1">
      <w:pPr>
        <w:spacing w:after="120" w:line="360" w:lineRule="auto"/>
        <w:jc w:val="both"/>
        <w:rPr>
          <w:rFonts w:asciiTheme="minorBidi" w:hAnsiTheme="minorBidi" w:cstheme="minorBidi"/>
          <w:color w:val="000000" w:themeColor="text1"/>
          <w:sz w:val="22"/>
          <w:szCs w:val="22"/>
          <w:rtl/>
        </w:rPr>
      </w:pPr>
      <w:r>
        <w:rPr>
          <w:rFonts w:asciiTheme="minorBidi" w:hAnsiTheme="minorBidi" w:cstheme="minorBidi"/>
          <w:noProof w:val="0"/>
          <w:sz w:val="22"/>
          <w:szCs w:val="22"/>
          <w:rtl/>
        </w:rPr>
        <w:lastRenderedPageBreak/>
        <w:t>26.</w:t>
      </w:r>
      <w:r>
        <w:rPr>
          <w:rFonts w:asciiTheme="minorBidi" w:hAnsiTheme="minorBidi" w:cstheme="minorBidi"/>
          <w:noProof w:val="0"/>
          <w:sz w:val="22"/>
          <w:szCs w:val="22"/>
          <w:rtl/>
        </w:rPr>
        <w:tab/>
      </w:r>
      <w:r>
        <w:rPr>
          <w:rFonts w:asciiTheme="minorBidi" w:hAnsiTheme="minorBidi" w:cstheme="minorBidi"/>
          <w:color w:val="000000" w:themeColor="text1"/>
          <w:sz w:val="22"/>
          <w:szCs w:val="22"/>
          <w:rtl/>
        </w:rPr>
        <w:t xml:space="preserve"> בימ"ש קמא  קבע  כאמור ביחס להיגד </w:t>
      </w:r>
      <w:r>
        <w:rPr>
          <w:rFonts w:asciiTheme="minorBidi" w:hAnsiTheme="minorBidi" w:cstheme="minorBidi"/>
          <w:b/>
          <w:bCs/>
          <w:noProof w:val="0"/>
          <w:sz w:val="22"/>
          <w:szCs w:val="22"/>
          <w:rtl/>
        </w:rPr>
        <w:t xml:space="preserve">"על מנת להוציא כספים </w:t>
      </w:r>
      <w:r>
        <w:rPr>
          <w:rFonts w:asciiTheme="minorBidi" w:hAnsiTheme="minorBidi" w:cstheme="minorBidi"/>
          <w:b/>
          <w:bCs/>
          <w:noProof w:val="0"/>
          <w:sz w:val="22"/>
          <w:szCs w:val="22"/>
          <w:u w:val="single"/>
          <w:rtl/>
        </w:rPr>
        <w:t>שלא כדין</w:t>
      </w:r>
      <w:r>
        <w:rPr>
          <w:rFonts w:asciiTheme="minorBidi" w:hAnsiTheme="minorBidi" w:cstheme="minorBidi"/>
          <w:b/>
          <w:bCs/>
          <w:noProof w:val="0"/>
          <w:sz w:val="22"/>
          <w:szCs w:val="22"/>
          <w:rtl/>
        </w:rPr>
        <w:t xml:space="preserve"> מקופת המדינה"</w:t>
      </w:r>
      <w:r>
        <w:rPr>
          <w:rFonts w:asciiTheme="minorBidi" w:hAnsiTheme="minorBidi" w:cstheme="minorBidi"/>
          <w:color w:val="000000" w:themeColor="text1"/>
          <w:sz w:val="22"/>
          <w:szCs w:val="22"/>
          <w:rtl/>
        </w:rPr>
        <w:t xml:space="preserve"> שהליכוד "</w:t>
      </w:r>
      <w:r>
        <w:rPr>
          <w:rFonts w:asciiTheme="minorBidi" w:hAnsiTheme="minorBidi" w:cstheme="minorBidi"/>
          <w:b/>
          <w:bCs/>
          <w:color w:val="000000" w:themeColor="text1"/>
          <w:sz w:val="22"/>
          <w:szCs w:val="22"/>
          <w:rtl/>
        </w:rPr>
        <w:t>לא הוכיחה כי דברים אלו הינם אמת</w:t>
      </w:r>
      <w:r>
        <w:rPr>
          <w:rFonts w:asciiTheme="minorBidi" w:hAnsiTheme="minorBidi" w:cstheme="minorBidi"/>
          <w:color w:val="000000" w:themeColor="text1"/>
          <w:sz w:val="22"/>
          <w:szCs w:val="22"/>
          <w:rtl/>
        </w:rPr>
        <w:t xml:space="preserve">". אלא שמסקנתו זו אינה עולה בקנה אחד עם ממצאו האחר לפיו </w:t>
      </w:r>
      <w:r>
        <w:rPr>
          <w:rFonts w:asciiTheme="minorBidi" w:hAnsiTheme="minorBidi" w:cstheme="minorBidi"/>
          <w:noProof w:val="0"/>
          <w:sz w:val="22"/>
          <w:szCs w:val="22"/>
          <w:rtl/>
        </w:rPr>
        <w:t xml:space="preserve">"... </w:t>
      </w:r>
      <w:r>
        <w:rPr>
          <w:rFonts w:asciiTheme="minorBidi" w:hAnsiTheme="minorBidi" w:cstheme="minorBidi"/>
          <w:b/>
          <w:bCs/>
          <w:noProof w:val="0"/>
          <w:sz w:val="22"/>
          <w:szCs w:val="22"/>
          <w:rtl/>
        </w:rPr>
        <w:t xml:space="preserve">התובע מודה על דוכן העדים בבית משפט זה, כי היה </w:t>
      </w:r>
      <w:r>
        <w:rPr>
          <w:rFonts w:asciiTheme="minorBidi" w:hAnsiTheme="minorBidi" w:cstheme="minorBidi"/>
          <w:b/>
          <w:bCs/>
          <w:noProof w:val="0"/>
          <w:sz w:val="22"/>
          <w:szCs w:val="22"/>
          <w:u w:val="single"/>
          <w:rtl/>
        </w:rPr>
        <w:t>שותף מלא לזיוף</w:t>
      </w:r>
      <w:r>
        <w:rPr>
          <w:rFonts w:asciiTheme="minorBidi" w:hAnsiTheme="minorBidi" w:cstheme="minorBidi"/>
          <w:b/>
          <w:bCs/>
          <w:noProof w:val="0"/>
          <w:sz w:val="22"/>
          <w:szCs w:val="22"/>
          <w:rtl/>
        </w:rPr>
        <w:t xml:space="preserve"> מסמכים וזאת </w:t>
      </w:r>
      <w:r>
        <w:rPr>
          <w:rFonts w:asciiTheme="minorBidi" w:hAnsiTheme="minorBidi" w:cstheme="minorBidi"/>
          <w:b/>
          <w:bCs/>
          <w:noProof w:val="0"/>
          <w:sz w:val="22"/>
          <w:szCs w:val="22"/>
          <w:u w:val="single"/>
          <w:rtl/>
        </w:rPr>
        <w:t>על מנת להוציא כסף מחשבות משרד ראש הממשלה שלא כדין</w:t>
      </w:r>
      <w:r>
        <w:rPr>
          <w:rFonts w:asciiTheme="minorBidi" w:hAnsiTheme="minorBidi" w:cstheme="minorBidi"/>
          <w:noProof w:val="0"/>
          <w:sz w:val="22"/>
          <w:szCs w:val="22"/>
          <w:rtl/>
        </w:rPr>
        <w:t xml:space="preserve">"  (סעיף 166 לפסה"ד), ועם ממצאו הנוסף לפיו </w:t>
      </w:r>
      <w:r>
        <w:rPr>
          <w:rFonts w:asciiTheme="minorBidi" w:hAnsiTheme="minorBidi" w:cstheme="minorBidi"/>
          <w:b/>
          <w:bCs/>
          <w:noProof w:val="0"/>
          <w:sz w:val="22"/>
          <w:szCs w:val="22"/>
          <w:rtl/>
        </w:rPr>
        <w:t xml:space="preserve">"...כגון דיווח שעות לא נכונות של עובדים, </w:t>
      </w:r>
      <w:r>
        <w:rPr>
          <w:rFonts w:asciiTheme="minorBidi" w:hAnsiTheme="minorBidi" w:cstheme="minorBidi"/>
          <w:b/>
          <w:bCs/>
          <w:noProof w:val="0"/>
          <w:sz w:val="22"/>
          <w:szCs w:val="22"/>
          <w:u w:val="single"/>
          <w:rtl/>
        </w:rPr>
        <w:t>מודה התובע כי</w:t>
      </w:r>
      <w:r w:rsidR="00076EE1">
        <w:rPr>
          <w:rFonts w:asciiTheme="minorBidi" w:hAnsiTheme="minorBidi" w:cstheme="minorBidi" w:hint="cs"/>
          <w:b/>
          <w:bCs/>
          <w:noProof w:val="0"/>
          <w:sz w:val="22"/>
          <w:szCs w:val="22"/>
          <w:u w:val="single"/>
          <w:rtl/>
        </w:rPr>
        <w:t xml:space="preserve"> </w:t>
      </w:r>
      <w:r>
        <w:rPr>
          <w:rFonts w:asciiTheme="minorBidi" w:hAnsiTheme="minorBidi" w:cstheme="minorBidi"/>
          <w:b/>
          <w:bCs/>
          <w:noProof w:val="0"/>
          <w:sz w:val="22"/>
          <w:szCs w:val="22"/>
          <w:u w:val="single"/>
          <w:rtl/>
        </w:rPr>
        <w:t>פעל שלא כדין</w:t>
      </w:r>
      <w:r>
        <w:rPr>
          <w:rFonts w:asciiTheme="minorBidi" w:hAnsiTheme="minorBidi" w:cstheme="minorBidi"/>
          <w:noProof w:val="0"/>
          <w:sz w:val="22"/>
          <w:szCs w:val="22"/>
          <w:rtl/>
        </w:rPr>
        <w:t>..."</w:t>
      </w:r>
      <w:r>
        <w:rPr>
          <w:rFonts w:asciiTheme="minorBidi" w:hAnsiTheme="minorBidi" w:cstheme="minorBidi"/>
          <w:b/>
          <w:bCs/>
          <w:noProof w:val="0"/>
          <w:sz w:val="22"/>
          <w:szCs w:val="22"/>
          <w:rtl/>
        </w:rPr>
        <w:t xml:space="preserve"> </w:t>
      </w:r>
      <w:r>
        <w:rPr>
          <w:rFonts w:asciiTheme="minorBidi" w:hAnsiTheme="minorBidi" w:cstheme="minorBidi"/>
          <w:noProof w:val="0"/>
          <w:sz w:val="22"/>
          <w:szCs w:val="22"/>
          <w:rtl/>
        </w:rPr>
        <w:t>( סעיף</w:t>
      </w:r>
      <w:r>
        <w:rPr>
          <w:rFonts w:asciiTheme="minorBidi" w:hAnsiTheme="minorBidi" w:cstheme="minorBidi"/>
          <w:b/>
          <w:bCs/>
          <w:noProof w:val="0"/>
          <w:sz w:val="22"/>
          <w:szCs w:val="22"/>
          <w:rtl/>
        </w:rPr>
        <w:t xml:space="preserve"> </w:t>
      </w:r>
      <w:r>
        <w:rPr>
          <w:rFonts w:asciiTheme="minorBidi" w:hAnsiTheme="minorBidi" w:cstheme="minorBidi"/>
          <w:noProof w:val="0"/>
          <w:sz w:val="22"/>
          <w:szCs w:val="22"/>
          <w:rtl/>
        </w:rPr>
        <w:t xml:space="preserve">168 לפסה"ד). </w:t>
      </w:r>
    </w:p>
    <w:p w:rsidR="00FF767A" w:rsidRDefault="00FF767A" w:rsidP="00FF767A">
      <w:pPr>
        <w:spacing w:after="120" w:line="360" w:lineRule="auto"/>
        <w:jc w:val="both"/>
        <w:rPr>
          <w:rFonts w:asciiTheme="minorBidi" w:hAnsiTheme="minorBidi" w:cstheme="minorBidi"/>
          <w:noProof w:val="0"/>
          <w:sz w:val="22"/>
          <w:szCs w:val="22"/>
          <w:rtl/>
        </w:rPr>
      </w:pPr>
      <w:r>
        <w:rPr>
          <w:rFonts w:asciiTheme="minorBidi" w:hAnsiTheme="minorBidi" w:cstheme="minorBidi"/>
          <w:noProof w:val="0"/>
          <w:sz w:val="22"/>
          <w:szCs w:val="22"/>
          <w:rtl/>
        </w:rPr>
        <w:t>ההיגד "</w:t>
      </w:r>
      <w:r>
        <w:rPr>
          <w:rFonts w:asciiTheme="minorBidi" w:hAnsiTheme="minorBidi" w:cstheme="minorBidi"/>
          <w:b/>
          <w:bCs/>
          <w:noProof w:val="0"/>
          <w:sz w:val="22"/>
          <w:szCs w:val="22"/>
          <w:rtl/>
        </w:rPr>
        <w:t>שלא כדין</w:t>
      </w:r>
      <w:r>
        <w:rPr>
          <w:rFonts w:asciiTheme="minorBidi" w:hAnsiTheme="minorBidi" w:cstheme="minorBidi"/>
          <w:noProof w:val="0"/>
          <w:sz w:val="22"/>
          <w:szCs w:val="22"/>
          <w:rtl/>
        </w:rPr>
        <w:t>" שבפרסום מתייחס אמנם להגשת התביעה לבית הדין לעבודה, עת נפתלי הודה בהתנהלות אסורה כדי לקבל כספים "</w:t>
      </w:r>
      <w:r>
        <w:rPr>
          <w:rFonts w:asciiTheme="minorBidi" w:hAnsiTheme="minorBidi" w:cstheme="minorBidi"/>
          <w:b/>
          <w:bCs/>
          <w:noProof w:val="0"/>
          <w:sz w:val="22"/>
          <w:szCs w:val="22"/>
          <w:rtl/>
        </w:rPr>
        <w:t>שלא כדין</w:t>
      </w:r>
      <w:r>
        <w:rPr>
          <w:rFonts w:asciiTheme="minorBidi" w:hAnsiTheme="minorBidi" w:cstheme="minorBidi"/>
          <w:noProof w:val="0"/>
          <w:sz w:val="22"/>
          <w:szCs w:val="22"/>
          <w:rtl/>
        </w:rPr>
        <w:t>" במסגרת עבודתו במעון, בכך שרשם שעות עבודה מעבר לאלו שסופקו בפועל, אלא שזה אף זה עוסקים בעבודת נפתלי במעון, וההבדל ביניהם נעוץ אך ב"</w:t>
      </w:r>
      <w:r>
        <w:rPr>
          <w:rFonts w:asciiTheme="minorBidi" w:hAnsiTheme="minorBidi" w:cstheme="minorBidi"/>
          <w:b/>
          <w:bCs/>
          <w:noProof w:val="0"/>
          <w:sz w:val="22"/>
          <w:szCs w:val="22"/>
          <w:rtl/>
        </w:rPr>
        <w:t>פרט לוואי</w:t>
      </w:r>
      <w:r>
        <w:rPr>
          <w:rFonts w:asciiTheme="minorBidi" w:hAnsiTheme="minorBidi" w:cstheme="minorBidi"/>
          <w:noProof w:val="0"/>
          <w:sz w:val="22"/>
          <w:szCs w:val="22"/>
          <w:rtl/>
        </w:rPr>
        <w:t>" [סעיף 14 לחוק סיפא] שאין להקפיד לגביו, משהחלק הדומיננטי בפרסום, כמו גם בממצא שנקבע, הוא המוטיב "</w:t>
      </w:r>
      <w:r>
        <w:rPr>
          <w:rFonts w:asciiTheme="minorBidi" w:hAnsiTheme="minorBidi" w:cstheme="minorBidi"/>
          <w:b/>
          <w:bCs/>
          <w:noProof w:val="0"/>
          <w:sz w:val="22"/>
          <w:szCs w:val="22"/>
          <w:rtl/>
        </w:rPr>
        <w:t>שלא כדין</w:t>
      </w:r>
      <w:r w:rsidRPr="00076EE1">
        <w:rPr>
          <w:rFonts w:asciiTheme="minorBidi" w:hAnsiTheme="minorBidi" w:cstheme="minorBidi"/>
          <w:noProof w:val="0"/>
          <w:sz w:val="22"/>
          <w:szCs w:val="22"/>
          <w:rtl/>
        </w:rPr>
        <w:t xml:space="preserve">". </w:t>
      </w:r>
    </w:p>
    <w:p w:rsidR="00FF767A" w:rsidRDefault="00FF767A" w:rsidP="00076EE1">
      <w:pPr>
        <w:spacing w:after="120" w:line="360" w:lineRule="auto"/>
        <w:jc w:val="both"/>
        <w:rPr>
          <w:rFonts w:asciiTheme="minorBidi" w:hAnsiTheme="minorBidi" w:cstheme="minorBidi"/>
          <w:noProof w:val="0"/>
          <w:sz w:val="22"/>
          <w:szCs w:val="22"/>
          <w:rtl/>
        </w:rPr>
      </w:pPr>
      <w:r>
        <w:rPr>
          <w:rFonts w:asciiTheme="minorBidi" w:hAnsiTheme="minorBidi" w:cstheme="minorBidi"/>
          <w:noProof w:val="0"/>
          <w:sz w:val="22"/>
          <w:szCs w:val="22"/>
          <w:rtl/>
        </w:rPr>
        <w:t>בכל מקרה, כפי שאראה להלן, חלה על האמירה גם הגנת סעיף 15(2) לחוק.</w:t>
      </w:r>
    </w:p>
    <w:p w:rsidR="00FF767A" w:rsidRDefault="00FF767A" w:rsidP="00FF767A">
      <w:pPr>
        <w:spacing w:after="120" w:line="360" w:lineRule="auto"/>
        <w:jc w:val="both"/>
        <w:rPr>
          <w:rFonts w:asciiTheme="minorBidi" w:hAnsiTheme="minorBidi" w:cstheme="minorBidi"/>
          <w:color w:val="000000"/>
          <w:sz w:val="22"/>
          <w:szCs w:val="22"/>
          <w:shd w:val="clear" w:color="auto" w:fill="FFFFFF"/>
          <w:rtl/>
        </w:rPr>
      </w:pPr>
      <w:r>
        <w:rPr>
          <w:rFonts w:asciiTheme="minorBidi" w:hAnsiTheme="minorBidi" w:cstheme="minorBidi"/>
          <w:color w:val="000000"/>
          <w:sz w:val="22"/>
          <w:szCs w:val="22"/>
          <w:shd w:val="clear" w:color="auto" w:fill="FFFFFF"/>
          <w:rtl/>
        </w:rPr>
        <w:t>27.</w:t>
      </w:r>
      <w:r>
        <w:rPr>
          <w:rFonts w:asciiTheme="minorBidi" w:hAnsiTheme="minorBidi" w:cstheme="minorBidi"/>
          <w:color w:val="000000"/>
          <w:sz w:val="22"/>
          <w:szCs w:val="22"/>
          <w:shd w:val="clear" w:color="auto" w:fill="FFFFFF"/>
          <w:rtl/>
        </w:rPr>
        <w:tab/>
        <w:t>ביטויים בהקשר פוליטי, כרקע לתביעת דיבה, אינם זרים למשפט בישראל, וההתבוננות עליהם היא לרוב במשקפיים של "</w:t>
      </w:r>
      <w:r>
        <w:rPr>
          <w:rFonts w:asciiTheme="minorBidi" w:hAnsiTheme="minorBidi" w:cstheme="minorBidi"/>
          <w:b/>
          <w:bCs/>
          <w:color w:val="000000"/>
          <w:sz w:val="22"/>
          <w:szCs w:val="22"/>
          <w:shd w:val="clear" w:color="auto" w:fill="FFFFFF"/>
          <w:rtl/>
        </w:rPr>
        <w:t>פרסום מעורב</w:t>
      </w:r>
      <w:r>
        <w:rPr>
          <w:rFonts w:asciiTheme="minorBidi" w:hAnsiTheme="minorBidi" w:cstheme="minorBidi"/>
          <w:color w:val="000000"/>
          <w:sz w:val="22"/>
          <w:szCs w:val="22"/>
          <w:shd w:val="clear" w:color="auto" w:fill="FFFFFF"/>
          <w:rtl/>
        </w:rPr>
        <w:t>" שהבעת הדעה לגביו היא החלק הדומיננטי, לאו דווקא בהקשר של אמירה עובדתית הטעונה הוכחת אמיתות.</w:t>
      </w:r>
    </w:p>
    <w:p w:rsidR="00FF767A" w:rsidRDefault="00FF767A" w:rsidP="00FF767A">
      <w:pPr>
        <w:spacing w:after="120" w:line="360" w:lineRule="auto"/>
        <w:jc w:val="both"/>
        <w:rPr>
          <w:rFonts w:asciiTheme="minorBidi" w:hAnsiTheme="minorBidi" w:cstheme="minorBidi"/>
          <w:color w:val="000000"/>
          <w:sz w:val="22"/>
          <w:szCs w:val="22"/>
          <w:shd w:val="clear" w:color="auto" w:fill="FFFFFF"/>
          <w:rtl/>
        </w:rPr>
      </w:pPr>
      <w:r>
        <w:rPr>
          <w:rFonts w:asciiTheme="minorBidi" w:hAnsiTheme="minorBidi" w:cstheme="minorBidi"/>
          <w:color w:val="000000"/>
          <w:sz w:val="22"/>
          <w:szCs w:val="22"/>
          <w:shd w:val="clear" w:color="auto" w:fill="FFFFFF"/>
          <w:rtl/>
        </w:rPr>
        <w:t>"</w:t>
      </w:r>
      <w:r>
        <w:rPr>
          <w:rFonts w:asciiTheme="minorBidi" w:hAnsiTheme="minorBidi" w:cstheme="minorBidi"/>
          <w:b/>
          <w:bCs/>
          <w:color w:val="000000"/>
          <w:sz w:val="22"/>
          <w:szCs w:val="22"/>
          <w:shd w:val="clear" w:color="auto" w:fill="FFFFFF"/>
          <w:rtl/>
        </w:rPr>
        <w:t>... לפי מבחן הדומיננטיות (כאשר הוא המתאים), אמירות פוליטיות בפרסום מעורב הן לרוב בגדר דעה, ולא עובדה... בוויכוח פוליטי כל צד מנסה לשכנע את הציבור בצדקת דרכו, והעובדות מגויסות למטרה זו ונצבעות על ידיה. רוב האנשים מבינים שמדובר בהצגה מגמתית של נתונים, וכי אין לקבל את האמירה (גם בצד העובדתי שלה) כמבטאת דברים כהווייתם</w:t>
      </w:r>
      <w:r>
        <w:rPr>
          <w:rFonts w:asciiTheme="minorBidi" w:hAnsiTheme="minorBidi" w:cstheme="minorBidi"/>
          <w:color w:val="000000"/>
          <w:sz w:val="22"/>
          <w:szCs w:val="22"/>
          <w:shd w:val="clear" w:color="auto" w:fill="FFFFFF"/>
          <w:rtl/>
        </w:rPr>
        <w:t>" (</w:t>
      </w:r>
      <w:r>
        <w:rPr>
          <w:rFonts w:asciiTheme="minorBidi" w:hAnsiTheme="minorBidi" w:cstheme="minorBidi"/>
          <w:b/>
          <w:bCs/>
          <w:color w:val="000000"/>
          <w:sz w:val="22"/>
          <w:szCs w:val="22"/>
          <w:shd w:val="clear" w:color="auto" w:fill="FFFFFF"/>
          <w:rtl/>
        </w:rPr>
        <w:t>גנאים-קרמניצר-שנור</w:t>
      </w:r>
      <w:r>
        <w:rPr>
          <w:rFonts w:asciiTheme="minorBidi" w:hAnsiTheme="minorBidi" w:cstheme="minorBidi"/>
          <w:color w:val="000000"/>
          <w:sz w:val="22"/>
          <w:szCs w:val="22"/>
          <w:shd w:val="clear" w:color="auto" w:fill="FFFFFF"/>
          <w:rtl/>
        </w:rPr>
        <w:t xml:space="preserve">, עמוד 96). </w:t>
      </w:r>
    </w:p>
    <w:p w:rsidR="00FF767A" w:rsidRDefault="00FF767A" w:rsidP="00FF767A">
      <w:pPr>
        <w:spacing w:after="120" w:line="360" w:lineRule="auto"/>
        <w:jc w:val="both"/>
        <w:rPr>
          <w:rFonts w:asciiTheme="minorBidi" w:hAnsiTheme="minorBidi" w:cstheme="minorBidi"/>
          <w:color w:val="000000"/>
          <w:sz w:val="22"/>
          <w:szCs w:val="22"/>
          <w:shd w:val="clear" w:color="auto" w:fill="FFFFFF"/>
          <w:rtl/>
        </w:rPr>
      </w:pPr>
      <w:r>
        <w:rPr>
          <w:rFonts w:asciiTheme="minorBidi" w:hAnsiTheme="minorBidi" w:cstheme="minorBidi"/>
          <w:color w:val="000000"/>
          <w:sz w:val="22"/>
          <w:szCs w:val="22"/>
          <w:shd w:val="clear" w:color="auto" w:fill="FFFFFF"/>
          <w:rtl/>
        </w:rPr>
        <w:t>בהתייחסות לפרסומים בתקופת בחירות לכנסת, הגישה היא מקלה יותר: "</w:t>
      </w:r>
      <w:r>
        <w:rPr>
          <w:rFonts w:asciiTheme="minorBidi" w:hAnsiTheme="minorBidi" w:cstheme="minorBidi"/>
          <w:b/>
          <w:bCs/>
          <w:color w:val="000000"/>
          <w:sz w:val="22"/>
          <w:szCs w:val="22"/>
          <w:shd w:val="clear" w:color="auto" w:fill="FFFFFF"/>
          <w:rtl/>
        </w:rPr>
        <w:t>הביטוי שלפנינו – תשדיר במסגרת שידורי התעמולה בבחירות לכנסת – ראוי להגנה מיוחדת. זאת, משום שמדובר בביטוי פוליטי אשר נעשה במסגרתה של מערכת בחירות, תקופה בה נועדה חשיבות מיוחדת להחלפה חופשית של דעות ורעיונות</w:t>
      </w:r>
      <w:r>
        <w:rPr>
          <w:rFonts w:asciiTheme="minorBidi" w:hAnsiTheme="minorBidi" w:cstheme="minorBidi"/>
          <w:color w:val="000000"/>
          <w:sz w:val="22"/>
          <w:szCs w:val="22"/>
          <w:shd w:val="clear" w:color="auto" w:fill="FFFFFF"/>
          <w:rtl/>
        </w:rPr>
        <w:t xml:space="preserve">" (בג"ץ 2194/06 </w:t>
      </w:r>
      <w:r>
        <w:rPr>
          <w:rFonts w:asciiTheme="minorBidi" w:hAnsiTheme="minorBidi" w:cstheme="minorBidi"/>
          <w:b/>
          <w:bCs/>
          <w:color w:val="000000"/>
          <w:sz w:val="22"/>
          <w:szCs w:val="22"/>
          <w:shd w:val="clear" w:color="auto" w:fill="FFFFFF"/>
          <w:rtl/>
        </w:rPr>
        <w:t>מפלגת שינוי מפלגת המרכז נ' יושבת ראש ועדת הבחירות המרכזית</w:t>
      </w:r>
      <w:r>
        <w:rPr>
          <w:rFonts w:asciiTheme="minorBidi" w:hAnsiTheme="minorBidi" w:cstheme="minorBidi"/>
          <w:color w:val="000000"/>
          <w:sz w:val="22"/>
          <w:szCs w:val="22"/>
          <w:shd w:val="clear" w:color="auto" w:fill="FFFFFF"/>
          <w:rtl/>
        </w:rPr>
        <w:t xml:space="preserve">, פסקה 14 לפסק דינו של השופט ברק, ניתן ב-28.06.2006). </w:t>
      </w:r>
    </w:p>
    <w:p w:rsidR="00FF767A" w:rsidRDefault="00FF767A" w:rsidP="00076EE1">
      <w:pPr>
        <w:spacing w:after="120" w:line="360" w:lineRule="auto"/>
        <w:jc w:val="both"/>
        <w:rPr>
          <w:rFonts w:asciiTheme="minorBidi" w:hAnsiTheme="minorBidi" w:cstheme="minorBidi"/>
          <w:color w:val="000000"/>
          <w:sz w:val="22"/>
          <w:szCs w:val="22"/>
          <w:shd w:val="clear" w:color="auto" w:fill="FFFFFF"/>
          <w:rtl/>
        </w:rPr>
      </w:pPr>
      <w:r>
        <w:rPr>
          <w:rFonts w:asciiTheme="minorBidi" w:hAnsiTheme="minorBidi" w:cstheme="minorBidi"/>
          <w:color w:val="000000"/>
          <w:sz w:val="22"/>
          <w:szCs w:val="22"/>
          <w:shd w:val="clear" w:color="auto" w:fill="FFFFFF"/>
          <w:rtl/>
        </w:rPr>
        <w:t>28.</w:t>
      </w:r>
      <w:r>
        <w:rPr>
          <w:rFonts w:asciiTheme="minorBidi" w:hAnsiTheme="minorBidi" w:cstheme="minorBidi"/>
          <w:color w:val="000000"/>
          <w:sz w:val="22"/>
          <w:szCs w:val="22"/>
          <w:shd w:val="clear" w:color="auto" w:fill="FFFFFF"/>
          <w:rtl/>
        </w:rPr>
        <w:tab/>
        <w:t>בקשר להגנת סעיף 15(2) לחוק נפסק כי "</w:t>
      </w:r>
      <w:r>
        <w:rPr>
          <w:rFonts w:asciiTheme="minorBidi" w:hAnsiTheme="minorBidi" w:cstheme="minorBidi"/>
          <w:b/>
          <w:bCs/>
          <w:color w:val="000000"/>
          <w:sz w:val="22"/>
          <w:szCs w:val="22"/>
          <w:shd w:val="clear" w:color="auto" w:fill="FFFFFF"/>
          <w:rtl/>
        </w:rPr>
        <w:t>... ההגנה בנויה משלושה רכיבים ששילובם מקים חובה לפרסם – היחסים שבין</w:t>
      </w:r>
      <w:r w:rsidR="00076EE1">
        <w:rPr>
          <w:rFonts w:asciiTheme="minorBidi" w:hAnsiTheme="minorBidi" w:cstheme="minorBidi" w:hint="cs"/>
          <w:b/>
          <w:bCs/>
          <w:color w:val="000000"/>
          <w:sz w:val="22"/>
          <w:szCs w:val="22"/>
          <w:shd w:val="clear" w:color="auto" w:fill="FFFFFF"/>
          <w:rtl/>
        </w:rPr>
        <w:t xml:space="preserve"> </w:t>
      </w:r>
      <w:r>
        <w:rPr>
          <w:rFonts w:asciiTheme="minorBidi" w:hAnsiTheme="minorBidi" w:cstheme="minorBidi"/>
          <w:b/>
          <w:bCs/>
          <w:color w:val="000000"/>
          <w:sz w:val="22"/>
          <w:szCs w:val="22"/>
          <w:shd w:val="clear" w:color="auto" w:fill="FFFFFF"/>
          <w:rtl/>
        </w:rPr>
        <w:t xml:space="preserve">המפרסם לנמען הפרסום, תוכנו של הפרסום והנורמה החוקית, החברתית או המוסרית המחייבת לפרסם דברים אלה. כל אחד משלושה גורמים אלה עשוי להשפיע </w:t>
      </w:r>
      <w:r>
        <w:rPr>
          <w:rFonts w:asciiTheme="minorBidi" w:hAnsiTheme="minorBidi" w:cstheme="minorBidi"/>
          <w:b/>
          <w:bCs/>
          <w:color w:val="000000"/>
          <w:sz w:val="22"/>
          <w:szCs w:val="22"/>
          <w:shd w:val="clear" w:color="auto" w:fill="FFFFFF"/>
          <w:rtl/>
        </w:rPr>
        <w:lastRenderedPageBreak/>
        <w:t>על השאלה אם יש להכיר בחובת פרסום, שהיא, כאמור, תנאי לתחולת ההגנה. היחסים בין המפרסם לנמען עשויים ללבוש מגוון צורות... אין מניעה עקרונית שתקום חובה מכוח יחסיו של מפרסם עם ציבור רחב של נמענים... במקרים רבים מתקיימים יחסי גומלין בין יסוד 'היחסים' לבין יסוד ה'תוכן'. מקום בו משקלו של אחד משני יסודות אלה הוא גבוה במיוחד, עשויה לחול נורמה המחייבת את עשיית הפרסום, וזאת אף אם משקלו של המשתנה השני הוא קטן יחסית... אין הכרח כי הנורמה תהא כזו המעוגנת בחוק באופן מפורש. גם נורמה הקיימת במישור החברתי-מוסרי בלבד ואף נורמה שאין סנקציה בצידה, עשויות להקים הגנה מפני אחריות בגין לשון הרע</w:t>
      </w:r>
      <w:r>
        <w:rPr>
          <w:rFonts w:asciiTheme="minorBidi" w:hAnsiTheme="minorBidi" w:cstheme="minorBidi"/>
          <w:color w:val="000000"/>
          <w:sz w:val="22"/>
          <w:szCs w:val="22"/>
          <w:shd w:val="clear" w:color="auto" w:fill="FFFFFF"/>
          <w:rtl/>
        </w:rPr>
        <w:t xml:space="preserve">" (דנ"א 2121/12 </w:t>
      </w:r>
      <w:r>
        <w:rPr>
          <w:rFonts w:asciiTheme="minorBidi" w:hAnsiTheme="minorBidi" w:cstheme="minorBidi"/>
          <w:b/>
          <w:bCs/>
          <w:color w:val="000000"/>
          <w:sz w:val="22"/>
          <w:szCs w:val="22"/>
          <w:shd w:val="clear" w:color="auto" w:fill="FFFFFF"/>
          <w:rtl/>
        </w:rPr>
        <w:t>פלוני נ' דיין</w:t>
      </w:r>
      <w:r>
        <w:rPr>
          <w:rFonts w:asciiTheme="minorBidi" w:hAnsiTheme="minorBidi" w:cstheme="minorBidi"/>
          <w:color w:val="000000"/>
          <w:sz w:val="22"/>
          <w:szCs w:val="22"/>
          <w:shd w:val="clear" w:color="auto" w:fill="FFFFFF"/>
          <w:rtl/>
        </w:rPr>
        <w:t xml:space="preserve">, פ"ד סז(1) 677, 721-722). </w:t>
      </w:r>
    </w:p>
    <w:p w:rsidR="00FF767A" w:rsidRDefault="00FF767A" w:rsidP="00076EE1">
      <w:pPr>
        <w:spacing w:after="120" w:line="360" w:lineRule="auto"/>
        <w:jc w:val="both"/>
        <w:rPr>
          <w:rFonts w:asciiTheme="minorBidi" w:hAnsiTheme="minorBidi" w:cstheme="minorBidi"/>
          <w:color w:val="000000"/>
          <w:sz w:val="22"/>
          <w:szCs w:val="22"/>
          <w:shd w:val="clear" w:color="auto" w:fill="FFFFFF"/>
          <w:rtl/>
        </w:rPr>
      </w:pPr>
      <w:r>
        <w:rPr>
          <w:rFonts w:asciiTheme="minorBidi" w:hAnsiTheme="minorBidi" w:cstheme="minorBidi"/>
          <w:color w:val="000000"/>
          <w:sz w:val="22"/>
          <w:szCs w:val="22"/>
          <w:shd w:val="clear" w:color="auto" w:fill="FFFFFF"/>
          <w:rtl/>
        </w:rPr>
        <w:t>29.</w:t>
      </w:r>
      <w:r>
        <w:rPr>
          <w:rFonts w:asciiTheme="minorBidi" w:hAnsiTheme="minorBidi" w:cstheme="minorBidi"/>
          <w:color w:val="000000"/>
          <w:sz w:val="22"/>
          <w:szCs w:val="22"/>
          <w:shd w:val="clear" w:color="auto" w:fill="FFFFFF"/>
          <w:rtl/>
        </w:rPr>
        <w:tab/>
        <w:t xml:space="preserve">ובהשלכה לענייננו: מועד הפרסום - תקופת בחירות ואחרי פרסום דו"ח מבקר המדינה המתייחס למעון;  מיקום הפרסום - דף הפייסבוק של מפלגת הליכוד המכוון לקהל בוחרי הליכוד או אוהדיו או אלו ששוקלים את עמדתם; מבצע הפרסום - הפרסום נעשה בשמה של מפלגה, במובחן מפרסום שנעשה ע"י אדם פרטי; ותוכן הפרסום -  היות תוכנם של ההיגדים על רקע הלך רוח ומניע המיוחסים לפעילות ציבורית המכוונת נגד המפלגה תוך התגוננות נגד הלך הרוח ומניעים אלו – כל אלו בהצטברותם עולים כדי נורמה בין הליכוד לבוחריו שחייבה את הליכוד ליתן הסברים לדו"ח המבקר ולביקורת שנשמעה מפי נפתלי על המתרחש במעון וזכתה לפרסום בתקשורת. </w:t>
      </w:r>
    </w:p>
    <w:p w:rsidR="00FF767A" w:rsidRDefault="00FF767A" w:rsidP="00FF767A">
      <w:pPr>
        <w:spacing w:after="120" w:line="360" w:lineRule="auto"/>
        <w:jc w:val="both"/>
        <w:rPr>
          <w:rFonts w:asciiTheme="minorBidi" w:hAnsiTheme="minorBidi" w:cstheme="minorBidi"/>
          <w:color w:val="000000"/>
          <w:sz w:val="22"/>
          <w:szCs w:val="22"/>
          <w:shd w:val="clear" w:color="auto" w:fill="FFFFFF"/>
          <w:rtl/>
        </w:rPr>
      </w:pPr>
      <w:r>
        <w:rPr>
          <w:rFonts w:asciiTheme="minorBidi" w:hAnsiTheme="minorBidi" w:cstheme="minorBidi"/>
          <w:color w:val="000000"/>
          <w:sz w:val="22"/>
          <w:szCs w:val="22"/>
          <w:shd w:val="clear" w:color="auto" w:fill="FFFFFF"/>
          <w:rtl/>
        </w:rPr>
        <w:t>30.</w:t>
      </w:r>
      <w:r>
        <w:rPr>
          <w:rFonts w:asciiTheme="minorBidi" w:hAnsiTheme="minorBidi" w:cstheme="minorBidi"/>
          <w:color w:val="000000"/>
          <w:sz w:val="22"/>
          <w:szCs w:val="22"/>
          <w:shd w:val="clear" w:color="auto" w:fill="FFFFFF"/>
          <w:rtl/>
        </w:rPr>
        <w:tab/>
        <w:t>ההיגדים מייחסים לנפתלי, כאמור, את היותו "</w:t>
      </w:r>
      <w:r>
        <w:rPr>
          <w:rFonts w:asciiTheme="minorBidi" w:hAnsiTheme="minorBidi" w:cstheme="minorBidi"/>
          <w:b/>
          <w:bCs/>
          <w:color w:val="000000"/>
          <w:sz w:val="22"/>
          <w:szCs w:val="22"/>
          <w:shd w:val="clear" w:color="auto" w:fill="FFFFFF"/>
          <w:rtl/>
        </w:rPr>
        <w:t>ממורמר</w:t>
      </w:r>
      <w:r>
        <w:rPr>
          <w:rFonts w:asciiTheme="minorBidi" w:hAnsiTheme="minorBidi" w:cstheme="minorBidi"/>
          <w:color w:val="000000"/>
          <w:sz w:val="22"/>
          <w:szCs w:val="22"/>
          <w:shd w:val="clear" w:color="auto" w:fill="FFFFFF"/>
          <w:rtl/>
        </w:rPr>
        <w:t>"</w:t>
      </w:r>
      <w:r>
        <w:rPr>
          <w:rFonts w:asciiTheme="minorBidi" w:hAnsiTheme="minorBidi" w:cstheme="minorBidi"/>
          <w:noProof w:val="0"/>
          <w:sz w:val="22"/>
          <w:szCs w:val="22"/>
          <w:rtl/>
        </w:rPr>
        <w:t xml:space="preserve"> [ביטוי שספק אם בכלל היה מקום להחשיבו מלכתחילה כפרסום לשון הרע] </w:t>
      </w:r>
      <w:r>
        <w:rPr>
          <w:rFonts w:asciiTheme="minorBidi" w:hAnsiTheme="minorBidi" w:cstheme="minorBidi"/>
          <w:color w:val="000000"/>
          <w:sz w:val="22"/>
          <w:szCs w:val="22"/>
          <w:shd w:val="clear" w:color="auto" w:fill="FFFFFF"/>
          <w:rtl/>
        </w:rPr>
        <w:t>ואת היות פעילותו המשמיצה נגד ראש הממשלה מכוונת "</w:t>
      </w:r>
      <w:r>
        <w:rPr>
          <w:rFonts w:asciiTheme="minorBidi" w:hAnsiTheme="minorBidi" w:cstheme="minorBidi"/>
          <w:b/>
          <w:bCs/>
          <w:color w:val="000000"/>
          <w:sz w:val="22"/>
          <w:szCs w:val="22"/>
          <w:shd w:val="clear" w:color="auto" w:fill="FFFFFF"/>
          <w:rtl/>
        </w:rPr>
        <w:t>להוציא כספים שלא כדין מקופת המדינה</w:t>
      </w:r>
      <w:r>
        <w:rPr>
          <w:rFonts w:asciiTheme="minorBidi" w:hAnsiTheme="minorBidi" w:cstheme="minorBidi"/>
          <w:color w:val="000000"/>
          <w:sz w:val="22"/>
          <w:szCs w:val="22"/>
          <w:shd w:val="clear" w:color="auto" w:fill="FFFFFF"/>
          <w:rtl/>
        </w:rPr>
        <w:t xml:space="preserve">". </w:t>
      </w:r>
    </w:p>
    <w:p w:rsidR="00FF767A" w:rsidRDefault="00FF767A" w:rsidP="00FF767A">
      <w:pPr>
        <w:spacing w:after="120" w:line="360" w:lineRule="auto"/>
        <w:jc w:val="both"/>
        <w:rPr>
          <w:rFonts w:asciiTheme="minorBidi" w:hAnsiTheme="minorBidi" w:cstheme="minorBidi"/>
          <w:color w:val="000000"/>
          <w:sz w:val="22"/>
          <w:szCs w:val="22"/>
          <w:shd w:val="clear" w:color="auto" w:fill="FFFFFF"/>
          <w:rtl/>
        </w:rPr>
      </w:pPr>
      <w:r>
        <w:rPr>
          <w:rFonts w:asciiTheme="minorBidi" w:hAnsiTheme="minorBidi" w:cstheme="minorBidi"/>
          <w:color w:val="000000"/>
          <w:sz w:val="22"/>
          <w:szCs w:val="22"/>
          <w:shd w:val="clear" w:color="auto" w:fill="FFFFFF"/>
          <w:rtl/>
        </w:rPr>
        <w:t>הפרסום נעשה ע"י מפלגה שהיא – "</w:t>
      </w:r>
      <w:r>
        <w:rPr>
          <w:rFonts w:asciiTheme="minorBidi" w:hAnsiTheme="minorBidi" w:cstheme="minorBidi"/>
          <w:b/>
          <w:bCs/>
          <w:color w:val="000000"/>
          <w:sz w:val="22"/>
          <w:szCs w:val="22"/>
          <w:shd w:val="clear" w:color="auto" w:fill="FFFFFF"/>
          <w:rtl/>
        </w:rPr>
        <w:t>חבר בני-אדם שהתאגדו כדי לקדם בדרך חוקית מטרות מדיניות או חברתיות ולהביא לייצוגם בכנסת על ידי נבחרים</w:t>
      </w:r>
      <w:r>
        <w:rPr>
          <w:rFonts w:asciiTheme="minorBidi" w:hAnsiTheme="minorBidi" w:cstheme="minorBidi"/>
          <w:color w:val="000000"/>
          <w:sz w:val="22"/>
          <w:szCs w:val="22"/>
          <w:shd w:val="clear" w:color="auto" w:fill="FFFFFF"/>
          <w:rtl/>
        </w:rPr>
        <w:t>" (סעיף 1 לחוק המפלגות, התשנ"ב-1992), הנושאת מעצם טיבה בחובות כלפי כלל הציבור, וודאי כלפי קהל בוחריה, לרבות מתן האמון בה ובאנשיה במסגרת בחירות כלליות, ובכלל זה הזכות להציג את עמדתה בנושאים החשובים לה שעל הפרק. אין גם מניעה להתבונן על ההיגדים ככאלו המהווים  ביטוי בעל תכלית אלקטורלית, על דרך הצגת דעה משוערת באשר למניעיו של מי שפרסם את הטענות המופנות כלפי החבר הבכיר במפלגה.</w:t>
      </w:r>
    </w:p>
    <w:p w:rsidR="00FF767A" w:rsidRDefault="00FF767A" w:rsidP="00076EE1">
      <w:pPr>
        <w:spacing w:after="120" w:line="360" w:lineRule="auto"/>
        <w:jc w:val="both"/>
        <w:rPr>
          <w:rFonts w:asciiTheme="minorBidi" w:hAnsiTheme="minorBidi" w:cstheme="minorBidi"/>
          <w:color w:val="000000"/>
          <w:sz w:val="22"/>
          <w:szCs w:val="22"/>
          <w:shd w:val="clear" w:color="auto" w:fill="FFFFFF"/>
          <w:rtl/>
        </w:rPr>
      </w:pPr>
      <w:r>
        <w:rPr>
          <w:rFonts w:asciiTheme="minorBidi" w:hAnsiTheme="minorBidi" w:cstheme="minorBidi"/>
          <w:color w:val="000000"/>
          <w:sz w:val="22"/>
          <w:szCs w:val="22"/>
          <w:shd w:val="clear" w:color="auto" w:fill="FFFFFF"/>
          <w:rtl/>
        </w:rPr>
        <w:t>31.</w:t>
      </w:r>
      <w:r>
        <w:rPr>
          <w:rFonts w:asciiTheme="minorBidi" w:hAnsiTheme="minorBidi" w:cstheme="minorBidi"/>
          <w:color w:val="000000"/>
          <w:sz w:val="22"/>
          <w:szCs w:val="22"/>
          <w:shd w:val="clear" w:color="auto" w:fill="FFFFFF"/>
          <w:rtl/>
        </w:rPr>
        <w:tab/>
        <w:t>הפרסום אמנם אינו מחמיא [שאם לא כן הרי לא עסקינן היינו בלשון הרע] אך גם לא כולל תוכן פוגעני מחמיר, ממילא מיוחסת לפרסום ע"י הקורא "</w:t>
      </w:r>
      <w:r>
        <w:rPr>
          <w:rFonts w:asciiTheme="minorBidi" w:hAnsiTheme="minorBidi" w:cstheme="minorBidi"/>
          <w:b/>
          <w:bCs/>
          <w:color w:val="000000"/>
          <w:sz w:val="22"/>
          <w:szCs w:val="22"/>
          <w:shd w:val="clear" w:color="auto" w:fill="FFFFFF"/>
          <w:rtl/>
        </w:rPr>
        <w:t>חשדנות-מה</w:t>
      </w:r>
      <w:r>
        <w:rPr>
          <w:rFonts w:asciiTheme="minorBidi" w:hAnsiTheme="minorBidi" w:cstheme="minorBidi"/>
          <w:color w:val="000000"/>
          <w:sz w:val="22"/>
          <w:szCs w:val="22"/>
          <w:shd w:val="clear" w:color="auto" w:fill="FFFFFF"/>
          <w:rtl/>
        </w:rPr>
        <w:t xml:space="preserve">" נוכח זהות המפרסם וההקשר, ונוכח היותו הבעת דעה. אעיר כי התבטאות לפיה תובע מנסה לקבל כספים "לא כדין" משאלו לא מגיעים לו, </w:t>
      </w:r>
      <w:r>
        <w:rPr>
          <w:rFonts w:asciiTheme="minorBidi" w:hAnsiTheme="minorBidi" w:cstheme="minorBidi"/>
          <w:color w:val="000000"/>
          <w:sz w:val="22"/>
          <w:szCs w:val="22"/>
          <w:shd w:val="clear" w:color="auto" w:fill="FFFFFF"/>
          <w:rtl/>
        </w:rPr>
        <w:lastRenderedPageBreak/>
        <w:t>היא התבטאות שכיחה המקובלת בכתבי הגנה המוגשים חדשות לבקרים לבתי המשפט, כך שאין להפליג בחומרתה.</w:t>
      </w:r>
    </w:p>
    <w:p w:rsidR="00FF767A" w:rsidRDefault="00FF767A" w:rsidP="00E917E2">
      <w:pPr>
        <w:spacing w:after="120" w:line="360" w:lineRule="auto"/>
        <w:jc w:val="both"/>
        <w:rPr>
          <w:rFonts w:asciiTheme="minorBidi" w:hAnsiTheme="minorBidi" w:cstheme="minorBidi"/>
          <w:color w:val="000000"/>
          <w:sz w:val="22"/>
          <w:szCs w:val="22"/>
          <w:shd w:val="clear" w:color="auto" w:fill="FFFFFF"/>
          <w:rtl/>
        </w:rPr>
      </w:pPr>
      <w:r>
        <w:rPr>
          <w:rFonts w:asciiTheme="minorBidi" w:hAnsiTheme="minorBidi" w:cstheme="minorBidi"/>
          <w:color w:val="000000"/>
          <w:sz w:val="22"/>
          <w:szCs w:val="22"/>
          <w:shd w:val="clear" w:color="auto" w:fill="FFFFFF"/>
          <w:rtl/>
        </w:rPr>
        <w:t>3</w:t>
      </w:r>
      <w:r w:rsidR="00E917E2">
        <w:rPr>
          <w:rFonts w:asciiTheme="minorBidi" w:hAnsiTheme="minorBidi" w:cstheme="minorBidi" w:hint="cs"/>
          <w:color w:val="000000"/>
          <w:sz w:val="22"/>
          <w:szCs w:val="22"/>
          <w:shd w:val="clear" w:color="auto" w:fill="FFFFFF"/>
          <w:rtl/>
        </w:rPr>
        <w:t>2</w:t>
      </w:r>
      <w:r>
        <w:rPr>
          <w:rFonts w:asciiTheme="minorBidi" w:hAnsiTheme="minorBidi" w:cstheme="minorBidi"/>
          <w:color w:val="000000"/>
          <w:sz w:val="22"/>
          <w:szCs w:val="22"/>
          <w:shd w:val="clear" w:color="auto" w:fill="FFFFFF"/>
          <w:rtl/>
        </w:rPr>
        <w:t>.</w:t>
      </w:r>
      <w:r>
        <w:rPr>
          <w:rFonts w:asciiTheme="minorBidi" w:hAnsiTheme="minorBidi" w:cstheme="minorBidi"/>
          <w:color w:val="000000"/>
          <w:sz w:val="22"/>
          <w:szCs w:val="22"/>
          <w:shd w:val="clear" w:color="auto" w:fill="FFFFFF"/>
          <w:rtl/>
        </w:rPr>
        <w:tab/>
        <w:t xml:space="preserve">ובאשר לדרישת תום הלב. </w:t>
      </w:r>
    </w:p>
    <w:p w:rsidR="00FF767A" w:rsidRDefault="00FF767A" w:rsidP="00FF767A">
      <w:pPr>
        <w:spacing w:after="120" w:line="360" w:lineRule="auto"/>
        <w:jc w:val="both"/>
        <w:rPr>
          <w:rFonts w:asciiTheme="minorBidi" w:hAnsiTheme="minorBidi" w:cstheme="minorBidi"/>
          <w:sz w:val="22"/>
          <w:szCs w:val="22"/>
          <w:rtl/>
        </w:rPr>
      </w:pPr>
      <w:r>
        <w:rPr>
          <w:rFonts w:asciiTheme="minorBidi" w:hAnsiTheme="minorBidi" w:cstheme="minorBidi"/>
          <w:color w:val="000000"/>
          <w:sz w:val="22"/>
          <w:szCs w:val="22"/>
          <w:shd w:val="clear" w:color="auto" w:fill="FFFFFF"/>
          <w:rtl/>
        </w:rPr>
        <w:t xml:space="preserve">בית משפט קמא קבע כאמור  </w:t>
      </w:r>
      <w:r>
        <w:rPr>
          <w:rFonts w:asciiTheme="minorBidi" w:hAnsiTheme="minorBidi" w:cstheme="minorBidi"/>
          <w:sz w:val="22"/>
          <w:szCs w:val="22"/>
          <w:rtl/>
        </w:rPr>
        <w:t>כי</w:t>
      </w:r>
      <w:r>
        <w:rPr>
          <w:rFonts w:asciiTheme="minorBidi" w:hAnsiTheme="minorBidi" w:cstheme="minorBidi"/>
          <w:b/>
          <w:bCs/>
          <w:sz w:val="22"/>
          <w:szCs w:val="22"/>
          <w:rtl/>
        </w:rPr>
        <w:t xml:space="preserve"> </w:t>
      </w:r>
      <w:r>
        <w:rPr>
          <w:rFonts w:asciiTheme="minorBidi" w:hAnsiTheme="minorBidi" w:cstheme="minorBidi"/>
          <w:sz w:val="22"/>
          <w:szCs w:val="22"/>
          <w:rtl/>
        </w:rPr>
        <w:t>"</w:t>
      </w:r>
      <w:r>
        <w:rPr>
          <w:rFonts w:asciiTheme="minorBidi" w:hAnsiTheme="minorBidi" w:cstheme="minorBidi"/>
          <w:b/>
          <w:bCs/>
          <w:sz w:val="22"/>
          <w:szCs w:val="22"/>
          <w:rtl/>
        </w:rPr>
        <w:t>הפרסום נעשה שלא בתום לב, ואף מתקיימת חזקת חוסר תום הלב לגביהם</w:t>
      </w:r>
      <w:r>
        <w:rPr>
          <w:rFonts w:asciiTheme="minorBidi" w:hAnsiTheme="minorBidi" w:cstheme="minorBidi"/>
          <w:sz w:val="22"/>
          <w:szCs w:val="22"/>
          <w:rtl/>
        </w:rPr>
        <w:t>" זאת משום הניסוח "</w:t>
      </w:r>
      <w:r>
        <w:rPr>
          <w:rFonts w:asciiTheme="minorBidi" w:hAnsiTheme="minorBidi" w:cstheme="minorBidi"/>
          <w:b/>
          <w:bCs/>
          <w:sz w:val="22"/>
          <w:szCs w:val="22"/>
          <w:rtl/>
        </w:rPr>
        <w:t>בלשון בוטה ואגרסיבית שאין בה מידתיות אלא רצון לפגוע בתובע</w:t>
      </w:r>
      <w:r>
        <w:rPr>
          <w:rFonts w:asciiTheme="minorBidi" w:hAnsiTheme="minorBidi" w:cstheme="minorBidi"/>
          <w:sz w:val="22"/>
          <w:szCs w:val="22"/>
          <w:rtl/>
        </w:rPr>
        <w:t>".</w:t>
      </w:r>
    </w:p>
    <w:p w:rsidR="00FF767A" w:rsidRDefault="00FF767A" w:rsidP="0023322E">
      <w:pPr>
        <w:spacing w:after="120" w:line="360" w:lineRule="auto"/>
        <w:jc w:val="both"/>
        <w:rPr>
          <w:rFonts w:asciiTheme="minorBidi" w:hAnsiTheme="minorBidi" w:cstheme="minorBidi"/>
          <w:color w:val="000000"/>
          <w:sz w:val="22"/>
          <w:szCs w:val="22"/>
          <w:shd w:val="clear" w:color="auto" w:fill="FFFFFF"/>
          <w:rtl/>
        </w:rPr>
      </w:pPr>
      <w:r>
        <w:rPr>
          <w:rFonts w:asciiTheme="minorBidi" w:hAnsiTheme="minorBidi" w:cstheme="minorBidi"/>
          <w:sz w:val="22"/>
          <w:szCs w:val="22"/>
          <w:rtl/>
        </w:rPr>
        <w:t>נטל ההוכחה להוכיח את חזקת תום הלב שבסעיף 16(א) לחוק אכן מוטל על המפרסם. "</w:t>
      </w:r>
      <w:r>
        <w:rPr>
          <w:rFonts w:asciiTheme="minorBidi" w:hAnsiTheme="minorBidi" w:cstheme="minorBidi"/>
          <w:b/>
          <w:bCs/>
          <w:sz w:val="22"/>
          <w:szCs w:val="22"/>
          <w:rtl/>
        </w:rPr>
        <w:t xml:space="preserve">התנאי השני לתחולת החזקה </w:t>
      </w:r>
      <w:r>
        <w:rPr>
          <w:rFonts w:asciiTheme="minorBidi" w:hAnsiTheme="minorBidi" w:cstheme="minorBidi"/>
          <w:sz w:val="22"/>
          <w:szCs w:val="22"/>
          <w:rtl/>
        </w:rPr>
        <w:t xml:space="preserve">[שבסעיף 16(א)] </w:t>
      </w:r>
      <w:r>
        <w:rPr>
          <w:rFonts w:asciiTheme="minorBidi" w:hAnsiTheme="minorBidi" w:cstheme="minorBidi"/>
          <w:b/>
          <w:bCs/>
          <w:sz w:val="22"/>
          <w:szCs w:val="22"/>
          <w:rtl/>
        </w:rPr>
        <w:t>הוא שהפרסום לא חרג מתחום הסביר, כפי שזה עולה מהנסיבה הקבועה שלתחולתה טוען המפרסם. בדיקת השאלה האם הפרסום חרג מתחום הסביר באותן נסיבות, נעשית בעיקר באמצעות בחינת הפרסום עצמו. לשונו של הפרסום מהווה קנה מידה מרכזי  לסבירות הפגיעה שנעשתה. פרסום שנעשה בלשון מתונה וזהירה יוגדר לרוב כפרסום שאינו חורג מתחום הסביר ואילו פרסום שלשונו בוטה וחסרת רסן עשוי להיות מוגדר כחורג מהסביר</w:t>
      </w:r>
      <w:r>
        <w:rPr>
          <w:rFonts w:asciiTheme="minorBidi" w:hAnsiTheme="minorBidi" w:cstheme="minorBidi"/>
          <w:sz w:val="22"/>
          <w:szCs w:val="22"/>
          <w:rtl/>
        </w:rPr>
        <w:t xml:space="preserve">" </w:t>
      </w:r>
      <w:r>
        <w:rPr>
          <w:rFonts w:asciiTheme="minorBidi" w:hAnsiTheme="minorBidi" w:cstheme="minorBidi"/>
          <w:color w:val="000000"/>
          <w:sz w:val="22"/>
          <w:szCs w:val="22"/>
          <w:shd w:val="clear" w:color="auto" w:fill="FFFFFF"/>
          <w:rtl/>
        </w:rPr>
        <w:t>(</w:t>
      </w:r>
      <w:r>
        <w:rPr>
          <w:rFonts w:asciiTheme="minorBidi" w:hAnsiTheme="minorBidi" w:cstheme="minorBidi"/>
          <w:b/>
          <w:bCs/>
          <w:color w:val="000000"/>
          <w:sz w:val="22"/>
          <w:szCs w:val="22"/>
          <w:shd w:val="clear" w:color="auto" w:fill="FFFFFF"/>
          <w:rtl/>
        </w:rPr>
        <w:t>גנאים-קרמניצר-שנור</w:t>
      </w:r>
      <w:r>
        <w:rPr>
          <w:rFonts w:asciiTheme="minorBidi" w:hAnsiTheme="minorBidi" w:cstheme="minorBidi"/>
          <w:color w:val="000000"/>
          <w:sz w:val="22"/>
          <w:szCs w:val="22"/>
          <w:shd w:val="clear" w:color="auto" w:fill="FFFFFF"/>
          <w:rtl/>
        </w:rPr>
        <w:t>, עמוד 265)</w:t>
      </w:r>
      <w:r w:rsidR="0023322E">
        <w:rPr>
          <w:rFonts w:asciiTheme="minorBidi" w:hAnsiTheme="minorBidi" w:cstheme="minorBidi" w:hint="cs"/>
          <w:color w:val="000000"/>
          <w:sz w:val="22"/>
          <w:szCs w:val="22"/>
          <w:shd w:val="clear" w:color="auto" w:fill="FFFFFF"/>
          <w:rtl/>
        </w:rPr>
        <w:t>.</w:t>
      </w:r>
    </w:p>
    <w:p w:rsidR="00FF767A" w:rsidRDefault="00FF767A" w:rsidP="00FF767A">
      <w:pPr>
        <w:spacing w:after="120" w:line="360" w:lineRule="auto"/>
        <w:jc w:val="both"/>
        <w:rPr>
          <w:rFonts w:asciiTheme="minorBidi" w:hAnsiTheme="minorBidi" w:cstheme="minorBidi"/>
          <w:sz w:val="22"/>
          <w:szCs w:val="22"/>
          <w:rtl/>
        </w:rPr>
      </w:pPr>
      <w:r>
        <w:rPr>
          <w:rFonts w:asciiTheme="minorBidi" w:hAnsiTheme="minorBidi" w:cstheme="minorBidi"/>
          <w:sz w:val="22"/>
          <w:szCs w:val="22"/>
          <w:rtl/>
        </w:rPr>
        <w:t>סבירות הפרסום נלמדת אפוא בעיקר מהפרסום עצמו ומלשונו, ואשר על כן משיכת תצהירו של ניר חפץ אינה צריכה לעמוד לליכוד לרועץ.</w:t>
      </w:r>
    </w:p>
    <w:p w:rsidR="00FF767A" w:rsidRDefault="00FF767A" w:rsidP="00E917E2">
      <w:pPr>
        <w:spacing w:after="120" w:line="360" w:lineRule="auto"/>
        <w:jc w:val="both"/>
        <w:rPr>
          <w:rFonts w:asciiTheme="minorBidi" w:hAnsiTheme="minorBidi" w:cstheme="minorBidi"/>
          <w:sz w:val="22"/>
          <w:szCs w:val="22"/>
          <w:rtl/>
        </w:rPr>
      </w:pPr>
      <w:r>
        <w:rPr>
          <w:rFonts w:asciiTheme="minorBidi" w:hAnsiTheme="minorBidi" w:cstheme="minorBidi"/>
          <w:sz w:val="22"/>
          <w:szCs w:val="22"/>
          <w:rtl/>
        </w:rPr>
        <w:t>3</w:t>
      </w:r>
      <w:r w:rsidR="00E917E2">
        <w:rPr>
          <w:rFonts w:asciiTheme="minorBidi" w:hAnsiTheme="minorBidi" w:cstheme="minorBidi" w:hint="cs"/>
          <w:sz w:val="22"/>
          <w:szCs w:val="22"/>
          <w:rtl/>
        </w:rPr>
        <w:t>3</w:t>
      </w:r>
      <w:r>
        <w:rPr>
          <w:rFonts w:asciiTheme="minorBidi" w:hAnsiTheme="minorBidi" w:cstheme="minorBidi"/>
          <w:sz w:val="22"/>
          <w:szCs w:val="22"/>
          <w:rtl/>
        </w:rPr>
        <w:t>.</w:t>
      </w:r>
      <w:r>
        <w:rPr>
          <w:rFonts w:asciiTheme="minorBidi" w:hAnsiTheme="minorBidi" w:cstheme="minorBidi"/>
          <w:sz w:val="22"/>
          <w:szCs w:val="22"/>
          <w:rtl/>
        </w:rPr>
        <w:tab/>
        <w:t>נתבונן בשנית בפוסט.</w:t>
      </w:r>
    </w:p>
    <w:p w:rsidR="00FF767A" w:rsidRDefault="00FF767A" w:rsidP="00FF767A">
      <w:pPr>
        <w:spacing w:after="120" w:line="360" w:lineRule="auto"/>
        <w:jc w:val="both"/>
        <w:rPr>
          <w:rFonts w:asciiTheme="minorBidi" w:hAnsiTheme="minorBidi" w:cstheme="minorBidi"/>
          <w:sz w:val="22"/>
          <w:szCs w:val="22"/>
          <w:rtl/>
        </w:rPr>
      </w:pPr>
      <w:r>
        <w:rPr>
          <w:rFonts w:asciiTheme="minorBidi" w:hAnsiTheme="minorBidi" w:cstheme="minorBidi"/>
          <w:sz w:val="22"/>
          <w:szCs w:val="22"/>
          <w:rtl/>
        </w:rPr>
        <w:t>הפוסט משתרע על פני עמוד אחד המכיל 30 שורות, ותוכנו להלן:</w:t>
      </w:r>
    </w:p>
    <w:p w:rsidR="00FF767A" w:rsidRDefault="00FF767A" w:rsidP="00FF767A">
      <w:pPr>
        <w:spacing w:after="120" w:line="360" w:lineRule="auto"/>
        <w:jc w:val="both"/>
        <w:rPr>
          <w:rFonts w:asciiTheme="minorBidi" w:hAnsiTheme="minorBidi" w:cstheme="minorBidi"/>
          <w:sz w:val="22"/>
          <w:szCs w:val="22"/>
          <w:rtl/>
        </w:rPr>
      </w:pPr>
      <w:r>
        <w:rPr>
          <w:rFonts w:asciiTheme="minorBidi" w:hAnsiTheme="minorBidi" w:cstheme="minorBidi"/>
          <w:sz w:val="22"/>
          <w:szCs w:val="22"/>
          <w:rtl/>
        </w:rPr>
        <w:t>פתיח (שורות 1-3); ראש הממשלה מכבד את המלצת דו"ח המבקר ופועל ליישומו באופן מיטבי (שורות 4-6); ביקורת נגד "קמפיין תקשורתי" המתנהל סביב דו"ח המבקר (שורות 7-11); על תוכן הדו"ח (שורות 12-14); ביקורת על הנאמר בדו"ח (שורות 12-22) על ההוצאות במעון (שורות 23-24). רק בקטע השורות 24-28 מובאת ההתייחסות לנפתלי, עת נאמר שבתקופתו גדלו ההוצאות במעון (על כך נקבע כאמור שחלה הגנת האמת), כי הוא משמיץ ומכפיש את ראש הממשלה [נפתלי לא טוען שהיגד זה מהווה לשון הרע נגדו] ומנסה להוציא כספים "</w:t>
      </w:r>
      <w:r>
        <w:rPr>
          <w:rFonts w:asciiTheme="minorBidi" w:hAnsiTheme="minorBidi" w:cstheme="minorBidi"/>
          <w:b/>
          <w:bCs/>
          <w:sz w:val="22"/>
          <w:szCs w:val="22"/>
          <w:rtl/>
        </w:rPr>
        <w:t>שלא כדין</w:t>
      </w:r>
      <w:r>
        <w:rPr>
          <w:rFonts w:asciiTheme="minorBidi" w:hAnsiTheme="minorBidi" w:cstheme="minorBidi"/>
          <w:sz w:val="22"/>
          <w:szCs w:val="22"/>
          <w:rtl/>
        </w:rPr>
        <w:t>" [על כך התביעה]. ולאחר מכן: ההוצאות פחתו עם עזיבתו (שורה 28); קטע סיום – "שתפו את האמת" (שורות 29-30).</w:t>
      </w:r>
    </w:p>
    <w:p w:rsidR="00FF767A" w:rsidRDefault="00FF767A" w:rsidP="00FF767A">
      <w:pPr>
        <w:spacing w:after="120" w:line="360" w:lineRule="auto"/>
        <w:jc w:val="both"/>
        <w:rPr>
          <w:rFonts w:asciiTheme="minorBidi" w:hAnsiTheme="minorBidi" w:cstheme="minorBidi"/>
          <w:sz w:val="22"/>
          <w:szCs w:val="22"/>
          <w:rtl/>
        </w:rPr>
      </w:pPr>
      <w:r>
        <w:rPr>
          <w:rFonts w:asciiTheme="minorBidi" w:hAnsiTheme="minorBidi" w:cstheme="minorBidi"/>
          <w:sz w:val="22"/>
          <w:szCs w:val="22"/>
          <w:rtl/>
        </w:rPr>
        <w:t>הנה כי כן, עיקר הפוסט עניינו בדו"ח המבקר ובניסיון להתמודד עם תוכנו. ההתייחסת לנפתלי בפוסט היא שולית, הוא אינו הנושא שלו, גם לא נושא משני, ואיזכורו נחזה ככזה שנעשה רק בהקשר להתמודדות עם הקביעה בדבר גידול ההוצאות, ולא מכוון אישית נגדו. מכל מקום, אין למצוא בפוסט את אותה ה"</w:t>
      </w:r>
      <w:r>
        <w:rPr>
          <w:rFonts w:asciiTheme="minorBidi" w:hAnsiTheme="minorBidi" w:cstheme="minorBidi"/>
          <w:b/>
          <w:bCs/>
          <w:sz w:val="22"/>
          <w:szCs w:val="22"/>
          <w:rtl/>
        </w:rPr>
        <w:t xml:space="preserve">לשון </w:t>
      </w:r>
      <w:r>
        <w:rPr>
          <w:rFonts w:asciiTheme="minorBidi" w:hAnsiTheme="minorBidi" w:cstheme="minorBidi"/>
          <w:b/>
          <w:bCs/>
          <w:sz w:val="22"/>
          <w:szCs w:val="22"/>
          <w:rtl/>
        </w:rPr>
        <w:lastRenderedPageBreak/>
        <w:t>בוטה ואגרסיבית</w:t>
      </w:r>
      <w:r>
        <w:rPr>
          <w:rFonts w:asciiTheme="minorBidi" w:hAnsiTheme="minorBidi" w:cstheme="minorBidi"/>
          <w:sz w:val="22"/>
          <w:szCs w:val="22"/>
          <w:rtl/>
        </w:rPr>
        <w:t>" כפי שקבע בימ"ש קמא, והקשר- שבימ"ש קמא שלל אותו קיים גם קיים שהרי דו"ח הביקורת התייחס לגידול בהוצאות המעון בתקופה שנפתלי שימש אב הבית.</w:t>
      </w:r>
    </w:p>
    <w:p w:rsidR="00FF767A" w:rsidRDefault="00FF767A" w:rsidP="00FF767A">
      <w:pPr>
        <w:spacing w:after="120" w:line="360" w:lineRule="auto"/>
        <w:jc w:val="both"/>
        <w:rPr>
          <w:rFonts w:asciiTheme="minorBidi" w:hAnsiTheme="minorBidi" w:cstheme="minorBidi"/>
          <w:sz w:val="22"/>
          <w:szCs w:val="22"/>
          <w:rtl/>
        </w:rPr>
      </w:pPr>
      <w:r>
        <w:rPr>
          <w:rFonts w:asciiTheme="minorBidi" w:hAnsiTheme="minorBidi" w:cstheme="minorBidi"/>
          <w:sz w:val="22"/>
          <w:szCs w:val="22"/>
          <w:rtl/>
        </w:rPr>
        <w:t xml:space="preserve">אין אפוא סיבה להסיר מעל הפוסט את חזקת תום הלב. </w:t>
      </w:r>
    </w:p>
    <w:p w:rsidR="00FF767A" w:rsidRDefault="00FF767A" w:rsidP="00FF767A">
      <w:pPr>
        <w:spacing w:after="120" w:line="360" w:lineRule="auto"/>
        <w:jc w:val="both"/>
        <w:rPr>
          <w:rFonts w:asciiTheme="minorBidi" w:hAnsiTheme="minorBidi" w:cstheme="minorBidi"/>
          <w:color w:val="000000"/>
          <w:sz w:val="22"/>
          <w:szCs w:val="22"/>
          <w:shd w:val="clear" w:color="auto" w:fill="FFFFFF"/>
          <w:rtl/>
        </w:rPr>
      </w:pPr>
      <w:r>
        <w:rPr>
          <w:rFonts w:asciiTheme="minorBidi" w:hAnsiTheme="minorBidi" w:cstheme="minorBidi"/>
          <w:color w:val="000000"/>
          <w:sz w:val="22"/>
          <w:szCs w:val="22"/>
          <w:shd w:val="clear" w:color="auto" w:fill="FFFFFF"/>
          <w:rtl/>
        </w:rPr>
        <w:t>משקלה הגבוה של החובה החברתית והצורך במתן הגנה מיוחדת לביטויים הנאמרים במסגרת חובה זו – מצד אחד,  ומשקלה הנמוך יחסית של הפגיעה מתוכן הפרסום – מצד שני, מקימים לליכוד את ההגנה לפי סעיף 15(2) לחוק.</w:t>
      </w:r>
    </w:p>
    <w:p w:rsidR="00FF767A" w:rsidRDefault="00FF767A" w:rsidP="00FF767A">
      <w:pPr>
        <w:spacing w:after="120" w:line="360" w:lineRule="auto"/>
        <w:jc w:val="both"/>
        <w:rPr>
          <w:rFonts w:asciiTheme="minorBidi" w:hAnsiTheme="minorBidi" w:cstheme="minorBidi"/>
          <w:color w:val="000000"/>
          <w:sz w:val="22"/>
          <w:szCs w:val="22"/>
          <w:shd w:val="clear" w:color="auto" w:fill="FFFFFF"/>
          <w:rtl/>
        </w:rPr>
      </w:pPr>
      <w:r>
        <w:rPr>
          <w:rFonts w:asciiTheme="minorBidi" w:hAnsiTheme="minorBidi" w:cstheme="minorBidi"/>
          <w:color w:val="000000"/>
          <w:sz w:val="22"/>
          <w:szCs w:val="22"/>
          <w:shd w:val="clear" w:color="auto" w:fill="FFFFFF"/>
          <w:rtl/>
        </w:rPr>
        <w:t>בה בעת לא מצאתי לנכון לקבל את הטענה לחלות ההגנה לפי סעיף 15(10) לחוק, משלא הונח לה הבסיס העובדתי הנדרש.</w:t>
      </w:r>
    </w:p>
    <w:p w:rsidR="00FF767A" w:rsidRDefault="00FF767A" w:rsidP="00E917E2">
      <w:pPr>
        <w:spacing w:after="120" w:line="360" w:lineRule="auto"/>
        <w:jc w:val="both"/>
        <w:rPr>
          <w:rFonts w:asciiTheme="minorBidi" w:hAnsiTheme="minorBidi" w:cstheme="minorBidi"/>
          <w:color w:val="000000"/>
          <w:sz w:val="22"/>
          <w:szCs w:val="22"/>
          <w:shd w:val="clear" w:color="auto" w:fill="FFFFFF"/>
          <w:rtl/>
        </w:rPr>
      </w:pPr>
      <w:r>
        <w:rPr>
          <w:rFonts w:asciiTheme="minorBidi" w:hAnsiTheme="minorBidi" w:cstheme="minorBidi"/>
          <w:color w:val="000000"/>
          <w:sz w:val="22"/>
          <w:szCs w:val="22"/>
          <w:shd w:val="clear" w:color="auto" w:fill="FFFFFF"/>
          <w:rtl/>
        </w:rPr>
        <w:t>3</w:t>
      </w:r>
      <w:r w:rsidR="00E917E2">
        <w:rPr>
          <w:rFonts w:asciiTheme="minorBidi" w:hAnsiTheme="minorBidi" w:cstheme="minorBidi" w:hint="cs"/>
          <w:color w:val="000000"/>
          <w:sz w:val="22"/>
          <w:szCs w:val="22"/>
          <w:shd w:val="clear" w:color="auto" w:fill="FFFFFF"/>
          <w:rtl/>
        </w:rPr>
        <w:t>4</w:t>
      </w:r>
      <w:r>
        <w:rPr>
          <w:rFonts w:asciiTheme="minorBidi" w:hAnsiTheme="minorBidi" w:cstheme="minorBidi"/>
          <w:color w:val="000000"/>
          <w:sz w:val="22"/>
          <w:szCs w:val="22"/>
          <w:shd w:val="clear" w:color="auto" w:fill="FFFFFF"/>
          <w:rtl/>
        </w:rPr>
        <w:t>.</w:t>
      </w:r>
      <w:r>
        <w:rPr>
          <w:rFonts w:asciiTheme="minorBidi" w:hAnsiTheme="minorBidi" w:cstheme="minorBidi"/>
          <w:color w:val="000000"/>
          <w:sz w:val="22"/>
          <w:szCs w:val="22"/>
          <w:shd w:val="clear" w:color="auto" w:fill="FFFFFF"/>
          <w:rtl/>
        </w:rPr>
        <w:tab/>
        <w:t xml:space="preserve">אמליץ אפוא לחברי לקבל את ערעוריהם של כהן והליכוד, לבטל את אותו החלק של פסק הדין המתייחס אליהם, ולהורות על דחיית התביעה נגדם, לרבות ביטול חיובם בהוצאות. </w:t>
      </w:r>
    </w:p>
    <w:p w:rsidR="00FF767A" w:rsidRDefault="00FF767A" w:rsidP="00FF767A">
      <w:pPr>
        <w:spacing w:after="120" w:line="360" w:lineRule="auto"/>
        <w:jc w:val="both"/>
        <w:rPr>
          <w:rFonts w:asciiTheme="minorBidi" w:hAnsiTheme="minorBidi" w:cstheme="minorBidi"/>
          <w:color w:val="000000"/>
          <w:sz w:val="22"/>
          <w:szCs w:val="22"/>
          <w:shd w:val="clear" w:color="auto" w:fill="FFFFFF"/>
          <w:rtl/>
        </w:rPr>
      </w:pPr>
      <w:r>
        <w:rPr>
          <w:rFonts w:asciiTheme="minorBidi" w:hAnsiTheme="minorBidi" w:cstheme="minorBidi"/>
          <w:color w:val="000000"/>
          <w:sz w:val="22"/>
          <w:szCs w:val="22"/>
          <w:shd w:val="clear" w:color="auto" w:fill="FFFFFF"/>
          <w:rtl/>
        </w:rPr>
        <w:t xml:space="preserve">עוד אמליץ שלא לזכות את כהן בהוצאות ושכ"ט עו"ד, משלא השתכנעתי כי הערעור, שהוגש על פי הנחזה בהודעת הערעור גם בשם זכאי ושמעוני, אכן הוגש בהרשאתם, דבר שאילץ את נפתלי להתגונן גם בכתב תשובתו וגם בתמצית הטיעון נגד הטיעונים שהועלו בשמם. </w:t>
      </w:r>
    </w:p>
    <w:p w:rsidR="00FF767A" w:rsidRDefault="00FF767A" w:rsidP="00FF767A">
      <w:pPr>
        <w:spacing w:after="120" w:line="360" w:lineRule="auto"/>
        <w:jc w:val="both"/>
        <w:rPr>
          <w:rFonts w:asciiTheme="minorBidi" w:hAnsiTheme="minorBidi" w:cstheme="minorBidi"/>
          <w:color w:val="000000"/>
          <w:sz w:val="22"/>
          <w:szCs w:val="22"/>
          <w:shd w:val="clear" w:color="auto" w:fill="FFFFFF"/>
          <w:rtl/>
        </w:rPr>
      </w:pPr>
      <w:r>
        <w:rPr>
          <w:rFonts w:asciiTheme="minorBidi" w:hAnsiTheme="minorBidi" w:cstheme="minorBidi"/>
          <w:color w:val="000000"/>
          <w:sz w:val="22"/>
          <w:szCs w:val="22"/>
          <w:shd w:val="clear" w:color="auto" w:fill="FFFFFF"/>
          <w:rtl/>
        </w:rPr>
        <w:t xml:space="preserve">לליכוד אמליץ לפסוק כהוצאות משפט סך של 10,000 </w:t>
      </w:r>
      <w:r w:rsidR="000F1A91">
        <w:rPr>
          <w:rFonts w:asciiTheme="minorBidi" w:hAnsiTheme="minorBidi" w:cstheme="minorBidi" w:hint="cs"/>
          <w:color w:val="000000"/>
          <w:sz w:val="22"/>
          <w:szCs w:val="22"/>
          <w:shd w:val="clear" w:color="auto" w:fill="FFFFFF"/>
          <w:rtl/>
        </w:rPr>
        <w:t>₪.</w:t>
      </w:r>
    </w:p>
    <w:tbl>
      <w:tblPr>
        <w:tblStyle w:val="a9"/>
        <w:tblpPr w:leftFromText="180" w:rightFromText="180" w:vertAnchor="text" w:horzAnchor="margin" w:tblpY="99"/>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2796"/>
      </w:tblGrid>
      <w:tr w:rsidR="000F1A91" w:rsidTr="000F1A91">
        <w:tc>
          <w:tcPr>
            <w:tcW w:w="2796" w:type="dxa"/>
            <w:tcBorders>
              <w:top w:val="nil"/>
              <w:left w:val="nil"/>
              <w:bottom w:val="single" w:sz="4" w:space="0" w:color="auto"/>
              <w:right w:val="nil"/>
            </w:tcBorders>
            <w:vAlign w:val="center"/>
          </w:tcPr>
          <w:p w:rsidR="000F1A91" w:rsidRDefault="000F1A91" w:rsidP="000F1A91">
            <w:pPr>
              <w:jc w:val="center"/>
              <w:rPr>
                <w:rFonts w:ascii="Courier New" w:hAnsi="Courier New"/>
                <w:b/>
                <w:bCs/>
                <w:sz w:val="20"/>
                <w:szCs w:val="20"/>
              </w:rPr>
            </w:pPr>
            <w:r>
              <w:drawing>
                <wp:inline distT="0" distB="0" distL="0" distR="0" wp14:anchorId="4F05688F" wp14:editId="1D891243">
                  <wp:extent cx="1637665" cy="429260"/>
                  <wp:effectExtent l="0" t="0" r="635" b="8890"/>
                  <wp:docPr id="2" name="Picture 2" descr="051996494"/>
                  <wp:cNvGraphicFramePr/>
                  <a:graphic xmlns:a="http://schemas.openxmlformats.org/drawingml/2006/main">
                    <a:graphicData uri="http://schemas.openxmlformats.org/drawingml/2006/picture">
                      <pic:pic xmlns:pic="http://schemas.openxmlformats.org/drawingml/2006/picture">
                        <pic:nvPicPr>
                          <pic:cNvPr id="2" name="Picture 2" descr="051996494"/>
                          <pic:cNvPicPr/>
                        </pic:nvPicPr>
                        <pic:blipFill>
                          <a:blip r:embed="rId8">
                            <a:lum bright="54000" contrast="-18000"/>
                            <a:extLst>
                              <a:ext uri="{28A0092B-C50C-407E-A947-70E740481C1C}">
                                <a14:useLocalDpi xmlns:a14="http://schemas.microsoft.com/office/drawing/2010/main" val="0"/>
                              </a:ext>
                            </a:extLst>
                          </a:blip>
                          <a:srcRect/>
                          <a:stretch>
                            <a:fillRect/>
                          </a:stretch>
                        </pic:blipFill>
                        <pic:spPr bwMode="auto">
                          <a:xfrm>
                            <a:off x="0" y="0"/>
                            <a:ext cx="1637665" cy="429260"/>
                          </a:xfrm>
                          <a:prstGeom prst="rect">
                            <a:avLst/>
                          </a:prstGeom>
                          <a:noFill/>
                          <a:ln>
                            <a:noFill/>
                          </a:ln>
                        </pic:spPr>
                      </pic:pic>
                    </a:graphicData>
                  </a:graphic>
                </wp:inline>
              </w:drawing>
            </w:r>
          </w:p>
        </w:tc>
      </w:tr>
      <w:tr w:rsidR="000F1A91" w:rsidTr="000F1A91">
        <w:tc>
          <w:tcPr>
            <w:tcW w:w="2796" w:type="dxa"/>
            <w:tcBorders>
              <w:top w:val="single" w:sz="4" w:space="0" w:color="auto"/>
              <w:left w:val="nil"/>
              <w:bottom w:val="nil"/>
              <w:right w:val="nil"/>
            </w:tcBorders>
          </w:tcPr>
          <w:p w:rsidR="000F1A91" w:rsidRDefault="000F1A91" w:rsidP="000F1A91">
            <w:pPr>
              <w:jc w:val="center"/>
              <w:rPr>
                <w:rFonts w:ascii="Courier New" w:hAnsi="Courier New"/>
                <w:b/>
                <w:bCs/>
              </w:rPr>
            </w:pPr>
            <w:r>
              <w:rPr>
                <w:rFonts w:ascii="Courier New" w:hAnsi="Courier New" w:hint="cs"/>
                <w:b/>
                <w:bCs/>
                <w:rtl/>
              </w:rPr>
              <w:t xml:space="preserve">יהודית שבח, שופטת, סג"נ </w:t>
            </w:r>
          </w:p>
        </w:tc>
      </w:tr>
    </w:tbl>
    <w:p w:rsidR="000F1A91" w:rsidRDefault="000F1A91">
      <w:pPr>
        <w:rPr>
          <w:rtl/>
        </w:rPr>
      </w:pPr>
    </w:p>
    <w:p w:rsidR="000F1A91" w:rsidRDefault="000F1A91"/>
    <w:p w:rsidR="000F1A91" w:rsidRPr="000F1A91" w:rsidRDefault="000F1A91" w:rsidP="00FF767A">
      <w:pPr>
        <w:spacing w:after="120" w:line="360" w:lineRule="auto"/>
        <w:jc w:val="both"/>
        <w:rPr>
          <w:rFonts w:asciiTheme="minorBidi" w:hAnsiTheme="minorBidi" w:cstheme="minorBidi"/>
          <w:color w:val="000000"/>
          <w:sz w:val="22"/>
          <w:szCs w:val="22"/>
          <w:shd w:val="clear" w:color="auto" w:fill="FFFFFF"/>
          <w:rtl/>
        </w:rPr>
      </w:pPr>
    </w:p>
    <w:p w:rsidR="000F1A91" w:rsidRDefault="000F1A91" w:rsidP="00457105">
      <w:pPr>
        <w:spacing w:line="360" w:lineRule="auto"/>
        <w:jc w:val="both"/>
        <w:rPr>
          <w:rFonts w:asciiTheme="minorBidi" w:hAnsiTheme="minorBidi" w:cstheme="minorBidi"/>
          <w:b/>
          <w:bCs/>
          <w:sz w:val="22"/>
          <w:szCs w:val="22"/>
          <w:u w:val="single"/>
          <w:rtl/>
        </w:rPr>
      </w:pPr>
    </w:p>
    <w:p w:rsidR="00327298" w:rsidRDefault="00327298" w:rsidP="00457105">
      <w:pPr>
        <w:spacing w:line="360" w:lineRule="auto"/>
        <w:jc w:val="both"/>
        <w:rPr>
          <w:rFonts w:asciiTheme="minorBidi" w:hAnsiTheme="minorBidi" w:cstheme="minorBidi"/>
          <w:b/>
          <w:bCs/>
          <w:sz w:val="22"/>
          <w:szCs w:val="22"/>
          <w:u w:val="single"/>
          <w:rtl/>
        </w:rPr>
      </w:pPr>
    </w:p>
    <w:p w:rsidR="00327298" w:rsidRDefault="00327298" w:rsidP="00457105">
      <w:pPr>
        <w:spacing w:line="360" w:lineRule="auto"/>
        <w:jc w:val="both"/>
        <w:rPr>
          <w:rFonts w:asciiTheme="minorBidi" w:hAnsiTheme="minorBidi" w:cstheme="minorBidi"/>
          <w:b/>
          <w:bCs/>
          <w:sz w:val="22"/>
          <w:szCs w:val="22"/>
          <w:u w:val="single"/>
          <w:rtl/>
        </w:rPr>
      </w:pPr>
    </w:p>
    <w:p w:rsidR="00694556" w:rsidRPr="00457105" w:rsidRDefault="00457105" w:rsidP="00457105">
      <w:pPr>
        <w:spacing w:line="360" w:lineRule="auto"/>
        <w:jc w:val="both"/>
        <w:rPr>
          <w:rFonts w:ascii="Arial" w:hAnsi="Arial"/>
          <w:noProof w:val="0"/>
          <w:rtl/>
        </w:rPr>
      </w:pPr>
      <w:r w:rsidRPr="00457105">
        <w:rPr>
          <w:rFonts w:asciiTheme="minorBidi" w:hAnsiTheme="minorBidi" w:cstheme="minorBidi" w:hint="cs"/>
          <w:b/>
          <w:bCs/>
          <w:sz w:val="22"/>
          <w:szCs w:val="22"/>
          <w:u w:val="single"/>
          <w:rtl/>
        </w:rPr>
        <w:t>השופט י</w:t>
      </w:r>
      <w:r>
        <w:rPr>
          <w:rFonts w:asciiTheme="minorBidi" w:hAnsiTheme="minorBidi" w:cstheme="minorBidi" w:hint="cs"/>
          <w:b/>
          <w:bCs/>
          <w:sz w:val="22"/>
          <w:szCs w:val="22"/>
          <w:u w:val="single"/>
          <w:rtl/>
        </w:rPr>
        <w:t>. אטדגי</w:t>
      </w:r>
      <w:r>
        <w:rPr>
          <w:rFonts w:asciiTheme="minorBidi" w:hAnsiTheme="minorBidi" w:cstheme="minorBidi" w:hint="cs"/>
          <w:sz w:val="22"/>
          <w:szCs w:val="22"/>
          <w:rtl/>
        </w:rPr>
        <w:t>:</w:t>
      </w:r>
    </w:p>
    <w:p w:rsidR="00694556" w:rsidRDefault="000F1A91">
      <w:pPr>
        <w:spacing w:line="360" w:lineRule="auto"/>
        <w:jc w:val="both"/>
        <w:rPr>
          <w:rFonts w:asciiTheme="minorBidi" w:hAnsiTheme="minorBidi" w:cstheme="minorBidi"/>
          <w:color w:val="000000"/>
          <w:sz w:val="22"/>
          <w:szCs w:val="22"/>
          <w:shd w:val="clear" w:color="auto" w:fill="FFFFFF"/>
          <w:rtl/>
        </w:rPr>
      </w:pPr>
      <w:r w:rsidRPr="000F1A91">
        <w:rPr>
          <w:rFonts w:asciiTheme="minorBidi" w:hAnsiTheme="minorBidi" w:cstheme="minorBidi" w:hint="cs"/>
          <w:color w:val="000000"/>
          <w:sz w:val="22"/>
          <w:szCs w:val="22"/>
          <w:shd w:val="clear" w:color="auto" w:fill="FFFFFF"/>
          <w:rtl/>
        </w:rPr>
        <w:t>אני מסכים.</w:t>
      </w:r>
    </w:p>
    <w:p w:rsidR="000F1A91" w:rsidRDefault="000F1A91" w:rsidP="006C47A9">
      <w:pPr>
        <w:rPr>
          <w:rtl/>
        </w:rPr>
      </w:pPr>
    </w:p>
    <w:tbl>
      <w:tblPr>
        <w:tblStyle w:val="a9"/>
        <w:bidiVisual/>
        <w:tblW w:w="2919" w:type="dxa"/>
        <w:tblInd w:w="559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2919"/>
      </w:tblGrid>
      <w:tr w:rsidR="000F1A91" w:rsidRPr="00916A9C" w:rsidTr="000F1A91">
        <w:tc>
          <w:tcPr>
            <w:tcW w:w="2919" w:type="dxa"/>
            <w:tcBorders>
              <w:top w:val="nil"/>
              <w:left w:val="nil"/>
              <w:bottom w:val="single" w:sz="4" w:space="0" w:color="auto"/>
              <w:right w:val="nil"/>
            </w:tcBorders>
            <w:vAlign w:val="center"/>
          </w:tcPr>
          <w:p w:rsidR="000F1A91" w:rsidRPr="00916A9C" w:rsidRDefault="000F1A91" w:rsidP="00FD458F">
            <w:pPr>
              <w:jc w:val="center"/>
              <w:rPr>
                <w:rFonts w:ascii="Courier New" w:hAnsi="Courier New"/>
                <w:b/>
                <w:bCs/>
              </w:rPr>
            </w:pPr>
            <w:r>
              <w:drawing>
                <wp:anchor distT="0" distB="0" distL="114300" distR="114300" simplePos="0" relativeHeight="251659264" behindDoc="1" locked="0" layoutInCell="1" allowOverlap="1" wp14:anchorId="786A96A2" wp14:editId="2C21B0C0">
                  <wp:simplePos x="0" y="0"/>
                  <wp:positionH relativeFrom="column">
                    <wp:posOffset>494665</wp:posOffset>
                  </wp:positionH>
                  <wp:positionV relativeFrom="paragraph">
                    <wp:posOffset>-6985</wp:posOffset>
                  </wp:positionV>
                  <wp:extent cx="1052195" cy="650240"/>
                  <wp:effectExtent l="0" t="0" r="0" b="0"/>
                  <wp:wrapTight wrapText="bothSides">
                    <wp:wrapPolygon edited="0">
                      <wp:start x="0" y="0"/>
                      <wp:lineTo x="0" y="20883"/>
                      <wp:lineTo x="21118" y="20883"/>
                      <wp:lineTo x="21118" y="0"/>
                      <wp:lineTo x="0" y="0"/>
                    </wp:wrapPolygon>
                  </wp:wrapTight>
                  <wp:docPr id="1"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52195" cy="650240"/>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0F1A91" w:rsidRPr="00916A9C" w:rsidTr="000F1A91">
        <w:tc>
          <w:tcPr>
            <w:tcW w:w="2919" w:type="dxa"/>
            <w:tcBorders>
              <w:top w:val="single" w:sz="4" w:space="0" w:color="auto"/>
              <w:left w:val="nil"/>
              <w:bottom w:val="nil"/>
              <w:right w:val="nil"/>
            </w:tcBorders>
            <w:vAlign w:val="bottom"/>
          </w:tcPr>
          <w:p w:rsidR="000F1A91" w:rsidRPr="00916A9C" w:rsidRDefault="000F1A91" w:rsidP="00FD458F">
            <w:pPr>
              <w:jc w:val="center"/>
              <w:rPr>
                <w:rFonts w:ascii="Courier New" w:hAnsi="Courier New"/>
                <w:b/>
                <w:bCs/>
                <w:rtl/>
              </w:rPr>
            </w:pPr>
            <w:r>
              <w:rPr>
                <w:rFonts w:ascii="Courier New" w:hAnsi="Courier New"/>
                <w:b/>
                <w:bCs/>
                <w:rtl/>
              </w:rPr>
              <w:t>יונה אטדגי, שופט</w:t>
            </w:r>
          </w:p>
          <w:p w:rsidR="000F1A91" w:rsidRPr="00916A9C" w:rsidRDefault="000F1A91" w:rsidP="00FD458F">
            <w:pPr>
              <w:jc w:val="center"/>
              <w:rPr>
                <w:rFonts w:ascii="Courier New" w:hAnsi="Courier New"/>
                <w:b/>
                <w:bCs/>
              </w:rPr>
            </w:pPr>
          </w:p>
        </w:tc>
      </w:tr>
    </w:tbl>
    <w:p w:rsidR="00327298" w:rsidRDefault="00327298">
      <w:pPr>
        <w:spacing w:line="360" w:lineRule="auto"/>
        <w:jc w:val="both"/>
        <w:rPr>
          <w:rFonts w:asciiTheme="minorBidi" w:hAnsiTheme="minorBidi" w:cstheme="minorBidi"/>
          <w:b/>
          <w:bCs/>
          <w:sz w:val="22"/>
          <w:szCs w:val="22"/>
          <w:u w:val="single"/>
          <w:rtl/>
        </w:rPr>
      </w:pPr>
    </w:p>
    <w:p w:rsidR="00457105" w:rsidRDefault="00457105">
      <w:pPr>
        <w:spacing w:line="360" w:lineRule="auto"/>
        <w:jc w:val="both"/>
        <w:rPr>
          <w:rFonts w:asciiTheme="minorBidi" w:hAnsiTheme="minorBidi" w:cstheme="minorBidi"/>
          <w:sz w:val="22"/>
          <w:szCs w:val="22"/>
          <w:rtl/>
        </w:rPr>
      </w:pPr>
      <w:r w:rsidRPr="00457105">
        <w:rPr>
          <w:rFonts w:asciiTheme="minorBidi" w:hAnsiTheme="minorBidi" w:cstheme="minorBidi" w:hint="cs"/>
          <w:b/>
          <w:bCs/>
          <w:sz w:val="22"/>
          <w:szCs w:val="22"/>
          <w:u w:val="single"/>
          <w:rtl/>
        </w:rPr>
        <w:t xml:space="preserve">השופטת </w:t>
      </w:r>
      <w:r>
        <w:rPr>
          <w:rFonts w:asciiTheme="minorBidi" w:hAnsiTheme="minorBidi" w:cstheme="minorBidi" w:hint="cs"/>
          <w:b/>
          <w:bCs/>
          <w:sz w:val="22"/>
          <w:szCs w:val="22"/>
          <w:u w:val="single"/>
          <w:rtl/>
        </w:rPr>
        <w:t>ש. יעקובוביץ</w:t>
      </w:r>
      <w:r w:rsidRPr="00457105">
        <w:rPr>
          <w:rFonts w:asciiTheme="minorBidi" w:hAnsiTheme="minorBidi" w:cstheme="minorBidi" w:hint="cs"/>
          <w:sz w:val="22"/>
          <w:szCs w:val="22"/>
          <w:rtl/>
        </w:rPr>
        <w:t>:</w:t>
      </w:r>
    </w:p>
    <w:p w:rsidR="00457105" w:rsidRDefault="000F1A91">
      <w:pPr>
        <w:spacing w:line="360" w:lineRule="auto"/>
        <w:jc w:val="both"/>
        <w:rPr>
          <w:rFonts w:asciiTheme="minorBidi" w:hAnsiTheme="minorBidi" w:cstheme="minorBidi"/>
          <w:color w:val="000000"/>
          <w:sz w:val="22"/>
          <w:szCs w:val="22"/>
          <w:shd w:val="clear" w:color="auto" w:fill="FFFFFF"/>
          <w:rtl/>
        </w:rPr>
      </w:pPr>
      <w:r w:rsidRPr="000F1A91">
        <w:rPr>
          <w:rFonts w:asciiTheme="minorBidi" w:hAnsiTheme="minorBidi" w:cstheme="minorBidi" w:hint="cs"/>
          <w:color w:val="000000"/>
          <w:sz w:val="22"/>
          <w:szCs w:val="22"/>
          <w:shd w:val="clear" w:color="auto" w:fill="FFFFFF"/>
          <w:rtl/>
        </w:rPr>
        <w:t>אני מסכימה.</w:t>
      </w:r>
    </w:p>
    <w:p w:rsidR="000F1A91" w:rsidRDefault="002A4BAD" w:rsidP="00E110CC">
      <w:pPr>
        <w:rPr>
          <w:rtl/>
        </w:rPr>
      </w:pPr>
      <w:r>
        <w:drawing>
          <wp:anchor distT="0" distB="0" distL="114300" distR="114300" simplePos="0" relativeHeight="251663360" behindDoc="1" locked="0" layoutInCell="1" allowOverlap="1">
            <wp:simplePos x="0" y="0"/>
            <wp:positionH relativeFrom="column">
              <wp:posOffset>310515</wp:posOffset>
            </wp:positionH>
            <wp:positionV relativeFrom="paragraph">
              <wp:posOffset>6350</wp:posOffset>
            </wp:positionV>
            <wp:extent cx="1232747" cy="819150"/>
            <wp:effectExtent l="0" t="0" r="5715" b="0"/>
            <wp:wrapTight wrapText="bothSides">
              <wp:wrapPolygon edited="0">
                <wp:start x="0" y="0"/>
                <wp:lineTo x="0" y="21098"/>
                <wp:lineTo x="21366" y="21098"/>
                <wp:lineTo x="21366" y="0"/>
                <wp:lineTo x="0" y="0"/>
              </wp:wrapPolygon>
            </wp:wrapTight>
            <wp:docPr id="10" name="תמונה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232747" cy="819150"/>
                    </a:xfrm>
                    <a:prstGeom prst="rect">
                      <a:avLst/>
                    </a:prstGeom>
                  </pic:spPr>
                </pic:pic>
              </a:graphicData>
            </a:graphic>
            <wp14:sizeRelH relativeFrom="margin">
              <wp14:pctWidth>0</wp14:pctWidth>
            </wp14:sizeRelH>
            <wp14:sizeRelV relativeFrom="margin">
              <wp14:pctHeight>0</wp14:pctHeight>
            </wp14:sizeRelV>
          </wp:anchor>
        </w:drawing>
      </w:r>
    </w:p>
    <w:p w:rsidR="000F1A91" w:rsidRDefault="000F1A91" w:rsidP="00E110CC">
      <w:pPr>
        <w:rPr>
          <w:rtl/>
        </w:rPr>
      </w:pPr>
    </w:p>
    <w:p w:rsidR="000F1A91" w:rsidRDefault="000F1A91" w:rsidP="00E110CC">
      <w:pPr>
        <w:rPr>
          <w:rtl/>
        </w:rPr>
      </w:pPr>
    </w:p>
    <w:p w:rsidR="000F1A91" w:rsidRDefault="000F1A91" w:rsidP="00E110CC">
      <w:pPr>
        <w:rPr>
          <w:rtl/>
        </w:rPr>
      </w:pPr>
    </w:p>
    <w:tbl>
      <w:tblPr>
        <w:tblStyle w:val="a9"/>
        <w:tblpPr w:leftFromText="180" w:rightFromText="180" w:vertAnchor="page" w:horzAnchor="margin" w:tblpY="6113"/>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2919"/>
      </w:tblGrid>
      <w:tr w:rsidR="002A4BAD" w:rsidRPr="00916A9C" w:rsidTr="00327298">
        <w:tc>
          <w:tcPr>
            <w:tcW w:w="2919" w:type="dxa"/>
            <w:tcBorders>
              <w:top w:val="nil"/>
              <w:left w:val="nil"/>
              <w:bottom w:val="single" w:sz="4" w:space="0" w:color="auto"/>
              <w:right w:val="nil"/>
            </w:tcBorders>
            <w:vAlign w:val="center"/>
          </w:tcPr>
          <w:p w:rsidR="002A4BAD" w:rsidRPr="00916A9C" w:rsidRDefault="002A4BAD" w:rsidP="00327298">
            <w:pPr>
              <w:jc w:val="center"/>
              <w:rPr>
                <w:rFonts w:ascii="Courier New" w:hAnsi="Courier New"/>
                <w:b/>
                <w:bCs/>
              </w:rPr>
            </w:pPr>
          </w:p>
        </w:tc>
      </w:tr>
      <w:tr w:rsidR="002A4BAD" w:rsidRPr="00916A9C" w:rsidTr="00327298">
        <w:tc>
          <w:tcPr>
            <w:tcW w:w="2919" w:type="dxa"/>
            <w:tcBorders>
              <w:top w:val="single" w:sz="4" w:space="0" w:color="auto"/>
              <w:left w:val="nil"/>
              <w:bottom w:val="nil"/>
              <w:right w:val="nil"/>
            </w:tcBorders>
            <w:vAlign w:val="bottom"/>
          </w:tcPr>
          <w:p w:rsidR="002A4BAD" w:rsidRPr="00916A9C" w:rsidRDefault="002A4BAD" w:rsidP="00327298">
            <w:pPr>
              <w:jc w:val="center"/>
              <w:rPr>
                <w:rFonts w:ascii="Courier New" w:hAnsi="Courier New"/>
                <w:b/>
                <w:bCs/>
                <w:rtl/>
              </w:rPr>
            </w:pPr>
            <w:r>
              <w:rPr>
                <w:rFonts w:ascii="Courier New" w:hAnsi="Courier New"/>
                <w:b/>
                <w:bCs/>
                <w:rtl/>
              </w:rPr>
              <w:t>שלומית יעקובוביץ, שופטת</w:t>
            </w:r>
          </w:p>
          <w:p w:rsidR="002A4BAD" w:rsidRPr="00916A9C" w:rsidRDefault="002A4BAD" w:rsidP="00327298">
            <w:pPr>
              <w:jc w:val="center"/>
              <w:rPr>
                <w:rFonts w:ascii="Courier New" w:hAnsi="Courier New"/>
                <w:b/>
                <w:bCs/>
              </w:rPr>
            </w:pPr>
          </w:p>
        </w:tc>
      </w:tr>
    </w:tbl>
    <w:p w:rsidR="000F1A91" w:rsidRPr="003A3B41" w:rsidRDefault="000F1A91" w:rsidP="00E110CC"/>
    <w:p w:rsidR="000F1A91" w:rsidRDefault="000F1A91"/>
    <w:p w:rsidR="000F1A91" w:rsidRPr="000F1A91" w:rsidRDefault="000F1A91">
      <w:pPr>
        <w:spacing w:line="360" w:lineRule="auto"/>
        <w:jc w:val="both"/>
        <w:rPr>
          <w:rFonts w:asciiTheme="minorBidi" w:hAnsiTheme="minorBidi" w:cstheme="minorBidi"/>
          <w:color w:val="000000"/>
          <w:sz w:val="22"/>
          <w:szCs w:val="22"/>
          <w:shd w:val="clear" w:color="auto" w:fill="FFFFFF"/>
          <w:rtl/>
        </w:rPr>
      </w:pPr>
    </w:p>
    <w:p w:rsidR="00E917E2" w:rsidRDefault="00E917E2" w:rsidP="002A4BAD">
      <w:pPr>
        <w:spacing w:line="360" w:lineRule="auto"/>
        <w:jc w:val="both"/>
        <w:rPr>
          <w:rFonts w:asciiTheme="minorBidi" w:hAnsiTheme="minorBidi" w:cstheme="minorBidi"/>
          <w:b/>
          <w:bCs/>
          <w:sz w:val="22"/>
          <w:szCs w:val="22"/>
          <w:u w:val="single"/>
          <w:rtl/>
        </w:rPr>
      </w:pPr>
    </w:p>
    <w:p w:rsidR="002A4BAD" w:rsidRDefault="002A4BAD" w:rsidP="002A4BAD">
      <w:pPr>
        <w:spacing w:line="360" w:lineRule="auto"/>
        <w:jc w:val="both"/>
        <w:rPr>
          <w:rFonts w:asciiTheme="minorBidi" w:hAnsiTheme="minorBidi" w:cstheme="minorBidi"/>
          <w:b/>
          <w:bCs/>
          <w:sz w:val="22"/>
          <w:szCs w:val="22"/>
          <w:u w:val="single"/>
          <w:rtl/>
        </w:rPr>
      </w:pPr>
      <w:r w:rsidRPr="002A4BAD">
        <w:rPr>
          <w:rFonts w:asciiTheme="minorBidi" w:hAnsiTheme="minorBidi" w:cstheme="minorBidi" w:hint="cs"/>
          <w:b/>
          <w:bCs/>
          <w:sz w:val="22"/>
          <w:szCs w:val="22"/>
          <w:u w:val="single"/>
          <w:rtl/>
        </w:rPr>
        <w:t>התוצאה</w:t>
      </w:r>
    </w:p>
    <w:p w:rsidR="00E917E2" w:rsidRDefault="00E917E2" w:rsidP="00E917E2">
      <w:pPr>
        <w:spacing w:line="360" w:lineRule="auto"/>
        <w:jc w:val="both"/>
        <w:rPr>
          <w:rFonts w:asciiTheme="minorBidi" w:hAnsiTheme="minorBidi" w:cstheme="minorBidi"/>
          <w:sz w:val="22"/>
          <w:szCs w:val="22"/>
          <w:rtl/>
        </w:rPr>
      </w:pPr>
      <w:r>
        <w:rPr>
          <w:rFonts w:asciiTheme="minorBidi" w:hAnsiTheme="minorBidi" w:cstheme="minorBidi" w:hint="cs"/>
          <w:sz w:val="22"/>
          <w:szCs w:val="22"/>
          <w:rtl/>
        </w:rPr>
        <w:t>שני הערעורים מתקבלים.</w:t>
      </w:r>
      <w:r w:rsidR="00DB0E64">
        <w:rPr>
          <w:rFonts w:asciiTheme="minorBidi" w:hAnsiTheme="minorBidi" w:cstheme="minorBidi" w:hint="cs"/>
          <w:sz w:val="22"/>
          <w:szCs w:val="22"/>
          <w:rtl/>
        </w:rPr>
        <w:t xml:space="preserve"> </w:t>
      </w:r>
    </w:p>
    <w:p w:rsidR="002A4BAD" w:rsidRDefault="00E917E2" w:rsidP="00E917E2">
      <w:pPr>
        <w:spacing w:line="360" w:lineRule="auto"/>
        <w:jc w:val="both"/>
        <w:rPr>
          <w:rFonts w:asciiTheme="minorBidi" w:hAnsiTheme="minorBidi" w:cstheme="minorBidi"/>
          <w:sz w:val="22"/>
          <w:szCs w:val="22"/>
          <w:rtl/>
        </w:rPr>
      </w:pPr>
      <w:r>
        <w:rPr>
          <w:rFonts w:asciiTheme="minorBidi" w:hAnsiTheme="minorBidi" w:cstheme="minorBidi" w:hint="cs"/>
          <w:sz w:val="22"/>
          <w:szCs w:val="22"/>
          <w:rtl/>
        </w:rPr>
        <w:t>חיובם של עו"ד יוסי כהן, ו</w:t>
      </w:r>
      <w:r w:rsidR="00DB0E64">
        <w:rPr>
          <w:rFonts w:asciiTheme="minorBidi" w:hAnsiTheme="minorBidi" w:cstheme="minorBidi" w:hint="cs"/>
          <w:sz w:val="22"/>
          <w:szCs w:val="22"/>
          <w:rtl/>
        </w:rPr>
        <w:t xml:space="preserve">הליכוד </w:t>
      </w:r>
      <w:r w:rsidR="00DB0E64">
        <w:rPr>
          <w:rFonts w:asciiTheme="minorBidi" w:hAnsiTheme="minorBidi" w:cstheme="minorBidi"/>
          <w:sz w:val="22"/>
          <w:szCs w:val="22"/>
          <w:rtl/>
        </w:rPr>
        <w:t>–</w:t>
      </w:r>
      <w:r w:rsidR="00DB0E64">
        <w:rPr>
          <w:rFonts w:asciiTheme="minorBidi" w:hAnsiTheme="minorBidi" w:cstheme="minorBidi" w:hint="cs"/>
          <w:sz w:val="22"/>
          <w:szCs w:val="22"/>
          <w:rtl/>
        </w:rPr>
        <w:t xml:space="preserve"> תנועה לאומית ליברלית</w:t>
      </w:r>
      <w:r w:rsidR="00327298">
        <w:rPr>
          <w:rFonts w:asciiTheme="minorBidi" w:hAnsiTheme="minorBidi" w:cstheme="minorBidi" w:hint="cs"/>
          <w:sz w:val="22"/>
          <w:szCs w:val="22"/>
          <w:rtl/>
        </w:rPr>
        <w:t>,</w:t>
      </w:r>
      <w:r w:rsidR="00DB0E64">
        <w:rPr>
          <w:rFonts w:asciiTheme="minorBidi" w:hAnsiTheme="minorBidi" w:cstheme="minorBidi" w:hint="cs"/>
          <w:sz w:val="22"/>
          <w:szCs w:val="22"/>
          <w:rtl/>
        </w:rPr>
        <w:t xml:space="preserve"> </w:t>
      </w:r>
      <w:r>
        <w:rPr>
          <w:rFonts w:asciiTheme="minorBidi" w:hAnsiTheme="minorBidi" w:cstheme="minorBidi" w:hint="cs"/>
          <w:sz w:val="22"/>
          <w:szCs w:val="22"/>
          <w:rtl/>
        </w:rPr>
        <w:t>לפצות את המשיב - מבוטל.</w:t>
      </w:r>
    </w:p>
    <w:p w:rsidR="00E917E2" w:rsidRPr="00E917E2" w:rsidRDefault="00E917E2" w:rsidP="00E917E2">
      <w:pPr>
        <w:spacing w:after="120" w:line="360" w:lineRule="auto"/>
        <w:jc w:val="both"/>
        <w:rPr>
          <w:rFonts w:asciiTheme="minorBidi" w:hAnsiTheme="minorBidi" w:cstheme="minorBidi"/>
          <w:color w:val="000000"/>
          <w:sz w:val="22"/>
          <w:szCs w:val="22"/>
          <w:shd w:val="clear" w:color="auto" w:fill="FFFFFF"/>
          <w:rtl/>
        </w:rPr>
      </w:pPr>
      <w:r>
        <w:rPr>
          <w:rFonts w:asciiTheme="minorBidi" w:hAnsiTheme="minorBidi" w:cstheme="minorBidi"/>
          <w:color w:val="000000"/>
          <w:sz w:val="22"/>
          <w:szCs w:val="22"/>
          <w:shd w:val="clear" w:color="auto" w:fill="FFFFFF"/>
          <w:rtl/>
        </w:rPr>
        <w:t xml:space="preserve">אין לקרוא בתוצאה לעיל את שאין בה, גם לא הבעת עמדה, לכאן או לכאן, בכל הנוגע למכלול הנושאים שנדונו בבית משפט קמא ושלא נדרשו להכרעה </w:t>
      </w:r>
      <w:r>
        <w:rPr>
          <w:rFonts w:asciiTheme="minorBidi" w:hAnsiTheme="minorBidi" w:cstheme="minorBidi" w:hint="cs"/>
          <w:color w:val="000000"/>
          <w:sz w:val="22"/>
          <w:szCs w:val="22"/>
          <w:shd w:val="clear" w:color="auto" w:fill="FFFFFF"/>
          <w:rtl/>
        </w:rPr>
        <w:t>בערעור.</w:t>
      </w:r>
    </w:p>
    <w:p w:rsidR="00DB0E64" w:rsidRDefault="00DB0E64" w:rsidP="00E917E2">
      <w:pPr>
        <w:spacing w:line="360" w:lineRule="auto"/>
        <w:jc w:val="both"/>
        <w:rPr>
          <w:rFonts w:asciiTheme="minorBidi" w:hAnsiTheme="minorBidi" w:cstheme="minorBidi"/>
          <w:sz w:val="22"/>
          <w:szCs w:val="22"/>
          <w:rtl/>
        </w:rPr>
      </w:pPr>
      <w:r>
        <w:rPr>
          <w:rFonts w:asciiTheme="minorBidi" w:hAnsiTheme="minorBidi" w:cstheme="minorBidi" w:hint="cs"/>
          <w:sz w:val="22"/>
          <w:szCs w:val="22"/>
          <w:rtl/>
        </w:rPr>
        <w:t xml:space="preserve">המשיב </w:t>
      </w:r>
      <w:r w:rsidR="00E917E2">
        <w:rPr>
          <w:rFonts w:asciiTheme="minorBidi" w:hAnsiTheme="minorBidi" w:cstheme="minorBidi" w:hint="cs"/>
          <w:sz w:val="22"/>
          <w:szCs w:val="22"/>
          <w:rtl/>
        </w:rPr>
        <w:t xml:space="preserve">מני נפתלי </w:t>
      </w:r>
      <w:r>
        <w:rPr>
          <w:rFonts w:asciiTheme="minorBidi" w:hAnsiTheme="minorBidi" w:cstheme="minorBidi" w:hint="cs"/>
          <w:sz w:val="22"/>
          <w:szCs w:val="22"/>
          <w:rtl/>
        </w:rPr>
        <w:t xml:space="preserve">ישלם </w:t>
      </w:r>
      <w:r w:rsidR="00E917E2">
        <w:rPr>
          <w:rFonts w:asciiTheme="minorBidi" w:hAnsiTheme="minorBidi" w:cstheme="minorBidi" w:hint="cs"/>
          <w:sz w:val="22"/>
          <w:szCs w:val="22"/>
          <w:rtl/>
        </w:rPr>
        <w:t xml:space="preserve">לליכוד </w:t>
      </w:r>
      <w:r w:rsidR="00E917E2">
        <w:rPr>
          <w:rFonts w:asciiTheme="minorBidi" w:hAnsiTheme="minorBidi" w:cstheme="minorBidi"/>
          <w:sz w:val="22"/>
          <w:szCs w:val="22"/>
          <w:rtl/>
        </w:rPr>
        <w:t>–</w:t>
      </w:r>
      <w:r w:rsidR="00E917E2">
        <w:rPr>
          <w:rFonts w:asciiTheme="minorBidi" w:hAnsiTheme="minorBidi" w:cstheme="minorBidi" w:hint="cs"/>
          <w:sz w:val="22"/>
          <w:szCs w:val="22"/>
          <w:rtl/>
        </w:rPr>
        <w:t xml:space="preserve"> תנועה לאומית ליברלית </w:t>
      </w:r>
      <w:r>
        <w:rPr>
          <w:rFonts w:asciiTheme="minorBidi" w:hAnsiTheme="minorBidi" w:cstheme="minorBidi" w:hint="cs"/>
          <w:sz w:val="22"/>
          <w:szCs w:val="22"/>
          <w:rtl/>
        </w:rPr>
        <w:t>שכ"ט עו"ד והוצאות משפט בסך כולל של 10,000 ₪.</w:t>
      </w:r>
    </w:p>
    <w:p w:rsidR="007D60D7" w:rsidRPr="002A4BAD" w:rsidRDefault="007D60D7" w:rsidP="00465C54">
      <w:pPr>
        <w:spacing w:line="360" w:lineRule="auto"/>
        <w:jc w:val="both"/>
        <w:rPr>
          <w:rFonts w:asciiTheme="minorBidi" w:hAnsiTheme="minorBidi" w:cstheme="minorBidi"/>
          <w:sz w:val="22"/>
          <w:szCs w:val="22"/>
          <w:rtl/>
        </w:rPr>
      </w:pPr>
      <w:r>
        <w:rPr>
          <w:rFonts w:asciiTheme="minorBidi" w:hAnsiTheme="minorBidi" w:cstheme="minorBidi" w:hint="cs"/>
          <w:sz w:val="22"/>
          <w:szCs w:val="22"/>
          <w:rtl/>
        </w:rPr>
        <w:t xml:space="preserve">העירבונות </w:t>
      </w:r>
      <w:r w:rsidR="00465C54">
        <w:rPr>
          <w:rFonts w:asciiTheme="minorBidi" w:hAnsiTheme="minorBidi" w:cstheme="minorBidi" w:hint="cs"/>
          <w:sz w:val="22"/>
          <w:szCs w:val="22"/>
          <w:rtl/>
        </w:rPr>
        <w:t>שהופקדו ב</w:t>
      </w:r>
      <w:r w:rsidR="00E917E2">
        <w:rPr>
          <w:rFonts w:asciiTheme="minorBidi" w:hAnsiTheme="minorBidi" w:cstheme="minorBidi" w:hint="cs"/>
          <w:sz w:val="22"/>
          <w:szCs w:val="22"/>
          <w:rtl/>
        </w:rPr>
        <w:t>שני ה</w:t>
      </w:r>
      <w:r w:rsidR="00465C54">
        <w:rPr>
          <w:rFonts w:asciiTheme="minorBidi" w:hAnsiTheme="minorBidi" w:cstheme="minorBidi" w:hint="cs"/>
          <w:sz w:val="22"/>
          <w:szCs w:val="22"/>
          <w:rtl/>
        </w:rPr>
        <w:t>ערעורים,</w:t>
      </w:r>
      <w:r>
        <w:rPr>
          <w:rFonts w:asciiTheme="minorBidi" w:hAnsiTheme="minorBidi" w:cstheme="minorBidi" w:hint="cs"/>
          <w:sz w:val="22"/>
          <w:szCs w:val="22"/>
          <w:rtl/>
        </w:rPr>
        <w:t xml:space="preserve"> על פירותיהם</w:t>
      </w:r>
      <w:r w:rsidR="00465C54">
        <w:rPr>
          <w:rFonts w:asciiTheme="minorBidi" w:hAnsiTheme="minorBidi" w:cstheme="minorBidi" w:hint="cs"/>
          <w:sz w:val="22"/>
          <w:szCs w:val="22"/>
          <w:rtl/>
        </w:rPr>
        <w:t>,</w:t>
      </w:r>
      <w:r>
        <w:rPr>
          <w:rFonts w:asciiTheme="minorBidi" w:hAnsiTheme="minorBidi" w:cstheme="minorBidi" w:hint="cs"/>
          <w:sz w:val="22"/>
          <w:szCs w:val="22"/>
          <w:rtl/>
        </w:rPr>
        <w:t xml:space="preserve"> יושבו ל</w:t>
      </w:r>
      <w:r w:rsidR="00465C54">
        <w:rPr>
          <w:rFonts w:asciiTheme="minorBidi" w:hAnsiTheme="minorBidi" w:cstheme="minorBidi" w:hint="cs"/>
          <w:sz w:val="22"/>
          <w:szCs w:val="22"/>
          <w:rtl/>
        </w:rPr>
        <w:t>מפקידי</w:t>
      </w:r>
      <w:r>
        <w:rPr>
          <w:rFonts w:asciiTheme="minorBidi" w:hAnsiTheme="minorBidi" w:cstheme="minorBidi" w:hint="cs"/>
          <w:sz w:val="22"/>
          <w:szCs w:val="22"/>
          <w:rtl/>
        </w:rPr>
        <w:t>ם באמצעות באי כוחם.</w:t>
      </w:r>
    </w:p>
    <w:p w:rsidR="00694556" w:rsidRDefault="00694556">
      <w:pPr>
        <w:spacing w:line="360" w:lineRule="auto"/>
        <w:jc w:val="both"/>
        <w:rPr>
          <w:rFonts w:ascii="Arial" w:hAnsi="Arial"/>
          <w:noProof w:val="0"/>
          <w:rtl/>
        </w:rPr>
      </w:pPr>
    </w:p>
    <w:p w:rsidR="00694556" w:rsidRDefault="0043502B" w:rsidP="002A4BAD">
      <w:pPr>
        <w:spacing w:line="360" w:lineRule="auto"/>
        <w:jc w:val="both"/>
        <w:rPr>
          <w:rFonts w:ascii="Arial" w:hAnsi="Arial"/>
          <w:noProof w:val="0"/>
          <w:rtl/>
        </w:rPr>
      </w:pPr>
      <w:r>
        <w:rPr>
          <w:rFonts w:ascii="Arial" w:hAnsi="Arial"/>
          <w:noProof w:val="0"/>
          <w:rtl/>
        </w:rPr>
        <w:t>נית</w:t>
      </w:r>
      <w:r w:rsidR="002A4BAD">
        <w:rPr>
          <w:rFonts w:ascii="Arial" w:hAnsi="Arial" w:hint="cs"/>
          <w:noProof w:val="0"/>
          <w:rtl/>
        </w:rPr>
        <w:t>ן</w:t>
      </w:r>
      <w:r w:rsidR="00005C8B">
        <w:rPr>
          <w:rFonts w:ascii="Arial" w:hAnsi="Arial"/>
          <w:noProof w:val="0"/>
          <w:rtl/>
        </w:rPr>
        <w:t xml:space="preserve"> היום, </w:t>
      </w:r>
      <w:sdt>
        <w:sdtPr>
          <w:rPr>
            <w:rtl/>
          </w:rPr>
          <w:alias w:val="1455"/>
          <w:tag w:val="1455"/>
          <w:id w:val="1666048407"/>
          <w:text w:multiLine="1"/>
        </w:sdtPr>
        <w:sdtEndPr/>
        <w:sdtContent>
          <w:r>
            <w:rPr>
              <w:rFonts w:ascii="Arial" w:hAnsi="Arial"/>
              <w:noProof w:val="0"/>
              <w:rtl/>
            </w:rPr>
            <w:t>י"ז טבת תשפ"ג</w:t>
          </w:r>
        </w:sdtContent>
      </w:sdt>
      <w:r w:rsidR="00005C8B">
        <w:rPr>
          <w:rFonts w:ascii="Arial" w:hAnsi="Arial"/>
          <w:noProof w:val="0"/>
          <w:rtl/>
        </w:rPr>
        <w:t xml:space="preserve">, </w:t>
      </w:r>
      <w:sdt>
        <w:sdtPr>
          <w:rPr>
            <w:rtl/>
          </w:rPr>
          <w:alias w:val="1456"/>
          <w:tag w:val="1456"/>
          <w:id w:val="-1186288958"/>
          <w:text w:multiLine="1"/>
        </w:sdtPr>
        <w:sdtEndPr/>
        <w:sdtContent>
          <w:r>
            <w:rPr>
              <w:rFonts w:ascii="Arial" w:hAnsi="Arial"/>
              <w:noProof w:val="0"/>
              <w:rtl/>
            </w:rPr>
            <w:t>10 ינואר 2023</w:t>
          </w:r>
        </w:sdtContent>
      </w:sdt>
      <w:r w:rsidR="00005C8B">
        <w:rPr>
          <w:rFonts w:ascii="Arial" w:hAnsi="Arial"/>
          <w:noProof w:val="0"/>
          <w:rtl/>
        </w:rPr>
        <w:t>, בהעדר הצדדים.</w:t>
      </w:r>
    </w:p>
    <w:tbl>
      <w:tblPr>
        <w:tblStyle w:val="a9"/>
        <w:bidiVisual/>
        <w:tblW w:w="9113" w:type="dxa"/>
        <w:tblInd w:w="-5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2971"/>
        <w:gridCol w:w="284"/>
        <w:gridCol w:w="2808"/>
        <w:gridCol w:w="303"/>
        <w:gridCol w:w="2747"/>
      </w:tblGrid>
      <w:tr w:rsidR="000F1A91" w:rsidRPr="008605DE" w:rsidTr="00F554F1">
        <w:trPr>
          <w:trHeight w:val="1400"/>
        </w:trPr>
        <w:tc>
          <w:tcPr>
            <w:tcW w:w="2971" w:type="dxa"/>
            <w:tcBorders>
              <w:top w:val="nil"/>
              <w:left w:val="nil"/>
              <w:bottom w:val="single" w:sz="4" w:space="0" w:color="auto"/>
              <w:right w:val="nil"/>
            </w:tcBorders>
            <w:vAlign w:val="center"/>
          </w:tcPr>
          <w:p w:rsidR="000F1A91" w:rsidRPr="008605DE" w:rsidRDefault="000F1A91" w:rsidP="008605DE">
            <w:pPr>
              <w:jc w:val="center"/>
              <w:rPr>
                <w:rFonts w:ascii="Courier New" w:hAnsi="Courier New"/>
                <w:b/>
                <w:bCs/>
                <w:lang w:eastAsia="he-IL"/>
              </w:rPr>
            </w:pPr>
            <w:r w:rsidRPr="008605DE">
              <w:rPr>
                <w:sz w:val="20"/>
                <w:szCs w:val="20"/>
              </w:rPr>
              <w:drawing>
                <wp:anchor distT="0" distB="0" distL="114300" distR="114300" simplePos="0" relativeHeight="251661312" behindDoc="1" locked="0" layoutInCell="1" allowOverlap="1">
                  <wp:simplePos x="0" y="0"/>
                  <wp:positionH relativeFrom="column">
                    <wp:posOffset>236855</wp:posOffset>
                  </wp:positionH>
                  <wp:positionV relativeFrom="paragraph">
                    <wp:posOffset>363855</wp:posOffset>
                  </wp:positionV>
                  <wp:extent cx="1295400" cy="409575"/>
                  <wp:effectExtent l="0" t="0" r="0" b="9525"/>
                  <wp:wrapTight wrapText="bothSides">
                    <wp:wrapPolygon edited="0">
                      <wp:start x="0" y="0"/>
                      <wp:lineTo x="0" y="21098"/>
                      <wp:lineTo x="21282" y="21098"/>
                      <wp:lineTo x="21282" y="0"/>
                      <wp:lineTo x="0" y="0"/>
                    </wp:wrapPolygon>
                  </wp:wrapTight>
                  <wp:docPr id="3" name="תמונה 3" descr="051996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2" descr="051996494"/>
                          <pic:cNvPicPr>
                            <a:picLocks noChangeAspect="1" noChangeArrowheads="1"/>
                          </pic:cNvPicPr>
                        </pic:nvPicPr>
                        <pic:blipFill>
                          <a:blip r:embed="rId8">
                            <a:lum bright="54000" contrast="-18000"/>
                            <a:extLst>
                              <a:ext uri="{28A0092B-C50C-407E-A947-70E740481C1C}">
                                <a14:useLocalDpi xmlns:a14="http://schemas.microsoft.com/office/drawing/2010/main" val="0"/>
                              </a:ext>
                            </a:extLst>
                          </a:blip>
                          <a:srcRect/>
                          <a:stretch>
                            <a:fillRect/>
                          </a:stretch>
                        </pic:blipFill>
                        <pic:spPr bwMode="auto">
                          <a:xfrm>
                            <a:off x="0" y="0"/>
                            <a:ext cx="1295400" cy="40957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84" w:type="dxa"/>
            <w:vAlign w:val="center"/>
          </w:tcPr>
          <w:p w:rsidR="000F1A91" w:rsidRPr="008605DE" w:rsidRDefault="000F1A91" w:rsidP="008605DE">
            <w:pPr>
              <w:jc w:val="center"/>
              <w:rPr>
                <w:rFonts w:ascii="Courier New" w:hAnsi="Courier New"/>
                <w:b/>
                <w:bCs/>
                <w:lang w:eastAsia="he-IL"/>
              </w:rPr>
            </w:pPr>
          </w:p>
        </w:tc>
        <w:tc>
          <w:tcPr>
            <w:tcW w:w="2808" w:type="dxa"/>
            <w:tcBorders>
              <w:top w:val="nil"/>
              <w:left w:val="nil"/>
              <w:bottom w:val="single" w:sz="4" w:space="0" w:color="auto"/>
              <w:right w:val="nil"/>
            </w:tcBorders>
            <w:vAlign w:val="center"/>
          </w:tcPr>
          <w:p w:rsidR="000F1A91" w:rsidRPr="008605DE" w:rsidRDefault="000F1A91" w:rsidP="008605DE">
            <w:pPr>
              <w:jc w:val="center"/>
              <w:rPr>
                <w:rFonts w:ascii="Courier New" w:hAnsi="Courier New"/>
                <w:b/>
                <w:bCs/>
                <w:sz w:val="20"/>
                <w:szCs w:val="20"/>
                <w:rtl/>
                <w:lang w:eastAsia="he-IL"/>
              </w:rPr>
            </w:pPr>
          </w:p>
          <w:p w:rsidR="000F1A91" w:rsidRPr="008605DE" w:rsidRDefault="000F1A91" w:rsidP="008605DE">
            <w:pPr>
              <w:jc w:val="center"/>
              <w:rPr>
                <w:rFonts w:ascii="Courier New" w:hAnsi="Courier New"/>
                <w:b/>
                <w:bCs/>
                <w:sz w:val="20"/>
                <w:szCs w:val="20"/>
                <w:lang w:eastAsia="he-IL"/>
              </w:rPr>
            </w:pPr>
            <w:r w:rsidRPr="008605DE">
              <w:rPr>
                <w:sz w:val="20"/>
                <w:szCs w:val="20"/>
              </w:rPr>
              <w:drawing>
                <wp:anchor distT="0" distB="0" distL="114300" distR="114300" simplePos="0" relativeHeight="251662336" behindDoc="1" locked="0" layoutInCell="1" allowOverlap="1" wp14:anchorId="0A935198" wp14:editId="50ADD8A2">
                  <wp:simplePos x="0" y="0"/>
                  <wp:positionH relativeFrom="column">
                    <wp:posOffset>335915</wp:posOffset>
                  </wp:positionH>
                  <wp:positionV relativeFrom="paragraph">
                    <wp:posOffset>199390</wp:posOffset>
                  </wp:positionV>
                  <wp:extent cx="1033145" cy="723900"/>
                  <wp:effectExtent l="0" t="0" r="0" b="0"/>
                  <wp:wrapTight wrapText="bothSides">
                    <wp:wrapPolygon edited="0">
                      <wp:start x="0" y="0"/>
                      <wp:lineTo x="0" y="21032"/>
                      <wp:lineTo x="21109" y="21032"/>
                      <wp:lineTo x="21109" y="0"/>
                      <wp:lineTo x="0" y="0"/>
                    </wp:wrapPolygon>
                  </wp:wrapTight>
                  <wp:docPr id="4" name="תמונה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33145" cy="72390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03" w:type="dxa"/>
            <w:vAlign w:val="center"/>
          </w:tcPr>
          <w:p w:rsidR="000F1A91" w:rsidRPr="008605DE" w:rsidRDefault="000F1A91" w:rsidP="008605DE">
            <w:pPr>
              <w:jc w:val="center"/>
              <w:rPr>
                <w:rFonts w:ascii="Courier New" w:hAnsi="Courier New"/>
                <w:b/>
                <w:bCs/>
                <w:lang w:eastAsia="he-IL"/>
              </w:rPr>
            </w:pPr>
          </w:p>
        </w:tc>
        <w:tc>
          <w:tcPr>
            <w:tcW w:w="2747" w:type="dxa"/>
            <w:tcBorders>
              <w:top w:val="nil"/>
              <w:left w:val="nil"/>
              <w:bottom w:val="single" w:sz="4" w:space="0" w:color="auto"/>
              <w:right w:val="nil"/>
            </w:tcBorders>
            <w:vAlign w:val="center"/>
          </w:tcPr>
          <w:p w:rsidR="000F1A91" w:rsidRPr="008605DE" w:rsidRDefault="000F1A91" w:rsidP="008605DE">
            <w:pPr>
              <w:jc w:val="center"/>
              <w:rPr>
                <w:rFonts w:ascii="Courier New" w:hAnsi="Courier New"/>
                <w:b/>
                <w:bCs/>
                <w:sz w:val="20"/>
                <w:szCs w:val="20"/>
                <w:lang w:eastAsia="he-IL"/>
              </w:rPr>
            </w:pPr>
            <w:r>
              <w:drawing>
                <wp:inline distT="0" distB="0" distL="0" distR="0" wp14:anchorId="4EAC33D7" wp14:editId="7345C398">
                  <wp:extent cx="1232747" cy="819150"/>
                  <wp:effectExtent l="0" t="0" r="5715" b="0"/>
                  <wp:docPr id="9" name="תמונה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237764" cy="822484"/>
                          </a:xfrm>
                          <a:prstGeom prst="rect">
                            <a:avLst/>
                          </a:prstGeom>
                        </pic:spPr>
                      </pic:pic>
                    </a:graphicData>
                  </a:graphic>
                </wp:inline>
              </w:drawing>
            </w:r>
          </w:p>
        </w:tc>
      </w:tr>
      <w:tr w:rsidR="000F1A91" w:rsidRPr="008605DE" w:rsidTr="00AE60B0">
        <w:trPr>
          <w:trHeight w:val="580"/>
        </w:trPr>
        <w:tc>
          <w:tcPr>
            <w:tcW w:w="2971" w:type="dxa"/>
            <w:tcBorders>
              <w:top w:val="single" w:sz="4" w:space="0" w:color="auto"/>
              <w:left w:val="nil"/>
              <w:bottom w:val="nil"/>
              <w:right w:val="nil"/>
            </w:tcBorders>
            <w:vAlign w:val="center"/>
          </w:tcPr>
          <w:p w:rsidR="000F1A91" w:rsidRDefault="000F1A91" w:rsidP="00D76C80">
            <w:pPr>
              <w:jc w:val="center"/>
              <w:rPr>
                <w:b/>
                <w:bCs/>
                <w:color w:val="000000"/>
                <w:sz w:val="20"/>
                <w:rtl/>
                <w:lang w:eastAsia="he-IL"/>
              </w:rPr>
            </w:pPr>
            <w:r w:rsidRPr="008605DE">
              <w:rPr>
                <w:rFonts w:ascii="Courier New" w:hAnsi="Courier New"/>
                <w:b/>
                <w:bCs/>
                <w:rtl/>
                <w:lang w:eastAsia="he-IL"/>
              </w:rPr>
              <w:t xml:space="preserve">יהודית שבח, </w:t>
            </w:r>
            <w:r>
              <w:rPr>
                <w:rFonts w:hint="cs"/>
                <w:b/>
                <w:bCs/>
                <w:color w:val="000000"/>
                <w:sz w:val="20"/>
                <w:rtl/>
                <w:lang w:eastAsia="he-IL"/>
              </w:rPr>
              <w:t>שופטת, סג"נ</w:t>
            </w:r>
          </w:p>
          <w:p w:rsidR="000F1A91" w:rsidRDefault="000F1A91" w:rsidP="00D76C80">
            <w:pPr>
              <w:jc w:val="center"/>
              <w:rPr>
                <w:b/>
                <w:bCs/>
                <w:color w:val="000000"/>
                <w:sz w:val="20"/>
                <w:rtl/>
                <w:lang w:eastAsia="he-IL"/>
              </w:rPr>
            </w:pPr>
            <w:r>
              <w:rPr>
                <w:rFonts w:hint="cs"/>
                <w:b/>
                <w:bCs/>
                <w:color w:val="000000"/>
                <w:sz w:val="20"/>
                <w:rtl/>
                <w:lang w:eastAsia="he-IL"/>
              </w:rPr>
              <w:t>אב"ד</w:t>
            </w:r>
          </w:p>
          <w:p w:rsidR="000F1A91" w:rsidRPr="00B262BE" w:rsidRDefault="000F1A91" w:rsidP="008605DE">
            <w:pPr>
              <w:jc w:val="center"/>
              <w:rPr>
                <w:rFonts w:ascii="Courier New" w:hAnsi="Courier New"/>
                <w:b/>
                <w:bCs/>
                <w:lang w:eastAsia="he-IL"/>
              </w:rPr>
            </w:pPr>
          </w:p>
        </w:tc>
        <w:tc>
          <w:tcPr>
            <w:tcW w:w="284" w:type="dxa"/>
            <w:vAlign w:val="center"/>
          </w:tcPr>
          <w:p w:rsidR="000F1A91" w:rsidRPr="008605DE" w:rsidRDefault="000F1A91" w:rsidP="008605DE">
            <w:pPr>
              <w:jc w:val="center"/>
              <w:rPr>
                <w:rFonts w:ascii="Courier New" w:hAnsi="Courier New"/>
                <w:b/>
                <w:bCs/>
                <w:lang w:eastAsia="he-IL"/>
              </w:rPr>
            </w:pPr>
          </w:p>
        </w:tc>
        <w:tc>
          <w:tcPr>
            <w:tcW w:w="2808" w:type="dxa"/>
            <w:tcBorders>
              <w:top w:val="single" w:sz="4" w:space="0" w:color="auto"/>
              <w:left w:val="nil"/>
              <w:bottom w:val="nil"/>
              <w:right w:val="nil"/>
            </w:tcBorders>
          </w:tcPr>
          <w:p w:rsidR="000F1A91" w:rsidRPr="008605DE" w:rsidRDefault="000F1A91" w:rsidP="00AE60B0">
            <w:pPr>
              <w:jc w:val="center"/>
              <w:rPr>
                <w:rFonts w:ascii="Courier New" w:hAnsi="Courier New"/>
                <w:b/>
                <w:bCs/>
                <w:rtl/>
                <w:lang w:eastAsia="he-IL"/>
              </w:rPr>
            </w:pPr>
            <w:r>
              <w:rPr>
                <w:rFonts w:ascii="Courier New" w:hAnsi="Courier New" w:hint="cs"/>
                <w:b/>
                <w:bCs/>
                <w:rtl/>
                <w:lang w:eastAsia="he-IL"/>
              </w:rPr>
              <w:t>יונה אטדגי, שופט</w:t>
            </w:r>
          </w:p>
          <w:p w:rsidR="000F1A91" w:rsidRPr="008605DE" w:rsidRDefault="000F1A91" w:rsidP="00AE60B0">
            <w:pPr>
              <w:jc w:val="center"/>
              <w:rPr>
                <w:rFonts w:ascii="Courier New" w:hAnsi="Courier New"/>
                <w:b/>
                <w:bCs/>
                <w:lang w:eastAsia="he-IL"/>
              </w:rPr>
            </w:pPr>
          </w:p>
        </w:tc>
        <w:tc>
          <w:tcPr>
            <w:tcW w:w="303" w:type="dxa"/>
            <w:vAlign w:val="center"/>
          </w:tcPr>
          <w:p w:rsidR="000F1A91" w:rsidRPr="008605DE" w:rsidRDefault="000F1A91" w:rsidP="008605DE">
            <w:pPr>
              <w:jc w:val="center"/>
              <w:rPr>
                <w:rFonts w:ascii="Courier New" w:hAnsi="Courier New"/>
                <w:b/>
                <w:bCs/>
                <w:lang w:eastAsia="he-IL"/>
              </w:rPr>
            </w:pPr>
          </w:p>
        </w:tc>
        <w:tc>
          <w:tcPr>
            <w:tcW w:w="2747" w:type="dxa"/>
            <w:tcBorders>
              <w:top w:val="single" w:sz="4" w:space="0" w:color="auto"/>
              <w:left w:val="nil"/>
              <w:bottom w:val="nil"/>
              <w:right w:val="nil"/>
            </w:tcBorders>
          </w:tcPr>
          <w:p w:rsidR="000F1A91" w:rsidRPr="008605DE" w:rsidRDefault="000F1A91" w:rsidP="00AE60B0">
            <w:pPr>
              <w:jc w:val="center"/>
              <w:rPr>
                <w:rFonts w:ascii="Courier New" w:hAnsi="Courier New"/>
                <w:b/>
                <w:bCs/>
                <w:rtl/>
                <w:lang w:eastAsia="he-IL"/>
              </w:rPr>
            </w:pPr>
            <w:r>
              <w:rPr>
                <w:rFonts w:ascii="Courier New" w:hAnsi="Courier New" w:hint="cs"/>
                <w:b/>
                <w:bCs/>
                <w:rtl/>
                <w:lang w:eastAsia="he-IL"/>
              </w:rPr>
              <w:t>שלומית יעקובוביץ</w:t>
            </w:r>
            <w:r w:rsidRPr="008605DE">
              <w:rPr>
                <w:rFonts w:ascii="Courier New" w:hAnsi="Courier New"/>
                <w:b/>
                <w:bCs/>
                <w:rtl/>
                <w:lang w:eastAsia="he-IL"/>
              </w:rPr>
              <w:t>, שופט</w:t>
            </w:r>
            <w:r>
              <w:rPr>
                <w:rFonts w:ascii="Courier New" w:hAnsi="Courier New" w:hint="cs"/>
                <w:b/>
                <w:bCs/>
                <w:rtl/>
                <w:lang w:eastAsia="he-IL"/>
              </w:rPr>
              <w:t>ת</w:t>
            </w:r>
          </w:p>
          <w:p w:rsidR="000F1A91" w:rsidRPr="008605DE" w:rsidRDefault="000F1A91" w:rsidP="00AE60B0">
            <w:pPr>
              <w:jc w:val="center"/>
              <w:rPr>
                <w:rFonts w:ascii="Courier New" w:hAnsi="Courier New"/>
                <w:b/>
                <w:bCs/>
                <w:lang w:eastAsia="he-IL"/>
              </w:rPr>
            </w:pPr>
          </w:p>
        </w:tc>
      </w:tr>
    </w:tbl>
    <w:p w:rsidR="000F1A91" w:rsidRDefault="000F1A91" w:rsidP="00327298">
      <w:pPr>
        <w:rPr>
          <w:rFonts w:ascii="Arial" w:hAnsi="Arial"/>
          <w:noProof w:val="0"/>
          <w:rtl/>
        </w:rPr>
      </w:pPr>
    </w:p>
    <w:sectPr w:rsidR="000F1A91" w:rsidSect="00457105">
      <w:headerReference w:type="default" r:id="rId12"/>
      <w:footerReference w:type="default" r:id="rId13"/>
      <w:pgSz w:w="11907" w:h="16840" w:code="9"/>
      <w:pgMar w:top="255" w:right="1701" w:bottom="2127" w:left="1701" w:header="720" w:footer="737" w:gutter="0"/>
      <w:lnNumType w:countBy="1"/>
      <w:cols w:space="720"/>
      <w:rtlGutter/>
      <w:docGrid w:linePitch="360"/>
    </w:sectPr>
  </w:body>
</w:document>
</file>

<file path=word/customizations.xml><?xml version="1.0" encoding="utf-8"?>
<wne:tcg xmlns:r="http://schemas.openxmlformats.org/officeDocument/2006/relationships" xmlns:wne="http://schemas.microsoft.com/office/word/2006/wordml">
  <wne:keymaps>
    <wne:keymap wne:kcmPrimary="0072">
      <wne:macro wne:macroName="PROJECT.MODULE1.CONTROLWDKEYF3A"/>
    </wne:keymap>
    <wne:keymap wne:kcmPrimary="0073">
      <wne:macro wne:macroName="PROJECT.MODULE1.CONTROLWDKEYF4A"/>
    </wne:keymap>
    <wne:keymap wne:kcmPrimary="0431">
      <wne:macro wne:macroName="PROJECT.MODULE1.CONTROLWDKEY1"/>
    </wne:keymap>
    <wne:keymap wne:kcmPrimary="0432">
      <wne:macro wne:macroName="PROJECT.MODULE1.CONTROLWDKEY2"/>
    </wne:keymap>
    <wne:keymap wne:kcmPrimary="0433">
      <wne:macro wne:macroName="PROJECT.MODULE1.CONTROLWDKEY3"/>
    </wne:keymap>
    <wne:keymap wne:kcmPrimary="0434">
      <wne:macro wne:macroName="PROJECT.MODULE1.CONTROLWDKEY4"/>
    </wne:keymap>
    <wne:keymap wne:kcmPrimary="0435">
      <wne:macro wne:macroName="PROJECT.MODULE1.CONTROLWDKEY5"/>
    </wne:keymap>
    <wne:keymap wne:kcmPrimary="0436">
      <wne:macro wne:macroName="PROJECT.MODULE1.CONTROLWDKEY6"/>
    </wne:keymap>
    <wne:keymap wne:kcmPrimary="0437">
      <wne:macro wne:macroName="PROJECT.MODULE1.CONTROLWDKEY7"/>
    </wne:keymap>
    <wne:keymap wne:kcmPrimary="0441">
      <wne:macro wne:macroName="PROJECT.MODULE1.CONTROLWDKEYA"/>
    </wne:keymap>
    <wne:keymap wne:kcmPrimary="0442">
      <wne:macro wne:macroName="PROJECT.MODULE1.CONTROLWDKEYB"/>
    </wne:keymap>
    <wne:keymap wne:kcmPrimary="0443">
      <wne:macro wne:macroName="PROJECT.MODULE1.CONTROLWDKEYC"/>
    </wne:keymap>
    <wne:keymap wne:kcmPrimary="0444">
      <wne:macro wne:macroName="PROJECT.MODULE1.CONTROLWDKEYD"/>
    </wne:keymap>
    <wne:keymap wne:kcmPrimary="0445">
      <wne:macro wne:macroName="PROJECT.MODULE1.CONTROLWDKEYE"/>
    </wne:keymap>
    <wne:keymap wne:kcmPrimary="0446">
      <wne:macro wne:macroName="PROJECT.MODULE1.CONTROLWDKEYF"/>
    </wne:keymap>
    <wne:keymap wne:kcmPrimary="0447">
      <wne:macro wne:macroName="PROJECT.MODULE1.CONTROLWDKEYG"/>
    </wne:keymap>
    <wne:keymap wne:kcmPrimary="0448">
      <wne:macro wne:macroName="PROJECT.MODULE1.CONTROLWDKEYH"/>
    </wne:keymap>
    <wne:keymap wne:kcmPrimary="044A">
      <wne:macro wne:macroName="PROJECT.MODULE1.CONTROLWDKEYJ"/>
    </wne:keymap>
    <wne:keymap wne:kcmPrimary="044B">
      <wne:macro wne:macroName="PROJECT.MODULE1.CONTROLWDKEYK"/>
    </wne:keymap>
    <wne:keymap wne:kcmPrimary="044C">
      <wne:macro wne:macroName="PROJECT.MODULE1.CONTROLWDKEYL"/>
    </wne:keymap>
    <wne:keymap wne:kcmPrimary="044D">
      <wne:macro wne:macroName="PROJECT.MODULE1.CONTROLWDKEYM"/>
    </wne:keymap>
    <wne:keymap wne:kcmPrimary="044E">
      <wne:macro wne:macroName="PROJECT.MODULE1.CONTROLWDKEYN"/>
    </wne:keymap>
    <wne:keymap wne:kcmPrimary="0450">
      <wne:macro wne:macroName="PROJECT.MODULE1.CONTROLWDKEYP"/>
    </wne:keymap>
    <wne:keymap wne:kcmPrimary="0451">
      <wne:macro wne:macroName="PROJECT.MODULE1.CONTROLWDKEYQ"/>
    </wne:keymap>
    <wne:keymap wne:kcmPrimary="0452">
      <wne:macro wne:macroName="PROJECT.MODULE1.CONTROLWDKEYR"/>
    </wne:keymap>
    <wne:keymap wne:kcmPrimary="0453">
      <wne:macro wne:macroName="PROJECT.MODULE1.CONTROLWDKEYS"/>
    </wne:keymap>
    <wne:keymap wne:kcmPrimary="0454">
      <wne:macro wne:macroName="PROJECT.MODULE1.CONTROLWDKEYT"/>
    </wne:keymap>
    <wne:keymap wne:kcmPrimary="0455">
      <wne:macro wne:macroName="PROJECT.MODULE1.CONTROLWDKEYU"/>
    </wne:keymap>
    <wne:keymap wne:kcmPrimary="0456">
      <wne:macro wne:macroName="PROJECT.MODULE1.CONTROLWDKEYV"/>
    </wne:keymap>
    <wne:keymap wne:kcmPrimary="0457">
      <wne:macro wne:macroName="PROJECT.MODULE1.CONTROLWDKEYW"/>
    </wne:keymap>
    <wne:keymap wne:kcmPrimary="0458">
      <wne:macro wne:macroName="PROJECT.MODULE1.CONTROLWDKEYX"/>
    </wne:keymap>
    <wne:keymap wne:kcmPrimary="0459">
      <wne:macro wne:macroName="PROJECT.MODULE1.CONTROLWDKEYY"/>
    </wne:keymap>
    <wne:keymap wne:kcmPrimary="045A">
      <wne:macro wne:macroName="PROJECT.MODULE1.CONTROLWDKEYZ"/>
    </wne:keymap>
    <wne:keymap wne:kcmPrimary="0470">
      <wne:macro wne:macroName="PROJECT.MODULE1.CONTROLWDKEYF1"/>
    </wne:keymap>
    <wne:keymap wne:kcmPrimary="0471">
      <wne:macro wne:macroName="PROJECT.MODULE1.CONTROLWDKEYF2"/>
    </wne:keymap>
    <wne:keymap wne:kcmPrimary="0474">
      <wne:macro wne:macroName="PROJECT.MODULE1.CONTROLWDKEYF5"/>
    </wne:keymap>
    <wne:keymap wne:kcmPrimary="0475">
      <wne:macro wne:macroName="PROJECT.MODULE1.CONTROLWDKEYF6"/>
    </wne:keymap>
    <wne:keymap wne:kcmPrimary="0476">
      <wne:macro wne:macroName="PROJECT.MODULE1.CONTROLWDKEYF7"/>
    </wne:keymap>
    <wne:keymap wne:kcmPrimary="0478">
      <wne:macro wne:macroName="PROJECT.MODULE1.CONTROLWDKEYF9"/>
    </wne:keymap>
  </wne:keymaps>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94556" w:rsidRDefault="00005C8B">
      <w:r>
        <w:separator/>
      </w:r>
    </w:p>
  </w:endnote>
  <w:endnote w:type="continuationSeparator" w:id="0">
    <w:p w:rsidR="00694556" w:rsidRDefault="00005C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avid">
    <w:panose1 w:val="020E05020604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556" w:rsidRPr="004E6E3C" w:rsidRDefault="000C3B60">
    <w:pPr>
      <w:pStyle w:val="a4"/>
      <w:jc w:val="center"/>
      <w:rPr>
        <w:rStyle w:val="ab"/>
      </w:rPr>
    </w:pPr>
    <w:r w:rsidRPr="004E6E3C">
      <w:rPr>
        <w:rStyle w:val="ab"/>
        <w:rFonts w:cs="Times New Roman"/>
      </w:rPr>
      <w:fldChar w:fldCharType="begin"/>
    </w:r>
    <w:r w:rsidR="00005C8B" w:rsidRPr="004E6E3C">
      <w:rPr>
        <w:rStyle w:val="ab"/>
        <w:rFonts w:cs="Times New Roman"/>
      </w:rPr>
      <w:instrText xml:space="preserve"> PAGE </w:instrText>
    </w:r>
    <w:r w:rsidRPr="004E6E3C">
      <w:rPr>
        <w:rStyle w:val="ab"/>
        <w:rFonts w:cs="Times New Roman"/>
      </w:rPr>
      <w:fldChar w:fldCharType="separate"/>
    </w:r>
    <w:r w:rsidR="007464B1">
      <w:rPr>
        <w:rStyle w:val="ab"/>
        <w:rFonts w:cs="Times New Roman"/>
        <w:rtl/>
      </w:rPr>
      <w:t>1</w:t>
    </w:r>
    <w:r w:rsidRPr="004E6E3C">
      <w:rPr>
        <w:rStyle w:val="ab"/>
        <w:rFonts w:cs="Times New Roman"/>
      </w:rPr>
      <w:fldChar w:fldCharType="end"/>
    </w:r>
    <w:r w:rsidR="00005C8B" w:rsidRPr="004E6E3C">
      <w:rPr>
        <w:rStyle w:val="ab"/>
        <w:rFonts w:hint="cs"/>
        <w:rtl/>
      </w:rPr>
      <w:t xml:space="preserve"> מתוך </w:t>
    </w:r>
    <w:r w:rsidRPr="004E6E3C">
      <w:rPr>
        <w:rStyle w:val="ab"/>
      </w:rPr>
      <w:fldChar w:fldCharType="begin"/>
    </w:r>
    <w:r w:rsidR="00005C8B" w:rsidRPr="004E6E3C">
      <w:rPr>
        <w:rStyle w:val="ab"/>
      </w:rPr>
      <w:instrText xml:space="preserve"> NUMPAGES </w:instrText>
    </w:r>
    <w:r w:rsidRPr="004E6E3C">
      <w:rPr>
        <w:rStyle w:val="ab"/>
      </w:rPr>
      <w:fldChar w:fldCharType="separate"/>
    </w:r>
    <w:r w:rsidR="007464B1">
      <w:rPr>
        <w:rStyle w:val="ab"/>
        <w:rtl/>
      </w:rPr>
      <w:t>17</w:t>
    </w:r>
    <w:r w:rsidRPr="004E6E3C">
      <w:rPr>
        <w:rStyle w:val="ab"/>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94556" w:rsidRDefault="00005C8B">
      <w:r>
        <w:separator/>
      </w:r>
    </w:p>
  </w:footnote>
  <w:footnote w:type="continuationSeparator" w:id="0">
    <w:p w:rsidR="00694556" w:rsidRDefault="00005C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556" w:rsidRDefault="00DC1259">
    <w:pPr>
      <w:pStyle w:val="a3"/>
      <w:jc w:val="center"/>
      <w:rPr>
        <w:rFonts w:cs="FrankRuehl"/>
        <w:noProof w:val="0"/>
        <w:sz w:val="28"/>
        <w:szCs w:val="28"/>
        <w:rtl/>
      </w:rPr>
    </w:pPr>
    <w:r>
      <w:rPr>
        <w:rFonts w:cs="FrankRuehl"/>
        <w:sz w:val="28"/>
        <w:szCs w:val="28"/>
      </w:rPr>
      <w:drawing>
        <wp:inline distT="0" distB="0" distL="0" distR="0" wp14:anchorId="1D1C9C2B" wp14:editId="6D9FDBCF">
          <wp:extent cx="374015" cy="469265"/>
          <wp:effectExtent l="0" t="0" r="6985" b="6985"/>
          <wp:docPr id="7" name="Picture 1" descr="ישראל - המנורה -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ישראל - המנורה -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4015" cy="469265"/>
                  </a:xfrm>
                  <a:prstGeom prst="rect">
                    <a:avLst/>
                  </a:prstGeom>
                  <a:noFill/>
                  <a:ln>
                    <a:noFill/>
                  </a:ln>
                </pic:spPr>
              </pic:pic>
            </a:graphicData>
          </a:graphic>
        </wp:inline>
      </w:drawing>
    </w:r>
  </w:p>
  <w:tbl>
    <w:tblPr>
      <w:bidiVisual/>
      <w:tblW w:w="0" w:type="auto"/>
      <w:jc w:val="center"/>
      <w:tblLook w:val="0000" w:firstRow="0" w:lastRow="0" w:firstColumn="0" w:lastColumn="0" w:noHBand="0" w:noVBand="0"/>
    </w:tblPr>
    <w:tblGrid>
      <w:gridCol w:w="4924"/>
      <w:gridCol w:w="3581"/>
    </w:tblGrid>
    <w:tr w:rsidR="00694556" w:rsidTr="00686C21">
      <w:trPr>
        <w:trHeight w:hRule="exact" w:val="704"/>
        <w:jc w:val="center"/>
      </w:trPr>
      <w:sdt>
        <w:sdtPr>
          <w:rPr>
            <w:rFonts w:ascii="Tahoma" w:hAnsi="Tahoma"/>
            <w:b/>
            <w:bCs/>
            <w:color w:val="000080"/>
            <w:sz w:val="32"/>
            <w:szCs w:val="32"/>
            <w:rtl/>
          </w:rPr>
          <w:alias w:val="1174"/>
          <w:tag w:val="1174"/>
          <w:id w:val="-1585920285"/>
          <w:text w:multiLine="1"/>
        </w:sdtPr>
        <w:sdtEndPr/>
        <w:sdtContent>
          <w:tc>
            <w:tcPr>
              <w:tcW w:w="8721" w:type="dxa"/>
              <w:gridSpan w:val="2"/>
            </w:tcPr>
            <w:p w:rsidR="00694556" w:rsidRPr="009826DF" w:rsidRDefault="003D1C8C" w:rsidP="003230C7">
              <w:pPr>
                <w:pStyle w:val="a3"/>
                <w:jc w:val="center"/>
                <w:rPr>
                  <w:rFonts w:ascii="Tahoma" w:hAnsi="Tahoma"/>
                  <w:noProof w:val="0"/>
                  <w:color w:val="000080"/>
                  <w:sz w:val="32"/>
                  <w:szCs w:val="32"/>
                  <w:rtl/>
                </w:rPr>
              </w:pPr>
              <w:r w:rsidRPr="009826DF">
                <w:rPr>
                  <w:rFonts w:ascii="Tahoma" w:hAnsi="Tahoma"/>
                  <w:b/>
                  <w:bCs/>
                  <w:color w:val="000080"/>
                  <w:sz w:val="32"/>
                  <w:szCs w:val="32"/>
                  <w:rtl/>
                </w:rPr>
                <w:t>בית המשפט המחוזי בתל אביב - יפו בשבתו כבית-משפט לערעורים אזרחיים</w:t>
              </w:r>
            </w:p>
          </w:tc>
        </w:sdtContent>
      </w:sdt>
    </w:tr>
    <w:tr w:rsidR="00694556">
      <w:trPr>
        <w:trHeight w:val="337"/>
        <w:jc w:val="center"/>
      </w:trPr>
      <w:tc>
        <w:tcPr>
          <w:tcW w:w="5047" w:type="dxa"/>
        </w:tcPr>
        <w:p w:rsidR="00694556" w:rsidRDefault="00694556">
          <w:pPr>
            <w:rPr>
              <w:b/>
              <w:bCs/>
              <w:noProof w:val="0"/>
              <w:sz w:val="26"/>
              <w:szCs w:val="26"/>
              <w:rtl/>
            </w:rPr>
          </w:pPr>
        </w:p>
      </w:tc>
      <w:tc>
        <w:tcPr>
          <w:tcW w:w="3674" w:type="dxa"/>
        </w:tcPr>
        <w:p w:rsidR="00694556" w:rsidRDefault="00694556">
          <w:pPr>
            <w:pStyle w:val="a3"/>
            <w:jc w:val="right"/>
            <w:rPr>
              <w:b/>
              <w:bCs/>
              <w:noProof w:val="0"/>
              <w:sz w:val="26"/>
              <w:szCs w:val="26"/>
              <w:rtl/>
            </w:rPr>
          </w:pPr>
        </w:p>
      </w:tc>
    </w:tr>
    <w:tr w:rsidR="00694556">
      <w:trPr>
        <w:trHeight w:val="337"/>
        <w:jc w:val="center"/>
      </w:trPr>
      <w:tc>
        <w:tcPr>
          <w:tcW w:w="8721" w:type="dxa"/>
          <w:gridSpan w:val="2"/>
        </w:tcPr>
        <w:p w:rsidR="00694556" w:rsidRPr="00FF767A" w:rsidRDefault="007464B1">
          <w:pPr>
            <w:rPr>
              <w:b/>
              <w:bCs/>
              <w:noProof w:val="0"/>
              <w:sz w:val="26"/>
              <w:szCs w:val="26"/>
              <w:rtl/>
            </w:rPr>
          </w:pPr>
          <w:sdt>
            <w:sdtPr>
              <w:rPr>
                <w:rtl/>
              </w:rPr>
              <w:alias w:val="1170"/>
              <w:tag w:val="1170"/>
              <w:id w:val="1066377040"/>
              <w:text w:multiLine="1"/>
            </w:sdtPr>
            <w:sdtEndPr/>
            <w:sdtContent>
              <w:r w:rsidR="00A34133">
                <w:rPr>
                  <w:b/>
                  <w:bCs/>
                  <w:noProof w:val="0"/>
                  <w:sz w:val="26"/>
                  <w:szCs w:val="26"/>
                  <w:rtl/>
                </w:rPr>
                <w:t>ע"א</w:t>
              </w:r>
            </w:sdtContent>
          </w:sdt>
          <w:r w:rsidR="00005C8B">
            <w:rPr>
              <w:b/>
              <w:bCs/>
              <w:noProof w:val="0"/>
              <w:sz w:val="26"/>
              <w:szCs w:val="26"/>
              <w:rtl/>
            </w:rPr>
            <w:t xml:space="preserve"> </w:t>
          </w:r>
          <w:sdt>
            <w:sdtPr>
              <w:rPr>
                <w:rtl/>
              </w:rPr>
              <w:alias w:val="1171"/>
              <w:tag w:val="1171"/>
              <w:id w:val="257034231"/>
              <w:text w:multiLine="1"/>
            </w:sdtPr>
            <w:sdtEndPr/>
            <w:sdtContent>
              <w:r w:rsidR="00A34133">
                <w:rPr>
                  <w:b/>
                  <w:bCs/>
                  <w:noProof w:val="0"/>
                  <w:sz w:val="26"/>
                  <w:szCs w:val="26"/>
                  <w:rtl/>
                </w:rPr>
                <w:t>30785-11-21</w:t>
              </w:r>
            </w:sdtContent>
          </w:sdt>
          <w:r w:rsidR="00005C8B">
            <w:rPr>
              <w:b/>
              <w:bCs/>
              <w:noProof w:val="0"/>
              <w:sz w:val="26"/>
              <w:szCs w:val="26"/>
              <w:rtl/>
            </w:rPr>
            <w:t xml:space="preserve"> </w:t>
          </w:r>
          <w:sdt>
            <w:sdtPr>
              <w:rPr>
                <w:rtl/>
              </w:rPr>
              <w:alias w:val="1172"/>
              <w:tag w:val="1172"/>
              <w:id w:val="-595170033"/>
              <w:text w:multiLine="1"/>
            </w:sdtPr>
            <w:sdtEndPr/>
            <w:sdtContent>
              <w:r w:rsidR="00A34133">
                <w:rPr>
                  <w:b/>
                  <w:bCs/>
                  <w:noProof w:val="0"/>
                  <w:sz w:val="26"/>
                  <w:szCs w:val="26"/>
                  <w:rtl/>
                </w:rPr>
                <w:t>כהן ואח' נ' נפתלי ואח'</w:t>
              </w:r>
            </w:sdtContent>
          </w:sdt>
        </w:p>
        <w:p w:rsidR="00FF767A" w:rsidRDefault="00FF767A">
          <w:pPr>
            <w:rPr>
              <w:b/>
              <w:bCs/>
              <w:noProof w:val="0"/>
              <w:sz w:val="26"/>
              <w:szCs w:val="26"/>
              <w:rtl/>
            </w:rPr>
          </w:pPr>
          <w:r w:rsidRPr="00FF767A">
            <w:rPr>
              <w:rFonts w:hint="cs"/>
              <w:b/>
              <w:bCs/>
              <w:noProof w:val="0"/>
              <w:sz w:val="26"/>
              <w:szCs w:val="26"/>
              <w:rtl/>
            </w:rPr>
            <w:t xml:space="preserve">ע"א 32530-11-21 הליכוד </w:t>
          </w:r>
          <w:r w:rsidRPr="00FF767A">
            <w:rPr>
              <w:b/>
              <w:bCs/>
              <w:noProof w:val="0"/>
              <w:sz w:val="26"/>
              <w:szCs w:val="26"/>
              <w:rtl/>
            </w:rPr>
            <w:t>–</w:t>
          </w:r>
          <w:r w:rsidRPr="00FF767A">
            <w:rPr>
              <w:rFonts w:hint="cs"/>
              <w:b/>
              <w:bCs/>
              <w:noProof w:val="0"/>
              <w:sz w:val="26"/>
              <w:szCs w:val="26"/>
              <w:rtl/>
            </w:rPr>
            <w:t xml:space="preserve"> תנועה לאומית ליברלית נ' נפתלי ואח'</w:t>
          </w:r>
        </w:p>
        <w:p w:rsidR="00694556" w:rsidRDefault="00694556">
          <w:pPr>
            <w:rPr>
              <w:rtl/>
            </w:rPr>
          </w:pPr>
        </w:p>
        <w:p w:rsidR="008D10B2" w:rsidRDefault="008D10B2">
          <w:pPr>
            <w:rPr>
              <w:rtl/>
            </w:rPr>
          </w:pPr>
          <w:r w:rsidRPr="008D10B2">
            <w:rPr>
              <w:rFonts w:hint="cs"/>
              <w:sz w:val="20"/>
              <w:szCs w:val="20"/>
              <w:rtl/>
            </w:rPr>
            <w:t>תיק חיצוני</w:t>
          </w:r>
          <w:r>
            <w:rPr>
              <w:rFonts w:hint="cs"/>
              <w:rtl/>
            </w:rPr>
            <w:t xml:space="preserve">: </w:t>
          </w:r>
          <w:sdt>
            <w:sdtPr>
              <w:rPr>
                <w:rtl/>
              </w:rPr>
              <w:alias w:val="1198"/>
              <w:tag w:val="1198"/>
              <w:id w:val="-51619777"/>
              <w:text w:multiLine="1"/>
            </w:sdtPr>
            <w:sdtEndPr/>
            <w:sdtContent/>
          </w:sdt>
        </w:p>
      </w:tc>
    </w:tr>
  </w:tbl>
  <w:p w:rsidR="00694556" w:rsidRDefault="00005C8B">
    <w:pPr>
      <w:pStyle w:val="a3"/>
      <w:rPr>
        <w:noProof w:val="0"/>
        <w:rtl/>
      </w:rPr>
    </w:pPr>
    <w:r>
      <w:rPr>
        <w:noProof w:val="0"/>
        <w:rtl/>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863AD5"/>
    <w:multiLevelType w:val="hybridMultilevel"/>
    <w:tmpl w:val="6BAC325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0"/>
  <w:proofState w:spelling="clean" w:grammar="clean"/>
  <w:defaultTabStop w:val="720"/>
  <w:characterSpacingControl w:val="doNotCompress"/>
  <w:hdrShapeDefaults>
    <o:shapedefaults v:ext="edit" spidmax="1710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4556"/>
    <w:rsid w:val="00000062"/>
    <w:rsid w:val="0000226B"/>
    <w:rsid w:val="00005C8B"/>
    <w:rsid w:val="000564AB"/>
    <w:rsid w:val="000635B1"/>
    <w:rsid w:val="00064FBD"/>
    <w:rsid w:val="0006637F"/>
    <w:rsid w:val="00076EE1"/>
    <w:rsid w:val="00082AB2"/>
    <w:rsid w:val="00096AF7"/>
    <w:rsid w:val="000A7C11"/>
    <w:rsid w:val="000B344B"/>
    <w:rsid w:val="000C3B0F"/>
    <w:rsid w:val="000C3B60"/>
    <w:rsid w:val="000D4B26"/>
    <w:rsid w:val="000E3AF1"/>
    <w:rsid w:val="000F0BC8"/>
    <w:rsid w:val="000F0DD6"/>
    <w:rsid w:val="000F1A91"/>
    <w:rsid w:val="00107E6D"/>
    <w:rsid w:val="0011194C"/>
    <w:rsid w:val="0011424C"/>
    <w:rsid w:val="001367BC"/>
    <w:rsid w:val="00144D2A"/>
    <w:rsid w:val="0014653E"/>
    <w:rsid w:val="00180519"/>
    <w:rsid w:val="00191C82"/>
    <w:rsid w:val="001A3EC3"/>
    <w:rsid w:val="001C4003"/>
    <w:rsid w:val="001D4DBF"/>
    <w:rsid w:val="001E75CA"/>
    <w:rsid w:val="001F2315"/>
    <w:rsid w:val="002265FF"/>
    <w:rsid w:val="0023322E"/>
    <w:rsid w:val="00287CDB"/>
    <w:rsid w:val="002A4BAD"/>
    <w:rsid w:val="002C344E"/>
    <w:rsid w:val="002D7EAF"/>
    <w:rsid w:val="00307A6A"/>
    <w:rsid w:val="00307C40"/>
    <w:rsid w:val="00320433"/>
    <w:rsid w:val="003230C7"/>
    <w:rsid w:val="00327298"/>
    <w:rsid w:val="00327E50"/>
    <w:rsid w:val="0033597A"/>
    <w:rsid w:val="00362612"/>
    <w:rsid w:val="003658C8"/>
    <w:rsid w:val="0036743F"/>
    <w:rsid w:val="003715DD"/>
    <w:rsid w:val="003823E0"/>
    <w:rsid w:val="003A4521"/>
    <w:rsid w:val="003B61B6"/>
    <w:rsid w:val="003D1C8C"/>
    <w:rsid w:val="0040096C"/>
    <w:rsid w:val="00414F1F"/>
    <w:rsid w:val="0043125D"/>
    <w:rsid w:val="0043502B"/>
    <w:rsid w:val="004443AC"/>
    <w:rsid w:val="00457105"/>
    <w:rsid w:val="00465C54"/>
    <w:rsid w:val="004756D5"/>
    <w:rsid w:val="004C49B7"/>
    <w:rsid w:val="004C4BDF"/>
    <w:rsid w:val="004D1187"/>
    <w:rsid w:val="004E1987"/>
    <w:rsid w:val="004E6E3C"/>
    <w:rsid w:val="00520898"/>
    <w:rsid w:val="00524986"/>
    <w:rsid w:val="005268F6"/>
    <w:rsid w:val="00547403"/>
    <w:rsid w:val="00547DB7"/>
    <w:rsid w:val="0055116C"/>
    <w:rsid w:val="00553267"/>
    <w:rsid w:val="005744D1"/>
    <w:rsid w:val="005E4865"/>
    <w:rsid w:val="005F4F09"/>
    <w:rsid w:val="0061431B"/>
    <w:rsid w:val="00622821"/>
    <w:rsid w:val="00622BAA"/>
    <w:rsid w:val="006306CF"/>
    <w:rsid w:val="00631B8E"/>
    <w:rsid w:val="00671BD5"/>
    <w:rsid w:val="006805C1"/>
    <w:rsid w:val="00686C21"/>
    <w:rsid w:val="006931C1"/>
    <w:rsid w:val="00694556"/>
    <w:rsid w:val="006D3B31"/>
    <w:rsid w:val="006E1A53"/>
    <w:rsid w:val="00704EDA"/>
    <w:rsid w:val="00721122"/>
    <w:rsid w:val="007464B1"/>
    <w:rsid w:val="00753019"/>
    <w:rsid w:val="00795365"/>
    <w:rsid w:val="007D60D7"/>
    <w:rsid w:val="007E6115"/>
    <w:rsid w:val="007F4609"/>
    <w:rsid w:val="0080021B"/>
    <w:rsid w:val="008176A1"/>
    <w:rsid w:val="00820005"/>
    <w:rsid w:val="00844318"/>
    <w:rsid w:val="00870890"/>
    <w:rsid w:val="00873602"/>
    <w:rsid w:val="00875D12"/>
    <w:rsid w:val="008831CA"/>
    <w:rsid w:val="00891571"/>
    <w:rsid w:val="00896889"/>
    <w:rsid w:val="008C5714"/>
    <w:rsid w:val="008C6C0C"/>
    <w:rsid w:val="008D10B2"/>
    <w:rsid w:val="008D1394"/>
    <w:rsid w:val="008F38D6"/>
    <w:rsid w:val="00903896"/>
    <w:rsid w:val="00906F3D"/>
    <w:rsid w:val="009622DF"/>
    <w:rsid w:val="00967DFF"/>
    <w:rsid w:val="009826DF"/>
    <w:rsid w:val="00994341"/>
    <w:rsid w:val="009A21F9"/>
    <w:rsid w:val="009E7C18"/>
    <w:rsid w:val="009F323C"/>
    <w:rsid w:val="00A3392B"/>
    <w:rsid w:val="00A34133"/>
    <w:rsid w:val="00A94B64"/>
    <w:rsid w:val="00AA3229"/>
    <w:rsid w:val="00AA7596"/>
    <w:rsid w:val="00AB5E52"/>
    <w:rsid w:val="00AC3B02"/>
    <w:rsid w:val="00AC3B7B"/>
    <w:rsid w:val="00AC5209"/>
    <w:rsid w:val="00AE68A9"/>
    <w:rsid w:val="00AE7752"/>
    <w:rsid w:val="00AF7FDA"/>
    <w:rsid w:val="00B80CBD"/>
    <w:rsid w:val="00B86096"/>
    <w:rsid w:val="00BA517C"/>
    <w:rsid w:val="00BB3D05"/>
    <w:rsid w:val="00BB73BE"/>
    <w:rsid w:val="00BE05B2"/>
    <w:rsid w:val="00BE325B"/>
    <w:rsid w:val="00BF1908"/>
    <w:rsid w:val="00C177AD"/>
    <w:rsid w:val="00C22D93"/>
    <w:rsid w:val="00C31120"/>
    <w:rsid w:val="00C34482"/>
    <w:rsid w:val="00C40BE1"/>
    <w:rsid w:val="00C50A9F"/>
    <w:rsid w:val="00C63E82"/>
    <w:rsid w:val="00C642FA"/>
    <w:rsid w:val="00C90D0B"/>
    <w:rsid w:val="00CA2E00"/>
    <w:rsid w:val="00CC7622"/>
    <w:rsid w:val="00D27982"/>
    <w:rsid w:val="00D33B86"/>
    <w:rsid w:val="00D413E2"/>
    <w:rsid w:val="00D53924"/>
    <w:rsid w:val="00D55D0C"/>
    <w:rsid w:val="00D66D66"/>
    <w:rsid w:val="00D96D8C"/>
    <w:rsid w:val="00DA6649"/>
    <w:rsid w:val="00DB0E64"/>
    <w:rsid w:val="00DC1259"/>
    <w:rsid w:val="00DC2571"/>
    <w:rsid w:val="00DC487C"/>
    <w:rsid w:val="00DE6BF6"/>
    <w:rsid w:val="00E25884"/>
    <w:rsid w:val="00E31C2B"/>
    <w:rsid w:val="00E5426A"/>
    <w:rsid w:val="00E54642"/>
    <w:rsid w:val="00E917E2"/>
    <w:rsid w:val="00EC37E9"/>
    <w:rsid w:val="00ED59CE"/>
    <w:rsid w:val="00F13623"/>
    <w:rsid w:val="00F45A11"/>
    <w:rsid w:val="00F84B6D"/>
    <w:rsid w:val="00FA5FDA"/>
    <w:rsid w:val="00FB73EF"/>
    <w:rsid w:val="00FD1419"/>
    <w:rsid w:val="00FD79E4"/>
    <w:rsid w:val="00FD7A63"/>
    <w:rsid w:val="00FE2894"/>
    <w:rsid w:val="00FE5635"/>
    <w:rsid w:val="00FF6C6D"/>
    <w:rsid w:val="00FF767A"/>
  </w:rsids>
  <m:mathPr>
    <m:mathFont m:val="Cambria Math"/>
    <m:brkBin m:val="before"/>
    <m:brkBinSub m:val="--"/>
    <m:smallFrac m:val="0"/>
    <m:dispDef/>
    <m:lMargin m:val="0"/>
    <m:rMargin m:val="0"/>
    <m:defJc m:val="centerGroup"/>
    <m:wrapIndent m:val="1440"/>
    <m:intLim m:val="subSup"/>
    <m:naryLim m:val="undOvr"/>
  </m:mathPr>
  <w:attachedSchema w:val="http://schemas.microsoft.com/InformationBridge/2004"/>
  <w:attachedSchema w:val="NGCS.MergeFields.Schema"/>
  <w:attachedSchema w:val="urn:schemas-microsoft-com:office:smarttags"/>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71009"/>
    <o:shapelayout v:ext="edit">
      <o:idmap v:ext="edit" data="1"/>
    </o:shapelayout>
  </w:shapeDefaults>
  <w:decimalSymbol w:val="."/>
  <w:listSeparator w:val=","/>
  <w15:docId w15:val="{181F99BE-0A11-466E-B0E6-3DDC2FAC9A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64423"/>
    <w:pPr>
      <w:bidi/>
    </w:pPr>
    <w:rPr>
      <w:rFonts w:cs="David"/>
      <w:noProof/>
      <w:sz w:val="24"/>
      <w:szCs w:val="24"/>
    </w:rPr>
  </w:style>
  <w:style w:type="paragraph" w:styleId="4">
    <w:name w:val="heading 4"/>
    <w:basedOn w:val="a"/>
    <w:next w:val="a"/>
    <w:qFormat/>
    <w:rsid w:val="00C64423"/>
    <w:pPr>
      <w:keepNext/>
      <w:ind w:left="5760" w:firstLine="720"/>
      <w:outlineLvl w:val="3"/>
    </w:pPr>
    <w:rPr>
      <w:rFonts w:cs="Narkisim"/>
      <w:b/>
      <w:bCs/>
      <w14:shadow w14:blurRad="50800" w14:dist="38100" w14:dir="2700000" w14:sx="100000" w14:sy="100000" w14:kx="0" w14:ky="0" w14:algn="tl">
        <w14:srgbClr w14:val="000000">
          <w14:alpha w14:val="60000"/>
        </w14:srgbClr>
      </w14:shadow>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C64423"/>
    <w:pPr>
      <w:tabs>
        <w:tab w:val="center" w:pos="4153"/>
        <w:tab w:val="right" w:pos="8306"/>
      </w:tabs>
    </w:pPr>
  </w:style>
  <w:style w:type="paragraph" w:styleId="a4">
    <w:name w:val="footer"/>
    <w:basedOn w:val="a"/>
    <w:rsid w:val="00C64423"/>
    <w:pPr>
      <w:tabs>
        <w:tab w:val="center" w:pos="4153"/>
        <w:tab w:val="right" w:pos="8306"/>
      </w:tabs>
    </w:pPr>
  </w:style>
  <w:style w:type="paragraph" w:customStyle="1" w:styleId="a5">
    <w:name w:val="סעיפים"/>
    <w:basedOn w:val="a"/>
    <w:rsid w:val="00C64423"/>
    <w:pPr>
      <w:tabs>
        <w:tab w:val="left" w:pos="567"/>
        <w:tab w:val="left" w:pos="1134"/>
        <w:tab w:val="left" w:pos="1701"/>
        <w:tab w:val="left" w:pos="2268"/>
        <w:tab w:val="left" w:pos="2835"/>
        <w:tab w:val="left" w:pos="3402"/>
        <w:tab w:val="left" w:pos="3969"/>
      </w:tabs>
      <w:spacing w:line="360" w:lineRule="auto"/>
      <w:jc w:val="both"/>
    </w:pPr>
    <w:rPr>
      <w:noProof w:val="0"/>
    </w:rPr>
  </w:style>
  <w:style w:type="paragraph" w:styleId="a6">
    <w:name w:val="annotation text"/>
    <w:basedOn w:val="a"/>
    <w:semiHidden/>
    <w:rsid w:val="00C64423"/>
    <w:rPr>
      <w:rFonts w:cs="Times New Roman"/>
      <w:noProof w:val="0"/>
    </w:rPr>
  </w:style>
  <w:style w:type="character" w:styleId="a7">
    <w:name w:val="annotation reference"/>
    <w:basedOn w:val="a0"/>
    <w:semiHidden/>
    <w:rsid w:val="00C64423"/>
    <w:rPr>
      <w:sz w:val="16"/>
      <w:szCs w:val="16"/>
    </w:rPr>
  </w:style>
  <w:style w:type="paragraph" w:styleId="a8">
    <w:name w:val="Balloon Text"/>
    <w:basedOn w:val="a"/>
    <w:semiHidden/>
    <w:rsid w:val="00C64423"/>
    <w:rPr>
      <w:rFonts w:ascii="Tahoma" w:hAnsi="Tahoma" w:cs="Tahoma"/>
      <w:sz w:val="16"/>
      <w:szCs w:val="16"/>
    </w:rPr>
  </w:style>
  <w:style w:type="table" w:styleId="a9">
    <w:name w:val="Table Grid"/>
    <w:basedOn w:val="a1"/>
    <w:uiPriority w:val="59"/>
    <w:rsid w:val="00C64423"/>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line number"/>
    <w:basedOn w:val="a0"/>
    <w:rsid w:val="00C64423"/>
  </w:style>
  <w:style w:type="character" w:styleId="ab">
    <w:name w:val="page number"/>
    <w:basedOn w:val="a0"/>
    <w:rsid w:val="00C64423"/>
  </w:style>
  <w:style w:type="table" w:customStyle="1" w:styleId="1">
    <w:name w:val="טבלת רשת1"/>
    <w:basedOn w:val="a1"/>
    <w:next w:val="a9"/>
    <w:rsid w:val="001C4003"/>
    <w:pPr>
      <w:jc w:val="righ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Placeholder Text"/>
    <w:basedOn w:val="a0"/>
    <w:uiPriority w:val="99"/>
    <w:semiHidden/>
    <w:rsid w:val="003230C7"/>
    <w:rPr>
      <w:color w:val="808080"/>
    </w:rPr>
  </w:style>
  <w:style w:type="paragraph" w:styleId="ad">
    <w:name w:val="List Paragraph"/>
    <w:basedOn w:val="a"/>
    <w:uiPriority w:val="34"/>
    <w:qFormat/>
    <w:rsid w:val="00FF767A"/>
    <w:pPr>
      <w:ind w:left="720"/>
      <w:contextualSpacing/>
    </w:pPr>
  </w:style>
  <w:style w:type="character" w:styleId="ae">
    <w:name w:val="Strong"/>
    <w:basedOn w:val="a0"/>
    <w:qFormat/>
    <w:rsid w:val="00FF76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69093592">
      <w:bodyDiv w:val="1"/>
      <w:marLeft w:val="0"/>
      <w:marRight w:val="0"/>
      <w:marTop w:val="0"/>
      <w:marBottom w:val="0"/>
      <w:divBdr>
        <w:top w:val="none" w:sz="0" w:space="0" w:color="auto"/>
        <w:left w:val="none" w:sz="0" w:space="0" w:color="auto"/>
        <w:bottom w:val="none" w:sz="0" w:space="0" w:color="auto"/>
        <w:right w:val="none" w:sz="0" w:space="0" w:color="auto"/>
      </w:divBdr>
    </w:div>
    <w:div w:id="1307122835">
      <w:bodyDiv w:val="1"/>
      <w:marLeft w:val="0"/>
      <w:marRight w:val="0"/>
      <w:marTop w:val="0"/>
      <w:marBottom w:val="0"/>
      <w:divBdr>
        <w:top w:val="none" w:sz="0" w:space="0" w:color="auto"/>
        <w:left w:val="none" w:sz="0" w:space="0" w:color="auto"/>
        <w:bottom w:val="none" w:sz="0" w:space="0" w:color="auto"/>
        <w:right w:val="none" w:sz="0" w:space="0" w:color="auto"/>
      </w:divBdr>
    </w:div>
    <w:div w:id="1432820806">
      <w:bodyDiv w:val="1"/>
      <w:marLeft w:val="0"/>
      <w:marRight w:val="0"/>
      <w:marTop w:val="0"/>
      <w:marBottom w:val="0"/>
      <w:divBdr>
        <w:top w:val="none" w:sz="0" w:space="0" w:color="auto"/>
        <w:left w:val="none" w:sz="0" w:space="0" w:color="auto"/>
        <w:bottom w:val="none" w:sz="0" w:space="0" w:color="auto"/>
        <w:right w:val="none" w:sz="0" w:space="0" w:color="auto"/>
      </w:divBdr>
    </w:div>
    <w:div w:id="1696467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17</Pages>
  <Words>4845</Words>
  <Characters>24230</Characters>
  <Application>Microsoft Office Word</Application>
  <DocSecurity>4</DocSecurity>
  <Lines>201</Lines>
  <Paragraphs>58</Paragraphs>
  <ScaleCrop>false</ScaleCrop>
  <HeadingPairs>
    <vt:vector size="2" baseType="variant">
      <vt:variant>
        <vt:lpstr>שם</vt:lpstr>
      </vt:variant>
      <vt:variant>
        <vt:i4>1</vt:i4>
      </vt:variant>
    </vt:vector>
  </HeadingPairs>
  <TitlesOfParts>
    <vt:vector size="1" baseType="lpstr">
      <vt:lpstr/>
    </vt:vector>
  </TitlesOfParts>
  <Company>Microsoft Corporation</Company>
  <LinksUpToDate>false</LinksUpToDate>
  <CharactersWithSpaces>29017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anatk</dc:creator>
  <cp:keywords/>
  <dc:description/>
  <cp:lastModifiedBy>גרמאו מנגיסטו</cp:lastModifiedBy>
  <cp:revision>2</cp:revision>
  <dcterms:created xsi:type="dcterms:W3CDTF">2023-01-10T15:37:00Z</dcterms:created>
  <dcterms:modified xsi:type="dcterms:W3CDTF">2023-01-10T15:37:00Z</dcterms:modified>
</cp:coreProperties>
</file>