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141A" w:rsidRDefault="001D141A" w:rsidP="001D141A">
      <w:pPr>
        <w:rPr>
          <w:rtl/>
        </w:rPr>
      </w:pPr>
      <w:bookmarkStart w:id="0" w:name="_GoBack"/>
      <w:bookmarkEnd w:id="0"/>
    </w:p>
    <w:tbl>
      <w:tblPr>
        <w:tblStyle w:val="a7"/>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1D141A" w:rsidTr="00B93176">
        <w:trPr>
          <w:jc w:val="center"/>
        </w:trPr>
        <w:tc>
          <w:tcPr>
            <w:tcW w:w="743" w:type="dxa"/>
          </w:tcPr>
          <w:p w:rsidR="001D141A" w:rsidRDefault="001D141A" w:rsidP="00B93176">
            <w:pPr>
              <w:jc w:val="both"/>
              <w:rPr>
                <w:rFonts w:ascii="Arial" w:hAnsi="Arial"/>
                <w:b/>
                <w:bCs/>
              </w:rPr>
            </w:pPr>
            <w:r>
              <w:rPr>
                <w:rFonts w:ascii="Arial" w:hAnsi="Arial" w:hint="cs"/>
                <w:b/>
                <w:bCs/>
                <w:rtl/>
              </w:rPr>
              <w:t>ב</w:t>
            </w:r>
            <w:r>
              <w:rPr>
                <w:rFonts w:ascii="Arial" w:hAnsi="Arial"/>
                <w:b/>
                <w:bCs/>
                <w:rtl/>
              </w:rPr>
              <w:t xml:space="preserve">פני </w:t>
            </w:r>
          </w:p>
        </w:tc>
        <w:tc>
          <w:tcPr>
            <w:tcW w:w="8077" w:type="dxa"/>
            <w:gridSpan w:val="2"/>
          </w:tcPr>
          <w:p w:rsidR="001D141A" w:rsidRDefault="001D141A" w:rsidP="00B93176">
            <w:pPr>
              <w:rPr>
                <w:rFonts w:ascii="Arial" w:hAnsi="Arial"/>
                <w:b/>
                <w:bCs/>
                <w:rtl/>
              </w:rPr>
            </w:pPr>
            <w:r>
              <w:rPr>
                <w:rFonts w:ascii="Arial" w:hAnsi="Arial" w:hint="cs"/>
                <w:b/>
                <w:bCs/>
                <w:rtl/>
              </w:rPr>
              <w:t>כב' ה</w:t>
            </w:r>
            <w:sdt>
              <w:sdtPr>
                <w:rPr>
                  <w:rtl/>
                </w:rPr>
                <w:alias w:val="1574"/>
                <w:tag w:val="1574"/>
                <w:id w:val="874660890"/>
                <w:text w:multiLine="1"/>
              </w:sdtPr>
              <w:sdtEndPr/>
              <w:sdtContent>
                <w:r>
                  <w:rPr>
                    <w:rFonts w:ascii="Arial" w:hAnsi="Arial"/>
                    <w:b/>
                    <w:bCs/>
                    <w:rtl/>
                  </w:rPr>
                  <w:t>שופטת</w:t>
                </w:r>
              </w:sdtContent>
            </w:sdt>
            <w:r>
              <w:rPr>
                <w:rFonts w:ascii="Arial" w:hAnsi="Arial" w:hint="cs"/>
                <w:b/>
                <w:bCs/>
                <w:rtl/>
              </w:rPr>
              <w:t xml:space="preserve">  </w:t>
            </w:r>
            <w:sdt>
              <w:sdtPr>
                <w:rPr>
                  <w:rtl/>
                </w:rPr>
                <w:alias w:val="1573"/>
                <w:tag w:val="1573"/>
                <w:id w:val="-188843600"/>
                <w:text w:multiLine="1"/>
              </w:sdtPr>
              <w:sdtEndPr/>
              <w:sdtContent>
                <w:r>
                  <w:rPr>
                    <w:rFonts w:ascii="Arial" w:hAnsi="Arial"/>
                    <w:b/>
                    <w:bCs/>
                    <w:rtl/>
                  </w:rPr>
                  <w:t>לורן אקוקה</w:t>
                </w:r>
              </w:sdtContent>
            </w:sdt>
          </w:p>
          <w:p w:rsidR="001D141A" w:rsidRDefault="001D141A" w:rsidP="00B93176">
            <w:pPr>
              <w:rPr>
                <w:rFonts w:ascii="Arial" w:hAnsi="Arial" w:cs="FrankRuehl"/>
                <w:sz w:val="28"/>
                <w:szCs w:val="28"/>
                <w:highlight w:val="yellow"/>
              </w:rPr>
            </w:pPr>
          </w:p>
        </w:tc>
      </w:tr>
      <w:tr w:rsidR="001D141A" w:rsidTr="00B93176">
        <w:trPr>
          <w:jc w:val="center"/>
        </w:trPr>
        <w:tc>
          <w:tcPr>
            <w:tcW w:w="3249" w:type="dxa"/>
            <w:gridSpan w:val="2"/>
          </w:tcPr>
          <w:p w:rsidR="001D141A" w:rsidRDefault="001D141A" w:rsidP="00B93176">
            <w:pPr>
              <w:bidi w:val="0"/>
              <w:jc w:val="right"/>
              <w:rPr>
                <w:rFonts w:ascii="Arial" w:hAnsi="Arial"/>
                <w:b/>
                <w:bCs/>
                <w:noProof w:val="0"/>
                <w:sz w:val="26"/>
                <w:szCs w:val="26"/>
              </w:rPr>
            </w:pPr>
          </w:p>
          <w:sdt>
            <w:sdtPr>
              <w:alias w:val="1180"/>
              <w:tag w:val="1180"/>
              <w:id w:val="1559975633"/>
              <w:text w:multiLine="1"/>
            </w:sdtPr>
            <w:sdtEndPr/>
            <w:sdtContent>
              <w:p w:rsidR="001D141A" w:rsidRDefault="001D141A" w:rsidP="00B93176">
                <w:pPr>
                  <w:bidi w:val="0"/>
                  <w:jc w:val="right"/>
                  <w:rPr>
                    <w:rFonts w:ascii="Arial" w:hAnsi="Arial"/>
                    <w:b/>
                    <w:bCs/>
                    <w:noProof w:val="0"/>
                    <w:sz w:val="26"/>
                    <w:szCs w:val="26"/>
                    <w:rtl/>
                  </w:rPr>
                </w:pPr>
                <w:r>
                  <w:rPr>
                    <w:rFonts w:ascii="Arial" w:hAnsi="Arial"/>
                    <w:b/>
                    <w:bCs/>
                    <w:noProof w:val="0"/>
                    <w:sz w:val="26"/>
                    <w:szCs w:val="26"/>
                    <w:rtl/>
                  </w:rPr>
                  <w:t>תוב</w:t>
                </w:r>
                <w:r>
                  <w:rPr>
                    <w:rFonts w:ascii="Arial" w:hAnsi="Arial" w:hint="cs"/>
                    <w:b/>
                    <w:bCs/>
                    <w:noProof w:val="0"/>
                    <w:sz w:val="26"/>
                    <w:szCs w:val="26"/>
                    <w:rtl/>
                  </w:rPr>
                  <w:t>ע</w:t>
                </w:r>
              </w:p>
            </w:sdtContent>
          </w:sdt>
        </w:tc>
        <w:tc>
          <w:tcPr>
            <w:tcW w:w="5571" w:type="dxa"/>
          </w:tcPr>
          <w:p w:rsidR="001D141A" w:rsidRDefault="001D141A" w:rsidP="00B93176">
            <w:pPr>
              <w:rPr>
                <w:rFonts w:ascii="Arial" w:hAnsi="Arial"/>
                <w:b/>
                <w:bCs/>
                <w:noProof w:val="0"/>
                <w:sz w:val="26"/>
                <w:szCs w:val="26"/>
              </w:rPr>
            </w:pPr>
          </w:p>
          <w:p w:rsidR="001D141A" w:rsidRDefault="001D141A" w:rsidP="00B93176">
            <w:pPr>
              <w:rPr>
                <w:b/>
                <w:bCs/>
                <w:noProof w:val="0"/>
                <w:sz w:val="26"/>
                <w:szCs w:val="26"/>
              </w:rPr>
            </w:pPr>
            <w:r>
              <w:rPr>
                <w:rFonts w:ascii="Arial" w:hAnsi="Arial" w:hint="cs"/>
                <w:b/>
                <w:bCs/>
                <w:noProof w:val="0"/>
                <w:sz w:val="26"/>
                <w:szCs w:val="26"/>
                <w:rtl/>
              </w:rPr>
              <w:t>ר</w:t>
            </w:r>
          </w:p>
        </w:tc>
      </w:tr>
      <w:tr w:rsidR="001D141A" w:rsidTr="00B93176">
        <w:trPr>
          <w:jc w:val="center"/>
        </w:trPr>
        <w:tc>
          <w:tcPr>
            <w:tcW w:w="8820" w:type="dxa"/>
            <w:gridSpan w:val="3"/>
          </w:tcPr>
          <w:p w:rsidR="001D141A" w:rsidRDefault="001D141A" w:rsidP="00B93176">
            <w:pPr>
              <w:rPr>
                <w:rFonts w:ascii="Arial" w:hAnsi="Arial"/>
                <w:b/>
                <w:bCs/>
                <w:noProof w:val="0"/>
                <w:sz w:val="26"/>
                <w:szCs w:val="26"/>
                <w:rtl/>
              </w:rPr>
            </w:pPr>
          </w:p>
          <w:p w:rsidR="001D141A" w:rsidRDefault="001D141A" w:rsidP="00B93176">
            <w:pPr>
              <w:jc w:val="center"/>
              <w:rPr>
                <w:rFonts w:ascii="Arial" w:hAnsi="Arial"/>
                <w:b/>
                <w:bCs/>
                <w:noProof w:val="0"/>
                <w:sz w:val="26"/>
                <w:szCs w:val="26"/>
                <w:rtl/>
              </w:rPr>
            </w:pPr>
            <w:r>
              <w:rPr>
                <w:rFonts w:ascii="Arial" w:hAnsi="Arial"/>
                <w:b/>
                <w:bCs/>
                <w:noProof w:val="0"/>
                <w:sz w:val="26"/>
                <w:szCs w:val="26"/>
                <w:rtl/>
              </w:rPr>
              <w:t>נגד</w:t>
            </w:r>
          </w:p>
          <w:p w:rsidR="001D141A" w:rsidRDefault="001D141A" w:rsidP="00B93176">
            <w:pPr>
              <w:rPr>
                <w:rFonts w:ascii="Arial" w:hAnsi="Arial"/>
                <w:b/>
                <w:bCs/>
                <w:noProof w:val="0"/>
                <w:sz w:val="26"/>
                <w:szCs w:val="26"/>
              </w:rPr>
            </w:pPr>
          </w:p>
        </w:tc>
      </w:tr>
      <w:tr w:rsidR="001D141A" w:rsidTr="00B93176">
        <w:trPr>
          <w:jc w:val="center"/>
        </w:trPr>
        <w:tc>
          <w:tcPr>
            <w:tcW w:w="3249" w:type="dxa"/>
            <w:gridSpan w:val="2"/>
          </w:tcPr>
          <w:p w:rsidR="001D141A" w:rsidRDefault="008972C6" w:rsidP="00B93176">
            <w:pPr>
              <w:rPr>
                <w:rFonts w:ascii="Arial" w:hAnsi="Arial"/>
                <w:b/>
                <w:bCs/>
                <w:noProof w:val="0"/>
                <w:sz w:val="26"/>
                <w:szCs w:val="26"/>
              </w:rPr>
            </w:pPr>
            <w:sdt>
              <w:sdtPr>
                <w:rPr>
                  <w:rtl/>
                </w:rPr>
                <w:alias w:val="1184"/>
                <w:tag w:val="1184"/>
                <w:id w:val="386307046"/>
                <w:text w:multiLine="1"/>
              </w:sdtPr>
              <w:sdtEndPr/>
              <w:sdtContent>
                <w:r w:rsidR="001D141A">
                  <w:rPr>
                    <w:rFonts w:ascii="Arial" w:hAnsi="Arial"/>
                    <w:b/>
                    <w:bCs/>
                    <w:noProof w:val="0"/>
                    <w:sz w:val="26"/>
                    <w:szCs w:val="26"/>
                    <w:rtl/>
                  </w:rPr>
                  <w:t>נתבע</w:t>
                </w:r>
                <w:r w:rsidR="001D141A">
                  <w:rPr>
                    <w:rFonts w:ascii="Arial" w:hAnsi="Arial" w:hint="cs"/>
                    <w:b/>
                    <w:bCs/>
                    <w:noProof w:val="0"/>
                    <w:sz w:val="26"/>
                    <w:szCs w:val="26"/>
                    <w:rtl/>
                  </w:rPr>
                  <w:t>ת</w:t>
                </w:r>
              </w:sdtContent>
            </w:sdt>
          </w:p>
        </w:tc>
        <w:tc>
          <w:tcPr>
            <w:tcW w:w="5571" w:type="dxa"/>
          </w:tcPr>
          <w:p w:rsidR="001D141A" w:rsidRDefault="001D141A" w:rsidP="00B93176">
            <w:pPr>
              <w:rPr>
                <w:b/>
                <w:bCs/>
                <w:noProof w:val="0"/>
                <w:sz w:val="26"/>
                <w:szCs w:val="26"/>
                <w:rtl/>
              </w:rPr>
            </w:pPr>
            <w:r>
              <w:rPr>
                <w:rFonts w:ascii="Arial" w:hAnsi="Arial" w:hint="cs"/>
                <w:b/>
                <w:bCs/>
                <w:noProof w:val="0"/>
                <w:sz w:val="26"/>
                <w:szCs w:val="26"/>
                <w:rtl/>
              </w:rPr>
              <w:t>ס</w:t>
            </w:r>
          </w:p>
        </w:tc>
      </w:tr>
    </w:tbl>
    <w:p w:rsidR="001D141A" w:rsidRDefault="001D141A" w:rsidP="001D141A"/>
    <w:p w:rsidR="001D141A" w:rsidRDefault="001D141A" w:rsidP="001D141A"/>
    <w:tbl>
      <w:tblPr>
        <w:tblStyle w:val="a7"/>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1D141A" w:rsidTr="00B93176">
        <w:trPr>
          <w:jc w:val="center"/>
        </w:trPr>
        <w:tc>
          <w:tcPr>
            <w:tcW w:w="8820" w:type="dxa"/>
          </w:tcPr>
          <w:p w:rsidR="001D141A" w:rsidRDefault="001D141A" w:rsidP="00B93176">
            <w:pPr>
              <w:bidi w:val="0"/>
              <w:jc w:val="center"/>
              <w:rPr>
                <w:rFonts w:ascii="Arial" w:hAnsi="Arial"/>
                <w:b/>
                <w:bCs/>
                <w:noProof w:val="0"/>
                <w:sz w:val="26"/>
                <w:szCs w:val="26"/>
              </w:rPr>
            </w:pPr>
          </w:p>
          <w:p w:rsidR="001D141A" w:rsidRDefault="001D141A" w:rsidP="00B93176">
            <w:pPr>
              <w:bidi w:val="0"/>
              <w:jc w:val="center"/>
              <w:rPr>
                <w:rFonts w:ascii="Arial" w:hAnsi="Arial"/>
                <w:b/>
                <w:bCs/>
                <w:noProof w:val="0"/>
                <w:sz w:val="28"/>
                <w:szCs w:val="28"/>
                <w:u w:val="single"/>
              </w:rPr>
            </w:pPr>
            <w:r>
              <w:rPr>
                <w:rFonts w:ascii="Arial" w:hAnsi="Arial" w:hint="cs"/>
                <w:b/>
                <w:bCs/>
                <w:noProof w:val="0"/>
                <w:sz w:val="28"/>
                <w:szCs w:val="28"/>
                <w:u w:val="single"/>
                <w:rtl/>
              </w:rPr>
              <w:t>פסק -דין</w:t>
            </w:r>
          </w:p>
        </w:tc>
      </w:tr>
    </w:tbl>
    <w:p w:rsidR="001D141A" w:rsidRDefault="001D141A" w:rsidP="001D141A">
      <w:pPr>
        <w:spacing w:line="360" w:lineRule="auto"/>
        <w:jc w:val="both"/>
        <w:rPr>
          <w:rFonts w:ascii="Arial" w:hAnsi="Arial"/>
          <w:noProof w:val="0"/>
          <w:rtl/>
        </w:rPr>
      </w:pPr>
    </w:p>
    <w:p w:rsidR="001D141A" w:rsidRDefault="001D141A" w:rsidP="001D141A">
      <w:pPr>
        <w:spacing w:line="360" w:lineRule="auto"/>
        <w:jc w:val="both"/>
        <w:rPr>
          <w:rFonts w:ascii="Arial" w:hAnsi="Arial"/>
          <w:noProof w:val="0"/>
          <w:rtl/>
        </w:rPr>
      </w:pPr>
    </w:p>
    <w:p w:rsidR="001D141A" w:rsidRDefault="001D141A" w:rsidP="001D141A">
      <w:pPr>
        <w:spacing w:line="360" w:lineRule="auto"/>
        <w:jc w:val="both"/>
        <w:rPr>
          <w:rFonts w:ascii="Arial" w:hAnsi="Arial"/>
          <w:noProof w:val="0"/>
          <w:rtl/>
        </w:rPr>
      </w:pPr>
      <w:r>
        <w:rPr>
          <w:rFonts w:ascii="Arial" w:hAnsi="Arial" w:hint="cs"/>
          <w:noProof w:val="0"/>
          <w:rtl/>
        </w:rPr>
        <w:t>לפני הבהרות התובע כפי שנדרש בהחלטתי מיום 8.10.2024.</w:t>
      </w:r>
    </w:p>
    <w:p w:rsidR="001D141A" w:rsidRDefault="001D141A" w:rsidP="001D141A">
      <w:pPr>
        <w:spacing w:line="360" w:lineRule="auto"/>
        <w:jc w:val="both"/>
        <w:rPr>
          <w:rFonts w:ascii="Arial" w:hAnsi="Arial"/>
          <w:noProof w:val="0"/>
          <w:rtl/>
        </w:rPr>
      </w:pPr>
    </w:p>
    <w:p w:rsidR="001D141A" w:rsidRPr="009B4971" w:rsidRDefault="001D141A" w:rsidP="001D141A">
      <w:pPr>
        <w:spacing w:line="360" w:lineRule="auto"/>
        <w:jc w:val="both"/>
        <w:rPr>
          <w:rFonts w:ascii="Arial" w:hAnsi="Arial"/>
          <w:b/>
          <w:bCs/>
          <w:noProof w:val="0"/>
          <w:u w:val="single"/>
          <w:rtl/>
        </w:rPr>
      </w:pPr>
      <w:r w:rsidRPr="009B4971">
        <w:rPr>
          <w:rFonts w:ascii="Arial" w:hAnsi="Arial" w:hint="cs"/>
          <w:b/>
          <w:bCs/>
          <w:noProof w:val="0"/>
          <w:u w:val="single"/>
          <w:rtl/>
        </w:rPr>
        <w:t>רקע וטענות התובע:</w:t>
      </w: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התובע הגיש תביעה </w:t>
      </w:r>
      <w:r w:rsidRPr="00E35150">
        <w:rPr>
          <w:rFonts w:ascii="Miriam" w:hAnsi="Miriam" w:cs="Miriam"/>
          <w:noProof w:val="0"/>
          <w:rtl/>
        </w:rPr>
        <w:t>"לאכיפת פסק דין לפי סעיף 7 לחוק בתי המשפט לענייני משפחה, תשנ"ה – 1995"</w:t>
      </w:r>
      <w:r>
        <w:rPr>
          <w:rFonts w:ascii="Arial" w:hAnsi="Arial" w:hint="cs"/>
          <w:noProof w:val="0"/>
          <w:rtl/>
        </w:rPr>
        <w:t xml:space="preserve"> ובה ביקש את הסעדים כדלקמן:</w:t>
      </w:r>
    </w:p>
    <w:p w:rsidR="001D141A" w:rsidRPr="00E35150" w:rsidRDefault="001D141A" w:rsidP="001D141A">
      <w:pPr>
        <w:pStyle w:val="a9"/>
        <w:spacing w:line="360" w:lineRule="auto"/>
        <w:ind w:left="425"/>
        <w:jc w:val="both"/>
        <w:rPr>
          <w:rFonts w:ascii="Miriam" w:hAnsi="Miriam" w:cs="Miriam"/>
          <w:noProof w:val="0"/>
          <w:rtl/>
        </w:rPr>
      </w:pPr>
      <w:r w:rsidRPr="00E35150">
        <w:rPr>
          <w:rFonts w:ascii="Miriam" w:hAnsi="Miriam" w:cs="Miriam"/>
          <w:noProof w:val="0"/>
          <w:rtl/>
        </w:rPr>
        <w:t>"אכיפת הסכם הגירושין בין המנוח והנתבעת, ומתן פסק דין הצהרתי לתוקפם של גירושיהם של המנוח והנתבעת, מתן פסק דין הצהרתי לתוקפם של התרת הנישואים של המנוח והנתבעת, מתן צו עשה למשרד הפנים לרישום המנוח כגרוש והנתבעת כגרושה, ומתן צו עשה לחיוב הנתבעת ברישום הליך של התרת הנישואין, ורישומה כגרושתו של המנוח</w:t>
      </w:r>
      <w:r>
        <w:rPr>
          <w:rFonts w:ascii="Miriam" w:hAnsi="Miriam" w:cs="Miriam" w:hint="cs"/>
          <w:noProof w:val="0"/>
          <w:rtl/>
        </w:rPr>
        <w:t>"</w:t>
      </w:r>
      <w:r>
        <w:rPr>
          <w:rFonts w:ascii="Miriam" w:hAnsi="Miriam" w:cs="Miriam"/>
          <w:noProof w:val="0"/>
          <w:rtl/>
        </w:rPr>
        <w:t>.</w:t>
      </w:r>
    </w:p>
    <w:p w:rsidR="001D141A" w:rsidRDefault="001D141A" w:rsidP="001D141A">
      <w:pPr>
        <w:pStyle w:val="a9"/>
        <w:spacing w:line="360" w:lineRule="auto"/>
        <w:ind w:left="425"/>
        <w:jc w:val="both"/>
        <w:rPr>
          <w:rFonts w:ascii="Arial" w:hAnsi="Arial"/>
          <w:noProof w:val="0"/>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lastRenderedPageBreak/>
        <w:t xml:space="preserve">לטענת התובע, הוא בנם של הנתבעת והמנוח, ...... (להלן: "המנוח") אשר נישאו בשנת 1989, עלו לארץ בשנת 1990, חתמו על הסכם גירושין בשנת 2001 וזה קיבל תוקף של פסק דין ביום 22.4.2001 (להלן: "פסק הדין"). </w:t>
      </w:r>
    </w:p>
    <w:p w:rsidR="001D141A" w:rsidRDefault="001D141A" w:rsidP="001D141A">
      <w:pPr>
        <w:pStyle w:val="a9"/>
        <w:spacing w:line="360" w:lineRule="auto"/>
        <w:ind w:left="425"/>
        <w:jc w:val="both"/>
        <w:rPr>
          <w:rFonts w:ascii="Arial" w:hAnsi="Arial"/>
          <w:noProof w:val="0"/>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על אף האמור, לטענת התובע, הנתבעת הערימה קשיים וסירבה לשתף פעולה "</w:t>
      </w:r>
      <w:r w:rsidRPr="00E35150">
        <w:rPr>
          <w:rFonts w:ascii="Miriam" w:hAnsi="Miriam" w:cs="Miriam"/>
          <w:noProof w:val="0"/>
          <w:rtl/>
        </w:rPr>
        <w:t>בדבר סיום רישום התרת הנישואין ביניהם"</w:t>
      </w:r>
      <w:r>
        <w:rPr>
          <w:rFonts w:ascii="Arial" w:hAnsi="Arial" w:hint="cs"/>
          <w:noProof w:val="0"/>
          <w:rtl/>
        </w:rPr>
        <w:t xml:space="preserve">. </w:t>
      </w:r>
    </w:p>
    <w:p w:rsidR="001D141A" w:rsidRPr="00BE7D23"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לטענת התובע, הנתבעת מתגוררת בדירה אותה העניק לה המנוח במסגרת הסכם הגירושין הרשומה על שמה ועל שם המנוח בחלקים שווים עד היום. </w:t>
      </w:r>
    </w:p>
    <w:p w:rsidR="001D141A" w:rsidRPr="00BE7D23"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התובע מסביר כי אביו נפטר ועל כן התובע ו-2 אחיותיו הגישו בקשה לצו ירושה לטובת חלוקת העיזבון לארבעת ילדיו של המנוח. עם זאת, לטענת התובע, הנתבעת הגישה התנגדות ובטענה כי היא יורשת נוספת של המנוח. </w:t>
      </w:r>
    </w:p>
    <w:p w:rsidR="001D141A" w:rsidRPr="00BE7D23"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התובע מסביר כי הנתבעת אינה יורשת של המנוח על פי דין ומאחר והינה גרושתו ולא אלמנתו, כך הצהירה בכתבי טענותיה לא פעם ובהתאם להסכם הגירושין משנת 2001. </w:t>
      </w:r>
    </w:p>
    <w:p w:rsidR="001D141A" w:rsidRPr="00BE7D23"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התובע מסביר כי פסק הדין כאן נחוץ לטובת הסדרת עיזבון המנוח גם ב......., שם הותיר אחריו נכסים, מעבר לדירה שנותרה בישראל. מסביר עוד התובע כי לפי הדין הזר, ב......, האלמנה היא היורשת בהצגת תעודת זהות ותעודת פטירה בעוד לטענתו אין היא זכאית לכך והוא אמור להיות היורש היחידי לאחר שאחיותיו הסתלקו לטובתו. </w:t>
      </w:r>
    </w:p>
    <w:p w:rsidR="001D141A" w:rsidRPr="00CC7085"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וכך טוען התובע: "הנתבעת מנסה במרמה לעשות דין לעצמה ולרשת את עזבון המנוח ב..... למרות שאינה זכאית לכך מתוקף היותה גרושתו של המנוח, אולם לכך אין כל תיעוד מהותי בדבר התרת הנישואין ומכאן מוגשת תביעה זו לאכיפת פסק הדין לגירושין ומתן פסק דין הצהרתי להתרת נישואיהם של המנוח והנתבעת, וכפועל יוצר צו עשה למשרד הפנים לשנות את סטטוס המנוח בתעודת הפטירה לגרוש בעת פטירתו". </w:t>
      </w:r>
    </w:p>
    <w:p w:rsidR="001D141A" w:rsidRPr="00C60392"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לטענת התובע המנוח ביקש להגיש ולהשלים את הליך התרת הנישואין אולם התקשה לעשות כן בהעדר תעודת הנישואין המקורית אותה שמרה הנתבעת ובכך הפרה היא את הוראות הסכם הגירושין עם המנוח. משלים התובע ומסביר כי רק עם הגשת התנגדותה של הנתבעת לצו הירושה למד על כך שכלל לא הוגשה בקשה להתרת נישואין. </w:t>
      </w:r>
    </w:p>
    <w:p w:rsidR="001D141A" w:rsidRPr="000A57A9"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התובע סבור כי הוא נכנס בנעלי המנוח לאחר פטירתו לאור הסתלקות יתר היורשים ועל כן מבקש הוא את הסעד ההצהרתי. בצד זאת מסביר התובע את הנחיצות להזדרז בהליך זה נוכח הפעולות שלכאורה מבצעת הנתבעת ב...... </w:t>
      </w:r>
    </w:p>
    <w:p w:rsidR="001D141A" w:rsidRPr="000A5A96"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מעבר לכך מתייחס התובע לטענות הנתבעת באשר לרצונה לאכוף את הסכם הגירושין בזיקה לדירת המגורים ובכך מנסה היא "להחזיק את המקל בשני קצותיו".</w:t>
      </w:r>
    </w:p>
    <w:p w:rsidR="001D141A" w:rsidRPr="006F5C90" w:rsidRDefault="001D141A" w:rsidP="001D141A">
      <w:pPr>
        <w:pStyle w:val="a9"/>
        <w:rPr>
          <w:rFonts w:ascii="Arial" w:hAnsi="Arial"/>
          <w:noProof w:val="0"/>
          <w:rtl/>
        </w:rPr>
      </w:pPr>
    </w:p>
    <w:p w:rsidR="001D141A" w:rsidRPr="00F5332A" w:rsidRDefault="001D141A" w:rsidP="001D141A">
      <w:pPr>
        <w:pStyle w:val="a9"/>
        <w:spacing w:line="360" w:lineRule="auto"/>
        <w:ind w:left="425"/>
        <w:jc w:val="both"/>
        <w:rPr>
          <w:rFonts w:ascii="Arial" w:hAnsi="Arial"/>
          <w:b/>
          <w:bCs/>
          <w:noProof w:val="0"/>
          <w:u w:val="single"/>
        </w:rPr>
      </w:pPr>
      <w:r>
        <w:rPr>
          <w:rFonts w:ascii="Arial" w:hAnsi="Arial" w:hint="cs"/>
          <w:b/>
          <w:bCs/>
          <w:noProof w:val="0"/>
          <w:u w:val="single"/>
          <w:rtl/>
        </w:rPr>
        <w:t>דיון והכרעה:</w:t>
      </w:r>
    </w:p>
    <w:p w:rsidR="001D141A" w:rsidRPr="000A57A9"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lastRenderedPageBreak/>
        <w:t xml:space="preserve">לאחר שהוגשה התובענה ביום 10.9.2024 ניתנה החלטתו של כב' סגן הנשיאה, השופט י.שקד כי מעיון בכתב התביעה עולה כי אין מדובר בתובענה להתרת נישואין אלא בבקשה לסעד הצהרתי והאמור הונח לעיוני. </w:t>
      </w:r>
    </w:p>
    <w:p w:rsidR="001D141A" w:rsidRDefault="001D141A" w:rsidP="001D141A">
      <w:pPr>
        <w:pStyle w:val="a9"/>
        <w:spacing w:line="360" w:lineRule="auto"/>
        <w:ind w:left="425"/>
        <w:jc w:val="both"/>
        <w:rPr>
          <w:rFonts w:ascii="Arial" w:hAnsi="Arial"/>
          <w:noProof w:val="0"/>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עת התובענה הונחה לעיוני, בהחלטתי מיום 8.10.2024, לאחר עיון בכתב התביעה ובסעדי התביעה, ביקשתי את עמדת התובע באשר לסמכותו של בית המשפט כאן לתת סעד הצהרתי לתיקון המרשם. כך גם ביקשתי התייחסות התובע לרשימת הסעדים באשר להוראת סעיף 7 לחוק בית המשפט לענייני משפחה, תשנ"ה </w:t>
      </w:r>
      <w:r>
        <w:rPr>
          <w:rFonts w:ascii="Arial" w:hAnsi="Arial"/>
          <w:noProof w:val="0"/>
          <w:rtl/>
        </w:rPr>
        <w:t>–</w:t>
      </w:r>
      <w:r>
        <w:rPr>
          <w:rFonts w:ascii="Arial" w:hAnsi="Arial" w:hint="cs"/>
          <w:noProof w:val="0"/>
          <w:rtl/>
        </w:rPr>
        <w:t xml:space="preserve"> 1995 (להלן: "החוק"). </w:t>
      </w:r>
    </w:p>
    <w:p w:rsidR="001D141A" w:rsidRDefault="001D141A" w:rsidP="001D141A">
      <w:pPr>
        <w:pStyle w:val="a9"/>
        <w:spacing w:line="360" w:lineRule="auto"/>
        <w:ind w:left="425"/>
        <w:jc w:val="both"/>
        <w:rPr>
          <w:rFonts w:ascii="Arial" w:hAnsi="Arial"/>
          <w:noProof w:val="0"/>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טענות התובע באשר להחלטתי מיום 8.10.2024 הובאו בהרחבה לעיל. </w:t>
      </w:r>
    </w:p>
    <w:p w:rsidR="001D141A" w:rsidRPr="006D4730" w:rsidRDefault="001D141A" w:rsidP="001D141A">
      <w:pPr>
        <w:pStyle w:val="a9"/>
        <w:rPr>
          <w:rFonts w:ascii="David" w:hAnsi="David"/>
          <w:rtl/>
        </w:rPr>
      </w:pPr>
    </w:p>
    <w:p w:rsidR="001D141A" w:rsidRPr="006D4730" w:rsidRDefault="001D141A" w:rsidP="001D141A">
      <w:pPr>
        <w:pStyle w:val="a9"/>
        <w:numPr>
          <w:ilvl w:val="0"/>
          <w:numId w:val="1"/>
        </w:numPr>
        <w:spacing w:line="360" w:lineRule="auto"/>
        <w:ind w:left="425"/>
        <w:jc w:val="both"/>
        <w:rPr>
          <w:rFonts w:ascii="Arial" w:hAnsi="Arial"/>
          <w:noProof w:val="0"/>
        </w:rPr>
      </w:pPr>
      <w:r w:rsidRPr="006D4730">
        <w:rPr>
          <w:rFonts w:ascii="David" w:hAnsi="David"/>
          <w:rtl/>
        </w:rPr>
        <w:t>תקנה 41 לתקנות סד"א קובעת כך:</w:t>
      </w:r>
    </w:p>
    <w:p w:rsidR="001D141A" w:rsidRDefault="001D141A" w:rsidP="001D141A">
      <w:pPr>
        <w:pStyle w:val="a9"/>
        <w:spacing w:line="360" w:lineRule="auto"/>
        <w:ind w:left="1218" w:right="993"/>
        <w:jc w:val="both"/>
        <w:rPr>
          <w:rFonts w:ascii="Miriam" w:hAnsi="Miriam" w:cs="Miriam"/>
        </w:rPr>
      </w:pPr>
      <w:r>
        <w:rPr>
          <w:rFonts w:ascii="Miriam" w:hAnsi="Miriam" w:cs="Miriam"/>
          <w:rtl/>
        </w:rPr>
        <w:t>"(א) בית המשפט רשאי להורות על מחיקת כתב תביעה בכל עת על יסוד אחד מנימוקים אלה:</w:t>
      </w:r>
    </w:p>
    <w:p w:rsidR="001D141A" w:rsidRDefault="001D141A" w:rsidP="001D141A">
      <w:pPr>
        <w:pStyle w:val="a9"/>
        <w:spacing w:line="360" w:lineRule="auto"/>
        <w:ind w:left="1218" w:right="993"/>
        <w:jc w:val="both"/>
        <w:rPr>
          <w:rFonts w:ascii="Miriam" w:hAnsi="Miriam" w:cs="Miriam"/>
          <w:rtl/>
        </w:rPr>
      </w:pPr>
      <w:r>
        <w:rPr>
          <w:rFonts w:ascii="Miriam" w:hAnsi="Miriam" w:cs="Miriam"/>
          <w:rtl/>
        </w:rPr>
        <w:t>(1) כתב התביעה אינו מגלה עילת תביעה</w:t>
      </w:r>
      <w:r>
        <w:rPr>
          <w:rFonts w:ascii="Miriam" w:hAnsi="Miriam" w:cs="Miriam"/>
        </w:rPr>
        <w:t>;</w:t>
      </w:r>
    </w:p>
    <w:p w:rsidR="001D141A" w:rsidRDefault="001D141A" w:rsidP="001D141A">
      <w:pPr>
        <w:pStyle w:val="a9"/>
        <w:spacing w:line="360" w:lineRule="auto"/>
        <w:ind w:left="1218" w:right="993"/>
        <w:jc w:val="both"/>
        <w:rPr>
          <w:rFonts w:ascii="Miriam" w:hAnsi="Miriam" w:cs="Miriam"/>
        </w:rPr>
      </w:pPr>
      <w:r>
        <w:rPr>
          <w:rFonts w:ascii="Miriam" w:hAnsi="Miriam" w:cs="Miriam"/>
          <w:rtl/>
        </w:rPr>
        <w:t>(...)</w:t>
      </w:r>
    </w:p>
    <w:p w:rsidR="001D141A" w:rsidRDefault="001D141A" w:rsidP="001D141A">
      <w:pPr>
        <w:pStyle w:val="a9"/>
        <w:spacing w:line="360" w:lineRule="auto"/>
        <w:ind w:left="1218" w:right="993"/>
        <w:jc w:val="both"/>
        <w:rPr>
          <w:rFonts w:ascii="Miriam" w:hAnsi="Miriam" w:cs="Miriam"/>
          <w:rtl/>
        </w:rPr>
      </w:pPr>
      <w:r>
        <w:rPr>
          <w:rFonts w:ascii="Miriam" w:hAnsi="Miriam" w:cs="Miriam"/>
          <w:rtl/>
        </w:rPr>
        <w:t>(4) כל נימוק אחר שלפיו הוא סבור שראוי ונכון למחוק את התביעה"</w:t>
      </w:r>
    </w:p>
    <w:p w:rsidR="001D141A" w:rsidRDefault="001D141A" w:rsidP="001D141A">
      <w:pPr>
        <w:pStyle w:val="a9"/>
        <w:spacing w:line="360" w:lineRule="auto"/>
        <w:ind w:right="426"/>
        <w:jc w:val="both"/>
        <w:rPr>
          <w:rFonts w:ascii="David" w:hAnsi="David"/>
          <w:b/>
          <w:bCs/>
          <w:rtl/>
        </w:rPr>
      </w:pPr>
      <w:r>
        <w:rPr>
          <w:rFonts w:ascii="David" w:hAnsi="David"/>
          <w:b/>
          <w:bCs/>
          <w:rtl/>
        </w:rPr>
        <w:tab/>
      </w:r>
    </w:p>
    <w:p w:rsidR="001D141A" w:rsidRDefault="001D141A" w:rsidP="001D141A">
      <w:pPr>
        <w:pStyle w:val="a9"/>
        <w:spacing w:line="360" w:lineRule="auto"/>
        <w:ind w:right="426"/>
        <w:jc w:val="both"/>
        <w:rPr>
          <w:rFonts w:ascii="David" w:hAnsi="David"/>
          <w:rtl/>
        </w:rPr>
      </w:pPr>
      <w:r>
        <w:rPr>
          <w:rFonts w:ascii="David" w:hAnsi="David"/>
          <w:rtl/>
        </w:rPr>
        <w:t>תקנה 43 לתקנות סד"א קובעת כך:</w:t>
      </w:r>
    </w:p>
    <w:p w:rsidR="001D141A" w:rsidRDefault="001D141A" w:rsidP="001D141A">
      <w:pPr>
        <w:pStyle w:val="a9"/>
        <w:spacing w:line="360" w:lineRule="auto"/>
        <w:ind w:left="1076" w:right="993"/>
        <w:jc w:val="both"/>
        <w:rPr>
          <w:rFonts w:ascii="Miriam" w:hAnsi="Miriam" w:cs="Miriam"/>
          <w:rtl/>
        </w:rPr>
      </w:pPr>
      <w:r>
        <w:rPr>
          <w:rFonts w:ascii="Miriam" w:hAnsi="Miriam" w:cs="Miriam"/>
          <w:rtl/>
        </w:rPr>
        <w:lastRenderedPageBreak/>
        <w:t>"בית המשפט רשאי לדחות תביעה בכל עת בשל קיומו של מעשה בית דין, התיישנות או מכל נימוק אחר, שלפיו הוא סבור כי ראוי ונכון לדחות את התביעה."</w:t>
      </w:r>
    </w:p>
    <w:p w:rsidR="001D141A" w:rsidRDefault="001D141A" w:rsidP="001D141A">
      <w:pPr>
        <w:pStyle w:val="a9"/>
        <w:rPr>
          <w:rFonts w:ascii="David" w:hAnsi="David"/>
          <w:rtl/>
        </w:rPr>
      </w:pPr>
    </w:p>
    <w:p w:rsidR="001D141A" w:rsidRDefault="001D141A" w:rsidP="001D141A">
      <w:pPr>
        <w:pStyle w:val="a9"/>
        <w:rPr>
          <w:rFonts w:ascii="David" w:hAnsi="David"/>
          <w:rtl/>
        </w:rPr>
      </w:pPr>
    </w:p>
    <w:p w:rsidR="001D141A" w:rsidRPr="006D4730" w:rsidRDefault="001D141A" w:rsidP="001D141A">
      <w:pPr>
        <w:pStyle w:val="a9"/>
        <w:numPr>
          <w:ilvl w:val="0"/>
          <w:numId w:val="1"/>
        </w:numPr>
        <w:spacing w:line="360" w:lineRule="auto"/>
        <w:ind w:left="425" w:hanging="437"/>
        <w:contextualSpacing w:val="0"/>
        <w:jc w:val="both"/>
        <w:rPr>
          <w:rFonts w:ascii="David" w:hAnsi="David"/>
          <w:rtl/>
        </w:rPr>
      </w:pPr>
      <w:r>
        <w:rPr>
          <w:rFonts w:ascii="David" w:hAnsi="David"/>
          <w:rtl/>
        </w:rPr>
        <w:t>התקנות מסמיכות את בית המשפט לסלק תביעה על הסף על בסיס העובדות הנטענות בכתב התביעה. ההלכה קובעת שרק במקרים קיצוניים וחריגים בית המשפט ימחק או ידחה תביעה על הסף ורק אם ברור מכוח העובדות המפורטות בכתב התביעה, אף עם יעלה בידם של התובע להוכיח את כל טענותי</w:t>
      </w:r>
      <w:r>
        <w:rPr>
          <w:rFonts w:ascii="David" w:hAnsi="David" w:hint="cs"/>
          <w:rtl/>
        </w:rPr>
        <w:t>ו</w:t>
      </w:r>
      <w:r>
        <w:rPr>
          <w:rFonts w:ascii="David" w:hAnsi="David"/>
          <w:rtl/>
        </w:rPr>
        <w:t>, לא יוכל לזכות בסעד המבוקש, תסולק התביעה על הסף (</w:t>
      </w:r>
      <w:r w:rsidRPr="006D4730">
        <w:rPr>
          <w:rFonts w:ascii="David" w:hAnsi="David"/>
          <w:rtl/>
        </w:rPr>
        <w:t xml:space="preserve">ראו </w:t>
      </w:r>
      <w:hyperlink r:id="rId7" w:history="1">
        <w:r w:rsidRPr="006D4730">
          <w:rPr>
            <w:rStyle w:val="Hyperlink"/>
            <w:rFonts w:ascii="David" w:hAnsi="David"/>
            <w:rtl/>
          </w:rPr>
          <w:t>ע"א 2582/09</w:t>
        </w:r>
      </w:hyperlink>
      <w:r w:rsidRPr="006D4730">
        <w:rPr>
          <w:rFonts w:ascii="David" w:hAnsi="David"/>
          <w:rtl/>
        </w:rPr>
        <w:t xml:space="preserve"> </w:t>
      </w:r>
      <w:r w:rsidRPr="006D4730">
        <w:rPr>
          <w:rFonts w:ascii="David" w:hAnsi="David" w:hint="cs"/>
          <w:b/>
          <w:bCs/>
          <w:rtl/>
        </w:rPr>
        <w:t>הדייה גנאים נ' בית החולים רמב"ם</w:t>
      </w:r>
      <w:r w:rsidRPr="006D4730">
        <w:rPr>
          <w:rFonts w:ascii="David" w:hAnsi="David" w:hint="cs"/>
          <w:rtl/>
        </w:rPr>
        <w:t xml:space="preserve"> [פורסם במאגרים משפטיים] (8.8.2010) </w:t>
      </w:r>
      <w:r w:rsidRPr="006D4730">
        <w:rPr>
          <w:rFonts w:ascii="David" w:hAnsi="David"/>
        </w:rPr>
        <w:t>;</w:t>
      </w:r>
      <w:r w:rsidRPr="006D4730">
        <w:rPr>
          <w:rFonts w:ascii="David" w:hAnsi="David"/>
          <w:rtl/>
        </w:rPr>
        <w:t xml:space="preserve"> </w:t>
      </w:r>
      <w:hyperlink r:id="rId8" w:history="1">
        <w:r w:rsidRPr="006D4730">
          <w:rPr>
            <w:rStyle w:val="Hyperlink"/>
            <w:rFonts w:ascii="David" w:hAnsi="David"/>
            <w:rtl/>
          </w:rPr>
          <w:t>ע"א 5634/05</w:t>
        </w:r>
      </w:hyperlink>
      <w:r w:rsidRPr="006D4730">
        <w:rPr>
          <w:rFonts w:ascii="David" w:hAnsi="David"/>
          <w:rtl/>
        </w:rPr>
        <w:t xml:space="preserve"> </w:t>
      </w:r>
      <w:r w:rsidRPr="006D4730">
        <w:rPr>
          <w:rFonts w:ascii="David" w:hAnsi="David" w:hint="cs"/>
          <w:b/>
          <w:bCs/>
          <w:rtl/>
        </w:rPr>
        <w:t>צוקית הכרמל פרויקטים בע"מ נ' מיכה צח חברה לקבלנות כללית בע"מ</w:t>
      </w:r>
      <w:r w:rsidRPr="006D4730">
        <w:rPr>
          <w:rFonts w:ascii="David" w:hAnsi="David" w:hint="cs"/>
          <w:rtl/>
        </w:rPr>
        <w:t xml:space="preserve"> [פורסם במאגרים] (4/6/07)</w:t>
      </w:r>
      <w:r w:rsidRPr="006D4730">
        <w:rPr>
          <w:rFonts w:ascii="David" w:hAnsi="David"/>
        </w:rPr>
        <w:t xml:space="preserve">; </w:t>
      </w:r>
      <w:hyperlink r:id="rId9" w:history="1">
        <w:r w:rsidRPr="006D4730">
          <w:rPr>
            <w:rStyle w:val="Hyperlink"/>
            <w:rFonts w:ascii="David" w:hAnsi="David"/>
            <w:rtl/>
          </w:rPr>
          <w:t>ע"א 109/84 ורבר נ' אורדן, פ"ד מא</w:t>
        </w:r>
      </w:hyperlink>
      <w:r w:rsidRPr="006D4730">
        <w:rPr>
          <w:rFonts w:ascii="David" w:hAnsi="David"/>
          <w:rtl/>
        </w:rPr>
        <w:t xml:space="preserve">(1) 577) </w:t>
      </w:r>
      <w:r w:rsidRPr="006D4730">
        <w:rPr>
          <w:rFonts w:ascii="David" w:hAnsi="David"/>
        </w:rPr>
        <w:t>(</w:t>
      </w:r>
      <w:r w:rsidRPr="006D4730">
        <w:rPr>
          <w:rFonts w:ascii="David" w:hAnsi="David"/>
          <w:rtl/>
        </w:rPr>
        <w:t>.</w:t>
      </w:r>
    </w:p>
    <w:p w:rsidR="001D141A" w:rsidRDefault="001D141A" w:rsidP="001D141A">
      <w:pPr>
        <w:spacing w:line="360" w:lineRule="auto"/>
        <w:jc w:val="both"/>
        <w:rPr>
          <w:rFonts w:ascii="David" w:hAnsi="David"/>
        </w:rPr>
      </w:pPr>
    </w:p>
    <w:p w:rsidR="001D141A" w:rsidRDefault="001D141A" w:rsidP="001D141A">
      <w:pPr>
        <w:spacing w:line="360" w:lineRule="auto"/>
        <w:ind w:left="368" w:firstLine="8"/>
        <w:jc w:val="both"/>
        <w:rPr>
          <w:rFonts w:ascii="David" w:hAnsi="David"/>
          <w:rtl/>
        </w:rPr>
      </w:pPr>
      <w:r>
        <w:rPr>
          <w:rFonts w:ascii="David" w:hAnsi="David"/>
          <w:rtl/>
        </w:rPr>
        <w:t xml:space="preserve">אני סבורה כי דווקא המקרה שלפני, הוא זה המצדיק היעתרות לבקשה. ולהלן נימוקי. </w:t>
      </w:r>
    </w:p>
    <w:p w:rsidR="001D141A" w:rsidRDefault="001D141A" w:rsidP="001D141A">
      <w:pPr>
        <w:pStyle w:val="a9"/>
        <w:spacing w:line="360" w:lineRule="auto"/>
        <w:ind w:left="368"/>
        <w:jc w:val="both"/>
        <w:rPr>
          <w:rFonts w:ascii="David" w:hAnsi="David"/>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ראשית ועל אף שמסביר התובע כי פועל יוצא של קבלת הסעד ההצהרתי בדבר התרת הנישואין שבין המנוח ובין הנתבעת יביא לשינוי המרשם, לא טרח זה להתייחס למקור הסמכות ליתן את הצו המפנה לתיקון המרשם כמבוקש. בית המשפט כאן נעדר כל סמכות להורות על תיקון המרשם כמבוקש, אף לו היה מקום להיעתר ליתר סעדי התביעה. </w:t>
      </w:r>
    </w:p>
    <w:p w:rsidR="001D141A" w:rsidRPr="00B8442B"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lastRenderedPageBreak/>
        <w:t xml:space="preserve">שנית ובאשר ליתר סעדי התביעה </w:t>
      </w:r>
      <w:r>
        <w:rPr>
          <w:rFonts w:ascii="Arial" w:hAnsi="Arial"/>
          <w:noProof w:val="0"/>
          <w:rtl/>
        </w:rPr>
        <w:t>–</w:t>
      </w:r>
      <w:r>
        <w:rPr>
          <w:rFonts w:ascii="Arial" w:hAnsi="Arial" w:hint="cs"/>
          <w:noProof w:val="0"/>
          <w:rtl/>
        </w:rPr>
        <w:t xml:space="preserve"> כבר בהחלטתי מיום 8.10.2024 הפניתי את התובע להוראת סעיף 7 לחוק הקובעת סמכות בית המשפט לתת הוראות באשר ל"</w:t>
      </w:r>
      <w:r w:rsidRPr="00E35150">
        <w:rPr>
          <w:rFonts w:ascii="Miriam" w:hAnsi="Miriam" w:cs="Miriam"/>
          <w:noProof w:val="0"/>
          <w:rtl/>
        </w:rPr>
        <w:t xml:space="preserve">הליכי ביצוע </w:t>
      </w:r>
      <w:r w:rsidRPr="00E35150">
        <w:rPr>
          <w:rFonts w:ascii="Miriam" w:hAnsi="Miriam" w:cs="Miriam"/>
          <w:b/>
          <w:bCs/>
          <w:noProof w:val="0"/>
          <w:rtl/>
        </w:rPr>
        <w:t>בתובענה לאיזון משאבים בין בני זוג</w:t>
      </w:r>
      <w:r w:rsidRPr="00E35150">
        <w:rPr>
          <w:rFonts w:ascii="Miriam" w:hAnsi="Miriam" w:cs="Miriam"/>
          <w:noProof w:val="0"/>
          <w:rtl/>
        </w:rPr>
        <w:t xml:space="preserve"> או </w:t>
      </w:r>
      <w:r w:rsidRPr="00E35150">
        <w:rPr>
          <w:rFonts w:ascii="Miriam" w:hAnsi="Miriam" w:cs="Miriam"/>
          <w:b/>
          <w:bCs/>
          <w:noProof w:val="0"/>
          <w:rtl/>
        </w:rPr>
        <w:t>בתובענה לפירוק שיתוף בנכס של בני זוג</w:t>
      </w:r>
      <w:r w:rsidRPr="00E35150">
        <w:rPr>
          <w:rFonts w:ascii="Miriam" w:hAnsi="Miriam" w:cs="Miriam"/>
          <w:noProof w:val="0"/>
          <w:rtl/>
        </w:rPr>
        <w:t xml:space="preserve"> או </w:t>
      </w:r>
      <w:r w:rsidRPr="00E35150">
        <w:rPr>
          <w:rFonts w:ascii="Miriam" w:hAnsi="Miriam" w:cs="Miriam"/>
          <w:b/>
          <w:bCs/>
          <w:noProof w:val="0"/>
          <w:rtl/>
        </w:rPr>
        <w:t>בתובענה בענינו של קטין, למעט בעניני רכושו</w:t>
      </w:r>
      <w:r w:rsidRPr="00E35150">
        <w:rPr>
          <w:rFonts w:ascii="Miriam" w:hAnsi="Miriam" w:cs="Miriam"/>
          <w:noProof w:val="0"/>
          <w:rtl/>
        </w:rPr>
        <w:t>"</w:t>
      </w:r>
      <w:r>
        <w:rPr>
          <w:rFonts w:ascii="Arial" w:hAnsi="Arial" w:hint="cs"/>
          <w:noProof w:val="0"/>
          <w:rtl/>
        </w:rPr>
        <w:t xml:space="preserve"> (כל ההדגשות שלי, ל.א.). גם עניין זה לא קיבל כל מענה ענייני בתגובת המבקש (הגם שנשאה כותרת "הודעת הבהרה "). למעשה אין בהליך זה שלפני כל עניין של אכיפת ביצוע הוראות של איזון משאבים, פירוק שיתוף בנכס של בני הזוג או תובענה בעניינו של קטין המחייבת הוראות ביצוע על ידי בית המשפט. אם כך, הסעד המתאים והנכון אינו לפי סעיף 7 לחוק. היה מקום להסתפק בדברים אלו לטובת דחיית התביעה על הסף ואולם על מנת שלא להותיר החלטתי בחסר, אני מוצאת להרחיב גם ביחס לשאר הטענות. </w:t>
      </w:r>
    </w:p>
    <w:p w:rsidR="001D141A" w:rsidRPr="00FD0FB3"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התובע מסביר בהרחבה כי הסעד המבוקש הוא סעד הצהרתי, כלומר אינו סעד של ביצוע הוראות פסק הדין. התובענה עצמה מתייחסת לעניין של התרת נישואין וקביעת מעמדו של המנוח ביחס לנתבעת וכמי שהשלימו את הליך "הגירושין".</w:t>
      </w:r>
    </w:p>
    <w:p w:rsidR="001D141A" w:rsidRPr="00E76DCE" w:rsidRDefault="001D141A" w:rsidP="001D141A">
      <w:pPr>
        <w:pStyle w:val="a9"/>
        <w:rPr>
          <w:rFonts w:ascii="Arial" w:hAnsi="Arial"/>
          <w:noProof w:val="0"/>
          <w:rtl/>
        </w:rPr>
      </w:pPr>
    </w:p>
    <w:p w:rsidR="001D141A" w:rsidRPr="00E35150"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יודגש, הגם שלא אחת ציין הנתבע כי עסקינן בהשלמת הליך גירושין, הרי בני הזוג נדרשו להליך אשר יברר האם יש סמכות לבית המשפט לקבוע את התרת הנישואין של השניים אם לאו.  </w:t>
      </w:r>
      <w:r w:rsidRPr="00E35150">
        <w:rPr>
          <w:rFonts w:ascii="Arial" w:hAnsi="Arial" w:hint="cs"/>
          <w:noProof w:val="0"/>
          <w:rtl/>
        </w:rPr>
        <w:t xml:space="preserve">עיון בפסק הדין מיום 22.4.2001 מבהיר במפורש כי </w:t>
      </w:r>
      <w:r w:rsidRPr="00E35150">
        <w:rPr>
          <w:rFonts w:ascii="Arial" w:hAnsi="Arial" w:hint="cs"/>
          <w:b/>
          <w:bCs/>
          <w:noProof w:val="0"/>
          <w:rtl/>
        </w:rPr>
        <w:t>"פסק הדין אינו חל על נושא הנישואין אשר הסמכות להתרת טרם נקבעה"</w:t>
      </w:r>
      <w:r w:rsidRPr="00E35150">
        <w:rPr>
          <w:rFonts w:ascii="Arial" w:hAnsi="Arial" w:hint="cs"/>
          <w:noProof w:val="0"/>
          <w:rtl/>
        </w:rPr>
        <w:t>.</w:t>
      </w:r>
      <w:r>
        <w:rPr>
          <w:rFonts w:ascii="Arial" w:hAnsi="Arial" w:hint="cs"/>
          <w:noProof w:val="0"/>
          <w:rtl/>
        </w:rPr>
        <w:t xml:space="preserve"> אם כך, אף לו היה מקום ליתן הוראות ביצוע של פסק הדין </w:t>
      </w:r>
      <w:r>
        <w:rPr>
          <w:rFonts w:ascii="Arial" w:hAnsi="Arial"/>
          <w:noProof w:val="0"/>
          <w:rtl/>
        </w:rPr>
        <w:t>–</w:t>
      </w:r>
      <w:r>
        <w:rPr>
          <w:rFonts w:ascii="Arial" w:hAnsi="Arial" w:hint="cs"/>
          <w:noProof w:val="0"/>
          <w:rtl/>
        </w:rPr>
        <w:t xml:space="preserve"> הגם שכפי שציינתי לא ניתן ליתן סעד הצהרתי כמבוקש במסגרת הליך לפי סעיף 7 לחוק </w:t>
      </w:r>
      <w:r>
        <w:rPr>
          <w:rFonts w:ascii="Arial" w:hAnsi="Arial"/>
          <w:noProof w:val="0"/>
          <w:rtl/>
        </w:rPr>
        <w:t>–</w:t>
      </w:r>
      <w:r>
        <w:rPr>
          <w:rFonts w:ascii="Arial" w:hAnsi="Arial" w:hint="cs"/>
          <w:noProof w:val="0"/>
          <w:rtl/>
        </w:rPr>
        <w:t xml:space="preserve"> הרי פסק הדין כלל לא חל על עניין זה ולא ניתן לאמור כל תוקף של פסק דין. </w:t>
      </w:r>
    </w:p>
    <w:p w:rsidR="001D141A" w:rsidRPr="00F87245"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lastRenderedPageBreak/>
        <w:t xml:space="preserve">יש להבהיר כי המנוח והנתבעת בהליך המשפטי שנוהל ביניהם ציינו לפרוטוקול כי נישואיהם האזרחיים היו ב..... בשים לב כי המנוח היה יהודי והנתבעת אינה יהודייה ואולם האמור לא התברר לאשורו ולא נקבעה סמכותו של בית המשפט לענייני משפחה בהקשר לאמור. </w:t>
      </w:r>
    </w:p>
    <w:p w:rsidR="001D141A" w:rsidRPr="00C566EA"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sidRPr="00FF6E9C">
        <w:rPr>
          <w:rFonts w:ascii="Arial" w:hAnsi="Arial" w:hint="cs"/>
          <w:noProof w:val="0"/>
          <w:rtl/>
        </w:rPr>
        <w:t>בשים לב כי אין כל הליך של התרת נישואין ולא נקבע דבר בעניין זה לפני המותב שדן בהליך שבין המנוח ובין הנתבעת, בית המשפט כאן לא יידרש להלי</w:t>
      </w:r>
      <w:r>
        <w:rPr>
          <w:rFonts w:ascii="Arial" w:hAnsi="Arial" w:hint="cs"/>
          <w:noProof w:val="0"/>
          <w:rtl/>
        </w:rPr>
        <w:t xml:space="preserve">ך של "סעד הצהרתי לתוקפם של התרת הנישואים של המנוח והנתבעת" שכלל לא נולד. בהקשר לכך יצוין כי לו אכן היה הליך של התרת נישואין, הרי ממילא לא היה נדרש הסעד המבוקש כסעד הצהרתי. </w:t>
      </w:r>
    </w:p>
    <w:p w:rsidR="001D141A" w:rsidRPr="00681EE8"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אם לא די בכך, אני מוצאת להדגיש כי הליך של התרת נישואין אינו הליך של מה בכך ואין די בכך שציינו השניים בהסכם ביניהם על כוונתם להשלים את ההליך כדי להביא להתרת הנישואין. התרת נישואין חל על בני זוג שאינם משתייכים לאותה הדת נוכח סמכותו הבלעדית בענייני נישואין וגירושין לערכאה המוסמכת בהתאם לדין האישי של הצדדים. התרת נישואין הינו הליך משפטי נפרד על פי חוק שיפוט בענייני התרת נישואין (מקרים מיוחדים וסמכות בין-לאומית), תשכ"ט </w:t>
      </w:r>
      <w:r>
        <w:rPr>
          <w:rFonts w:ascii="Arial" w:hAnsi="Arial"/>
          <w:noProof w:val="0"/>
          <w:rtl/>
        </w:rPr>
        <w:t>–</w:t>
      </w:r>
      <w:r>
        <w:rPr>
          <w:rFonts w:ascii="Arial" w:hAnsi="Arial" w:hint="cs"/>
          <w:noProof w:val="0"/>
          <w:rtl/>
        </w:rPr>
        <w:t xml:space="preserve"> 1969 המחייב תחילה בירור מקור סמכותו של בית המשפט לענייני משפחה. משכך הם פני הדברים, הרי לא ניתן לפנות בבקשה לסעד הצהרתי מכוח הסכם גירושין. ממילא אין כל הליך של התרת נישואין בין המנוח ובין הנתבעת ועל כן אין אני נדרשת לכך. </w:t>
      </w:r>
    </w:p>
    <w:p w:rsidR="001D141A" w:rsidRPr="00767998"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מעבר לכל האמור לא מצאתי מקום להתייחס ליתר הטענות באשר לנחיצות הסעד המבוקש, לא בזיקה לנכסיו של המנוח מחוץ לישראל ולא בזיקה ליתר ההליכים המתנהלים בין הצדדים. </w:t>
      </w:r>
    </w:p>
    <w:p w:rsidR="001D141A" w:rsidRPr="00354BD7"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lastRenderedPageBreak/>
        <w:t xml:space="preserve">לאור כל האמור לעיל, דין התביעה להימחק. </w:t>
      </w:r>
    </w:p>
    <w:p w:rsidR="001D141A" w:rsidRPr="000D16DA"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הואיל ולא נדרשה הנתבעת להגיש כתב הגנה והתביעה נמחקת קודם להגשת כתב הגנה, אין צו להוצאות. </w:t>
      </w:r>
    </w:p>
    <w:p w:rsidR="001D141A" w:rsidRPr="000D16DA"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המזכירות תעביר פסק הדין לעיון הצדדים. </w:t>
      </w:r>
    </w:p>
    <w:p w:rsidR="001D141A" w:rsidRPr="000D16DA" w:rsidRDefault="001D141A" w:rsidP="001D141A">
      <w:pPr>
        <w:pStyle w:val="a9"/>
        <w:rPr>
          <w:rFonts w:ascii="Arial" w:hAnsi="Arial"/>
          <w:noProof w:val="0"/>
          <w:rtl/>
        </w:rPr>
      </w:pPr>
    </w:p>
    <w:p w:rsidR="001D141A" w:rsidRDefault="001D141A" w:rsidP="001D141A">
      <w:pPr>
        <w:pStyle w:val="a9"/>
        <w:numPr>
          <w:ilvl w:val="0"/>
          <w:numId w:val="1"/>
        </w:numPr>
        <w:spacing w:line="360" w:lineRule="auto"/>
        <w:ind w:left="425"/>
        <w:jc w:val="both"/>
        <w:rPr>
          <w:rFonts w:ascii="Arial" w:hAnsi="Arial"/>
          <w:noProof w:val="0"/>
        </w:rPr>
      </w:pPr>
      <w:r>
        <w:rPr>
          <w:rFonts w:ascii="Arial" w:hAnsi="Arial" w:hint="cs"/>
          <w:noProof w:val="0"/>
          <w:rtl/>
        </w:rPr>
        <w:t xml:space="preserve">מתירה פרסום פסק הדין ללא פרטים מזהים. </w:t>
      </w:r>
    </w:p>
    <w:p w:rsidR="001D141A" w:rsidRPr="00354BD7" w:rsidRDefault="001D141A" w:rsidP="001D141A">
      <w:pPr>
        <w:pStyle w:val="a9"/>
        <w:rPr>
          <w:rFonts w:ascii="Arial" w:hAnsi="Arial"/>
          <w:noProof w:val="0"/>
          <w:rtl/>
        </w:rPr>
      </w:pPr>
    </w:p>
    <w:p w:rsidR="001D141A" w:rsidRDefault="001D141A" w:rsidP="001D141A">
      <w:pPr>
        <w:spacing w:line="360" w:lineRule="auto"/>
        <w:jc w:val="both"/>
        <w:rPr>
          <w:rFonts w:ascii="Arial" w:hAnsi="Arial"/>
          <w:noProof w:val="0"/>
          <w:rtl/>
        </w:rPr>
      </w:pPr>
    </w:p>
    <w:p w:rsidR="001D141A" w:rsidRDefault="001D141A" w:rsidP="001D141A">
      <w:pPr>
        <w:spacing w:line="360" w:lineRule="auto"/>
        <w:jc w:val="both"/>
        <w:rPr>
          <w:rFonts w:ascii="Arial" w:hAnsi="Arial"/>
          <w:noProof w:val="0"/>
          <w:rtl/>
        </w:rPr>
      </w:pPr>
      <w:r>
        <w:rPr>
          <w:rFonts w:ascii="Arial" w:hAnsi="Arial"/>
          <w:noProof w:val="0"/>
          <w:rtl/>
        </w:rPr>
        <w:t xml:space="preserve">ניתן היום,  </w:t>
      </w:r>
      <w:sdt>
        <w:sdtPr>
          <w:rPr>
            <w:rtl/>
          </w:rPr>
          <w:alias w:val="1455"/>
          <w:tag w:val="1455"/>
          <w:id w:val="-181669360"/>
          <w:text w:multiLine="1"/>
        </w:sdtPr>
        <w:sdtEndPr/>
        <w:sdtContent>
          <w:r>
            <w:rPr>
              <w:rFonts w:ascii="Arial" w:hAnsi="Arial"/>
              <w:noProof w:val="0"/>
              <w:rtl/>
            </w:rPr>
            <w:t>כ"ח תשרי תשפ"ה</w:t>
          </w:r>
        </w:sdtContent>
      </w:sdt>
      <w:r>
        <w:rPr>
          <w:rFonts w:ascii="Arial" w:hAnsi="Arial"/>
          <w:noProof w:val="0"/>
          <w:rtl/>
        </w:rPr>
        <w:t xml:space="preserve">, </w:t>
      </w:r>
      <w:sdt>
        <w:sdtPr>
          <w:rPr>
            <w:rtl/>
          </w:rPr>
          <w:alias w:val="1456"/>
          <w:tag w:val="1456"/>
          <w:id w:val="-1091704228"/>
          <w:text w:multiLine="1"/>
        </w:sdtPr>
        <w:sdtEndPr/>
        <w:sdtContent>
          <w:r>
            <w:rPr>
              <w:rFonts w:ascii="Arial" w:hAnsi="Arial"/>
              <w:noProof w:val="0"/>
              <w:rtl/>
            </w:rPr>
            <w:t>30 אוקטובר 2024</w:t>
          </w:r>
        </w:sdtContent>
      </w:sdt>
      <w:r>
        <w:rPr>
          <w:rFonts w:ascii="Arial" w:hAnsi="Arial"/>
          <w:noProof w:val="0"/>
          <w:rtl/>
        </w:rPr>
        <w:t>, בהעדר הצדדים.</w:t>
      </w:r>
    </w:p>
    <w:p w:rsidR="001D141A" w:rsidRDefault="001D141A" w:rsidP="001D141A">
      <w:pPr>
        <w:spacing w:line="360" w:lineRule="auto"/>
        <w:jc w:val="both"/>
        <w:rPr>
          <w:rFonts w:ascii="Arial" w:hAnsi="Arial"/>
          <w:noProof w:val="0"/>
          <w:rtl/>
        </w:rPr>
      </w:pPr>
    </w:p>
    <w:p w:rsidR="001D141A" w:rsidRDefault="008972C6" w:rsidP="001D141A">
      <w:pPr>
        <w:spacing w:line="360" w:lineRule="auto"/>
        <w:ind w:left="3600" w:firstLine="720"/>
        <w:jc w:val="both"/>
      </w:pPr>
      <w:sdt>
        <w:sdtPr>
          <w:rPr>
            <w:rtl/>
          </w:rPr>
          <w:alias w:val="MergeField"/>
          <w:tag w:val="1237"/>
          <w:id w:val="644932367"/>
        </w:sdtPr>
        <w:sdtEndPr/>
        <w:sdtContent>
          <w:r w:rsidR="001D141A">
            <w:drawing>
              <wp:inline distT="0" distB="0" distL="0" distR="0" wp14:anchorId="21C367AD" wp14:editId="606D24B9">
                <wp:extent cx="1200150" cy="920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10" cstate="print">
                          <a:extLst/>
                        </a:blip>
                        <a:stretch>
                          <a:fillRect/>
                        </a:stretch>
                      </pic:blipFill>
                      <pic:spPr>
                        <a:xfrm>
                          <a:off x="0" y="0"/>
                          <a:ext cx="1200150" cy="920750"/>
                        </a:xfrm>
                        <a:prstGeom prst="rect">
                          <a:avLst/>
                        </a:prstGeom>
                      </pic:spPr>
                    </pic:pic>
                  </a:graphicData>
                </a:graphic>
              </wp:inline>
            </w:drawing>
          </w:r>
        </w:sdtContent>
      </w:sdt>
    </w:p>
    <w:p w:rsidR="001D141A" w:rsidRDefault="001D141A" w:rsidP="001D141A">
      <w:pPr>
        <w:spacing w:line="360" w:lineRule="auto"/>
        <w:ind w:left="3600" w:firstLine="720"/>
        <w:jc w:val="both"/>
        <w:rPr>
          <w:rFonts w:ascii="Arial" w:hAnsi="Arial"/>
          <w:noProof w:val="0"/>
          <w:rtl/>
        </w:rPr>
      </w:pPr>
    </w:p>
    <w:p w:rsidR="001D141A" w:rsidRDefault="001D141A" w:rsidP="001D141A">
      <w:pPr>
        <w:spacing w:line="360" w:lineRule="auto"/>
        <w:jc w:val="both"/>
        <w:rPr>
          <w:rFonts w:ascii="Arial" w:hAnsi="Arial"/>
          <w:noProof w:val="0"/>
          <w:rtl/>
        </w:rPr>
      </w:pPr>
    </w:p>
    <w:p w:rsidR="0008590E" w:rsidRDefault="0008590E"/>
    <w:sectPr w:rsidR="0008590E" w:rsidSect="002914D6">
      <w:headerReference w:type="default" r:id="rId11"/>
      <w:footerReference w:type="default" r:id="rId12"/>
      <w:pgSz w:w="11907" w:h="16840" w:code="9"/>
      <w:pgMar w:top="720" w:right="1701" w:bottom="431" w:left="1701" w:header="720" w:footer="1055" w:gutter="0"/>
      <w:lnNumType w:countBy="1"/>
      <w:cols w:space="720"/>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72C6" w:rsidRDefault="008972C6" w:rsidP="001D141A">
      <w:r>
        <w:separator/>
      </w:r>
    </w:p>
  </w:endnote>
  <w:endnote w:type="continuationSeparator" w:id="0">
    <w:p w:rsidR="008972C6" w:rsidRDefault="008972C6" w:rsidP="001D1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1D141A">
    <w:pPr>
      <w:pStyle w:val="a5"/>
      <w:jc w:val="center"/>
      <w:rPr>
        <w:rStyle w:val="a8"/>
      </w:rPr>
    </w:pPr>
    <w:r>
      <w:rPr>
        <w:rStyle w:val="a8"/>
      </w:rPr>
      <w:fldChar w:fldCharType="begin"/>
    </w:r>
    <w:r>
      <w:rPr>
        <w:rStyle w:val="a8"/>
      </w:rPr>
      <w:instrText xml:space="preserve"> PAGE </w:instrText>
    </w:r>
    <w:r>
      <w:rPr>
        <w:rStyle w:val="a8"/>
      </w:rPr>
      <w:fldChar w:fldCharType="separate"/>
    </w:r>
    <w:r w:rsidR="00401BC3">
      <w:rPr>
        <w:rStyle w:val="a8"/>
        <w:rtl/>
      </w:rPr>
      <w:t>1</w:t>
    </w:r>
    <w:r>
      <w:rPr>
        <w:rStyle w:val="a8"/>
      </w:rPr>
      <w:fldChar w:fldCharType="end"/>
    </w:r>
    <w:r>
      <w:rPr>
        <w:rStyle w:val="a8"/>
        <w:rFonts w:hint="cs"/>
        <w:rtl/>
      </w:rPr>
      <w:t xml:space="preserve"> מתוך </w:t>
    </w:r>
    <w:r>
      <w:rPr>
        <w:rStyle w:val="a8"/>
      </w:rPr>
      <w:fldChar w:fldCharType="begin"/>
    </w:r>
    <w:r>
      <w:rPr>
        <w:rStyle w:val="a8"/>
      </w:rPr>
      <w:instrText xml:space="preserve"> NUMPAGES </w:instrText>
    </w:r>
    <w:r>
      <w:rPr>
        <w:rStyle w:val="a8"/>
      </w:rPr>
      <w:fldChar w:fldCharType="separate"/>
    </w:r>
    <w:r w:rsidR="00401BC3">
      <w:rPr>
        <w:rStyle w:val="a8"/>
        <w:rtl/>
      </w:rPr>
      <w:t>1</w:t>
    </w:r>
    <w:r>
      <w:rPr>
        <w:rStyle w:val="a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72C6" w:rsidRDefault="008972C6" w:rsidP="001D141A">
      <w:r>
        <w:separator/>
      </w:r>
    </w:p>
  </w:footnote>
  <w:footnote w:type="continuationSeparator" w:id="0">
    <w:p w:rsidR="008972C6" w:rsidRDefault="008972C6" w:rsidP="001D14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14D6" w:rsidRDefault="001D141A">
    <w:pPr>
      <w:pStyle w:val="a3"/>
      <w:jc w:val="center"/>
      <w:rPr>
        <w:rFonts w:cs="FrankRuehl"/>
        <w:noProof w:val="0"/>
        <w:sz w:val="28"/>
        <w:szCs w:val="28"/>
        <w:rtl/>
      </w:rPr>
    </w:pPr>
    <w:r>
      <w:rPr>
        <w:rFonts w:cs="FrankRuehl"/>
        <w:sz w:val="28"/>
        <w:szCs w:val="28"/>
      </w:rPr>
      <w:drawing>
        <wp:inline distT="0" distB="0" distL="0" distR="0" wp14:anchorId="5F4B3E9F" wp14:editId="64AE3B17">
          <wp:extent cx="371475" cy="466725"/>
          <wp:effectExtent l="0" t="0" r="9525" b="952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923"/>
      <w:gridCol w:w="3582"/>
    </w:tblGrid>
    <w:tr w:rsidR="002914D6">
      <w:trPr>
        <w:trHeight w:hRule="exact" w:val="418"/>
        <w:jc w:val="center"/>
      </w:trPr>
      <w:sdt>
        <w:sdtPr>
          <w:rPr>
            <w:rtl/>
          </w:rPr>
          <w:alias w:val="1174"/>
          <w:tag w:val="1174"/>
          <w:id w:val="-1271863099"/>
          <w:text/>
        </w:sdtPr>
        <w:sdtEndPr/>
        <w:sdtContent>
          <w:tc>
            <w:tcPr>
              <w:tcW w:w="8721" w:type="dxa"/>
              <w:gridSpan w:val="2"/>
            </w:tcPr>
            <w:p w:rsidR="002914D6" w:rsidRDefault="001D141A">
              <w:pPr>
                <w:pStyle w:val="a3"/>
                <w:jc w:val="center"/>
                <w:rPr>
                  <w:rFonts w:ascii="Tahoma" w:hAnsi="Tahoma" w:cs="Tahoma"/>
                  <w:noProof w:val="0"/>
                  <w:color w:val="000080"/>
                  <w:rtl/>
                </w:rPr>
              </w:pPr>
              <w:r>
                <w:rPr>
                  <w:rFonts w:ascii="Tahoma" w:hAnsi="Tahoma" w:cs="Tahoma"/>
                  <w:b/>
                  <w:bCs/>
                  <w:noProof w:val="0"/>
                  <w:color w:val="000080"/>
                  <w:rtl/>
                </w:rPr>
                <w:t>בית משפט לענייני משפחה בתל אביב -יפו</w:t>
              </w:r>
            </w:p>
          </w:tc>
        </w:sdtContent>
      </w:sdt>
    </w:tr>
    <w:tr w:rsidR="002914D6">
      <w:trPr>
        <w:trHeight w:val="337"/>
        <w:jc w:val="center"/>
      </w:trPr>
      <w:tc>
        <w:tcPr>
          <w:tcW w:w="5047" w:type="dxa"/>
        </w:tcPr>
        <w:p w:rsidR="002914D6" w:rsidRDefault="008972C6">
          <w:pPr>
            <w:rPr>
              <w:b/>
              <w:bCs/>
              <w:noProof w:val="0"/>
              <w:sz w:val="26"/>
              <w:szCs w:val="26"/>
              <w:rtl/>
            </w:rPr>
          </w:pPr>
        </w:p>
      </w:tc>
      <w:tc>
        <w:tcPr>
          <w:tcW w:w="3674" w:type="dxa"/>
        </w:tcPr>
        <w:p w:rsidR="002914D6" w:rsidRDefault="008972C6">
          <w:pPr>
            <w:pStyle w:val="a3"/>
            <w:jc w:val="right"/>
            <w:rPr>
              <w:b/>
              <w:bCs/>
              <w:noProof w:val="0"/>
              <w:sz w:val="26"/>
              <w:szCs w:val="26"/>
              <w:rtl/>
            </w:rPr>
          </w:pPr>
        </w:p>
      </w:tc>
    </w:tr>
    <w:tr w:rsidR="002914D6">
      <w:trPr>
        <w:trHeight w:val="337"/>
        <w:jc w:val="center"/>
      </w:trPr>
      <w:tc>
        <w:tcPr>
          <w:tcW w:w="8721" w:type="dxa"/>
          <w:gridSpan w:val="2"/>
        </w:tcPr>
        <w:p w:rsidR="002914D6" w:rsidRDefault="008972C6" w:rsidP="001D141A">
          <w:pPr>
            <w:rPr>
              <w:b/>
              <w:bCs/>
              <w:noProof w:val="0"/>
              <w:sz w:val="26"/>
              <w:szCs w:val="26"/>
              <w:rtl/>
            </w:rPr>
          </w:pPr>
          <w:sdt>
            <w:sdtPr>
              <w:rPr>
                <w:rtl/>
              </w:rPr>
              <w:alias w:val="1170"/>
              <w:tag w:val="1170"/>
              <w:id w:val="922609164"/>
              <w:text w:multiLine="1"/>
            </w:sdtPr>
            <w:sdtEndPr/>
            <w:sdtContent>
              <w:r w:rsidR="001D141A">
                <w:rPr>
                  <w:b/>
                  <w:bCs/>
                  <w:noProof w:val="0"/>
                  <w:sz w:val="26"/>
                  <w:szCs w:val="26"/>
                  <w:rtl/>
                </w:rPr>
                <w:t>תמ"ש</w:t>
              </w:r>
            </w:sdtContent>
          </w:sdt>
          <w:r w:rsidR="001D141A">
            <w:rPr>
              <w:b/>
              <w:bCs/>
              <w:noProof w:val="0"/>
              <w:sz w:val="26"/>
              <w:szCs w:val="26"/>
              <w:rtl/>
            </w:rPr>
            <w:t xml:space="preserve"> </w:t>
          </w:r>
          <w:sdt>
            <w:sdtPr>
              <w:rPr>
                <w:rtl/>
              </w:rPr>
              <w:alias w:val="1171"/>
              <w:tag w:val="1171"/>
              <w:id w:val="-1035651213"/>
              <w:text w:multiLine="1"/>
            </w:sdtPr>
            <w:sdtEndPr/>
            <w:sdtContent>
              <w:r w:rsidR="001D141A">
                <w:rPr>
                  <w:b/>
                  <w:bCs/>
                  <w:noProof w:val="0"/>
                  <w:sz w:val="26"/>
                  <w:szCs w:val="26"/>
                  <w:rtl/>
                </w:rPr>
                <w:t>29428-09-24</w:t>
              </w:r>
            </w:sdtContent>
          </w:sdt>
          <w:r w:rsidR="001D141A">
            <w:rPr>
              <w:b/>
              <w:bCs/>
              <w:noProof w:val="0"/>
              <w:sz w:val="26"/>
              <w:szCs w:val="26"/>
              <w:rtl/>
            </w:rPr>
            <w:t xml:space="preserve"> </w:t>
          </w:r>
          <w:sdt>
            <w:sdtPr>
              <w:rPr>
                <w:rtl/>
              </w:rPr>
              <w:alias w:val="1172"/>
              <w:tag w:val="1172"/>
              <w:id w:val="-1735694493"/>
              <w:text w:multiLine="1"/>
            </w:sdtPr>
            <w:sdtEndPr/>
            <w:sdtContent>
              <w:r w:rsidR="001D141A">
                <w:rPr>
                  <w:b/>
                  <w:bCs/>
                  <w:noProof w:val="0"/>
                  <w:sz w:val="26"/>
                  <w:szCs w:val="26"/>
                  <w:rtl/>
                </w:rPr>
                <w:t>ר</w:t>
              </w:r>
              <w:r w:rsidR="001D141A">
                <w:rPr>
                  <w:rFonts w:hint="cs"/>
                  <w:b/>
                  <w:bCs/>
                  <w:noProof w:val="0"/>
                  <w:sz w:val="26"/>
                  <w:szCs w:val="26"/>
                  <w:rtl/>
                </w:rPr>
                <w:t xml:space="preserve"> </w:t>
              </w:r>
              <w:r w:rsidR="001D141A">
                <w:rPr>
                  <w:b/>
                  <w:bCs/>
                  <w:noProof w:val="0"/>
                  <w:sz w:val="26"/>
                  <w:szCs w:val="26"/>
                  <w:rtl/>
                </w:rPr>
                <w:t xml:space="preserve"> נ' ס</w:t>
              </w:r>
            </w:sdtContent>
          </w:sdt>
        </w:p>
        <w:p w:rsidR="002914D6" w:rsidRDefault="008972C6">
          <w:pPr>
            <w:rPr>
              <w:rtl/>
            </w:rPr>
          </w:pPr>
        </w:p>
      </w:tc>
    </w:tr>
  </w:tbl>
  <w:p w:rsidR="002914D6" w:rsidRDefault="001D141A">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EF1457B"/>
    <w:multiLevelType w:val="hybridMultilevel"/>
    <w:tmpl w:val="4BBE4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41A"/>
    <w:rsid w:val="0008590E"/>
    <w:rsid w:val="001D141A"/>
    <w:rsid w:val="00401BC3"/>
    <w:rsid w:val="00447B52"/>
    <w:rsid w:val="0078469F"/>
    <w:rsid w:val="008972C6"/>
    <w:rsid w:val="009267C2"/>
    <w:rsid w:val="00CB031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745D688-A9D9-45AD-A010-08C4F7419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141A"/>
    <w:pPr>
      <w:bidi/>
      <w:spacing w:after="0" w:line="240" w:lineRule="auto"/>
    </w:pPr>
    <w:rPr>
      <w:rFonts w:ascii="Times New Roman" w:eastAsia="Times New Roman" w:hAnsi="Times New Roman" w:cs="David"/>
      <w:noProo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1D141A"/>
    <w:pPr>
      <w:tabs>
        <w:tab w:val="center" w:pos="4153"/>
        <w:tab w:val="right" w:pos="8306"/>
      </w:tabs>
    </w:pPr>
  </w:style>
  <w:style w:type="character" w:customStyle="1" w:styleId="a4">
    <w:name w:val="כותרת עליונה תו"/>
    <w:basedOn w:val="a0"/>
    <w:link w:val="a3"/>
    <w:rsid w:val="001D141A"/>
    <w:rPr>
      <w:rFonts w:ascii="Times New Roman" w:eastAsia="Times New Roman" w:hAnsi="Times New Roman" w:cs="David"/>
      <w:noProof/>
      <w:sz w:val="24"/>
      <w:szCs w:val="24"/>
    </w:rPr>
  </w:style>
  <w:style w:type="paragraph" w:styleId="a5">
    <w:name w:val="footer"/>
    <w:basedOn w:val="a"/>
    <w:link w:val="a6"/>
    <w:rsid w:val="001D141A"/>
    <w:pPr>
      <w:tabs>
        <w:tab w:val="center" w:pos="4153"/>
        <w:tab w:val="right" w:pos="8306"/>
      </w:tabs>
    </w:pPr>
  </w:style>
  <w:style w:type="character" w:customStyle="1" w:styleId="a6">
    <w:name w:val="כותרת תחתונה תו"/>
    <w:basedOn w:val="a0"/>
    <w:link w:val="a5"/>
    <w:rsid w:val="001D141A"/>
    <w:rPr>
      <w:rFonts w:ascii="Times New Roman" w:eastAsia="Times New Roman" w:hAnsi="Times New Roman" w:cs="David"/>
      <w:noProof/>
      <w:sz w:val="24"/>
      <w:szCs w:val="24"/>
    </w:rPr>
  </w:style>
  <w:style w:type="table" w:styleId="a7">
    <w:name w:val="Table Grid"/>
    <w:basedOn w:val="a1"/>
    <w:rsid w:val="001D141A"/>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1D141A"/>
  </w:style>
  <w:style w:type="paragraph" w:styleId="a9">
    <w:name w:val="List Paragraph"/>
    <w:basedOn w:val="a"/>
    <w:uiPriority w:val="34"/>
    <w:qFormat/>
    <w:rsid w:val="001D141A"/>
    <w:pPr>
      <w:ind w:left="720"/>
      <w:contextualSpacing/>
    </w:pPr>
  </w:style>
  <w:style w:type="character" w:styleId="Hyperlink">
    <w:name w:val="Hyperlink"/>
    <w:basedOn w:val="a0"/>
    <w:uiPriority w:val="99"/>
    <w:semiHidden/>
    <w:unhideWhenUsed/>
    <w:rsid w:val="001D141A"/>
    <w:rPr>
      <w:color w:val="0563C1"/>
      <w:u w:val="single"/>
    </w:rPr>
  </w:style>
  <w:style w:type="character" w:styleId="aa">
    <w:name w:val="line number"/>
    <w:basedOn w:val="a0"/>
    <w:uiPriority w:val="99"/>
    <w:semiHidden/>
    <w:unhideWhenUsed/>
    <w:rsid w:val="001D14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o.co.il/case/6024979"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evo.co.il/case/5844330"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hyperlink" Target="http://www.nevo.co.il/case/17910581"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1269</Words>
  <Characters>6349</Characters>
  <Application>Microsoft Office Word</Application>
  <DocSecurity>0</DocSecurity>
  <Lines>52</Lines>
  <Paragraphs>15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אורית פסנזון לוטנברג</dc:creator>
  <cp:keywords/>
  <dc:description/>
  <cp:lastModifiedBy>גרמאו מנגיסטו</cp:lastModifiedBy>
  <cp:revision>2</cp:revision>
  <dcterms:created xsi:type="dcterms:W3CDTF">2025-03-24T07:17:00Z</dcterms:created>
  <dcterms:modified xsi:type="dcterms:W3CDTF">2025-03-24T07:17:00Z</dcterms:modified>
</cp:coreProperties>
</file>