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261DD0" w:rsidRPr="00261DD0" w:rsidTr="00261DD0">
        <w:trPr>
          <w:jc w:val="center"/>
        </w:trPr>
        <w:tc>
          <w:tcPr>
            <w:tcW w:w="743" w:type="dxa"/>
            <w:hideMark/>
          </w:tcPr>
          <w:p w:rsidR="00261DD0" w:rsidRPr="00261DD0" w:rsidRDefault="00261DD0">
            <w:pPr>
              <w:jc w:val="both"/>
              <w:rPr>
                <w:rFonts w:ascii="FrankRuehl" w:hAnsi="FrankRuehl" w:cs="FrankRuehl"/>
                <w:b/>
                <w:bCs/>
                <w:sz w:val="28"/>
                <w:szCs w:val="28"/>
              </w:rPr>
            </w:pPr>
            <w:bookmarkStart w:id="0" w:name="_GoBack"/>
            <w:bookmarkEnd w:id="0"/>
            <w:r w:rsidRPr="00261DD0">
              <w:rPr>
                <w:rFonts w:ascii="FrankRuehl" w:hAnsi="FrankRuehl" w:cs="FrankRuehl"/>
                <w:b/>
                <w:bCs/>
                <w:sz w:val="28"/>
                <w:szCs w:val="28"/>
                <w:rtl/>
              </w:rPr>
              <w:t xml:space="preserve">בפני </w:t>
            </w:r>
          </w:p>
        </w:tc>
        <w:tc>
          <w:tcPr>
            <w:tcW w:w="8077" w:type="dxa"/>
            <w:gridSpan w:val="2"/>
            <w:hideMark/>
          </w:tcPr>
          <w:p w:rsidR="00261DD0" w:rsidRDefault="00261DD0">
            <w:pPr>
              <w:rPr>
                <w:rFonts w:ascii="FrankRuehl" w:hAnsi="FrankRuehl" w:cs="FrankRuehl"/>
                <w:b/>
                <w:bCs/>
                <w:sz w:val="28"/>
                <w:szCs w:val="28"/>
                <w:rtl/>
              </w:rPr>
            </w:pPr>
            <w:r w:rsidRPr="00261DD0">
              <w:rPr>
                <w:rFonts w:ascii="FrankRuehl" w:hAnsi="FrankRuehl" w:cs="FrankRuehl"/>
                <w:b/>
                <w:bCs/>
                <w:sz w:val="28"/>
                <w:szCs w:val="28"/>
                <w:rtl/>
              </w:rPr>
              <w:t>כבוד השופטת  הילה גורביץ עובדיה</w:t>
            </w:r>
          </w:p>
          <w:p w:rsidR="005B5E70" w:rsidRPr="00261DD0" w:rsidRDefault="005B5E70">
            <w:pPr>
              <w:rPr>
                <w:rFonts w:ascii="FrankRuehl" w:hAnsi="FrankRuehl" w:cs="FrankRuehl"/>
                <w:b/>
                <w:bCs/>
                <w:sz w:val="28"/>
                <w:szCs w:val="28"/>
              </w:rPr>
            </w:pPr>
          </w:p>
        </w:tc>
      </w:tr>
      <w:tr w:rsidR="00261DD0" w:rsidRPr="00261DD0" w:rsidTr="00261DD0">
        <w:trPr>
          <w:jc w:val="center"/>
        </w:trPr>
        <w:tc>
          <w:tcPr>
            <w:tcW w:w="3249" w:type="dxa"/>
            <w:gridSpan w:val="2"/>
            <w:hideMark/>
          </w:tcPr>
          <w:p w:rsidR="00261DD0" w:rsidRPr="00261DD0" w:rsidRDefault="00261DD0" w:rsidP="00606799">
            <w:pPr>
              <w:rPr>
                <w:rFonts w:ascii="FrankRuehl" w:hAnsi="FrankRuehl" w:cs="FrankRuehl"/>
                <w:b/>
                <w:bCs/>
                <w:noProof w:val="0"/>
                <w:sz w:val="28"/>
                <w:szCs w:val="28"/>
                <w:rtl/>
              </w:rPr>
            </w:pPr>
            <w:r w:rsidRPr="00261DD0">
              <w:rPr>
                <w:rFonts w:ascii="FrankRuehl" w:hAnsi="FrankRuehl" w:cs="FrankRuehl"/>
                <w:b/>
                <w:bCs/>
                <w:noProof w:val="0"/>
                <w:sz w:val="28"/>
                <w:szCs w:val="28"/>
                <w:rtl/>
              </w:rPr>
              <w:t>בעניין הקטין:</w:t>
            </w:r>
            <w:r w:rsidRPr="00261DD0">
              <w:rPr>
                <w:rFonts w:ascii="FrankRuehl" w:hAnsi="FrankRuehl" w:cs="FrankRuehl"/>
                <w:b/>
                <w:bCs/>
                <w:noProof w:val="0"/>
                <w:sz w:val="28"/>
                <w:szCs w:val="28"/>
                <w:rtl/>
              </w:rPr>
              <w:br/>
            </w:r>
            <w:r w:rsidRPr="00261DD0">
              <w:rPr>
                <w:rFonts w:ascii="FrankRuehl" w:hAnsi="FrankRuehl" w:cs="FrankRuehl"/>
                <w:b/>
                <w:bCs/>
                <w:noProof w:val="0"/>
                <w:sz w:val="28"/>
                <w:szCs w:val="28"/>
                <w:rtl/>
              </w:rPr>
              <w:br/>
            </w:r>
            <w:r w:rsidR="00606799">
              <w:rPr>
                <w:rFonts w:ascii="FrankRuehl" w:hAnsi="FrankRuehl" w:cs="FrankRuehl" w:hint="cs"/>
                <w:b/>
                <w:bCs/>
                <w:noProof w:val="0"/>
                <w:sz w:val="28"/>
                <w:szCs w:val="28"/>
                <w:rtl/>
              </w:rPr>
              <w:t>התובעת:</w:t>
            </w:r>
          </w:p>
        </w:tc>
        <w:tc>
          <w:tcPr>
            <w:tcW w:w="5571" w:type="dxa"/>
            <w:hideMark/>
          </w:tcPr>
          <w:p w:rsidR="00261DD0" w:rsidRPr="00261DD0" w:rsidRDefault="00606799" w:rsidP="00606799">
            <w:pPr>
              <w:rPr>
                <w:rFonts w:ascii="FrankRuehl" w:hAnsi="FrankRuehl" w:cs="FrankRuehl"/>
                <w:b/>
                <w:bCs/>
                <w:noProof w:val="0"/>
                <w:sz w:val="28"/>
                <w:szCs w:val="28"/>
              </w:rPr>
            </w:pPr>
            <w:r>
              <w:rPr>
                <w:rFonts w:ascii="FrankRuehl" w:hAnsi="FrankRuehl" w:cs="FrankRuehl" w:hint="cs"/>
                <w:b/>
                <w:bCs/>
                <w:noProof w:val="0"/>
                <w:sz w:val="28"/>
                <w:szCs w:val="28"/>
                <w:rtl/>
              </w:rPr>
              <w:t>ת.מ.ו.</w:t>
            </w:r>
            <w:r w:rsidR="00261DD0" w:rsidRPr="00261DD0">
              <w:rPr>
                <w:rFonts w:ascii="FrankRuehl" w:hAnsi="FrankRuehl" w:cs="FrankRuehl"/>
                <w:b/>
                <w:bCs/>
                <w:noProof w:val="0"/>
                <w:sz w:val="28"/>
                <w:szCs w:val="28"/>
                <w:rtl/>
              </w:rPr>
              <w:t xml:space="preserve"> ת"ז </w:t>
            </w:r>
            <w:r>
              <w:rPr>
                <w:rFonts w:ascii="FrankRuehl" w:hAnsi="FrankRuehl" w:cs="FrankRuehl"/>
                <w:b/>
                <w:bCs/>
                <w:noProof w:val="0"/>
                <w:sz w:val="28"/>
                <w:szCs w:val="28"/>
                <w:rtl/>
              </w:rPr>
              <w:t>--------</w:t>
            </w:r>
            <w:r w:rsidR="00261DD0" w:rsidRPr="00261DD0">
              <w:rPr>
                <w:rFonts w:ascii="FrankRuehl" w:hAnsi="FrankRuehl" w:cs="FrankRuehl"/>
                <w:b/>
                <w:bCs/>
                <w:noProof w:val="0"/>
                <w:sz w:val="28"/>
                <w:szCs w:val="28"/>
                <w:rtl/>
              </w:rPr>
              <w:br/>
            </w:r>
            <w:r w:rsidR="00261DD0" w:rsidRPr="00261DD0">
              <w:rPr>
                <w:rFonts w:ascii="FrankRuehl" w:hAnsi="FrankRuehl" w:cs="FrankRuehl"/>
                <w:b/>
                <w:bCs/>
                <w:noProof w:val="0"/>
                <w:sz w:val="28"/>
                <w:szCs w:val="28"/>
                <w:rtl/>
              </w:rPr>
              <w:br/>
            </w:r>
            <w:r>
              <w:rPr>
                <w:rFonts w:ascii="FrankRuehl" w:hAnsi="FrankRuehl" w:cs="FrankRuehl" w:hint="cs"/>
                <w:b/>
                <w:bCs/>
                <w:noProof w:val="0"/>
                <w:sz w:val="28"/>
                <w:szCs w:val="28"/>
                <w:rtl/>
              </w:rPr>
              <w:t xml:space="preserve">ל.א. </w:t>
            </w:r>
            <w:r w:rsidR="00261DD0" w:rsidRPr="00261DD0">
              <w:rPr>
                <w:rFonts w:ascii="FrankRuehl" w:hAnsi="FrankRuehl" w:cs="FrankRuehl"/>
                <w:b/>
                <w:bCs/>
                <w:noProof w:val="0"/>
                <w:sz w:val="28"/>
                <w:szCs w:val="28"/>
                <w:rtl/>
              </w:rPr>
              <w:t xml:space="preserve">ת"ז </w:t>
            </w:r>
            <w:r>
              <w:rPr>
                <w:rFonts w:ascii="FrankRuehl" w:hAnsi="FrankRuehl" w:cs="FrankRuehl"/>
                <w:b/>
                <w:bCs/>
                <w:noProof w:val="0"/>
                <w:sz w:val="28"/>
                <w:szCs w:val="28"/>
                <w:rtl/>
              </w:rPr>
              <w:t>--------</w:t>
            </w:r>
          </w:p>
          <w:p w:rsidR="00261DD0" w:rsidRPr="00261DD0" w:rsidRDefault="00261DD0" w:rsidP="005B5E70">
            <w:pPr>
              <w:rPr>
                <w:rFonts w:ascii="FrankRuehl" w:hAnsi="FrankRuehl" w:cs="FrankRuehl"/>
                <w:b/>
                <w:bCs/>
                <w:noProof w:val="0"/>
                <w:sz w:val="28"/>
                <w:szCs w:val="28"/>
                <w:rtl/>
              </w:rPr>
            </w:pPr>
            <w:r w:rsidRPr="00261DD0">
              <w:rPr>
                <w:rFonts w:ascii="FrankRuehl" w:hAnsi="FrankRuehl" w:cs="FrankRuehl"/>
                <w:b/>
                <w:bCs/>
                <w:noProof w:val="0"/>
                <w:sz w:val="28"/>
                <w:szCs w:val="28"/>
                <w:rtl/>
              </w:rPr>
              <w:t>ע"י ב"כ עוה"ד אורית גליקין</w:t>
            </w:r>
            <w:r w:rsidR="005B5E70">
              <w:rPr>
                <w:rFonts w:ascii="FrankRuehl" w:hAnsi="FrankRuehl" w:cs="FrankRuehl" w:hint="cs"/>
                <w:b/>
                <w:bCs/>
                <w:noProof w:val="0"/>
                <w:sz w:val="28"/>
                <w:szCs w:val="28"/>
                <w:rtl/>
              </w:rPr>
              <w:t xml:space="preserve"> - </w:t>
            </w:r>
            <w:r w:rsidRPr="00261DD0">
              <w:rPr>
                <w:rFonts w:ascii="FrankRuehl" w:hAnsi="FrankRuehl" w:cs="FrankRuehl"/>
                <w:b/>
                <w:bCs/>
                <w:noProof w:val="0"/>
                <w:sz w:val="28"/>
                <w:szCs w:val="28"/>
                <w:rtl/>
              </w:rPr>
              <w:t>לשכה לסיוע משפטי</w:t>
            </w:r>
          </w:p>
        </w:tc>
      </w:tr>
      <w:tr w:rsidR="00261DD0" w:rsidRPr="00261DD0" w:rsidTr="00261DD0">
        <w:trPr>
          <w:jc w:val="center"/>
        </w:trPr>
        <w:tc>
          <w:tcPr>
            <w:tcW w:w="8820" w:type="dxa"/>
            <w:gridSpan w:val="3"/>
          </w:tcPr>
          <w:p w:rsidR="00261DD0" w:rsidRPr="005B5E70" w:rsidRDefault="00261DD0">
            <w:pPr>
              <w:rPr>
                <w:rFonts w:ascii="FrankRuehl" w:hAnsi="FrankRuehl" w:cs="FrankRuehl"/>
                <w:b/>
                <w:bCs/>
                <w:noProof w:val="0"/>
                <w:sz w:val="28"/>
                <w:szCs w:val="28"/>
              </w:rPr>
            </w:pPr>
          </w:p>
          <w:p w:rsidR="00261DD0" w:rsidRPr="00261DD0" w:rsidRDefault="00261DD0">
            <w:pPr>
              <w:jc w:val="center"/>
              <w:rPr>
                <w:rFonts w:ascii="FrankRuehl" w:hAnsi="FrankRuehl" w:cs="FrankRuehl"/>
                <w:b/>
                <w:bCs/>
                <w:noProof w:val="0"/>
                <w:sz w:val="28"/>
                <w:szCs w:val="28"/>
                <w:rtl/>
              </w:rPr>
            </w:pPr>
            <w:r w:rsidRPr="00261DD0">
              <w:rPr>
                <w:rFonts w:ascii="FrankRuehl" w:hAnsi="FrankRuehl" w:cs="FrankRuehl"/>
                <w:b/>
                <w:bCs/>
                <w:noProof w:val="0"/>
                <w:sz w:val="28"/>
                <w:szCs w:val="28"/>
                <w:rtl/>
              </w:rPr>
              <w:t>נגד</w:t>
            </w:r>
          </w:p>
          <w:p w:rsidR="00261DD0" w:rsidRPr="00261DD0" w:rsidRDefault="00261DD0">
            <w:pPr>
              <w:rPr>
                <w:rFonts w:ascii="FrankRuehl" w:hAnsi="FrankRuehl" w:cs="FrankRuehl"/>
                <w:b/>
                <w:bCs/>
                <w:noProof w:val="0"/>
                <w:sz w:val="28"/>
                <w:szCs w:val="28"/>
                <w:rtl/>
              </w:rPr>
            </w:pPr>
          </w:p>
        </w:tc>
      </w:tr>
      <w:tr w:rsidR="00261DD0" w:rsidRPr="00261DD0" w:rsidTr="00261DD0">
        <w:trPr>
          <w:jc w:val="center"/>
        </w:trPr>
        <w:tc>
          <w:tcPr>
            <w:tcW w:w="3249" w:type="dxa"/>
            <w:gridSpan w:val="2"/>
            <w:hideMark/>
          </w:tcPr>
          <w:p w:rsidR="00261DD0" w:rsidRPr="00261DD0" w:rsidRDefault="00606799">
            <w:pPr>
              <w:rPr>
                <w:rFonts w:ascii="FrankRuehl" w:hAnsi="FrankRuehl" w:cs="FrankRuehl"/>
                <w:b/>
                <w:bCs/>
                <w:noProof w:val="0"/>
                <w:sz w:val="28"/>
                <w:szCs w:val="28"/>
              </w:rPr>
            </w:pPr>
            <w:r>
              <w:rPr>
                <w:rFonts w:ascii="FrankRuehl" w:hAnsi="FrankRuehl" w:cs="FrankRuehl" w:hint="cs"/>
                <w:b/>
                <w:bCs/>
                <w:noProof w:val="0"/>
                <w:sz w:val="28"/>
                <w:szCs w:val="28"/>
                <w:rtl/>
              </w:rPr>
              <w:t>הנתבע:</w:t>
            </w:r>
          </w:p>
        </w:tc>
        <w:tc>
          <w:tcPr>
            <w:tcW w:w="5571" w:type="dxa"/>
            <w:hideMark/>
          </w:tcPr>
          <w:p w:rsidR="00261DD0" w:rsidRPr="00261DD0" w:rsidRDefault="00606799">
            <w:pPr>
              <w:rPr>
                <w:rFonts w:ascii="FrankRuehl" w:hAnsi="FrankRuehl" w:cs="FrankRuehl"/>
                <w:b/>
                <w:bCs/>
                <w:noProof w:val="0"/>
                <w:sz w:val="28"/>
                <w:szCs w:val="28"/>
              </w:rPr>
            </w:pPr>
            <w:r>
              <w:rPr>
                <w:rFonts w:ascii="FrankRuehl" w:hAnsi="FrankRuehl" w:cs="FrankRuehl" w:hint="cs"/>
                <w:b/>
                <w:bCs/>
                <w:noProof w:val="0"/>
                <w:sz w:val="28"/>
                <w:szCs w:val="28"/>
                <w:rtl/>
              </w:rPr>
              <w:t xml:space="preserve">מ.א.ו. </w:t>
            </w:r>
            <w:r w:rsidR="00261DD0" w:rsidRPr="00261DD0">
              <w:rPr>
                <w:rFonts w:ascii="FrankRuehl" w:hAnsi="FrankRuehl" w:cs="FrankRuehl"/>
                <w:b/>
                <w:bCs/>
                <w:noProof w:val="0"/>
                <w:sz w:val="28"/>
                <w:szCs w:val="28"/>
                <w:rtl/>
              </w:rPr>
              <w:t xml:space="preserve">ת"ז </w:t>
            </w:r>
            <w:r>
              <w:rPr>
                <w:rFonts w:ascii="FrankRuehl" w:hAnsi="FrankRuehl" w:cs="FrankRuehl"/>
                <w:b/>
                <w:bCs/>
                <w:noProof w:val="0"/>
                <w:sz w:val="28"/>
                <w:szCs w:val="28"/>
                <w:rtl/>
              </w:rPr>
              <w:t>--------</w:t>
            </w:r>
          </w:p>
          <w:p w:rsidR="00261DD0" w:rsidRPr="00261DD0" w:rsidRDefault="00261DD0" w:rsidP="005B5E70">
            <w:pPr>
              <w:rPr>
                <w:rFonts w:ascii="FrankRuehl" w:hAnsi="FrankRuehl" w:cs="FrankRuehl"/>
                <w:b/>
                <w:bCs/>
                <w:noProof w:val="0"/>
                <w:sz w:val="28"/>
                <w:szCs w:val="28"/>
                <w:rtl/>
              </w:rPr>
            </w:pPr>
            <w:r w:rsidRPr="00261DD0">
              <w:rPr>
                <w:rFonts w:ascii="FrankRuehl" w:hAnsi="FrankRuehl" w:cs="FrankRuehl"/>
                <w:b/>
                <w:bCs/>
                <w:noProof w:val="0"/>
                <w:sz w:val="28"/>
                <w:szCs w:val="28"/>
                <w:rtl/>
              </w:rPr>
              <w:t>ע"י ב"כ עוה"ד אריאלה רוזנטל סודרי</w:t>
            </w:r>
            <w:r w:rsidR="005B5E70">
              <w:rPr>
                <w:rFonts w:ascii="FrankRuehl" w:hAnsi="FrankRuehl" w:cs="FrankRuehl" w:hint="cs"/>
                <w:b/>
                <w:bCs/>
                <w:noProof w:val="0"/>
                <w:sz w:val="28"/>
                <w:szCs w:val="28"/>
                <w:rtl/>
              </w:rPr>
              <w:t xml:space="preserve"> - </w:t>
            </w:r>
            <w:r w:rsidRPr="00261DD0">
              <w:rPr>
                <w:rFonts w:ascii="FrankRuehl" w:hAnsi="FrankRuehl" w:cs="FrankRuehl"/>
                <w:b/>
                <w:bCs/>
                <w:noProof w:val="0"/>
                <w:sz w:val="28"/>
                <w:szCs w:val="28"/>
                <w:rtl/>
              </w:rPr>
              <w:t>לשכה לסיוע משפטי</w:t>
            </w:r>
          </w:p>
        </w:tc>
      </w:tr>
      <w:tr w:rsidR="00261DD0" w:rsidRPr="00261DD0" w:rsidTr="00261DD0">
        <w:trPr>
          <w:jc w:val="center"/>
        </w:trPr>
        <w:tc>
          <w:tcPr>
            <w:tcW w:w="8820" w:type="dxa"/>
            <w:gridSpan w:val="3"/>
            <w:hideMark/>
          </w:tcPr>
          <w:p w:rsidR="00261DD0" w:rsidRDefault="00261DD0">
            <w:pPr>
              <w:bidi w:val="0"/>
              <w:jc w:val="center"/>
              <w:rPr>
                <w:rFonts w:ascii="FrankRuehl" w:hAnsi="FrankRuehl" w:cs="FrankRuehl"/>
                <w:b/>
                <w:bCs/>
                <w:noProof w:val="0"/>
                <w:sz w:val="36"/>
                <w:szCs w:val="36"/>
                <w:u w:val="single"/>
                <w:rtl/>
              </w:rPr>
            </w:pPr>
          </w:p>
          <w:p w:rsidR="00261DD0" w:rsidRDefault="00261DD0" w:rsidP="00261DD0">
            <w:pPr>
              <w:bidi w:val="0"/>
              <w:jc w:val="center"/>
              <w:rPr>
                <w:rFonts w:ascii="FrankRuehl" w:hAnsi="FrankRuehl" w:cs="FrankRuehl"/>
                <w:b/>
                <w:bCs/>
                <w:noProof w:val="0"/>
                <w:sz w:val="36"/>
                <w:szCs w:val="36"/>
                <w:u w:val="single"/>
                <w:rtl/>
              </w:rPr>
            </w:pPr>
            <w:r w:rsidRPr="00261DD0">
              <w:rPr>
                <w:rFonts w:ascii="FrankRuehl" w:hAnsi="FrankRuehl" w:cs="FrankRuehl"/>
                <w:b/>
                <w:bCs/>
                <w:noProof w:val="0"/>
                <w:sz w:val="36"/>
                <w:szCs w:val="36"/>
                <w:u w:val="single"/>
                <w:rtl/>
              </w:rPr>
              <w:t>פסק דין</w:t>
            </w:r>
          </w:p>
          <w:p w:rsidR="00261DD0" w:rsidRPr="00261DD0" w:rsidRDefault="00261DD0" w:rsidP="00261DD0">
            <w:pPr>
              <w:bidi w:val="0"/>
              <w:jc w:val="center"/>
              <w:rPr>
                <w:rFonts w:ascii="FrankRuehl" w:hAnsi="FrankRuehl" w:cs="FrankRuehl"/>
                <w:b/>
                <w:bCs/>
                <w:noProof w:val="0"/>
                <w:sz w:val="36"/>
                <w:szCs w:val="36"/>
                <w:u w:val="single"/>
                <w:rtl/>
              </w:rPr>
            </w:pPr>
          </w:p>
        </w:tc>
      </w:tr>
    </w:tbl>
    <w:p w:rsidR="00261DD0" w:rsidRPr="00261DD0" w:rsidRDefault="00261DD0" w:rsidP="00261DD0">
      <w:pPr>
        <w:rPr>
          <w:rFonts w:ascii="FrankRuehl" w:hAnsi="FrankRuehl" w:cs="FrankRuehl"/>
          <w:b/>
          <w:bCs/>
          <w:sz w:val="28"/>
          <w:szCs w:val="28"/>
          <w:u w:val="single"/>
          <w:rtl/>
        </w:rPr>
      </w:pPr>
      <w:r w:rsidRPr="00261DD0">
        <w:rPr>
          <w:rFonts w:ascii="FrankRuehl" w:hAnsi="FrankRuehl" w:cs="FrankRuehl"/>
          <w:b/>
          <w:bCs/>
          <w:sz w:val="28"/>
          <w:szCs w:val="28"/>
          <w:u w:val="single"/>
          <w:rtl/>
        </w:rPr>
        <w:t>הרקע והצדדים</w:t>
      </w:r>
      <w:r w:rsidRPr="00261DD0">
        <w:rPr>
          <w:rFonts w:ascii="FrankRuehl" w:hAnsi="FrankRuehl" w:cs="FrankRuehl"/>
          <w:b/>
          <w:bCs/>
          <w:sz w:val="28"/>
          <w:szCs w:val="28"/>
          <w:rtl/>
        </w:rPr>
        <w:t>:</w:t>
      </w:r>
    </w:p>
    <w:p w:rsidR="00261DD0" w:rsidRPr="00261DD0" w:rsidRDefault="00261DD0" w:rsidP="00261DD0">
      <w:pPr>
        <w:rPr>
          <w:rFonts w:ascii="FrankRuehl" w:hAnsi="FrankRuehl" w:cs="FrankRuehl"/>
          <w:sz w:val="28"/>
          <w:szCs w:val="28"/>
          <w:u w:val="single"/>
          <w:rtl/>
        </w:rPr>
      </w:pPr>
    </w:p>
    <w:p w:rsidR="00261DD0" w:rsidRPr="00261DD0" w:rsidRDefault="00261DD0" w:rsidP="00606799">
      <w:pPr>
        <w:pStyle w:val="ad"/>
        <w:numPr>
          <w:ilvl w:val="0"/>
          <w:numId w:val="1"/>
        </w:numPr>
        <w:spacing w:after="0" w:line="360" w:lineRule="auto"/>
        <w:jc w:val="both"/>
        <w:rPr>
          <w:rFonts w:ascii="FrankRuehl" w:eastAsia="Times New Roman" w:hAnsi="FrankRuehl" w:cs="FrankRuehl"/>
          <w:noProof/>
          <w:sz w:val="28"/>
          <w:szCs w:val="28"/>
          <w:rtl/>
        </w:rPr>
      </w:pPr>
      <w:r w:rsidRPr="00261DD0">
        <w:rPr>
          <w:rFonts w:ascii="FrankRuehl" w:eastAsia="Times New Roman" w:hAnsi="FrankRuehl" w:cs="FrankRuehl"/>
          <w:noProof/>
          <w:sz w:val="28"/>
          <w:szCs w:val="28"/>
          <w:rtl/>
        </w:rPr>
        <w:t xml:space="preserve">הצדדים ניהלו מערכת יחסים קצרה והם הורים לקטין, </w:t>
      </w:r>
      <w:r w:rsidR="00606799">
        <w:rPr>
          <w:rFonts w:ascii="FrankRuehl" w:eastAsia="Times New Roman" w:hAnsi="FrankRuehl" w:cs="FrankRuehl" w:hint="cs"/>
          <w:noProof/>
          <w:sz w:val="28"/>
          <w:szCs w:val="28"/>
          <w:rtl/>
        </w:rPr>
        <w:t>ת.מ.ו.</w:t>
      </w:r>
      <w:r w:rsidR="00606799">
        <w:rPr>
          <w:rFonts w:ascii="FrankRuehl" w:eastAsia="Times New Roman" w:hAnsi="FrankRuehl" w:cs="FrankRuehl"/>
          <w:noProof/>
          <w:sz w:val="28"/>
          <w:szCs w:val="28"/>
          <w:rtl/>
        </w:rPr>
        <w:t>, יליד</w:t>
      </w:r>
      <w:r w:rsidR="00606799">
        <w:rPr>
          <w:rFonts w:ascii="FrankRuehl" w:eastAsia="Times New Roman" w:hAnsi="FrankRuehl" w:cs="FrankRuehl" w:hint="cs"/>
          <w:noProof/>
          <w:sz w:val="28"/>
          <w:szCs w:val="28"/>
          <w:rtl/>
        </w:rPr>
        <w:t xml:space="preserve"> </w:t>
      </w:r>
      <w:r w:rsidR="00606799">
        <w:rPr>
          <w:rFonts w:ascii="FrankRuehl" w:eastAsia="Times New Roman" w:hAnsi="FrankRuehl" w:cs="FrankRuehl"/>
          <w:noProof/>
          <w:sz w:val="28"/>
          <w:szCs w:val="28"/>
        </w:rPr>
        <w:t>xx.xx.2020</w:t>
      </w:r>
      <w:r w:rsidR="00606799">
        <w:rPr>
          <w:rFonts w:ascii="FrankRuehl" w:eastAsia="Times New Roman" w:hAnsi="FrankRuehl" w:cs="FrankRuehl" w:hint="cs"/>
          <w:noProof/>
          <w:sz w:val="28"/>
          <w:szCs w:val="28"/>
          <w:rtl/>
        </w:rPr>
        <w:t>.</w:t>
      </w:r>
    </w:p>
    <w:p w:rsidR="00261DD0" w:rsidRPr="00261DD0" w:rsidRDefault="00261DD0" w:rsidP="00261DD0">
      <w:pPr>
        <w:pStyle w:val="ad"/>
        <w:spacing w:after="0" w:line="360" w:lineRule="auto"/>
        <w:jc w:val="both"/>
        <w:rPr>
          <w:rFonts w:ascii="FrankRuehl" w:eastAsia="Times New Roman" w:hAnsi="FrankRuehl" w:cs="FrankRuehl"/>
          <w:noProof/>
          <w:sz w:val="28"/>
          <w:szCs w:val="28"/>
        </w:rPr>
      </w:pPr>
    </w:p>
    <w:p w:rsidR="00261DD0" w:rsidRPr="00261DD0" w:rsidRDefault="00261DD0" w:rsidP="00261DD0">
      <w:pPr>
        <w:pStyle w:val="ad"/>
        <w:numPr>
          <w:ilvl w:val="0"/>
          <w:numId w:val="1"/>
        </w:numPr>
        <w:spacing w:after="0" w:line="360" w:lineRule="auto"/>
        <w:jc w:val="both"/>
        <w:rPr>
          <w:rFonts w:ascii="FrankRuehl" w:eastAsia="Times New Roman" w:hAnsi="FrankRuehl" w:cs="FrankRuehl"/>
          <w:noProof/>
          <w:sz w:val="28"/>
          <w:szCs w:val="28"/>
          <w:rtl/>
        </w:rPr>
      </w:pPr>
      <w:r w:rsidRPr="00261DD0">
        <w:rPr>
          <w:rFonts w:ascii="FrankRuehl" w:eastAsia="Times New Roman" w:hAnsi="FrankRuehl" w:cs="FrankRuehl"/>
          <w:noProof/>
          <w:sz w:val="28"/>
          <w:szCs w:val="28"/>
          <w:rtl/>
        </w:rPr>
        <w:t xml:space="preserve">לתובעת 3 ילדים קטינים נוספים ממערכת </w:t>
      </w:r>
      <w:r w:rsidR="00027E6D">
        <w:rPr>
          <w:rFonts w:ascii="FrankRuehl" w:eastAsia="Times New Roman" w:hAnsi="FrankRuehl" w:cs="FrankRuehl" w:hint="cs"/>
          <w:noProof/>
          <w:sz w:val="28"/>
          <w:szCs w:val="28"/>
          <w:rtl/>
        </w:rPr>
        <w:t>י</w:t>
      </w:r>
      <w:r w:rsidRPr="00261DD0">
        <w:rPr>
          <w:rFonts w:ascii="FrankRuehl" w:eastAsia="Times New Roman" w:hAnsi="FrankRuehl" w:cs="FrankRuehl"/>
          <w:noProof/>
          <w:sz w:val="28"/>
          <w:szCs w:val="28"/>
          <w:rtl/>
        </w:rPr>
        <w:t>חסים קודמת עם</w:t>
      </w:r>
      <w:r w:rsidR="00606799">
        <w:rPr>
          <w:rFonts w:ascii="FrankRuehl" w:eastAsia="Times New Roman" w:hAnsi="FrankRuehl" w:cs="FrankRuehl"/>
          <w:noProof/>
          <w:sz w:val="28"/>
          <w:szCs w:val="28"/>
          <w:rtl/>
        </w:rPr>
        <w:t xml:space="preserve"> צד ג' ואילו לנתבע זהו בן יחיד.</w:t>
      </w:r>
    </w:p>
    <w:p w:rsidR="00261DD0" w:rsidRPr="00261DD0" w:rsidRDefault="00261DD0" w:rsidP="00261DD0">
      <w:pPr>
        <w:pStyle w:val="ad"/>
        <w:rPr>
          <w:rFonts w:ascii="FrankRuehl" w:eastAsia="Times New Roman" w:hAnsi="FrankRuehl" w:cs="FrankRuehl"/>
          <w:noProof/>
          <w:sz w:val="28"/>
          <w:szCs w:val="28"/>
        </w:rPr>
      </w:pPr>
    </w:p>
    <w:p w:rsidR="00261DD0" w:rsidRPr="00261DD0" w:rsidRDefault="00261DD0" w:rsidP="00261DD0">
      <w:pPr>
        <w:pStyle w:val="ad"/>
        <w:numPr>
          <w:ilvl w:val="0"/>
          <w:numId w:val="1"/>
        </w:numPr>
        <w:spacing w:after="0" w:line="360" w:lineRule="auto"/>
        <w:jc w:val="both"/>
        <w:rPr>
          <w:rFonts w:ascii="FrankRuehl" w:eastAsia="Times New Roman" w:hAnsi="FrankRuehl" w:cs="FrankRuehl"/>
          <w:noProof/>
          <w:sz w:val="28"/>
          <w:szCs w:val="28"/>
          <w:rtl/>
        </w:rPr>
      </w:pPr>
      <w:r w:rsidRPr="00261DD0">
        <w:rPr>
          <w:rFonts w:ascii="FrankRuehl" w:eastAsia="Times New Roman" w:hAnsi="FrankRuehl" w:cs="FrankRuehl"/>
          <w:noProof/>
          <w:sz w:val="28"/>
          <w:szCs w:val="28"/>
          <w:rtl/>
        </w:rPr>
        <w:t xml:space="preserve">ביום </w:t>
      </w:r>
      <w:r>
        <w:rPr>
          <w:rFonts w:ascii="FrankRuehl" w:eastAsia="Times New Roman" w:hAnsi="FrankRuehl" w:cs="FrankRuehl" w:hint="cs"/>
          <w:noProof/>
          <w:sz w:val="28"/>
          <w:szCs w:val="28"/>
          <w:rtl/>
        </w:rPr>
        <w:t>02</w:t>
      </w:r>
      <w:r w:rsidRPr="00261DD0">
        <w:rPr>
          <w:rFonts w:ascii="FrankRuehl" w:eastAsia="Times New Roman" w:hAnsi="FrankRuehl" w:cs="FrankRuehl"/>
          <w:noProof/>
          <w:sz w:val="28"/>
          <w:szCs w:val="28"/>
          <w:rtl/>
        </w:rPr>
        <w:t>.</w:t>
      </w:r>
      <w:r>
        <w:rPr>
          <w:rFonts w:ascii="FrankRuehl" w:eastAsia="Times New Roman" w:hAnsi="FrankRuehl" w:cs="FrankRuehl" w:hint="cs"/>
          <w:noProof/>
          <w:sz w:val="28"/>
          <w:szCs w:val="28"/>
          <w:rtl/>
        </w:rPr>
        <w:t>07</w:t>
      </w:r>
      <w:r w:rsidRPr="00261DD0">
        <w:rPr>
          <w:rFonts w:ascii="FrankRuehl" w:eastAsia="Times New Roman" w:hAnsi="FrankRuehl" w:cs="FrankRuehl"/>
          <w:noProof/>
          <w:sz w:val="28"/>
          <w:szCs w:val="28"/>
          <w:rtl/>
        </w:rPr>
        <w:t>.</w:t>
      </w:r>
      <w:r>
        <w:rPr>
          <w:rFonts w:ascii="FrankRuehl" w:eastAsia="Times New Roman" w:hAnsi="FrankRuehl" w:cs="FrankRuehl" w:hint="cs"/>
          <w:noProof/>
          <w:sz w:val="28"/>
          <w:szCs w:val="28"/>
          <w:rtl/>
        </w:rPr>
        <w:t>2020</w:t>
      </w:r>
      <w:r w:rsidRPr="00261DD0">
        <w:rPr>
          <w:rFonts w:ascii="FrankRuehl" w:eastAsia="Times New Roman" w:hAnsi="FrankRuehl" w:cs="FrankRuehl"/>
          <w:noProof/>
          <w:sz w:val="28"/>
          <w:szCs w:val="28"/>
          <w:rtl/>
        </w:rPr>
        <w:t xml:space="preserve"> הגישה התובעת תובענה לי"ס אשר הסתיימה ביום 10.</w:t>
      </w:r>
      <w:r>
        <w:rPr>
          <w:rFonts w:ascii="FrankRuehl" w:eastAsia="Times New Roman" w:hAnsi="FrankRuehl" w:cs="FrankRuehl" w:hint="cs"/>
          <w:noProof/>
          <w:sz w:val="28"/>
          <w:szCs w:val="28"/>
          <w:rtl/>
        </w:rPr>
        <w:t>08</w:t>
      </w:r>
      <w:r w:rsidRPr="00261DD0">
        <w:rPr>
          <w:rFonts w:ascii="FrankRuehl" w:eastAsia="Times New Roman" w:hAnsi="FrankRuehl" w:cs="FrankRuehl"/>
          <w:noProof/>
          <w:sz w:val="28"/>
          <w:szCs w:val="28"/>
          <w:rtl/>
        </w:rPr>
        <w:t>.</w:t>
      </w:r>
      <w:r>
        <w:rPr>
          <w:rFonts w:ascii="FrankRuehl" w:eastAsia="Times New Roman" w:hAnsi="FrankRuehl" w:cs="FrankRuehl" w:hint="cs"/>
          <w:noProof/>
          <w:sz w:val="28"/>
          <w:szCs w:val="28"/>
          <w:rtl/>
        </w:rPr>
        <w:t>2020</w:t>
      </w:r>
      <w:r w:rsidRPr="00261DD0">
        <w:rPr>
          <w:rFonts w:ascii="FrankRuehl" w:eastAsia="Times New Roman" w:hAnsi="FrankRuehl" w:cs="FrankRuehl"/>
          <w:noProof/>
          <w:sz w:val="28"/>
          <w:szCs w:val="28"/>
          <w:rtl/>
        </w:rPr>
        <w:t xml:space="preserve">. </w:t>
      </w:r>
    </w:p>
    <w:p w:rsidR="00261DD0" w:rsidRPr="00261DD0" w:rsidRDefault="00261DD0" w:rsidP="00261DD0">
      <w:pPr>
        <w:pStyle w:val="ad"/>
        <w:rPr>
          <w:rFonts w:ascii="FrankRuehl" w:eastAsia="Times New Roman" w:hAnsi="FrankRuehl" w:cs="FrankRuehl"/>
          <w:noProof/>
          <w:sz w:val="28"/>
          <w:szCs w:val="28"/>
        </w:rPr>
      </w:pPr>
    </w:p>
    <w:p w:rsidR="00261DD0" w:rsidRPr="00261DD0" w:rsidRDefault="00261DD0" w:rsidP="00261DD0">
      <w:pPr>
        <w:pStyle w:val="ad"/>
        <w:numPr>
          <w:ilvl w:val="0"/>
          <w:numId w:val="1"/>
        </w:numPr>
        <w:spacing w:after="0" w:line="360" w:lineRule="auto"/>
        <w:jc w:val="both"/>
        <w:rPr>
          <w:rFonts w:ascii="FrankRuehl" w:eastAsia="Times New Roman" w:hAnsi="FrankRuehl" w:cs="FrankRuehl"/>
          <w:noProof/>
          <w:sz w:val="28"/>
          <w:szCs w:val="28"/>
          <w:rtl/>
        </w:rPr>
      </w:pPr>
      <w:r w:rsidRPr="00261DD0">
        <w:rPr>
          <w:rFonts w:ascii="FrankRuehl" w:eastAsia="Times New Roman" w:hAnsi="FrankRuehl" w:cs="FrankRuehl"/>
          <w:noProof/>
          <w:sz w:val="28"/>
          <w:szCs w:val="28"/>
          <w:rtl/>
        </w:rPr>
        <w:t xml:space="preserve">התובעת הגישה תביעתה זו למזונות הקטין וגם הגישה תובענה בעניין קטין ובהמשך, ביום </w:t>
      </w:r>
      <w:r>
        <w:rPr>
          <w:rFonts w:ascii="FrankRuehl" w:eastAsia="Times New Roman" w:hAnsi="FrankRuehl" w:cs="FrankRuehl" w:hint="cs"/>
          <w:noProof/>
          <w:sz w:val="28"/>
          <w:szCs w:val="28"/>
          <w:rtl/>
        </w:rPr>
        <w:t>06</w:t>
      </w:r>
      <w:r w:rsidRPr="00261DD0">
        <w:rPr>
          <w:rFonts w:ascii="FrankRuehl" w:eastAsia="Times New Roman" w:hAnsi="FrankRuehl" w:cs="FrankRuehl"/>
          <w:noProof/>
          <w:sz w:val="28"/>
          <w:szCs w:val="28"/>
          <w:rtl/>
        </w:rPr>
        <w:t>.</w:t>
      </w:r>
      <w:r>
        <w:rPr>
          <w:rFonts w:ascii="FrankRuehl" w:eastAsia="Times New Roman" w:hAnsi="FrankRuehl" w:cs="FrankRuehl" w:hint="cs"/>
          <w:noProof/>
          <w:sz w:val="28"/>
          <w:szCs w:val="28"/>
          <w:rtl/>
        </w:rPr>
        <w:t>05</w:t>
      </w:r>
      <w:r w:rsidRPr="00261DD0">
        <w:rPr>
          <w:rFonts w:ascii="FrankRuehl" w:eastAsia="Times New Roman" w:hAnsi="FrankRuehl" w:cs="FrankRuehl"/>
          <w:noProof/>
          <w:sz w:val="28"/>
          <w:szCs w:val="28"/>
          <w:rtl/>
        </w:rPr>
        <w:t>.</w:t>
      </w:r>
      <w:r>
        <w:rPr>
          <w:rFonts w:ascii="FrankRuehl" w:eastAsia="Times New Roman" w:hAnsi="FrankRuehl" w:cs="FrankRuehl" w:hint="cs"/>
          <w:noProof/>
          <w:sz w:val="28"/>
          <w:szCs w:val="28"/>
          <w:rtl/>
        </w:rPr>
        <w:t>2021</w:t>
      </w:r>
      <w:r w:rsidRPr="00261DD0">
        <w:rPr>
          <w:rFonts w:ascii="FrankRuehl" w:eastAsia="Times New Roman" w:hAnsi="FrankRuehl" w:cs="FrankRuehl"/>
          <w:noProof/>
          <w:sz w:val="28"/>
          <w:szCs w:val="28"/>
          <w:rtl/>
        </w:rPr>
        <w:t xml:space="preserve"> הגישה תובענה מכוח חוק למניעת אלימות במשפחה, התשנ"א-1991.</w:t>
      </w:r>
    </w:p>
    <w:p w:rsidR="00261DD0" w:rsidRPr="00261DD0" w:rsidRDefault="00261DD0" w:rsidP="00261DD0">
      <w:pPr>
        <w:pStyle w:val="ad"/>
        <w:rPr>
          <w:rFonts w:ascii="FrankRuehl" w:eastAsia="Times New Roman" w:hAnsi="FrankRuehl" w:cs="FrankRuehl"/>
          <w:noProof/>
          <w:sz w:val="28"/>
          <w:szCs w:val="28"/>
        </w:rPr>
      </w:pPr>
    </w:p>
    <w:p w:rsidR="00261DD0" w:rsidRPr="00261DD0" w:rsidRDefault="00261DD0" w:rsidP="00261DD0">
      <w:pPr>
        <w:pStyle w:val="ad"/>
        <w:numPr>
          <w:ilvl w:val="0"/>
          <w:numId w:val="1"/>
        </w:numPr>
        <w:spacing w:after="0" w:line="360" w:lineRule="auto"/>
        <w:jc w:val="both"/>
        <w:rPr>
          <w:rFonts w:ascii="FrankRuehl" w:eastAsia="Times New Roman" w:hAnsi="FrankRuehl" w:cs="FrankRuehl"/>
          <w:noProof/>
          <w:sz w:val="28"/>
          <w:szCs w:val="28"/>
          <w:rtl/>
        </w:rPr>
      </w:pPr>
      <w:r>
        <w:rPr>
          <w:rFonts w:ascii="FrankRuehl" w:eastAsia="Times New Roman" w:hAnsi="FrankRuehl" w:cs="FrankRuehl" w:hint="cs"/>
          <w:noProof/>
          <w:sz w:val="28"/>
          <w:szCs w:val="28"/>
          <w:rtl/>
        </w:rPr>
        <w:t>על אף</w:t>
      </w:r>
      <w:r w:rsidRPr="00261DD0">
        <w:rPr>
          <w:rFonts w:ascii="FrankRuehl" w:eastAsia="Times New Roman" w:hAnsi="FrankRuehl" w:cs="FrankRuehl"/>
          <w:noProof/>
          <w:sz w:val="28"/>
          <w:szCs w:val="28"/>
          <w:rtl/>
        </w:rPr>
        <w:t xml:space="preserve"> שהנתבע היה רשום כאבי הקטין, הגיש הנתבע ביום 18.</w:t>
      </w:r>
      <w:r>
        <w:rPr>
          <w:rFonts w:ascii="FrankRuehl" w:eastAsia="Times New Roman" w:hAnsi="FrankRuehl" w:cs="FrankRuehl" w:hint="cs"/>
          <w:noProof/>
          <w:sz w:val="28"/>
          <w:szCs w:val="28"/>
          <w:rtl/>
        </w:rPr>
        <w:t>01</w:t>
      </w:r>
      <w:r w:rsidRPr="00261DD0">
        <w:rPr>
          <w:rFonts w:ascii="FrankRuehl" w:eastAsia="Times New Roman" w:hAnsi="FrankRuehl" w:cs="FrankRuehl"/>
          <w:noProof/>
          <w:sz w:val="28"/>
          <w:szCs w:val="28"/>
          <w:rtl/>
        </w:rPr>
        <w:t>.</w:t>
      </w:r>
      <w:r>
        <w:rPr>
          <w:rFonts w:ascii="FrankRuehl" w:eastAsia="Times New Roman" w:hAnsi="FrankRuehl" w:cs="FrankRuehl" w:hint="cs"/>
          <w:noProof/>
          <w:sz w:val="28"/>
          <w:szCs w:val="28"/>
          <w:rtl/>
        </w:rPr>
        <w:t>2021</w:t>
      </w:r>
      <w:r w:rsidRPr="00261DD0">
        <w:rPr>
          <w:rFonts w:ascii="FrankRuehl" w:eastAsia="Times New Roman" w:hAnsi="FrankRuehl" w:cs="FrankRuehl"/>
          <w:noProof/>
          <w:sz w:val="28"/>
          <w:szCs w:val="28"/>
          <w:rtl/>
        </w:rPr>
        <w:t xml:space="preserve"> תביעת אבהות ועתר לברר אבהותו על הקטין. נטען כי הנתבע רשום כאבי הקטין לדרישת התובעת, אך מאחר והתובעת עוסקת במתן שירותי עיסוי מיני, והיכרות הצדדים היא מעת שנתבע נמנה עם לקוחותיה, קיים חשש כי הקטין אינו בנו. התובעת הכחישה טענות הנתבע. </w:t>
      </w:r>
      <w:r w:rsidRPr="00261DD0">
        <w:rPr>
          <w:rFonts w:ascii="FrankRuehl" w:eastAsia="Times New Roman" w:hAnsi="FrankRuehl" w:cs="FrankRuehl"/>
          <w:b/>
          <w:bCs/>
          <w:noProof/>
          <w:sz w:val="28"/>
          <w:szCs w:val="28"/>
          <w:rtl/>
        </w:rPr>
        <w:t xml:space="preserve">ביום </w:t>
      </w:r>
      <w:r>
        <w:rPr>
          <w:rFonts w:ascii="FrankRuehl" w:eastAsia="Times New Roman" w:hAnsi="FrankRuehl" w:cs="FrankRuehl" w:hint="cs"/>
          <w:b/>
          <w:bCs/>
          <w:noProof/>
          <w:sz w:val="28"/>
          <w:szCs w:val="28"/>
          <w:rtl/>
        </w:rPr>
        <w:t>04</w:t>
      </w:r>
      <w:r w:rsidRPr="00261DD0">
        <w:rPr>
          <w:rFonts w:ascii="FrankRuehl" w:eastAsia="Times New Roman" w:hAnsi="FrankRuehl" w:cs="FrankRuehl"/>
          <w:b/>
          <w:bCs/>
          <w:noProof/>
          <w:sz w:val="28"/>
          <w:szCs w:val="28"/>
          <w:rtl/>
        </w:rPr>
        <w:t>.10.</w:t>
      </w:r>
      <w:r>
        <w:rPr>
          <w:rFonts w:ascii="FrankRuehl" w:eastAsia="Times New Roman" w:hAnsi="FrankRuehl" w:cs="FrankRuehl" w:hint="cs"/>
          <w:b/>
          <w:bCs/>
          <w:noProof/>
          <w:sz w:val="28"/>
          <w:szCs w:val="28"/>
          <w:rtl/>
        </w:rPr>
        <w:t>2021</w:t>
      </w:r>
      <w:r w:rsidRPr="00261DD0">
        <w:rPr>
          <w:rFonts w:ascii="FrankRuehl" w:eastAsia="Times New Roman" w:hAnsi="FrankRuehl" w:cs="FrankRuehl"/>
          <w:b/>
          <w:bCs/>
          <w:noProof/>
          <w:sz w:val="28"/>
          <w:szCs w:val="28"/>
          <w:rtl/>
        </w:rPr>
        <w:t xml:space="preserve">  ניתן פסק דין</w:t>
      </w:r>
      <w:r w:rsidR="00606799">
        <w:rPr>
          <w:rFonts w:ascii="FrankRuehl" w:eastAsia="Times New Roman" w:hAnsi="FrankRuehl" w:cs="FrankRuehl"/>
          <w:b/>
          <w:bCs/>
          <w:noProof/>
          <w:sz w:val="28"/>
          <w:szCs w:val="28"/>
          <w:rtl/>
        </w:rPr>
        <w:t xml:space="preserve"> הקובע את אבהות הנתבע על הקטין.</w:t>
      </w:r>
    </w:p>
    <w:p w:rsidR="00261DD0" w:rsidRPr="00261DD0" w:rsidRDefault="00261DD0" w:rsidP="00261DD0">
      <w:pPr>
        <w:pStyle w:val="ad"/>
        <w:rPr>
          <w:rFonts w:ascii="FrankRuehl" w:eastAsia="Times New Roman" w:hAnsi="FrankRuehl" w:cs="FrankRuehl"/>
          <w:noProof/>
          <w:sz w:val="28"/>
          <w:szCs w:val="28"/>
        </w:rPr>
      </w:pPr>
    </w:p>
    <w:p w:rsidR="00261DD0" w:rsidRDefault="00261DD0" w:rsidP="00261DD0">
      <w:pPr>
        <w:pStyle w:val="ad"/>
        <w:numPr>
          <w:ilvl w:val="0"/>
          <w:numId w:val="1"/>
        </w:numPr>
        <w:spacing w:after="0" w:line="360" w:lineRule="auto"/>
        <w:jc w:val="both"/>
        <w:rPr>
          <w:rFonts w:ascii="FrankRuehl" w:eastAsia="Times New Roman" w:hAnsi="FrankRuehl" w:cs="FrankRuehl"/>
          <w:noProof/>
          <w:sz w:val="28"/>
          <w:szCs w:val="28"/>
        </w:rPr>
      </w:pPr>
      <w:r w:rsidRPr="00261DD0">
        <w:rPr>
          <w:rFonts w:ascii="FrankRuehl" w:eastAsia="Times New Roman" w:hAnsi="FrankRuehl" w:cs="FrankRuehl"/>
          <w:noProof/>
          <w:sz w:val="28"/>
          <w:szCs w:val="28"/>
          <w:rtl/>
        </w:rPr>
        <w:t>ביום 16.11.</w:t>
      </w:r>
      <w:r>
        <w:rPr>
          <w:rFonts w:ascii="FrankRuehl" w:eastAsia="Times New Roman" w:hAnsi="FrankRuehl" w:cs="FrankRuehl" w:hint="cs"/>
          <w:noProof/>
          <w:sz w:val="28"/>
          <w:szCs w:val="28"/>
          <w:rtl/>
        </w:rPr>
        <w:t>2020</w:t>
      </w:r>
      <w:r w:rsidRPr="00261DD0">
        <w:rPr>
          <w:rFonts w:ascii="FrankRuehl" w:eastAsia="Times New Roman" w:hAnsi="FrankRuehl" w:cs="FrankRuehl"/>
          <w:noProof/>
          <w:sz w:val="28"/>
          <w:szCs w:val="28"/>
          <w:rtl/>
        </w:rPr>
        <w:t xml:space="preserve"> נפסק (ע"י המותב הקודם) כי עד למתן החלטה אחרת, ישלם הנתבע על חשבון מזונותיו הזמניים של הקטין סך 1,700 ₪ כולל מדור וגם מחצית שכר הלימוד לגן בו מתחנך הקטין וגם, מחצית הוצאות רפואיות חריגות שאינן מכוסות על ידי קופת החולים. עוד נפסק שם כי </w:t>
      </w:r>
      <w:r w:rsidR="001B4E47">
        <w:rPr>
          <w:rFonts w:ascii="FrankRuehl" w:eastAsia="Times New Roman" w:hAnsi="FrankRuehl" w:cs="FrankRuehl"/>
          <w:noProof/>
          <w:sz w:val="28"/>
          <w:szCs w:val="28"/>
          <w:rtl/>
        </w:rPr>
        <w:t>קִצבת</w:t>
      </w:r>
      <w:r w:rsidRPr="00261DD0">
        <w:rPr>
          <w:rFonts w:ascii="FrankRuehl" w:eastAsia="Times New Roman" w:hAnsi="FrankRuehl" w:cs="FrankRuehl"/>
          <w:noProof/>
          <w:sz w:val="28"/>
          <w:szCs w:val="28"/>
          <w:rtl/>
        </w:rPr>
        <w:t xml:space="preserve"> הילדים של המוסד לביטוח לאומי תשולם לידי התובעת, נוסף לדמי המזונות. </w:t>
      </w:r>
    </w:p>
    <w:p w:rsidR="005B5E70" w:rsidRPr="005B5E70" w:rsidRDefault="005B5E70" w:rsidP="005B5E70">
      <w:pPr>
        <w:pStyle w:val="ad"/>
        <w:rPr>
          <w:rFonts w:ascii="FrankRuehl" w:eastAsia="Times New Roman" w:hAnsi="FrankRuehl" w:cs="FrankRuehl"/>
          <w:noProof/>
          <w:sz w:val="28"/>
          <w:szCs w:val="28"/>
          <w:rtl/>
        </w:rPr>
      </w:pPr>
    </w:p>
    <w:p w:rsidR="00261DD0" w:rsidRDefault="00261DD0" w:rsidP="00261DD0">
      <w:pPr>
        <w:pStyle w:val="ad"/>
        <w:numPr>
          <w:ilvl w:val="0"/>
          <w:numId w:val="1"/>
        </w:numPr>
        <w:spacing w:after="0" w:line="360" w:lineRule="auto"/>
        <w:jc w:val="both"/>
        <w:rPr>
          <w:rFonts w:ascii="FrankRuehl" w:eastAsia="Times New Roman" w:hAnsi="FrankRuehl" w:cs="FrankRuehl"/>
          <w:noProof/>
          <w:sz w:val="28"/>
          <w:szCs w:val="28"/>
        </w:rPr>
      </w:pPr>
      <w:r>
        <w:rPr>
          <w:rFonts w:ascii="FrankRuehl" w:eastAsia="Times New Roman" w:hAnsi="FrankRuehl" w:cs="FrankRuehl"/>
          <w:noProof/>
          <w:sz w:val="28"/>
          <w:szCs w:val="28"/>
          <w:rtl/>
        </w:rPr>
        <w:t>עתירת</w:t>
      </w:r>
      <w:r w:rsidRPr="00261DD0">
        <w:rPr>
          <w:rFonts w:ascii="FrankRuehl" w:eastAsia="Times New Roman" w:hAnsi="FrankRuehl" w:cs="FrankRuehl"/>
          <w:noProof/>
          <w:sz w:val="28"/>
          <w:szCs w:val="28"/>
          <w:rtl/>
        </w:rPr>
        <w:t xml:space="preserve"> הנתבע להפחתת המזונות הזמניים נדחתה בהחלטתי מיום 18.</w:t>
      </w:r>
      <w:r>
        <w:rPr>
          <w:rFonts w:ascii="FrankRuehl" w:eastAsia="Times New Roman" w:hAnsi="FrankRuehl" w:cs="FrankRuehl" w:hint="cs"/>
          <w:noProof/>
          <w:sz w:val="28"/>
          <w:szCs w:val="28"/>
          <w:rtl/>
        </w:rPr>
        <w:t>02</w:t>
      </w:r>
      <w:r w:rsidRPr="00261DD0">
        <w:rPr>
          <w:rFonts w:ascii="FrankRuehl" w:eastAsia="Times New Roman" w:hAnsi="FrankRuehl" w:cs="FrankRuehl"/>
          <w:noProof/>
          <w:sz w:val="28"/>
          <w:szCs w:val="28"/>
          <w:rtl/>
        </w:rPr>
        <w:t>.</w:t>
      </w:r>
      <w:r>
        <w:rPr>
          <w:rFonts w:ascii="FrankRuehl" w:eastAsia="Times New Roman" w:hAnsi="FrankRuehl" w:cs="FrankRuehl" w:hint="cs"/>
          <w:noProof/>
          <w:sz w:val="28"/>
          <w:szCs w:val="28"/>
          <w:rtl/>
        </w:rPr>
        <w:t>2021</w:t>
      </w:r>
      <w:r w:rsidRPr="00261DD0">
        <w:rPr>
          <w:rFonts w:ascii="FrankRuehl" w:eastAsia="Times New Roman" w:hAnsi="FrankRuehl" w:cs="FrankRuehl"/>
          <w:noProof/>
          <w:sz w:val="28"/>
          <w:szCs w:val="28"/>
          <w:rtl/>
        </w:rPr>
        <w:t>.</w:t>
      </w:r>
    </w:p>
    <w:p w:rsidR="00261DD0" w:rsidRPr="00261DD0" w:rsidRDefault="00261DD0" w:rsidP="00261DD0">
      <w:pPr>
        <w:pStyle w:val="ad"/>
        <w:numPr>
          <w:ilvl w:val="0"/>
          <w:numId w:val="1"/>
        </w:numPr>
        <w:spacing w:after="0" w:line="360" w:lineRule="auto"/>
        <w:jc w:val="both"/>
        <w:rPr>
          <w:rFonts w:ascii="FrankRuehl" w:eastAsia="Times New Roman" w:hAnsi="FrankRuehl" w:cs="FrankRuehl"/>
          <w:noProof/>
          <w:sz w:val="28"/>
          <w:szCs w:val="28"/>
        </w:rPr>
      </w:pPr>
      <w:r w:rsidRPr="00261DD0">
        <w:rPr>
          <w:rFonts w:ascii="FrankRuehl" w:eastAsia="Times New Roman" w:hAnsi="FrankRuehl" w:cs="FrankRuehl"/>
          <w:noProof/>
          <w:sz w:val="28"/>
          <w:szCs w:val="28"/>
          <w:rtl/>
        </w:rPr>
        <w:lastRenderedPageBreak/>
        <w:t>אשר לזמני השהות, במסגרת תביעת התובעת בתלה"מ 28278-09-20,</w:t>
      </w:r>
      <w:r>
        <w:rPr>
          <w:rFonts w:ascii="FrankRuehl" w:eastAsia="Times New Roman" w:hAnsi="FrankRuehl" w:cs="FrankRuehl" w:hint="cs"/>
          <w:noProof/>
          <w:sz w:val="28"/>
          <w:szCs w:val="28"/>
          <w:rtl/>
        </w:rPr>
        <w:t xml:space="preserve"> </w:t>
      </w:r>
      <w:r w:rsidRPr="00261DD0">
        <w:rPr>
          <w:rFonts w:ascii="FrankRuehl" w:eastAsia="Times New Roman" w:hAnsi="FrankRuehl" w:cs="FrankRuehl"/>
          <w:noProof/>
          <w:sz w:val="28"/>
          <w:szCs w:val="28"/>
          <w:rtl/>
        </w:rPr>
        <w:t>התקיימו זמני שהות במסגרת מרכז קשר וגם בליווי סומכת. ברקע חוסר שיתוף פעולה של האב עם היחידה להתמכרויות בשל התמכרות לאלכוהול (שהאב מכחיש ומתכחש לה)</w:t>
      </w:r>
      <w:r>
        <w:rPr>
          <w:rFonts w:ascii="FrankRuehl" w:eastAsia="Times New Roman" w:hAnsi="FrankRuehl" w:cs="FrankRuehl" w:hint="cs"/>
          <w:noProof/>
          <w:sz w:val="28"/>
          <w:szCs w:val="28"/>
          <w:rtl/>
        </w:rPr>
        <w:t>.</w:t>
      </w:r>
      <w:r w:rsidRPr="00261DD0">
        <w:rPr>
          <w:rFonts w:ascii="FrankRuehl" w:eastAsia="Times New Roman" w:hAnsi="FrankRuehl" w:cs="FrankRuehl"/>
          <w:noProof/>
          <w:sz w:val="28"/>
          <w:szCs w:val="28"/>
          <w:rtl/>
        </w:rPr>
        <w:t xml:space="preserve"> </w:t>
      </w:r>
      <w:r>
        <w:rPr>
          <w:rFonts w:ascii="FrankRuehl" w:eastAsia="Times New Roman" w:hAnsi="FrankRuehl" w:cs="FrankRuehl"/>
          <w:noProof/>
          <w:sz w:val="28"/>
          <w:szCs w:val="28"/>
          <w:rtl/>
        </w:rPr>
        <w:t xml:space="preserve">לאחר דיון מיום </w:t>
      </w:r>
      <w:r>
        <w:rPr>
          <w:rFonts w:ascii="FrankRuehl" w:eastAsia="Times New Roman" w:hAnsi="FrankRuehl" w:cs="FrankRuehl" w:hint="cs"/>
          <w:noProof/>
          <w:sz w:val="28"/>
          <w:szCs w:val="28"/>
          <w:rtl/>
        </w:rPr>
        <w:t>02</w:t>
      </w:r>
      <w:r>
        <w:rPr>
          <w:rFonts w:ascii="FrankRuehl" w:eastAsia="Times New Roman" w:hAnsi="FrankRuehl" w:cs="FrankRuehl"/>
          <w:noProof/>
          <w:sz w:val="28"/>
          <w:szCs w:val="28"/>
          <w:rtl/>
        </w:rPr>
        <w:t>.</w:t>
      </w:r>
      <w:r>
        <w:rPr>
          <w:rFonts w:ascii="FrankRuehl" w:eastAsia="Times New Roman" w:hAnsi="FrankRuehl" w:cs="FrankRuehl" w:hint="cs"/>
          <w:noProof/>
          <w:sz w:val="28"/>
          <w:szCs w:val="28"/>
          <w:rtl/>
        </w:rPr>
        <w:t>02</w:t>
      </w:r>
      <w:r>
        <w:rPr>
          <w:rFonts w:ascii="FrankRuehl" w:eastAsia="Times New Roman" w:hAnsi="FrankRuehl" w:cs="FrankRuehl"/>
          <w:noProof/>
          <w:sz w:val="28"/>
          <w:szCs w:val="28"/>
          <w:rtl/>
        </w:rPr>
        <w:t>.</w:t>
      </w:r>
      <w:r>
        <w:rPr>
          <w:rFonts w:ascii="FrankRuehl" w:eastAsia="Times New Roman" w:hAnsi="FrankRuehl" w:cs="FrankRuehl" w:hint="cs"/>
          <w:noProof/>
          <w:sz w:val="28"/>
          <w:szCs w:val="28"/>
          <w:rtl/>
        </w:rPr>
        <w:t>2023</w:t>
      </w:r>
      <w:r w:rsidRPr="00261DD0">
        <w:rPr>
          <w:rFonts w:ascii="FrankRuehl" w:eastAsia="Times New Roman" w:hAnsi="FrankRuehl" w:cs="FrankRuehl"/>
          <w:noProof/>
          <w:sz w:val="28"/>
          <w:szCs w:val="28"/>
          <w:rtl/>
        </w:rPr>
        <w:t xml:space="preserve"> נעשה נ</w:t>
      </w:r>
      <w:r>
        <w:rPr>
          <w:rFonts w:ascii="FrankRuehl" w:eastAsia="Times New Roman" w:hAnsi="FrankRuehl" w:cs="FrankRuehl" w:hint="cs"/>
          <w:noProof/>
          <w:sz w:val="28"/>
          <w:szCs w:val="28"/>
          <w:rtl/>
        </w:rPr>
        <w:t>ִ</w:t>
      </w:r>
      <w:r w:rsidRPr="00261DD0">
        <w:rPr>
          <w:rFonts w:ascii="FrankRuehl" w:eastAsia="Times New Roman" w:hAnsi="FrankRuehl" w:cs="FrankRuehl"/>
          <w:noProof/>
          <w:sz w:val="28"/>
          <w:szCs w:val="28"/>
          <w:rtl/>
        </w:rPr>
        <w:t>סיון לקיים זמני שהות לפחות פעמיים בשבוע בלווי סומכת. הי</w:t>
      </w:r>
      <w:r>
        <w:rPr>
          <w:rFonts w:ascii="FrankRuehl" w:eastAsia="Times New Roman" w:hAnsi="FrankRuehl" w:cs="FrankRuehl" w:hint="cs"/>
          <w:noProof/>
          <w:sz w:val="28"/>
          <w:szCs w:val="28"/>
          <w:rtl/>
        </w:rPr>
        <w:t>ְ</w:t>
      </w:r>
      <w:r w:rsidRPr="00261DD0">
        <w:rPr>
          <w:rFonts w:ascii="FrankRuehl" w:eastAsia="Times New Roman" w:hAnsi="FrankRuehl" w:cs="FrankRuehl"/>
          <w:noProof/>
          <w:sz w:val="28"/>
          <w:szCs w:val="28"/>
          <w:rtl/>
        </w:rPr>
        <w:t>ינו למעשה מתקיימים, אם בכלל</w:t>
      </w:r>
      <w:r>
        <w:rPr>
          <w:rFonts w:ascii="FrankRuehl" w:eastAsia="Times New Roman" w:hAnsi="FrankRuehl" w:cs="FrankRuehl" w:hint="cs"/>
          <w:noProof/>
          <w:sz w:val="28"/>
          <w:szCs w:val="28"/>
          <w:rtl/>
        </w:rPr>
        <w:t>,</w:t>
      </w:r>
      <w:r w:rsidRPr="00261DD0">
        <w:rPr>
          <w:rFonts w:ascii="FrankRuehl" w:eastAsia="Times New Roman" w:hAnsi="FrankRuehl" w:cs="FrankRuehl"/>
          <w:noProof/>
          <w:sz w:val="28"/>
          <w:szCs w:val="28"/>
          <w:rtl/>
        </w:rPr>
        <w:t xml:space="preserve"> זמני שהות מצומצמים בלבד. </w:t>
      </w:r>
    </w:p>
    <w:p w:rsidR="00261DD0" w:rsidRPr="00261DD0" w:rsidRDefault="00261DD0" w:rsidP="00261DD0">
      <w:pPr>
        <w:pStyle w:val="ad"/>
        <w:rPr>
          <w:rFonts w:ascii="FrankRuehl" w:eastAsia="Times New Roman" w:hAnsi="FrankRuehl" w:cs="FrankRuehl"/>
          <w:noProof/>
          <w:sz w:val="28"/>
          <w:szCs w:val="28"/>
        </w:rPr>
      </w:pPr>
    </w:p>
    <w:p w:rsidR="00261DD0" w:rsidRPr="00261DD0" w:rsidRDefault="00261DD0" w:rsidP="00261DD0">
      <w:pPr>
        <w:pStyle w:val="ad"/>
        <w:numPr>
          <w:ilvl w:val="0"/>
          <w:numId w:val="1"/>
        </w:numPr>
        <w:spacing w:after="0" w:line="360" w:lineRule="auto"/>
        <w:jc w:val="both"/>
        <w:rPr>
          <w:rFonts w:ascii="FrankRuehl" w:eastAsia="Times New Roman" w:hAnsi="FrankRuehl" w:cs="FrankRuehl"/>
          <w:noProof/>
          <w:sz w:val="28"/>
          <w:szCs w:val="28"/>
          <w:rtl/>
        </w:rPr>
      </w:pPr>
      <w:r w:rsidRPr="00261DD0">
        <w:rPr>
          <w:rFonts w:ascii="FrankRuehl" w:eastAsia="Calibri" w:hAnsi="FrankRuehl" w:cs="FrankRuehl"/>
          <w:sz w:val="28"/>
          <w:szCs w:val="28"/>
          <w:rtl/>
        </w:rPr>
        <w:t xml:space="preserve">הצדדים הגישו תצהירי עדות ראשית. </w:t>
      </w:r>
      <w:r w:rsidRPr="00261DD0">
        <w:rPr>
          <w:rFonts w:ascii="FrankRuehl" w:eastAsia="Times New Roman" w:hAnsi="FrankRuehl" w:cs="FrankRuehl"/>
          <w:noProof/>
          <w:sz w:val="28"/>
          <w:szCs w:val="28"/>
          <w:rtl/>
        </w:rPr>
        <w:t xml:space="preserve">תצהיר התובעת סומן ת/1 ותצהיר הנתבע סומן נ/1 והצדדים נחקרו בחקירה נגדית. נוסף על כך התובעת </w:t>
      </w:r>
      <w:r>
        <w:rPr>
          <w:rFonts w:ascii="FrankRuehl" w:eastAsia="Times New Roman" w:hAnsi="FrankRuehl" w:cs="FrankRuehl"/>
          <w:noProof/>
          <w:sz w:val="28"/>
          <w:szCs w:val="28"/>
          <w:rtl/>
        </w:rPr>
        <w:t>צירפה לסיכומי התשובה תצהיר של א</w:t>
      </w:r>
      <w:r w:rsidRPr="00261DD0">
        <w:rPr>
          <w:rFonts w:ascii="FrankRuehl" w:eastAsia="Times New Roman" w:hAnsi="FrankRuehl" w:cs="FrankRuehl"/>
          <w:noProof/>
          <w:sz w:val="28"/>
          <w:szCs w:val="28"/>
          <w:rtl/>
        </w:rPr>
        <w:t xml:space="preserve">מה – </w:t>
      </w:r>
      <w:r>
        <w:rPr>
          <w:rFonts w:ascii="FrankRuehl" w:eastAsia="Times New Roman" w:hAnsi="FrankRuehl" w:cs="FrankRuehl" w:hint="cs"/>
          <w:noProof/>
          <w:sz w:val="28"/>
          <w:szCs w:val="28"/>
          <w:rtl/>
        </w:rPr>
        <w:t>ו</w:t>
      </w:r>
      <w:r w:rsidRPr="00261DD0">
        <w:rPr>
          <w:rFonts w:ascii="FrankRuehl" w:eastAsia="Times New Roman" w:hAnsi="FrankRuehl" w:cs="FrankRuehl"/>
          <w:noProof/>
          <w:sz w:val="28"/>
          <w:szCs w:val="28"/>
          <w:rtl/>
        </w:rPr>
        <w:t>אני מורה על הוצאת התצהיר מהתיק.</w:t>
      </w:r>
      <w:r>
        <w:rPr>
          <w:rFonts w:ascii="FrankRuehl" w:eastAsia="Times New Roman" w:hAnsi="FrankRuehl" w:cs="FrankRuehl"/>
          <w:noProof/>
          <w:sz w:val="28"/>
          <w:szCs w:val="28"/>
          <w:rtl/>
        </w:rPr>
        <w:t xml:space="preserve"> לא ניתן לצרף מסמכים לסיכומים, </w:t>
      </w:r>
      <w:r w:rsidRPr="00261DD0">
        <w:rPr>
          <w:rFonts w:ascii="FrankRuehl" w:eastAsia="Times New Roman" w:hAnsi="FrankRuehl" w:cs="FrankRuehl"/>
          <w:noProof/>
          <w:sz w:val="28"/>
          <w:szCs w:val="28"/>
          <w:rtl/>
        </w:rPr>
        <w:t>ודאי של תצהיר</w:t>
      </w:r>
      <w:r>
        <w:rPr>
          <w:rFonts w:ascii="FrankRuehl" w:eastAsia="Times New Roman" w:hAnsi="FrankRuehl" w:cs="FrankRuehl" w:hint="cs"/>
          <w:noProof/>
          <w:sz w:val="28"/>
          <w:szCs w:val="28"/>
          <w:rtl/>
        </w:rPr>
        <w:t>,</w:t>
      </w:r>
      <w:r w:rsidRPr="00261DD0">
        <w:rPr>
          <w:rFonts w:ascii="FrankRuehl" w:eastAsia="Times New Roman" w:hAnsi="FrankRuehl" w:cs="FrankRuehl"/>
          <w:noProof/>
          <w:sz w:val="28"/>
          <w:szCs w:val="28"/>
          <w:rtl/>
        </w:rPr>
        <w:t xml:space="preserve"> מבלי שמתא</w:t>
      </w:r>
      <w:r>
        <w:rPr>
          <w:rFonts w:ascii="FrankRuehl" w:eastAsia="Times New Roman" w:hAnsi="FrankRuehl" w:cs="FrankRuehl"/>
          <w:noProof/>
          <w:sz w:val="28"/>
          <w:szCs w:val="28"/>
          <w:rtl/>
        </w:rPr>
        <w:t>פשר לצד שכנגד לחקור את המצהיר.</w:t>
      </w:r>
    </w:p>
    <w:p w:rsidR="00261DD0" w:rsidRPr="00261DD0" w:rsidRDefault="00261DD0" w:rsidP="00261DD0">
      <w:pPr>
        <w:pStyle w:val="ad"/>
        <w:spacing w:after="0" w:line="360" w:lineRule="auto"/>
        <w:jc w:val="both"/>
        <w:rPr>
          <w:rFonts w:ascii="FrankRuehl" w:eastAsia="Times New Roman" w:hAnsi="FrankRuehl" w:cs="FrankRuehl"/>
          <w:noProof/>
          <w:sz w:val="28"/>
          <w:szCs w:val="28"/>
        </w:rPr>
      </w:pPr>
    </w:p>
    <w:p w:rsidR="00261DD0" w:rsidRPr="00261DD0" w:rsidRDefault="00261DD0" w:rsidP="00261DD0">
      <w:pPr>
        <w:spacing w:line="360" w:lineRule="auto"/>
        <w:jc w:val="both"/>
        <w:rPr>
          <w:rFonts w:ascii="FrankRuehl" w:hAnsi="FrankRuehl" w:cs="FrankRuehl"/>
          <w:sz w:val="28"/>
          <w:szCs w:val="28"/>
          <w:rtl/>
        </w:rPr>
      </w:pPr>
      <w:r w:rsidRPr="00261DD0">
        <w:rPr>
          <w:rFonts w:ascii="FrankRuehl" w:eastAsia="Calibri" w:hAnsi="FrankRuehl" w:cs="FrankRuehl"/>
          <w:b/>
          <w:bCs/>
          <w:sz w:val="28"/>
          <w:szCs w:val="28"/>
          <w:u w:val="single"/>
          <w:rtl/>
        </w:rPr>
        <w:t>טענות הצדדים</w:t>
      </w:r>
      <w:r>
        <w:rPr>
          <w:rFonts w:ascii="FrankRuehl" w:hAnsi="FrankRuehl" w:cs="FrankRuehl" w:hint="cs"/>
          <w:sz w:val="28"/>
          <w:szCs w:val="28"/>
          <w:rtl/>
        </w:rPr>
        <w:t>:</w:t>
      </w:r>
    </w:p>
    <w:p w:rsidR="00261DD0" w:rsidRPr="00261DD0" w:rsidRDefault="00261DD0" w:rsidP="00261DD0">
      <w:pPr>
        <w:spacing w:line="360" w:lineRule="auto"/>
        <w:jc w:val="both"/>
        <w:rPr>
          <w:rFonts w:ascii="FrankRuehl" w:hAnsi="FrankRuehl" w:cs="FrankRuehl"/>
          <w:sz w:val="28"/>
          <w:szCs w:val="28"/>
          <w:u w:val="single"/>
          <w:rtl/>
        </w:rPr>
      </w:pPr>
    </w:p>
    <w:p w:rsidR="00261DD0" w:rsidRPr="00261DD0" w:rsidRDefault="00261DD0" w:rsidP="00261DD0">
      <w:pPr>
        <w:pStyle w:val="ad"/>
        <w:numPr>
          <w:ilvl w:val="0"/>
          <w:numId w:val="1"/>
        </w:numPr>
        <w:spacing w:after="0" w:line="360" w:lineRule="auto"/>
        <w:jc w:val="both"/>
        <w:rPr>
          <w:rFonts w:ascii="FrankRuehl" w:eastAsia="Times New Roman" w:hAnsi="FrankRuehl" w:cs="FrankRuehl"/>
          <w:noProof/>
          <w:sz w:val="28"/>
          <w:szCs w:val="28"/>
          <w:rtl/>
        </w:rPr>
      </w:pPr>
      <w:r w:rsidRPr="00261DD0">
        <w:rPr>
          <w:rFonts w:ascii="FrankRuehl" w:eastAsia="Times New Roman" w:hAnsi="FrankRuehl" w:cs="FrankRuehl"/>
          <w:noProof/>
          <w:sz w:val="28"/>
          <w:szCs w:val="28"/>
          <w:rtl/>
        </w:rPr>
        <w:t xml:space="preserve"> התובעת טענה כי הצדדי</w:t>
      </w:r>
      <w:r w:rsidR="00606799">
        <w:rPr>
          <w:rFonts w:ascii="FrankRuehl" w:eastAsia="Times New Roman" w:hAnsi="FrankRuehl" w:cs="FrankRuehl"/>
          <w:noProof/>
          <w:sz w:val="28"/>
          <w:szCs w:val="28"/>
          <w:rtl/>
        </w:rPr>
        <w:t>ם ניהלו קשר זוג במשך כשנה וחצי</w:t>
      </w:r>
      <w:r w:rsidR="00606799">
        <w:rPr>
          <w:rFonts w:ascii="FrankRuehl" w:eastAsia="Times New Roman" w:hAnsi="FrankRuehl" w:cs="FrankRuehl" w:hint="cs"/>
          <w:noProof/>
          <w:sz w:val="28"/>
          <w:szCs w:val="28"/>
          <w:rtl/>
        </w:rPr>
        <w:t>, ו</w:t>
      </w:r>
      <w:r w:rsidRPr="00261DD0">
        <w:rPr>
          <w:rFonts w:ascii="FrankRuehl" w:eastAsia="Times New Roman" w:hAnsi="FrankRuehl" w:cs="FrankRuehl"/>
          <w:noProof/>
          <w:sz w:val="28"/>
          <w:szCs w:val="28"/>
          <w:rtl/>
        </w:rPr>
        <w:t>בעת הריונה</w:t>
      </w:r>
      <w:r>
        <w:rPr>
          <w:rFonts w:ascii="FrankRuehl" w:eastAsia="Times New Roman" w:hAnsi="FrankRuehl" w:cs="FrankRuehl" w:hint="cs"/>
          <w:noProof/>
          <w:sz w:val="28"/>
          <w:szCs w:val="28"/>
          <w:rtl/>
        </w:rPr>
        <w:t>ּ</w:t>
      </w:r>
      <w:r w:rsidRPr="00261DD0">
        <w:rPr>
          <w:rFonts w:ascii="FrankRuehl" w:eastAsia="Times New Roman" w:hAnsi="FrankRuehl" w:cs="FrankRuehl"/>
          <w:noProof/>
          <w:sz w:val="28"/>
          <w:szCs w:val="28"/>
          <w:rtl/>
        </w:rPr>
        <w:t xml:space="preserve"> ג</w:t>
      </w:r>
      <w:r w:rsidR="00606799">
        <w:rPr>
          <w:rFonts w:ascii="FrankRuehl" w:eastAsia="Times New Roman" w:hAnsi="FrankRuehl" w:cs="FrankRuehl" w:hint="cs"/>
          <w:noProof/>
          <w:sz w:val="28"/>
          <w:szCs w:val="28"/>
          <w:rtl/>
        </w:rPr>
        <w:t>י</w:t>
      </w:r>
      <w:r w:rsidRPr="00261DD0">
        <w:rPr>
          <w:rFonts w:ascii="FrankRuehl" w:eastAsia="Times New Roman" w:hAnsi="FrankRuehl" w:cs="FrankRuehl"/>
          <w:noProof/>
          <w:sz w:val="28"/>
          <w:szCs w:val="28"/>
          <w:rtl/>
        </w:rPr>
        <w:t xml:space="preserve">לתה כי הנתבע מכור לאלכוהול. נטען </w:t>
      </w:r>
      <w:r>
        <w:rPr>
          <w:rFonts w:ascii="FrankRuehl" w:eastAsia="Times New Roman" w:hAnsi="FrankRuehl" w:cs="FrankRuehl" w:hint="cs"/>
          <w:noProof/>
          <w:sz w:val="28"/>
          <w:szCs w:val="28"/>
          <w:rtl/>
        </w:rPr>
        <w:t>כ</w:t>
      </w:r>
      <w:r w:rsidRPr="00261DD0">
        <w:rPr>
          <w:rFonts w:ascii="FrankRuehl" w:eastAsia="Times New Roman" w:hAnsi="FrankRuehl" w:cs="FrankRuehl"/>
          <w:noProof/>
          <w:sz w:val="28"/>
          <w:szCs w:val="28"/>
          <w:rtl/>
        </w:rPr>
        <w:t xml:space="preserve">י מאז פרידת הצדדים, נמצא הקטין בחזקתה והתקיימו זמני שהות מצומצמים אם בכלל. נטען כי לאחר לידת הקטין הנתבע שילם עבור מזונותיו סך 1,000 ₪ משך 3 חודשים בלבד. התובעת עתרה לתשלום סך 1,900 ₪ לחודש עבור מזונות הקטין כשסכום זה מורכב מהרכיבים: מזון וכלכלה סך 800 ₪, </w:t>
      </w:r>
      <w:r>
        <w:rPr>
          <w:rFonts w:ascii="FrankRuehl" w:eastAsia="Times New Roman" w:hAnsi="FrankRuehl" w:cs="FrankRuehl"/>
          <w:noProof/>
          <w:sz w:val="28"/>
          <w:szCs w:val="28"/>
          <w:rtl/>
        </w:rPr>
        <w:t>היגיינה טיפוח ונ</w:t>
      </w:r>
      <w:r>
        <w:rPr>
          <w:rFonts w:ascii="FrankRuehl" w:eastAsia="Times New Roman" w:hAnsi="FrankRuehl" w:cs="FrankRuehl" w:hint="cs"/>
          <w:noProof/>
          <w:sz w:val="28"/>
          <w:szCs w:val="28"/>
          <w:rtl/>
        </w:rPr>
        <w:t>ִ</w:t>
      </w:r>
      <w:r>
        <w:rPr>
          <w:rFonts w:ascii="FrankRuehl" w:eastAsia="Times New Roman" w:hAnsi="FrankRuehl" w:cs="FrankRuehl"/>
          <w:noProof/>
          <w:sz w:val="28"/>
          <w:szCs w:val="28"/>
          <w:rtl/>
        </w:rPr>
        <w:t xml:space="preserve">קיון סך 200 ₪, </w:t>
      </w:r>
      <w:r w:rsidRPr="00261DD0">
        <w:rPr>
          <w:rFonts w:ascii="FrankRuehl" w:eastAsia="Times New Roman" w:hAnsi="FrankRuehl" w:cs="FrankRuehl"/>
          <w:noProof/>
          <w:sz w:val="28"/>
          <w:szCs w:val="28"/>
          <w:rtl/>
        </w:rPr>
        <w:t>נסיעות סך 150 ₪,</w:t>
      </w:r>
      <w:r>
        <w:rPr>
          <w:rFonts w:ascii="FrankRuehl" w:eastAsia="Times New Roman" w:hAnsi="FrankRuehl" w:cs="FrankRuehl" w:hint="cs"/>
          <w:noProof/>
          <w:sz w:val="28"/>
          <w:szCs w:val="28"/>
          <w:rtl/>
        </w:rPr>
        <w:t xml:space="preserve"> </w:t>
      </w:r>
      <w:r w:rsidRPr="00261DD0">
        <w:rPr>
          <w:rFonts w:ascii="FrankRuehl" w:eastAsia="Times New Roman" w:hAnsi="FrankRuehl" w:cs="FrankRuehl"/>
          <w:noProof/>
          <w:sz w:val="28"/>
          <w:szCs w:val="28"/>
          <w:rtl/>
        </w:rPr>
        <w:t>ביגוד וה</w:t>
      </w:r>
      <w:r>
        <w:rPr>
          <w:rFonts w:ascii="FrankRuehl" w:eastAsia="Times New Roman" w:hAnsi="FrankRuehl" w:cs="FrankRuehl"/>
          <w:noProof/>
          <w:sz w:val="28"/>
          <w:szCs w:val="28"/>
          <w:rtl/>
        </w:rPr>
        <w:t>נעלה סך 600 ₪</w:t>
      </w:r>
      <w:r>
        <w:rPr>
          <w:rFonts w:ascii="FrankRuehl" w:eastAsia="Times New Roman" w:hAnsi="FrankRuehl" w:cs="FrankRuehl" w:hint="cs"/>
          <w:noProof/>
          <w:sz w:val="28"/>
          <w:szCs w:val="28"/>
          <w:rtl/>
        </w:rPr>
        <w:t>,</w:t>
      </w:r>
      <w:r w:rsidRPr="00261DD0">
        <w:rPr>
          <w:rFonts w:ascii="FrankRuehl" w:eastAsia="Times New Roman" w:hAnsi="FrankRuehl" w:cs="FrankRuehl"/>
          <w:noProof/>
          <w:sz w:val="28"/>
          <w:szCs w:val="28"/>
          <w:rtl/>
        </w:rPr>
        <w:t xml:space="preserve"> ביטוח קופ"ח סך 50 ₪ ומשחקים וצעצועים סך 100 ₪. עוד עתרה </w:t>
      </w:r>
      <w:r w:rsidR="001B4E47">
        <w:rPr>
          <w:rFonts w:ascii="FrankRuehl" w:eastAsia="Times New Roman" w:hAnsi="FrankRuehl" w:cs="FrankRuehl"/>
          <w:noProof/>
          <w:sz w:val="28"/>
          <w:szCs w:val="28"/>
          <w:rtl/>
        </w:rPr>
        <w:t>התובעת לתשלום עבור מדור ואחזקתו</w:t>
      </w:r>
      <w:r w:rsidRPr="00261DD0">
        <w:rPr>
          <w:rFonts w:ascii="FrankRuehl" w:eastAsia="Times New Roman" w:hAnsi="FrankRuehl" w:cs="FrankRuehl"/>
          <w:noProof/>
          <w:sz w:val="28"/>
          <w:szCs w:val="28"/>
          <w:rtl/>
        </w:rPr>
        <w:t xml:space="preserve"> סך 1,000 ₪ (בתצהירה ת/1 טענה כי הסך הוא 1,440 ₪). נטען כי הנתבע אינו משלם את המזונות הזמניים שנפסקו. בסיכומיה עתרה התובעת לרא</w:t>
      </w:r>
      <w:r w:rsidR="001B4E47">
        <w:rPr>
          <w:rFonts w:ascii="FrankRuehl" w:eastAsia="Times New Roman" w:hAnsi="FrankRuehl" w:cs="FrankRuehl"/>
          <w:noProof/>
          <w:sz w:val="28"/>
          <w:szCs w:val="28"/>
          <w:rtl/>
        </w:rPr>
        <w:t>שונה לחיוב הנתבע גם בדמי טיפול</w:t>
      </w:r>
      <w:r w:rsidR="001B4E47">
        <w:rPr>
          <w:rFonts w:ascii="FrankRuehl" w:eastAsia="Times New Roman" w:hAnsi="FrankRuehl" w:cs="FrankRuehl" w:hint="cs"/>
          <w:noProof/>
          <w:sz w:val="28"/>
          <w:szCs w:val="28"/>
          <w:rtl/>
        </w:rPr>
        <w:t xml:space="preserve"> </w:t>
      </w:r>
      <w:r w:rsidRPr="00261DD0">
        <w:rPr>
          <w:rFonts w:ascii="FrankRuehl" w:eastAsia="Times New Roman" w:hAnsi="FrankRuehl" w:cs="FrankRuehl"/>
          <w:noProof/>
          <w:sz w:val="28"/>
          <w:szCs w:val="28"/>
          <w:rtl/>
        </w:rPr>
        <w:t>סך 1,000 ₪ לחודש עד גיל 6.</w:t>
      </w:r>
    </w:p>
    <w:p w:rsidR="00261DD0" w:rsidRPr="00261DD0" w:rsidRDefault="00261DD0" w:rsidP="00261DD0">
      <w:pPr>
        <w:pStyle w:val="ad"/>
        <w:spacing w:after="0" w:line="360" w:lineRule="auto"/>
        <w:jc w:val="both"/>
        <w:rPr>
          <w:rFonts w:ascii="FrankRuehl" w:eastAsia="Times New Roman" w:hAnsi="FrankRuehl" w:cs="FrankRuehl"/>
          <w:noProof/>
          <w:sz w:val="28"/>
          <w:szCs w:val="28"/>
        </w:rPr>
      </w:pPr>
    </w:p>
    <w:p w:rsidR="005B5E70" w:rsidRDefault="00261DD0" w:rsidP="00027E6D">
      <w:pPr>
        <w:pStyle w:val="ad"/>
        <w:numPr>
          <w:ilvl w:val="0"/>
          <w:numId w:val="1"/>
        </w:numPr>
        <w:spacing w:after="0" w:line="360" w:lineRule="auto"/>
        <w:jc w:val="both"/>
        <w:rPr>
          <w:rFonts w:ascii="FrankRuehl" w:eastAsia="Times New Roman" w:hAnsi="FrankRuehl" w:cs="FrankRuehl"/>
          <w:noProof/>
          <w:sz w:val="28"/>
          <w:szCs w:val="28"/>
        </w:rPr>
      </w:pPr>
      <w:r w:rsidRPr="00261DD0">
        <w:rPr>
          <w:rFonts w:ascii="FrankRuehl" w:eastAsia="Times New Roman" w:hAnsi="FrankRuehl" w:cs="FrankRuehl"/>
          <w:noProof/>
          <w:sz w:val="28"/>
          <w:szCs w:val="28"/>
          <w:rtl/>
        </w:rPr>
        <w:t xml:space="preserve">הנתבע טען כי הסכומים הנתבעים מופרזים ולא הופחת </w:t>
      </w:r>
      <w:r w:rsidR="00027E6D">
        <w:rPr>
          <w:rFonts w:ascii="FrankRuehl" w:eastAsia="Times New Roman" w:hAnsi="FrankRuehl" w:cs="FrankRuehl" w:hint="cs"/>
          <w:noProof/>
          <w:sz w:val="28"/>
          <w:szCs w:val="28"/>
          <w:rtl/>
        </w:rPr>
        <w:t>ח</w:t>
      </w:r>
      <w:r w:rsidRPr="00261DD0">
        <w:rPr>
          <w:rFonts w:ascii="FrankRuehl" w:eastAsia="Times New Roman" w:hAnsi="FrankRuehl" w:cs="FrankRuehl"/>
          <w:noProof/>
          <w:sz w:val="28"/>
          <w:szCs w:val="28"/>
          <w:rtl/>
        </w:rPr>
        <w:t>לקם של ילדיה הנוספים של התובעת מהמדור או מהחישוב של המזונ</w:t>
      </w:r>
      <w:r w:rsidR="00027E6D">
        <w:rPr>
          <w:rFonts w:ascii="FrankRuehl" w:eastAsia="Times New Roman" w:hAnsi="FrankRuehl" w:cs="FrankRuehl" w:hint="cs"/>
          <w:noProof/>
          <w:sz w:val="28"/>
          <w:szCs w:val="28"/>
          <w:rtl/>
        </w:rPr>
        <w:t>ו</w:t>
      </w:r>
      <w:r w:rsidRPr="00261DD0">
        <w:rPr>
          <w:rFonts w:ascii="FrankRuehl" w:eastAsia="Times New Roman" w:hAnsi="FrankRuehl" w:cs="FrankRuehl"/>
          <w:noProof/>
          <w:sz w:val="28"/>
          <w:szCs w:val="28"/>
          <w:rtl/>
        </w:rPr>
        <w:t>ת הנתבעים. הנתבע טע</w:t>
      </w:r>
      <w:r w:rsidR="001B4E47">
        <w:rPr>
          <w:rFonts w:ascii="FrankRuehl" w:eastAsia="Times New Roman" w:hAnsi="FrankRuehl" w:cs="FrankRuehl"/>
          <w:noProof/>
          <w:sz w:val="28"/>
          <w:szCs w:val="28"/>
          <w:rtl/>
        </w:rPr>
        <w:t>ן כי עלה לישראל מצרפת בשנת 2018</w:t>
      </w:r>
      <w:r w:rsidRPr="00261DD0">
        <w:rPr>
          <w:rFonts w:ascii="FrankRuehl" w:eastAsia="Times New Roman" w:hAnsi="FrankRuehl" w:cs="FrankRuehl"/>
          <w:noProof/>
          <w:sz w:val="28"/>
          <w:szCs w:val="28"/>
          <w:rtl/>
        </w:rPr>
        <w:t xml:space="preserve"> ואין לו הכנסה בשל נכותו שהוכרה בצרפת אך נדחתה על ידי המוסד לביטוח לאומי בשל קשיי שפה. נטען כי הנתבע נעזר כלכלית בבני משפחתו וחבריו והכנסות התובעת על הכנסותיו והיא מסתירה הכנסתה מהרשוי</w:t>
      </w:r>
      <w:r w:rsidR="00027E6D">
        <w:rPr>
          <w:rFonts w:ascii="FrankRuehl" w:eastAsia="Times New Roman" w:hAnsi="FrankRuehl" w:cs="FrankRuehl" w:hint="cs"/>
          <w:noProof/>
          <w:sz w:val="28"/>
          <w:szCs w:val="28"/>
          <w:rtl/>
        </w:rPr>
        <w:t>ו</w:t>
      </w:r>
      <w:r w:rsidRPr="00261DD0">
        <w:rPr>
          <w:rFonts w:ascii="FrankRuehl" w:eastAsia="Times New Roman" w:hAnsi="FrankRuehl" w:cs="FrankRuehl"/>
          <w:noProof/>
          <w:sz w:val="28"/>
          <w:szCs w:val="28"/>
          <w:rtl/>
        </w:rPr>
        <w:t xml:space="preserve">ת. עוד נטען כי מאחר והנתבעת מקבלת </w:t>
      </w:r>
      <w:r w:rsidR="001B4E47">
        <w:rPr>
          <w:rFonts w:ascii="FrankRuehl" w:eastAsia="Times New Roman" w:hAnsi="FrankRuehl" w:cs="FrankRuehl"/>
          <w:noProof/>
          <w:sz w:val="28"/>
          <w:szCs w:val="28"/>
          <w:rtl/>
        </w:rPr>
        <w:t>קִצבת</w:t>
      </w:r>
      <w:r w:rsidRPr="00261DD0">
        <w:rPr>
          <w:rFonts w:ascii="FrankRuehl" w:eastAsia="Times New Roman" w:hAnsi="FrankRuehl" w:cs="FrankRuehl"/>
          <w:noProof/>
          <w:sz w:val="28"/>
          <w:szCs w:val="28"/>
          <w:rtl/>
        </w:rPr>
        <w:t xml:space="preserve"> נכות מהמוסד לביטו</w:t>
      </w:r>
      <w:r w:rsidR="00027E6D">
        <w:rPr>
          <w:rFonts w:ascii="FrankRuehl" w:eastAsia="Times New Roman" w:hAnsi="FrankRuehl" w:cs="FrankRuehl" w:hint="cs"/>
          <w:noProof/>
          <w:sz w:val="28"/>
          <w:szCs w:val="28"/>
          <w:rtl/>
        </w:rPr>
        <w:t>ח</w:t>
      </w:r>
      <w:r w:rsidRPr="00261DD0">
        <w:rPr>
          <w:rFonts w:ascii="FrankRuehl" w:eastAsia="Times New Roman" w:hAnsi="FrankRuehl" w:cs="FrankRuehl"/>
          <w:noProof/>
          <w:sz w:val="28"/>
          <w:szCs w:val="28"/>
          <w:rtl/>
        </w:rPr>
        <w:t xml:space="preserve"> לאומי, מש</w:t>
      </w:r>
      <w:r w:rsidR="00027E6D">
        <w:rPr>
          <w:rFonts w:ascii="FrankRuehl" w:eastAsia="Times New Roman" w:hAnsi="FrankRuehl" w:cs="FrankRuehl" w:hint="cs"/>
          <w:noProof/>
          <w:sz w:val="28"/>
          <w:szCs w:val="28"/>
          <w:rtl/>
        </w:rPr>
        <w:t>ו</w:t>
      </w:r>
      <w:r w:rsidRPr="00261DD0">
        <w:rPr>
          <w:rFonts w:ascii="FrankRuehl" w:eastAsia="Times New Roman" w:hAnsi="FrankRuehl" w:cs="FrankRuehl"/>
          <w:noProof/>
          <w:sz w:val="28"/>
          <w:szCs w:val="28"/>
          <w:rtl/>
        </w:rPr>
        <w:t xml:space="preserve">למת לה גם </w:t>
      </w:r>
      <w:r w:rsidR="001B4E47">
        <w:rPr>
          <w:rFonts w:ascii="FrankRuehl" w:eastAsia="Times New Roman" w:hAnsi="FrankRuehl" w:cs="FrankRuehl"/>
          <w:noProof/>
          <w:sz w:val="28"/>
          <w:szCs w:val="28"/>
          <w:rtl/>
        </w:rPr>
        <w:t>קִצבת</w:t>
      </w:r>
      <w:r w:rsidRPr="00261DD0">
        <w:rPr>
          <w:rFonts w:ascii="FrankRuehl" w:eastAsia="Times New Roman" w:hAnsi="FrankRuehl" w:cs="FrankRuehl"/>
          <w:noProof/>
          <w:sz w:val="28"/>
          <w:szCs w:val="28"/>
          <w:rtl/>
        </w:rPr>
        <w:t xml:space="preserve"> תלויים, ויש</w:t>
      </w:r>
      <w:r w:rsidR="00606799">
        <w:rPr>
          <w:rFonts w:ascii="FrankRuehl" w:eastAsia="Times New Roman" w:hAnsi="FrankRuehl" w:cs="FrankRuehl"/>
          <w:noProof/>
          <w:sz w:val="28"/>
          <w:szCs w:val="28"/>
          <w:rtl/>
        </w:rPr>
        <w:t xml:space="preserve"> לקזז סכום זה (950 ₪) מהמזונות.</w:t>
      </w:r>
    </w:p>
    <w:p w:rsidR="00261DD0" w:rsidRPr="00261DD0" w:rsidRDefault="00261DD0" w:rsidP="005B5E70">
      <w:pPr>
        <w:pStyle w:val="ad"/>
        <w:spacing w:after="0" w:line="360" w:lineRule="auto"/>
        <w:ind w:left="360"/>
        <w:jc w:val="both"/>
        <w:rPr>
          <w:rFonts w:ascii="FrankRuehl" w:eastAsia="Times New Roman" w:hAnsi="FrankRuehl" w:cs="FrankRuehl"/>
          <w:noProof/>
          <w:sz w:val="28"/>
          <w:szCs w:val="28"/>
        </w:rPr>
      </w:pPr>
      <w:r w:rsidRPr="00261DD0">
        <w:rPr>
          <w:rFonts w:ascii="FrankRuehl" w:eastAsia="Times New Roman" w:hAnsi="FrankRuehl" w:cs="FrankRuehl"/>
          <w:noProof/>
          <w:sz w:val="28"/>
          <w:szCs w:val="28"/>
          <w:rtl/>
        </w:rPr>
        <w:lastRenderedPageBreak/>
        <w:t xml:space="preserve">הנתבע עתר כי לכל היותר יחויב לשלם עבור מזונות הקטין סך 50 ₪ עד גיל 6 (1,000 ₪ בקיזוז </w:t>
      </w:r>
      <w:r w:rsidR="001B4E47">
        <w:rPr>
          <w:rFonts w:ascii="FrankRuehl" w:eastAsia="Times New Roman" w:hAnsi="FrankRuehl" w:cs="FrankRuehl"/>
          <w:noProof/>
          <w:sz w:val="28"/>
          <w:szCs w:val="28"/>
          <w:rtl/>
        </w:rPr>
        <w:t>קִצבת</w:t>
      </w:r>
      <w:r w:rsidRPr="00261DD0">
        <w:rPr>
          <w:rFonts w:ascii="FrankRuehl" w:eastAsia="Times New Roman" w:hAnsi="FrankRuehl" w:cs="FrankRuehl"/>
          <w:noProof/>
          <w:sz w:val="28"/>
          <w:szCs w:val="28"/>
          <w:rtl/>
        </w:rPr>
        <w:t xml:space="preserve"> תלויים סך 950 ₪) ולאחר גיל 6, לא יחויב במזונות שכן יש להעמ</w:t>
      </w:r>
      <w:r w:rsidR="00027E6D">
        <w:rPr>
          <w:rFonts w:ascii="FrankRuehl" w:eastAsia="Times New Roman" w:hAnsi="FrankRuehl" w:cs="FrankRuehl" w:hint="cs"/>
          <w:noProof/>
          <w:sz w:val="28"/>
          <w:szCs w:val="28"/>
          <w:rtl/>
        </w:rPr>
        <w:t>י</w:t>
      </w:r>
      <w:r w:rsidR="00027E6D">
        <w:rPr>
          <w:rFonts w:ascii="FrankRuehl" w:eastAsia="Times New Roman" w:hAnsi="FrankRuehl" w:cs="FrankRuehl"/>
          <w:noProof/>
          <w:sz w:val="28"/>
          <w:szCs w:val="28"/>
          <w:rtl/>
        </w:rPr>
        <w:t>ד</w:t>
      </w:r>
      <w:r w:rsidRPr="00261DD0">
        <w:rPr>
          <w:rFonts w:ascii="FrankRuehl" w:eastAsia="Times New Roman" w:hAnsi="FrankRuehl" w:cs="FrankRuehl"/>
          <w:noProof/>
          <w:sz w:val="28"/>
          <w:szCs w:val="28"/>
          <w:rtl/>
        </w:rPr>
        <w:t xml:space="preserve">ם על סך 950 ₪ בקיזוז </w:t>
      </w:r>
      <w:r w:rsidR="001B4E47">
        <w:rPr>
          <w:rFonts w:ascii="FrankRuehl" w:eastAsia="Times New Roman" w:hAnsi="FrankRuehl" w:cs="FrankRuehl"/>
          <w:noProof/>
          <w:sz w:val="28"/>
          <w:szCs w:val="28"/>
          <w:rtl/>
        </w:rPr>
        <w:t>קִצבת תלויים סך 950 ₪.</w:t>
      </w:r>
    </w:p>
    <w:p w:rsidR="00261DD0" w:rsidRPr="005B5E70" w:rsidRDefault="00261DD0" w:rsidP="00261DD0">
      <w:pPr>
        <w:rPr>
          <w:rFonts w:ascii="FrankRuehl" w:hAnsi="FrankRuehl" w:cs="FrankRuehl"/>
          <w:b/>
          <w:bCs/>
          <w:sz w:val="28"/>
          <w:szCs w:val="28"/>
          <w:u w:val="single"/>
          <w:rtl/>
        </w:rPr>
      </w:pPr>
    </w:p>
    <w:p w:rsidR="00261DD0" w:rsidRPr="00261DD0" w:rsidRDefault="00261DD0" w:rsidP="00261DD0">
      <w:pPr>
        <w:spacing w:line="360" w:lineRule="auto"/>
        <w:jc w:val="both"/>
        <w:rPr>
          <w:rFonts w:ascii="FrankRuehl" w:hAnsi="FrankRuehl" w:cs="FrankRuehl"/>
          <w:sz w:val="28"/>
          <w:szCs w:val="28"/>
          <w:rtl/>
        </w:rPr>
      </w:pPr>
      <w:r w:rsidRPr="00261DD0">
        <w:rPr>
          <w:rFonts w:ascii="FrankRuehl" w:hAnsi="FrankRuehl" w:cs="FrankRuehl"/>
          <w:b/>
          <w:bCs/>
          <w:sz w:val="28"/>
          <w:szCs w:val="28"/>
          <w:u w:val="single"/>
          <w:rtl/>
        </w:rPr>
        <w:t>דיון והכרעה</w:t>
      </w:r>
      <w:r w:rsidRPr="00261DD0">
        <w:rPr>
          <w:rFonts w:ascii="FrankRuehl" w:hAnsi="FrankRuehl" w:cs="FrankRuehl"/>
          <w:sz w:val="28"/>
          <w:szCs w:val="28"/>
          <w:rtl/>
        </w:rPr>
        <w:t>:</w:t>
      </w:r>
    </w:p>
    <w:p w:rsidR="00261DD0" w:rsidRPr="00261DD0" w:rsidRDefault="00261DD0" w:rsidP="00261DD0">
      <w:pPr>
        <w:pStyle w:val="ad"/>
        <w:rPr>
          <w:rFonts w:ascii="FrankRuehl" w:hAnsi="FrankRuehl" w:cs="FrankRuehl"/>
          <w:sz w:val="28"/>
          <w:szCs w:val="28"/>
        </w:rPr>
      </w:pPr>
    </w:p>
    <w:p w:rsidR="00261DD0" w:rsidRPr="00261DD0" w:rsidRDefault="00261DD0" w:rsidP="00261DD0">
      <w:pPr>
        <w:pStyle w:val="ad"/>
        <w:numPr>
          <w:ilvl w:val="0"/>
          <w:numId w:val="1"/>
        </w:numPr>
        <w:spacing w:after="0" w:line="360" w:lineRule="auto"/>
        <w:jc w:val="both"/>
        <w:rPr>
          <w:rFonts w:ascii="FrankRuehl" w:eastAsia="Times New Roman" w:hAnsi="FrankRuehl" w:cs="FrankRuehl"/>
          <w:noProof/>
          <w:sz w:val="28"/>
          <w:szCs w:val="28"/>
          <w:rtl/>
        </w:rPr>
      </w:pPr>
      <w:r w:rsidRPr="00261DD0">
        <w:rPr>
          <w:rFonts w:ascii="FrankRuehl" w:hAnsi="FrankRuehl" w:cs="FrankRuehl"/>
          <w:sz w:val="28"/>
          <w:szCs w:val="28"/>
          <w:rtl/>
        </w:rPr>
        <w:t xml:space="preserve">בהתאם לסעיף 3 לחוק לתיקון דיני משפחה (מזונות) תשי"ט-1959 חיובו של אדם במזונות ילדיו הקטינים </w:t>
      </w:r>
      <w:r w:rsidR="001B4E47">
        <w:rPr>
          <w:rFonts w:ascii="FrankRuehl" w:hAnsi="FrankRuehl" w:cs="FrankRuehl"/>
          <w:sz w:val="28"/>
          <w:szCs w:val="28"/>
          <w:rtl/>
        </w:rPr>
        <w:t>נבחן על פי הדין האישי החל עליו.</w:t>
      </w:r>
    </w:p>
    <w:p w:rsidR="00261DD0" w:rsidRPr="00261DD0" w:rsidRDefault="00261DD0" w:rsidP="00261DD0">
      <w:pPr>
        <w:pStyle w:val="ad"/>
        <w:spacing w:line="360" w:lineRule="auto"/>
        <w:ind w:left="360"/>
        <w:jc w:val="both"/>
        <w:rPr>
          <w:rFonts w:ascii="FrankRuehl" w:hAnsi="FrankRuehl" w:cs="FrankRuehl"/>
          <w:sz w:val="28"/>
          <w:szCs w:val="28"/>
          <w:rtl/>
        </w:rPr>
      </w:pPr>
    </w:p>
    <w:p w:rsidR="00261DD0" w:rsidRPr="00261DD0" w:rsidRDefault="00261DD0" w:rsidP="00261DD0">
      <w:pPr>
        <w:pStyle w:val="ad"/>
        <w:numPr>
          <w:ilvl w:val="0"/>
          <w:numId w:val="1"/>
        </w:numPr>
        <w:spacing w:line="360" w:lineRule="auto"/>
        <w:ind w:left="368" w:hanging="426"/>
        <w:jc w:val="both"/>
        <w:rPr>
          <w:rFonts w:ascii="FrankRuehl" w:hAnsi="FrankRuehl" w:cs="FrankRuehl"/>
          <w:sz w:val="28"/>
          <w:szCs w:val="28"/>
        </w:rPr>
      </w:pPr>
      <w:r w:rsidRPr="00261DD0">
        <w:rPr>
          <w:rFonts w:ascii="FrankRuehl" w:hAnsi="FrankRuehl" w:cs="FrankRuehl"/>
          <w:sz w:val="28"/>
          <w:szCs w:val="28"/>
          <w:rtl/>
        </w:rPr>
        <w:t>הצדדים יהודים, על כן, המקור לחיוב הנתבע במזונות הקטינים הוא הדין העברי.</w:t>
      </w:r>
    </w:p>
    <w:p w:rsidR="00261DD0" w:rsidRPr="00261DD0" w:rsidRDefault="00261DD0" w:rsidP="00261DD0">
      <w:pPr>
        <w:pStyle w:val="ad"/>
        <w:rPr>
          <w:rFonts w:ascii="FrankRuehl" w:hAnsi="FrankRuehl" w:cs="FrankRuehl"/>
          <w:sz w:val="28"/>
          <w:szCs w:val="28"/>
        </w:rPr>
      </w:pPr>
    </w:p>
    <w:p w:rsidR="00261DD0" w:rsidRPr="00261DD0" w:rsidRDefault="00261DD0" w:rsidP="00261DD0">
      <w:pPr>
        <w:pStyle w:val="ad"/>
        <w:numPr>
          <w:ilvl w:val="0"/>
          <w:numId w:val="1"/>
        </w:numPr>
        <w:spacing w:line="360" w:lineRule="auto"/>
        <w:ind w:left="368" w:hanging="426"/>
        <w:jc w:val="both"/>
        <w:rPr>
          <w:rFonts w:ascii="FrankRuehl" w:hAnsi="FrankRuehl" w:cs="FrankRuehl"/>
          <w:sz w:val="28"/>
          <w:szCs w:val="28"/>
          <w:rtl/>
        </w:rPr>
      </w:pPr>
      <w:r w:rsidRPr="00261DD0">
        <w:rPr>
          <w:rFonts w:ascii="FrankRuehl" w:hAnsi="FrankRuehl" w:cs="FrankRuehl"/>
          <w:sz w:val="28"/>
          <w:szCs w:val="28"/>
          <w:rtl/>
        </w:rPr>
        <w:t xml:space="preserve">הדין העברי מחלק את מקור חיוב במזונות קטנים, היקפו ואופן חלוקת הנטל בין ההורים, לשלוש תקופות לפי גיל הקטין: </w:t>
      </w:r>
      <w:r w:rsidRPr="00261DD0">
        <w:rPr>
          <w:rFonts w:ascii="FrankRuehl" w:hAnsi="FrankRuehl" w:cs="FrankRuehl"/>
          <w:sz w:val="28"/>
          <w:szCs w:val="28"/>
          <w:u w:val="single"/>
          <w:rtl/>
        </w:rPr>
        <w:t>קטני קטינים עד גיל 6 שנים</w:t>
      </w:r>
      <w:r w:rsidRPr="00261DD0">
        <w:rPr>
          <w:rFonts w:ascii="FrankRuehl" w:hAnsi="FrankRuehl" w:cs="FrankRuehl"/>
          <w:sz w:val="28"/>
          <w:szCs w:val="28"/>
          <w:rtl/>
        </w:rPr>
        <w:t xml:space="preserve">, חיוב שהוא עצמאי ומוחלט ואינו תלוי בהכנסות האֵם או במצבו הכלכלי של האב או הקטין. חיוב עבור </w:t>
      </w:r>
      <w:r w:rsidRPr="00261DD0">
        <w:rPr>
          <w:rFonts w:ascii="FrankRuehl" w:hAnsi="FrankRuehl" w:cs="FrankRuehl"/>
          <w:sz w:val="28"/>
          <w:szCs w:val="28"/>
          <w:u w:val="single"/>
          <w:rtl/>
        </w:rPr>
        <w:t>קטינים בגיל 6-15 שנים</w:t>
      </w:r>
      <w:r w:rsidRPr="00261DD0">
        <w:rPr>
          <w:rFonts w:ascii="FrankRuehl" w:hAnsi="FrankRuehl" w:cs="FrankRuehl"/>
          <w:sz w:val="28"/>
          <w:szCs w:val="28"/>
          <w:rtl/>
        </w:rPr>
        <w:t xml:space="preserve">, חיוב שהוא מכוח תקנת חכמים וחיוב עבור </w:t>
      </w:r>
      <w:r w:rsidRPr="00261DD0">
        <w:rPr>
          <w:rFonts w:ascii="FrankRuehl" w:hAnsi="FrankRuehl" w:cs="FrankRuehl"/>
          <w:sz w:val="28"/>
          <w:szCs w:val="28"/>
          <w:u w:val="single"/>
          <w:rtl/>
        </w:rPr>
        <w:t>קטינים בגיל 15-18 שנים</w:t>
      </w:r>
      <w:r w:rsidRPr="00261DD0">
        <w:rPr>
          <w:rFonts w:ascii="FrankRuehl" w:hAnsi="FrankRuehl" w:cs="FrankRuehl"/>
          <w:sz w:val="28"/>
          <w:szCs w:val="28"/>
          <w:rtl/>
        </w:rPr>
        <w:t xml:space="preserve">, שהוא חיוב מדין צדקה וחל על ההורים באופן שווה. ראו ע"א 166/66 </w:t>
      </w:r>
      <w:r w:rsidRPr="00261DD0">
        <w:rPr>
          <w:rFonts w:ascii="FrankRuehl" w:hAnsi="FrankRuehl" w:cs="FrankRuehl"/>
          <w:b/>
          <w:bCs/>
          <w:sz w:val="28"/>
          <w:szCs w:val="28"/>
          <w:rtl/>
        </w:rPr>
        <w:t>גודלמן נ' גולדמן</w:t>
      </w:r>
      <w:r w:rsidRPr="00261DD0">
        <w:rPr>
          <w:rFonts w:ascii="FrankRuehl" w:hAnsi="FrankRuehl" w:cs="FrankRuehl"/>
          <w:sz w:val="28"/>
          <w:szCs w:val="28"/>
          <w:rtl/>
        </w:rPr>
        <w:t xml:space="preserve"> פד"י כ (2) 533, 536, ע"א 591/81 </w:t>
      </w:r>
      <w:r w:rsidRPr="00261DD0">
        <w:rPr>
          <w:rFonts w:ascii="FrankRuehl" w:hAnsi="FrankRuehl" w:cs="FrankRuehl"/>
          <w:b/>
          <w:bCs/>
          <w:sz w:val="28"/>
          <w:szCs w:val="28"/>
          <w:rtl/>
        </w:rPr>
        <w:t>פורטוגז נ' פורטוגז,</w:t>
      </w:r>
      <w:r w:rsidRPr="00261DD0">
        <w:rPr>
          <w:rFonts w:ascii="FrankRuehl" w:hAnsi="FrankRuehl" w:cs="FrankRuehl"/>
          <w:sz w:val="28"/>
          <w:szCs w:val="28"/>
          <w:rtl/>
        </w:rPr>
        <w:t xml:space="preserve"> פד"י לו (3) 449, 457.</w:t>
      </w:r>
    </w:p>
    <w:p w:rsidR="00261DD0" w:rsidRPr="00261DD0" w:rsidRDefault="00261DD0" w:rsidP="00261DD0">
      <w:pPr>
        <w:pStyle w:val="ad"/>
        <w:rPr>
          <w:rFonts w:ascii="FrankRuehl" w:hAnsi="FrankRuehl" w:cs="FrankRuehl"/>
          <w:sz w:val="28"/>
          <w:szCs w:val="28"/>
        </w:rPr>
      </w:pPr>
    </w:p>
    <w:p w:rsidR="00261DD0" w:rsidRPr="00261DD0" w:rsidRDefault="00261DD0" w:rsidP="00261DD0">
      <w:pPr>
        <w:pStyle w:val="ad"/>
        <w:numPr>
          <w:ilvl w:val="0"/>
          <w:numId w:val="1"/>
        </w:numPr>
        <w:spacing w:line="360" w:lineRule="auto"/>
        <w:ind w:left="368" w:hanging="426"/>
        <w:jc w:val="both"/>
        <w:rPr>
          <w:rFonts w:ascii="FrankRuehl" w:hAnsi="FrankRuehl" w:cs="FrankRuehl"/>
          <w:sz w:val="28"/>
          <w:szCs w:val="28"/>
          <w:rtl/>
        </w:rPr>
      </w:pPr>
      <w:r w:rsidRPr="00261DD0">
        <w:rPr>
          <w:rFonts w:ascii="FrankRuehl" w:hAnsi="FrankRuehl" w:cs="FrankRuehl"/>
          <w:sz w:val="28"/>
          <w:szCs w:val="28"/>
          <w:rtl/>
        </w:rPr>
        <w:t xml:space="preserve">בבע"מ 919/15 </w:t>
      </w:r>
      <w:r w:rsidRPr="00261DD0">
        <w:rPr>
          <w:rFonts w:ascii="FrankRuehl" w:hAnsi="FrankRuehl" w:cs="FrankRuehl"/>
          <w:b/>
          <w:bCs/>
          <w:sz w:val="28"/>
          <w:szCs w:val="28"/>
          <w:rtl/>
        </w:rPr>
        <w:t>פלוני נ' פלונית</w:t>
      </w:r>
      <w:r w:rsidRPr="00261DD0">
        <w:rPr>
          <w:rFonts w:ascii="FrankRuehl" w:hAnsi="FrankRuehl" w:cs="FrankRuehl"/>
          <w:sz w:val="28"/>
          <w:szCs w:val="28"/>
          <w:rtl/>
        </w:rPr>
        <w:t xml:space="preserve">,  מיום 19.07.17 נפסק כי יש לפרש את החיוב מכוח תקנת חכמים כחיוב מדין צדקה, היינו החיוב מגיל 6 ואילך, החיוב חל במידה שווה על שני ההורים על פי </w:t>
      </w:r>
      <w:r w:rsidR="00027E6D">
        <w:rPr>
          <w:rFonts w:ascii="FrankRuehl" w:hAnsi="FrankRuehl" w:cs="FrankRuehl" w:hint="cs"/>
          <w:sz w:val="28"/>
          <w:szCs w:val="28"/>
          <w:rtl/>
        </w:rPr>
        <w:t>י</w:t>
      </w:r>
      <w:r w:rsidRPr="00261DD0">
        <w:rPr>
          <w:rFonts w:ascii="FrankRuehl" w:hAnsi="FrankRuehl" w:cs="FrankRuehl"/>
          <w:sz w:val="28"/>
          <w:szCs w:val="28"/>
          <w:rtl/>
        </w:rPr>
        <w:t>חס יכולותיהם הכלכליות יחסיות מכל המ</w:t>
      </w:r>
      <w:r w:rsidR="00805C60">
        <w:rPr>
          <w:rFonts w:ascii="FrankRuehl" w:hAnsi="FrankRuehl" w:cs="FrankRuehl" w:hint="cs"/>
          <w:sz w:val="28"/>
          <w:szCs w:val="28"/>
          <w:rtl/>
        </w:rPr>
        <w:t>ק</w:t>
      </w:r>
      <w:r w:rsidRPr="00261DD0">
        <w:rPr>
          <w:rFonts w:ascii="FrankRuehl" w:hAnsi="FrankRuehl" w:cs="FrankRuehl"/>
          <w:sz w:val="28"/>
          <w:szCs w:val="28"/>
          <w:rtl/>
        </w:rPr>
        <w:t xml:space="preserve">ורות שלרשותם ובהתחשב בזמני השהות וכלל נסיבות המקרה. ראו סעיף 3 לפסה"ד של הנשיאה כב' השופטת א' חיות, שם בעמוד 125. </w:t>
      </w:r>
    </w:p>
    <w:p w:rsidR="00261DD0" w:rsidRPr="00261DD0" w:rsidRDefault="00261DD0" w:rsidP="00261DD0">
      <w:pPr>
        <w:pStyle w:val="ad"/>
        <w:rPr>
          <w:rFonts w:ascii="FrankRuehl" w:hAnsi="FrankRuehl" w:cs="FrankRuehl"/>
          <w:sz w:val="28"/>
          <w:szCs w:val="28"/>
        </w:rPr>
      </w:pPr>
    </w:p>
    <w:p w:rsidR="00261DD0" w:rsidRPr="00261DD0" w:rsidRDefault="00261DD0" w:rsidP="005B5E70">
      <w:pPr>
        <w:pStyle w:val="ad"/>
        <w:numPr>
          <w:ilvl w:val="0"/>
          <w:numId w:val="1"/>
        </w:numPr>
        <w:spacing w:line="360" w:lineRule="auto"/>
        <w:ind w:left="368" w:hanging="426"/>
        <w:jc w:val="both"/>
        <w:rPr>
          <w:rFonts w:ascii="FrankRuehl" w:hAnsi="FrankRuehl" w:cs="FrankRuehl"/>
          <w:sz w:val="28"/>
          <w:szCs w:val="28"/>
          <w:rtl/>
        </w:rPr>
      </w:pPr>
      <w:r w:rsidRPr="00261DD0">
        <w:rPr>
          <w:rFonts w:ascii="FrankRuehl" w:hAnsi="FrankRuehl" w:cs="FrankRuehl"/>
          <w:sz w:val="28"/>
          <w:szCs w:val="28"/>
          <w:rtl/>
        </w:rPr>
        <w:t>על כן,</w:t>
      </w:r>
      <w:r w:rsidR="005B5E70">
        <w:rPr>
          <w:rFonts w:ascii="FrankRuehl" w:hAnsi="FrankRuehl" w:cs="FrankRuehl"/>
          <w:sz w:val="28"/>
          <w:szCs w:val="28"/>
          <w:rtl/>
        </w:rPr>
        <w:t xml:space="preserve"> לשם הכרעה בתביעת מזונות יש ל</w:t>
      </w:r>
      <w:r w:rsidR="005B5E70">
        <w:rPr>
          <w:rFonts w:ascii="FrankRuehl" w:hAnsi="FrankRuehl" w:cs="FrankRuehl" w:hint="cs"/>
          <w:sz w:val="28"/>
          <w:szCs w:val="28"/>
          <w:rtl/>
        </w:rPr>
        <w:t xml:space="preserve">בחון את </w:t>
      </w:r>
      <w:r w:rsidRPr="00261DD0">
        <w:rPr>
          <w:rFonts w:ascii="FrankRuehl" w:hAnsi="FrankRuehl" w:cs="FrankRuehl"/>
          <w:sz w:val="28"/>
          <w:szCs w:val="28"/>
          <w:rtl/>
        </w:rPr>
        <w:t>צרכי הקטין, ביכולת</w:t>
      </w:r>
      <w:r w:rsidR="005B5E70">
        <w:rPr>
          <w:rFonts w:ascii="FrankRuehl" w:hAnsi="FrankRuehl" w:cs="FrankRuehl" w:hint="cs"/>
          <w:sz w:val="28"/>
          <w:szCs w:val="28"/>
          <w:rtl/>
        </w:rPr>
        <w:t>ם של</w:t>
      </w:r>
      <w:r w:rsidRPr="00261DD0">
        <w:rPr>
          <w:rFonts w:ascii="FrankRuehl" w:hAnsi="FrankRuehl" w:cs="FrankRuehl"/>
          <w:sz w:val="28"/>
          <w:szCs w:val="28"/>
          <w:rtl/>
        </w:rPr>
        <w:t xml:space="preserve"> ההורים ויחס ההכנסות בי</w:t>
      </w:r>
      <w:r w:rsidR="005B5E70">
        <w:rPr>
          <w:rFonts w:ascii="FrankRuehl" w:hAnsi="FrankRuehl" w:cs="FrankRuehl" w:hint="cs"/>
          <w:sz w:val="28"/>
          <w:szCs w:val="28"/>
          <w:rtl/>
        </w:rPr>
        <w:t>ניהם</w:t>
      </w:r>
      <w:r w:rsidRPr="00261DD0">
        <w:rPr>
          <w:rFonts w:ascii="FrankRuehl" w:hAnsi="FrankRuehl" w:cs="FrankRuehl"/>
          <w:sz w:val="28"/>
          <w:szCs w:val="28"/>
          <w:rtl/>
        </w:rPr>
        <w:t xml:space="preserve">. נוסף על כך, יש לשקלל את זמני השהות, את חלוקת האחריות ההורית בין ההורים ואת הנטל שכל אחד מההורים נוטל על עצמו וגם את שאר נסיבות העניין. אין מדובר בנוסחה מתמטית. ראו עמ"ש 1180-05-14 </w:t>
      </w:r>
      <w:r w:rsidRPr="00261DD0">
        <w:rPr>
          <w:rFonts w:ascii="FrankRuehl" w:hAnsi="FrankRuehl" w:cs="FrankRuehl"/>
          <w:b/>
          <w:bCs/>
          <w:sz w:val="28"/>
          <w:szCs w:val="28"/>
          <w:rtl/>
        </w:rPr>
        <w:t>א.א. נ' מ.א.</w:t>
      </w:r>
      <w:r w:rsidRPr="00261DD0">
        <w:rPr>
          <w:rFonts w:ascii="FrankRuehl" w:hAnsi="FrankRuehl" w:cs="FrankRuehl"/>
          <w:sz w:val="28"/>
          <w:szCs w:val="28"/>
          <w:rtl/>
        </w:rPr>
        <w:t xml:space="preserve">, מיום 26.3.2015 עמוד 4 לפסק דינו של השופט שאול שוחט וגם עמ"ש (חיפה) 4208-01-19 </w:t>
      </w:r>
      <w:r w:rsidRPr="00261DD0">
        <w:rPr>
          <w:rFonts w:ascii="FrankRuehl" w:hAnsi="FrankRuehl" w:cs="FrankRuehl"/>
          <w:b/>
          <w:bCs/>
          <w:sz w:val="28"/>
          <w:szCs w:val="28"/>
          <w:rtl/>
        </w:rPr>
        <w:t>ד' ב' נ' א' א' ב'</w:t>
      </w:r>
      <w:r w:rsidRPr="00261DD0">
        <w:rPr>
          <w:rFonts w:ascii="FrankRuehl" w:hAnsi="FrankRuehl" w:cs="FrankRuehl"/>
          <w:sz w:val="28"/>
          <w:szCs w:val="28"/>
          <w:rtl/>
        </w:rPr>
        <w:t xml:space="preserve"> מיום 21.7.19.</w:t>
      </w:r>
    </w:p>
    <w:p w:rsidR="00261DD0" w:rsidRDefault="00261DD0" w:rsidP="00261DD0">
      <w:pPr>
        <w:pStyle w:val="ad"/>
        <w:rPr>
          <w:rFonts w:ascii="FrankRuehl" w:eastAsia="Calibri" w:hAnsi="FrankRuehl" w:cs="FrankRuehl"/>
          <w:sz w:val="28"/>
          <w:szCs w:val="28"/>
          <w:rtl/>
        </w:rPr>
      </w:pPr>
    </w:p>
    <w:p w:rsidR="00261DD0" w:rsidRPr="00261DD0" w:rsidRDefault="00261DD0" w:rsidP="00261DD0">
      <w:pPr>
        <w:spacing w:line="360" w:lineRule="auto"/>
        <w:jc w:val="both"/>
        <w:rPr>
          <w:rFonts w:ascii="FrankRuehl" w:eastAsiaTheme="minorHAnsi" w:hAnsi="FrankRuehl" w:cs="FrankRuehl"/>
          <w:sz w:val="28"/>
          <w:szCs w:val="28"/>
          <w:rtl/>
        </w:rPr>
      </w:pPr>
      <w:r w:rsidRPr="00261DD0">
        <w:rPr>
          <w:rFonts w:ascii="FrankRuehl" w:eastAsia="Calibri" w:hAnsi="FrankRuehl" w:cs="FrankRuehl"/>
          <w:b/>
          <w:bCs/>
          <w:sz w:val="28"/>
          <w:szCs w:val="28"/>
          <w:u w:val="single"/>
          <w:rtl/>
        </w:rPr>
        <w:t>צרכי הקטין</w:t>
      </w:r>
      <w:r w:rsidR="001B4E47">
        <w:rPr>
          <w:rFonts w:ascii="FrankRuehl" w:eastAsiaTheme="minorHAnsi" w:hAnsi="FrankRuehl" w:cs="FrankRuehl" w:hint="cs"/>
          <w:sz w:val="28"/>
          <w:szCs w:val="28"/>
          <w:rtl/>
        </w:rPr>
        <w:t>:</w:t>
      </w:r>
    </w:p>
    <w:p w:rsidR="00261DD0" w:rsidRPr="00261DD0" w:rsidRDefault="00261DD0" w:rsidP="00261DD0">
      <w:pPr>
        <w:pStyle w:val="ad"/>
        <w:rPr>
          <w:rFonts w:ascii="FrankRuehl" w:eastAsia="Calibri" w:hAnsi="FrankRuehl" w:cs="FrankRuehl"/>
          <w:sz w:val="28"/>
          <w:szCs w:val="28"/>
        </w:rPr>
      </w:pPr>
    </w:p>
    <w:p w:rsidR="005B5E70" w:rsidRPr="005B5E70" w:rsidRDefault="00261DD0" w:rsidP="001B4E47">
      <w:pPr>
        <w:pStyle w:val="ad"/>
        <w:numPr>
          <w:ilvl w:val="0"/>
          <w:numId w:val="1"/>
        </w:numPr>
        <w:spacing w:line="360" w:lineRule="auto"/>
        <w:ind w:left="368" w:hanging="426"/>
        <w:jc w:val="both"/>
        <w:rPr>
          <w:rFonts w:ascii="FrankRuehl" w:hAnsi="FrankRuehl" w:cs="FrankRuehl"/>
          <w:sz w:val="28"/>
          <w:szCs w:val="28"/>
        </w:rPr>
      </w:pPr>
      <w:r w:rsidRPr="00261DD0">
        <w:rPr>
          <w:rFonts w:ascii="FrankRuehl" w:eastAsia="Calibri" w:hAnsi="FrankRuehl" w:cs="FrankRuehl"/>
          <w:sz w:val="28"/>
          <w:szCs w:val="28"/>
          <w:rtl/>
        </w:rPr>
        <w:t xml:space="preserve">שני הצדדים לא הוכיחו צרכיו. </w:t>
      </w:r>
    </w:p>
    <w:p w:rsidR="00261DD0" w:rsidRPr="00261DD0" w:rsidRDefault="00261DD0" w:rsidP="001B4E47">
      <w:pPr>
        <w:pStyle w:val="ad"/>
        <w:numPr>
          <w:ilvl w:val="0"/>
          <w:numId w:val="1"/>
        </w:numPr>
        <w:spacing w:line="360" w:lineRule="auto"/>
        <w:ind w:left="368" w:hanging="426"/>
        <w:jc w:val="both"/>
        <w:rPr>
          <w:rFonts w:ascii="FrankRuehl" w:hAnsi="FrankRuehl" w:cs="FrankRuehl"/>
          <w:sz w:val="28"/>
          <w:szCs w:val="28"/>
          <w:rtl/>
        </w:rPr>
      </w:pPr>
      <w:r w:rsidRPr="00261DD0">
        <w:rPr>
          <w:rFonts w:ascii="FrankRuehl" w:eastAsia="Calibri" w:hAnsi="FrankRuehl" w:cs="FrankRuehl"/>
          <w:sz w:val="28"/>
          <w:szCs w:val="28"/>
          <w:rtl/>
        </w:rPr>
        <w:lastRenderedPageBreak/>
        <w:t>לתצהיר התובעת ת/1 צורפה קבלה אחת מ</w:t>
      </w:r>
      <w:r w:rsidR="001B4E47">
        <w:rPr>
          <w:rFonts w:ascii="FrankRuehl" w:eastAsia="Calibri" w:hAnsi="FrankRuehl" w:cs="FrankRuehl" w:hint="cs"/>
          <w:sz w:val="28"/>
          <w:szCs w:val="28"/>
          <w:rtl/>
        </w:rPr>
        <w:t>-</w:t>
      </w:r>
      <w:r w:rsidRPr="00261DD0">
        <w:rPr>
          <w:rFonts w:ascii="FrankRuehl" w:eastAsia="Calibri" w:hAnsi="FrankRuehl" w:cs="FrankRuehl"/>
          <w:sz w:val="28"/>
          <w:szCs w:val="28"/>
          <w:rtl/>
        </w:rPr>
        <w:t>"אושר עד" (נספח 6 לתצהיר) אשר עיון בה מעלה כי מרבית הפריטים המצוינים בה אינם חלק ממזונו של קטין כבן שנתיים. הקבלה היא מיום 24.</w:t>
      </w:r>
      <w:r w:rsidR="001B4E47">
        <w:rPr>
          <w:rFonts w:ascii="FrankRuehl" w:eastAsia="Calibri" w:hAnsi="FrankRuehl" w:cs="FrankRuehl" w:hint="cs"/>
          <w:sz w:val="28"/>
          <w:szCs w:val="28"/>
          <w:rtl/>
        </w:rPr>
        <w:t>0</w:t>
      </w:r>
      <w:r w:rsidRPr="00261DD0">
        <w:rPr>
          <w:rFonts w:ascii="FrankRuehl" w:eastAsia="Calibri" w:hAnsi="FrankRuehl" w:cs="FrankRuehl"/>
          <w:sz w:val="28"/>
          <w:szCs w:val="28"/>
          <w:rtl/>
        </w:rPr>
        <w:t>4.</w:t>
      </w:r>
      <w:r w:rsidR="001B4E47">
        <w:rPr>
          <w:rFonts w:ascii="FrankRuehl" w:eastAsia="Calibri" w:hAnsi="FrankRuehl" w:cs="FrankRuehl" w:hint="cs"/>
          <w:sz w:val="28"/>
          <w:szCs w:val="28"/>
          <w:rtl/>
        </w:rPr>
        <w:t>20</w:t>
      </w:r>
      <w:r w:rsidRPr="00261DD0">
        <w:rPr>
          <w:rFonts w:ascii="FrankRuehl" w:eastAsia="Calibri" w:hAnsi="FrankRuehl" w:cs="FrankRuehl"/>
          <w:sz w:val="28"/>
          <w:szCs w:val="28"/>
          <w:rtl/>
        </w:rPr>
        <w:t>22. עדות התובעת כי מרבית הוצאותיה למזון הן עבור הקטין לא הו</w:t>
      </w:r>
      <w:r w:rsidR="001B4E47">
        <w:rPr>
          <w:rFonts w:ascii="FrankRuehl" w:eastAsia="Calibri" w:hAnsi="FrankRuehl" w:cs="FrankRuehl" w:hint="cs"/>
          <w:sz w:val="28"/>
          <w:szCs w:val="28"/>
          <w:rtl/>
        </w:rPr>
        <w:t>ּ</w:t>
      </w:r>
      <w:r w:rsidRPr="00261DD0">
        <w:rPr>
          <w:rFonts w:ascii="FrankRuehl" w:eastAsia="Calibri" w:hAnsi="FrankRuehl" w:cs="FrankRuehl"/>
          <w:sz w:val="28"/>
          <w:szCs w:val="28"/>
          <w:rtl/>
        </w:rPr>
        <w:t>כחה מה גם שאינה הגיונית – שהרי עם התובעת והקטינים מתגוררים חלק מהזמן גם 3 אחיו. כאשר עומתה התובעת עם הרכיב "פילה בשר" שנכלל באותה אסמכ</w:t>
      </w:r>
      <w:r w:rsidR="001B4E47">
        <w:rPr>
          <w:rFonts w:ascii="FrankRuehl" w:eastAsia="Calibri" w:hAnsi="FrankRuehl" w:cs="FrankRuehl"/>
          <w:sz w:val="28"/>
          <w:szCs w:val="28"/>
          <w:rtl/>
        </w:rPr>
        <w:t>תא, ונשאלה אם הקטין שכבן שנתיים</w:t>
      </w:r>
      <w:r w:rsidRPr="00261DD0">
        <w:rPr>
          <w:rFonts w:ascii="FrankRuehl" w:eastAsia="Calibri" w:hAnsi="FrankRuehl" w:cs="FrankRuehl"/>
          <w:sz w:val="28"/>
          <w:szCs w:val="28"/>
          <w:rtl/>
        </w:rPr>
        <w:t xml:space="preserve"> אוכ</w:t>
      </w:r>
      <w:r w:rsidR="001B4E47">
        <w:rPr>
          <w:rFonts w:ascii="FrankRuehl" w:eastAsia="Calibri" w:hAnsi="FrankRuehl" w:cs="FrankRuehl"/>
          <w:sz w:val="28"/>
          <w:szCs w:val="28"/>
          <w:rtl/>
        </w:rPr>
        <w:t>ל פילה בשר</w:t>
      </w:r>
      <w:r w:rsidR="001B4E47">
        <w:rPr>
          <w:rFonts w:ascii="FrankRuehl" w:eastAsia="Calibri" w:hAnsi="FrankRuehl" w:cs="FrankRuehl" w:hint="cs"/>
          <w:sz w:val="28"/>
          <w:szCs w:val="28"/>
          <w:rtl/>
        </w:rPr>
        <w:t>,</w:t>
      </w:r>
      <w:r w:rsidR="001B4E47">
        <w:rPr>
          <w:rFonts w:ascii="FrankRuehl" w:eastAsia="Calibri" w:hAnsi="FrankRuehl" w:cs="FrankRuehl"/>
          <w:sz w:val="28"/>
          <w:szCs w:val="28"/>
          <w:rtl/>
        </w:rPr>
        <w:t xml:space="preserve"> תשובתה </w:t>
      </w:r>
      <w:r w:rsidR="001B4E47">
        <w:rPr>
          <w:rFonts w:ascii="FrankRuehl" w:eastAsia="Calibri" w:hAnsi="FrankRuehl" w:cs="FrankRuehl" w:hint="cs"/>
          <w:sz w:val="28"/>
          <w:szCs w:val="28"/>
          <w:rtl/>
        </w:rPr>
        <w:t xml:space="preserve">הייתה </w:t>
      </w:r>
      <w:r w:rsidR="001B4E47">
        <w:rPr>
          <w:rFonts w:ascii="FrankRuehl" w:eastAsia="Calibri" w:hAnsi="FrankRuehl" w:cs="FrankRuehl"/>
          <w:sz w:val="28"/>
          <w:szCs w:val="28"/>
          <w:rtl/>
        </w:rPr>
        <w:t>חמקמקה</w:t>
      </w:r>
      <w:r w:rsidRPr="00261DD0">
        <w:rPr>
          <w:rFonts w:ascii="FrankRuehl" w:eastAsia="Calibri" w:hAnsi="FrankRuehl" w:cs="FrankRuehl"/>
          <w:sz w:val="28"/>
          <w:szCs w:val="28"/>
          <w:rtl/>
        </w:rPr>
        <w:t xml:space="preserve"> </w:t>
      </w:r>
      <w:r w:rsidR="001B4E47">
        <w:rPr>
          <w:rFonts w:ascii="FrankRuehl" w:eastAsia="Calibri" w:hAnsi="FrankRuehl" w:cs="FrankRuehl" w:hint="cs"/>
          <w:sz w:val="28"/>
          <w:szCs w:val="28"/>
          <w:rtl/>
        </w:rPr>
        <w:t>ו</w:t>
      </w:r>
      <w:r w:rsidRPr="00261DD0">
        <w:rPr>
          <w:rFonts w:ascii="FrankRuehl" w:eastAsia="Calibri" w:hAnsi="FrankRuehl" w:cs="FrankRuehl"/>
          <w:sz w:val="28"/>
          <w:szCs w:val="28"/>
          <w:rtl/>
        </w:rPr>
        <w:t>השיבה כי היא רוכשת עבור הקטין טיטולים ומשחות. ראו  עמוד 7 שורות 7-11. אך לא צרפה  אסמכתא להוכחת סכום ההוצאות.</w:t>
      </w:r>
    </w:p>
    <w:p w:rsidR="00261DD0" w:rsidRPr="00261DD0" w:rsidRDefault="00261DD0" w:rsidP="00261DD0">
      <w:pPr>
        <w:pStyle w:val="ad"/>
        <w:rPr>
          <w:rFonts w:ascii="FrankRuehl" w:eastAsia="Calibri" w:hAnsi="FrankRuehl" w:cs="FrankRuehl"/>
          <w:sz w:val="28"/>
          <w:szCs w:val="28"/>
        </w:rPr>
      </w:pPr>
    </w:p>
    <w:p w:rsidR="00261DD0" w:rsidRPr="00261DD0" w:rsidRDefault="00261DD0" w:rsidP="00261DD0">
      <w:pPr>
        <w:pStyle w:val="ad"/>
        <w:spacing w:line="360" w:lineRule="auto"/>
        <w:ind w:left="368"/>
        <w:jc w:val="both"/>
        <w:rPr>
          <w:rFonts w:ascii="FrankRuehl" w:eastAsia="Calibri" w:hAnsi="FrankRuehl" w:cs="FrankRuehl"/>
          <w:sz w:val="28"/>
          <w:szCs w:val="28"/>
          <w:rtl/>
        </w:rPr>
      </w:pPr>
      <w:r w:rsidRPr="00261DD0">
        <w:rPr>
          <w:rFonts w:ascii="FrankRuehl" w:eastAsia="Calibri" w:hAnsi="FrankRuehl" w:cs="FrankRuehl"/>
          <w:sz w:val="28"/>
          <w:szCs w:val="28"/>
          <w:rtl/>
        </w:rPr>
        <w:t>ה</w:t>
      </w:r>
      <w:r w:rsidR="001B4E47">
        <w:rPr>
          <w:rFonts w:ascii="FrankRuehl" w:eastAsia="Calibri" w:hAnsi="FrankRuehl" w:cs="FrankRuehl" w:hint="cs"/>
          <w:sz w:val="28"/>
          <w:szCs w:val="28"/>
          <w:rtl/>
        </w:rPr>
        <w:t>י</w:t>
      </w:r>
      <w:r w:rsidRPr="00261DD0">
        <w:rPr>
          <w:rFonts w:ascii="FrankRuehl" w:eastAsia="Calibri" w:hAnsi="FrankRuehl" w:cs="FrankRuehl"/>
          <w:sz w:val="28"/>
          <w:szCs w:val="28"/>
          <w:rtl/>
        </w:rPr>
        <w:t>עדר אסמכתאות ופירו</w:t>
      </w:r>
      <w:r w:rsidR="001B4E47">
        <w:rPr>
          <w:rFonts w:ascii="FrankRuehl" w:eastAsia="Calibri" w:hAnsi="FrankRuehl" w:cs="FrankRuehl"/>
          <w:sz w:val="28"/>
          <w:szCs w:val="28"/>
          <w:rtl/>
        </w:rPr>
        <w:t>ט אשר להוצאות שהוצאו עבור הקטין</w:t>
      </w:r>
      <w:r w:rsidRPr="00261DD0">
        <w:rPr>
          <w:rFonts w:ascii="FrankRuehl" w:eastAsia="Calibri" w:hAnsi="FrankRuehl" w:cs="FrankRuehl"/>
          <w:sz w:val="28"/>
          <w:szCs w:val="28"/>
          <w:rtl/>
        </w:rPr>
        <w:t xml:space="preserve">  מעיד על חולשת טענות התובעת בהקשר לסכומים שנתבעו. עתירתה</w:t>
      </w:r>
      <w:r w:rsidR="001B4E47">
        <w:rPr>
          <w:rFonts w:ascii="FrankRuehl" w:eastAsia="Calibri" w:hAnsi="FrankRuehl" w:cs="FrankRuehl" w:hint="cs"/>
          <w:sz w:val="28"/>
          <w:szCs w:val="28"/>
          <w:rtl/>
        </w:rPr>
        <w:t>ּ</w:t>
      </w:r>
      <w:r w:rsidRPr="00261DD0">
        <w:rPr>
          <w:rFonts w:ascii="FrankRuehl" w:eastAsia="Calibri" w:hAnsi="FrankRuehl" w:cs="FrankRuehl"/>
          <w:sz w:val="28"/>
          <w:szCs w:val="28"/>
          <w:rtl/>
        </w:rPr>
        <w:t xml:space="preserve"> לדמי טיפול עבור הקטין נטענה לראשונה רק בסיכומיה ו</w:t>
      </w:r>
      <w:r w:rsidR="001B4E47">
        <w:rPr>
          <w:rFonts w:ascii="FrankRuehl" w:eastAsia="Calibri" w:hAnsi="FrankRuehl" w:cs="FrankRuehl"/>
          <w:sz w:val="28"/>
          <w:szCs w:val="28"/>
          <w:rtl/>
        </w:rPr>
        <w:t>על כן יש לדחותה בשל הרחבת חזית.</w:t>
      </w:r>
    </w:p>
    <w:p w:rsidR="00261DD0" w:rsidRPr="00261DD0" w:rsidRDefault="00261DD0" w:rsidP="00261DD0">
      <w:pPr>
        <w:pStyle w:val="ad"/>
        <w:spacing w:line="360" w:lineRule="auto"/>
        <w:ind w:left="368"/>
        <w:jc w:val="both"/>
        <w:rPr>
          <w:rFonts w:ascii="FrankRuehl" w:eastAsia="Calibri" w:hAnsi="FrankRuehl" w:cs="FrankRuehl"/>
          <w:sz w:val="28"/>
          <w:szCs w:val="28"/>
        </w:rPr>
      </w:pPr>
    </w:p>
    <w:p w:rsidR="00261DD0" w:rsidRPr="001B4E47" w:rsidRDefault="00261DD0" w:rsidP="001B4E47">
      <w:pPr>
        <w:pStyle w:val="ad"/>
        <w:numPr>
          <w:ilvl w:val="0"/>
          <w:numId w:val="1"/>
        </w:numPr>
        <w:spacing w:line="360" w:lineRule="auto"/>
        <w:ind w:left="368" w:hanging="426"/>
        <w:jc w:val="both"/>
        <w:rPr>
          <w:rFonts w:ascii="FrankRuehl" w:hAnsi="FrankRuehl" w:cs="FrankRuehl"/>
          <w:sz w:val="28"/>
          <w:szCs w:val="28"/>
        </w:rPr>
      </w:pPr>
      <w:r w:rsidRPr="00261DD0">
        <w:rPr>
          <w:rFonts w:ascii="FrankRuehl" w:eastAsia="Calibri" w:hAnsi="FrankRuehl" w:cs="FrankRuehl"/>
          <w:sz w:val="28"/>
          <w:szCs w:val="28"/>
          <w:rtl/>
        </w:rPr>
        <w:t>הנתבע מעריך את צרכי הקטין  בסך 1,000 ₪ לחודש, כלשונו: "</w:t>
      </w:r>
      <w:r w:rsidRPr="001B4E47">
        <w:rPr>
          <w:rFonts w:ascii="FrankRuehl" w:eastAsia="Calibri" w:hAnsi="FrankRuehl" w:cs="Miriam"/>
          <w:sz w:val="26"/>
          <w:rtl/>
        </w:rPr>
        <w:t>משהו נורמלי זה 1,000 ₪, הוא לא צריך כלום טיטול, חלב, בגדים והרבה אהבה</w:t>
      </w:r>
      <w:r w:rsidRPr="00261DD0">
        <w:rPr>
          <w:rFonts w:ascii="FrankRuehl" w:eastAsia="Calibri" w:hAnsi="FrankRuehl" w:cs="FrankRuehl"/>
          <w:sz w:val="28"/>
          <w:szCs w:val="28"/>
          <w:rtl/>
        </w:rPr>
        <w:t xml:space="preserve">". ראו עמוד 27 שורות 35-36. טענה זו לא יכולה לעמוד. ייתכן והרקע היא העובדה כי לבקשת התובעת, רכש הנתבע מעת עת עבור הקטין ואחיו, מוצרים שונים </w:t>
      </w:r>
      <w:r w:rsidR="001B4E47">
        <w:rPr>
          <w:rFonts w:ascii="FrankRuehl" w:eastAsia="Calibri" w:hAnsi="FrankRuehl" w:cs="FrankRuehl"/>
          <w:sz w:val="28"/>
          <w:szCs w:val="28"/>
          <w:rtl/>
        </w:rPr>
        <w:t>כגון, לחמניות</w:t>
      </w:r>
      <w:r w:rsidR="001B4E47">
        <w:rPr>
          <w:rFonts w:ascii="FrankRuehl" w:eastAsia="Calibri" w:hAnsi="FrankRuehl" w:cs="FrankRuehl" w:hint="cs"/>
          <w:sz w:val="28"/>
          <w:szCs w:val="28"/>
          <w:rtl/>
        </w:rPr>
        <w:t>,</w:t>
      </w:r>
      <w:r w:rsidR="001B4E47">
        <w:rPr>
          <w:rFonts w:ascii="FrankRuehl" w:eastAsia="Calibri" w:hAnsi="FrankRuehl" w:cs="FrankRuehl"/>
          <w:sz w:val="28"/>
          <w:szCs w:val="28"/>
          <w:rtl/>
        </w:rPr>
        <w:t xml:space="preserve"> חלב</w:t>
      </w:r>
      <w:r w:rsidR="001B4E47">
        <w:rPr>
          <w:rFonts w:ascii="FrankRuehl" w:eastAsia="Calibri" w:hAnsi="FrankRuehl" w:cs="FrankRuehl" w:hint="cs"/>
          <w:sz w:val="28"/>
          <w:szCs w:val="28"/>
          <w:rtl/>
        </w:rPr>
        <w:t>,</w:t>
      </w:r>
      <w:r w:rsidR="001B4E47">
        <w:rPr>
          <w:rFonts w:ascii="FrankRuehl" w:eastAsia="Calibri" w:hAnsi="FrankRuehl" w:cs="FrankRuehl"/>
          <w:sz w:val="28"/>
          <w:szCs w:val="28"/>
          <w:rtl/>
        </w:rPr>
        <w:t xml:space="preserve"> לחם</w:t>
      </w:r>
      <w:r w:rsidR="001B4E47">
        <w:rPr>
          <w:rFonts w:ascii="FrankRuehl" w:eastAsia="Calibri" w:hAnsi="FrankRuehl" w:cs="FrankRuehl" w:hint="cs"/>
          <w:sz w:val="28"/>
          <w:szCs w:val="28"/>
          <w:rtl/>
        </w:rPr>
        <w:t>,</w:t>
      </w:r>
      <w:r w:rsidR="001B4E47">
        <w:rPr>
          <w:rFonts w:ascii="FrankRuehl" w:eastAsia="Calibri" w:hAnsi="FrankRuehl" w:cs="FrankRuehl"/>
          <w:sz w:val="28"/>
          <w:szCs w:val="28"/>
          <w:rtl/>
        </w:rPr>
        <w:t xml:space="preserve"> מלפפון חמוץ</w:t>
      </w:r>
      <w:r w:rsidR="001B4E47">
        <w:rPr>
          <w:rFonts w:ascii="FrankRuehl" w:eastAsia="Calibri" w:hAnsi="FrankRuehl" w:cs="FrankRuehl" w:hint="cs"/>
          <w:sz w:val="28"/>
          <w:szCs w:val="28"/>
          <w:rtl/>
        </w:rPr>
        <w:t>,</w:t>
      </w:r>
      <w:r w:rsidRPr="001B4E47">
        <w:rPr>
          <w:rFonts w:ascii="FrankRuehl" w:eastAsia="Calibri" w:hAnsi="FrankRuehl" w:cs="FrankRuehl"/>
          <w:sz w:val="28"/>
          <w:szCs w:val="28"/>
          <w:rtl/>
        </w:rPr>
        <w:t xml:space="preserve"> גבינה צהובה וגם מטרנה. ראו עמוד 8 שורות 29-30, עמוד 12 שורות 22-26 וגם התכתובת בין הצדדים שסומנה מוצג ת/2 וגם נספ</w:t>
      </w:r>
      <w:r w:rsidR="001B4E47">
        <w:rPr>
          <w:rFonts w:ascii="FrankRuehl" w:eastAsia="Calibri" w:hAnsi="FrankRuehl" w:cs="FrankRuehl"/>
          <w:sz w:val="28"/>
          <w:szCs w:val="28"/>
          <w:rtl/>
        </w:rPr>
        <w:t>ח א לבקשה להפחתת מזונות זמניים.</w:t>
      </w:r>
    </w:p>
    <w:p w:rsidR="00261DD0" w:rsidRPr="00261DD0" w:rsidRDefault="00261DD0" w:rsidP="00261DD0">
      <w:pPr>
        <w:pStyle w:val="ad"/>
        <w:spacing w:line="360" w:lineRule="auto"/>
        <w:ind w:left="368"/>
        <w:jc w:val="both"/>
        <w:rPr>
          <w:rFonts w:ascii="FrankRuehl" w:eastAsia="Calibri" w:hAnsi="FrankRuehl" w:cs="FrankRuehl"/>
          <w:sz w:val="28"/>
          <w:szCs w:val="28"/>
          <w:rtl/>
        </w:rPr>
      </w:pPr>
    </w:p>
    <w:p w:rsidR="00261DD0" w:rsidRPr="00261DD0" w:rsidRDefault="00261DD0" w:rsidP="00261DD0">
      <w:pPr>
        <w:pStyle w:val="ad"/>
        <w:numPr>
          <w:ilvl w:val="0"/>
          <w:numId w:val="1"/>
        </w:numPr>
        <w:spacing w:line="360" w:lineRule="auto"/>
        <w:ind w:left="368" w:hanging="426"/>
        <w:jc w:val="both"/>
        <w:rPr>
          <w:rFonts w:ascii="FrankRuehl" w:eastAsia="Times New Roman" w:hAnsi="FrankRuehl" w:cs="FrankRuehl"/>
          <w:noProof/>
          <w:sz w:val="28"/>
          <w:szCs w:val="28"/>
          <w:rtl/>
        </w:rPr>
      </w:pPr>
      <w:r w:rsidRPr="00261DD0">
        <w:rPr>
          <w:rFonts w:ascii="FrankRuehl" w:eastAsia="Calibri" w:hAnsi="FrankRuehl" w:cs="FrankRuehl"/>
          <w:sz w:val="28"/>
          <w:szCs w:val="28"/>
          <w:rtl/>
        </w:rPr>
        <w:t xml:space="preserve">תביעת מזונות היא תביעה כספית שיש להוכיח ככל תביעה אחרת. כאשר העובדות אינן שלמות והראיות אינן מאפשרות קביעת ממצאים ברורים, יאמוד בית המשפט את הצרכים על פי נִיסיון החיים של השופט היושב בדין. ראו: ע"א 680/82 </w:t>
      </w:r>
      <w:r w:rsidRPr="00261DD0">
        <w:rPr>
          <w:rFonts w:ascii="FrankRuehl" w:eastAsia="Calibri" w:hAnsi="FrankRuehl" w:cs="FrankRuehl"/>
          <w:b/>
          <w:bCs/>
          <w:sz w:val="28"/>
          <w:szCs w:val="28"/>
          <w:rtl/>
        </w:rPr>
        <w:t>נחום נ' נחום</w:t>
      </w:r>
      <w:r w:rsidRPr="00261DD0">
        <w:rPr>
          <w:rFonts w:ascii="FrankRuehl" w:eastAsia="Calibri" w:hAnsi="FrankRuehl" w:cs="FrankRuehl"/>
          <w:sz w:val="28"/>
          <w:szCs w:val="28"/>
          <w:rtl/>
        </w:rPr>
        <w:t xml:space="preserve">, פ"ד לז(4)667; ע"א 687/83 </w:t>
      </w:r>
      <w:r w:rsidRPr="00261DD0">
        <w:rPr>
          <w:rFonts w:ascii="FrankRuehl" w:eastAsia="Calibri" w:hAnsi="FrankRuehl" w:cs="FrankRuehl"/>
          <w:b/>
          <w:bCs/>
          <w:sz w:val="28"/>
          <w:szCs w:val="28"/>
          <w:rtl/>
        </w:rPr>
        <w:t>מזור נ' מזור</w:t>
      </w:r>
      <w:r w:rsidRPr="00261DD0">
        <w:rPr>
          <w:rFonts w:ascii="FrankRuehl" w:eastAsia="Calibri" w:hAnsi="FrankRuehl" w:cs="FrankRuehl"/>
          <w:sz w:val="28"/>
          <w:szCs w:val="28"/>
          <w:rtl/>
        </w:rPr>
        <w:t xml:space="preserve">, פ"ד לח(3) 29, 33; ע"א 130/85 </w:t>
      </w:r>
      <w:r w:rsidRPr="00261DD0">
        <w:rPr>
          <w:rFonts w:ascii="FrankRuehl" w:eastAsia="Calibri" w:hAnsi="FrankRuehl" w:cs="FrankRuehl"/>
          <w:b/>
          <w:bCs/>
          <w:sz w:val="28"/>
          <w:szCs w:val="28"/>
          <w:rtl/>
        </w:rPr>
        <w:t>ניסים סבן כהן נ' שמעון כהן</w:t>
      </w:r>
      <w:r w:rsidRPr="00261DD0">
        <w:rPr>
          <w:rFonts w:ascii="FrankRuehl" w:eastAsia="Calibri" w:hAnsi="FrankRuehl" w:cs="FrankRuehl"/>
          <w:sz w:val="28"/>
          <w:szCs w:val="28"/>
          <w:rtl/>
        </w:rPr>
        <w:t xml:space="preserve">, פ"ד מ(1) 69; ע"א 93/85 </w:t>
      </w:r>
      <w:r w:rsidRPr="00261DD0">
        <w:rPr>
          <w:rFonts w:ascii="FrankRuehl" w:eastAsia="Calibri" w:hAnsi="FrankRuehl" w:cs="FrankRuehl"/>
          <w:b/>
          <w:bCs/>
          <w:sz w:val="28"/>
          <w:szCs w:val="28"/>
          <w:rtl/>
        </w:rPr>
        <w:t>שגב נ' שגב</w:t>
      </w:r>
      <w:r w:rsidRPr="00261DD0">
        <w:rPr>
          <w:rFonts w:ascii="FrankRuehl" w:eastAsia="Calibri" w:hAnsi="FrankRuehl" w:cs="FrankRuehl"/>
          <w:sz w:val="28"/>
          <w:szCs w:val="28"/>
          <w:rtl/>
        </w:rPr>
        <w:t>, פ"ד לט(3)822, 825, 828 ועוד.</w:t>
      </w:r>
    </w:p>
    <w:p w:rsidR="00261DD0" w:rsidRPr="00261DD0" w:rsidRDefault="00261DD0" w:rsidP="00261DD0">
      <w:pPr>
        <w:pStyle w:val="ad"/>
        <w:rPr>
          <w:rFonts w:ascii="FrankRuehl" w:hAnsi="FrankRuehl" w:cs="FrankRuehl"/>
          <w:sz w:val="28"/>
          <w:szCs w:val="28"/>
        </w:rPr>
      </w:pPr>
    </w:p>
    <w:p w:rsidR="00261DD0" w:rsidRPr="00261DD0" w:rsidRDefault="00261DD0" w:rsidP="00261DD0">
      <w:pPr>
        <w:pStyle w:val="ad"/>
        <w:numPr>
          <w:ilvl w:val="0"/>
          <w:numId w:val="1"/>
        </w:numPr>
        <w:spacing w:line="360" w:lineRule="auto"/>
        <w:ind w:left="368" w:hanging="426"/>
        <w:jc w:val="both"/>
        <w:rPr>
          <w:rFonts w:ascii="FrankRuehl" w:eastAsia="Times New Roman" w:hAnsi="FrankRuehl" w:cs="FrankRuehl"/>
          <w:noProof/>
          <w:sz w:val="28"/>
          <w:szCs w:val="28"/>
          <w:rtl/>
        </w:rPr>
      </w:pPr>
      <w:r w:rsidRPr="00261DD0">
        <w:rPr>
          <w:rFonts w:ascii="FrankRuehl" w:hAnsi="FrankRuehl" w:cs="FrankRuehl"/>
          <w:sz w:val="28"/>
          <w:szCs w:val="28"/>
          <w:rtl/>
        </w:rPr>
        <w:t xml:space="preserve">צרכי סף מינימליים לקטין הוערכו בסך 1,300-1,700 ₪ לחודש כולל אחזקת מדור אך לא כולל מדור. ראו עמ"ש 46291-01-16 </w:t>
      </w:r>
      <w:r w:rsidRPr="00261DD0">
        <w:rPr>
          <w:rFonts w:ascii="FrankRuehl" w:hAnsi="FrankRuehl" w:cs="FrankRuehl"/>
          <w:b/>
          <w:bCs/>
          <w:sz w:val="28"/>
          <w:szCs w:val="28"/>
          <w:rtl/>
        </w:rPr>
        <w:t>פלונית נ' פלוני</w:t>
      </w:r>
      <w:r w:rsidRPr="00261DD0">
        <w:rPr>
          <w:rFonts w:ascii="FrankRuehl" w:hAnsi="FrankRuehl" w:cs="FrankRuehl"/>
          <w:sz w:val="28"/>
          <w:szCs w:val="28"/>
          <w:rtl/>
        </w:rPr>
        <w:t xml:space="preserve"> מיום 09.10.2017</w:t>
      </w:r>
      <w:r w:rsidRPr="00261DD0">
        <w:rPr>
          <w:rFonts w:ascii="FrankRuehl" w:eastAsia="Times New Roman" w:hAnsi="FrankRuehl" w:cs="FrankRuehl"/>
          <w:noProof/>
          <w:sz w:val="28"/>
          <w:szCs w:val="28"/>
          <w:rtl/>
        </w:rPr>
        <w:t xml:space="preserve">; עמ"ש 44496-10-20 </w:t>
      </w:r>
      <w:r w:rsidRPr="00261DD0">
        <w:rPr>
          <w:rFonts w:ascii="FrankRuehl" w:eastAsia="Times New Roman" w:hAnsi="FrankRuehl" w:cs="FrankRuehl"/>
          <w:b/>
          <w:bCs/>
          <w:noProof/>
          <w:sz w:val="28"/>
          <w:szCs w:val="28"/>
          <w:rtl/>
        </w:rPr>
        <w:t>א.נ' ב.</w:t>
      </w:r>
      <w:r w:rsidRPr="00261DD0">
        <w:rPr>
          <w:rFonts w:ascii="FrankRuehl" w:eastAsia="Times New Roman" w:hAnsi="FrankRuehl" w:cs="FrankRuehl"/>
          <w:noProof/>
          <w:sz w:val="28"/>
          <w:szCs w:val="28"/>
          <w:rtl/>
        </w:rPr>
        <w:t xml:space="preserve"> מיום 11.8.20. סכומים אלו נקבעו לאחר שנלקחו בחשבון</w:t>
      </w:r>
      <w:r w:rsidRPr="00261DD0">
        <w:rPr>
          <w:rFonts w:ascii="FrankRuehl" w:hAnsi="FrankRuehl" w:cs="FrankRuehl"/>
          <w:sz w:val="28"/>
          <w:szCs w:val="28"/>
          <w:rtl/>
        </w:rPr>
        <w:t xml:space="preserve"> התמורות הרבות במהלך השנים, עליית מחירים בכל תחומי החיים, רמת שכר שעלתה, שכר המינימום שעלה וכיוצ"ב. סכומים אלו כוללים צרכי</w:t>
      </w:r>
      <w:r w:rsidR="001B4E47">
        <w:rPr>
          <w:rFonts w:ascii="FrankRuehl" w:hAnsi="FrankRuehl" w:cs="FrankRuehl"/>
          <w:sz w:val="28"/>
          <w:szCs w:val="28"/>
          <w:rtl/>
        </w:rPr>
        <w:t>ם הכרחיים וצרכים שאינם הכרחיים.</w:t>
      </w:r>
    </w:p>
    <w:p w:rsidR="00261DD0" w:rsidRPr="00261DD0" w:rsidRDefault="00261DD0" w:rsidP="00261DD0">
      <w:pPr>
        <w:pStyle w:val="ad"/>
        <w:rPr>
          <w:rFonts w:ascii="FrankRuehl" w:hAnsi="FrankRuehl" w:cs="FrankRuehl"/>
          <w:sz w:val="28"/>
          <w:szCs w:val="28"/>
        </w:rPr>
      </w:pPr>
    </w:p>
    <w:p w:rsidR="00261DD0" w:rsidRPr="00261DD0" w:rsidRDefault="00261DD0" w:rsidP="005B5E70">
      <w:pPr>
        <w:pStyle w:val="ad"/>
        <w:numPr>
          <w:ilvl w:val="0"/>
          <w:numId w:val="1"/>
        </w:numPr>
        <w:spacing w:line="360" w:lineRule="auto"/>
        <w:ind w:left="368" w:hanging="426"/>
        <w:jc w:val="both"/>
        <w:rPr>
          <w:rFonts w:ascii="FrankRuehl" w:eastAsia="Times New Roman" w:hAnsi="FrankRuehl" w:cs="FrankRuehl"/>
          <w:noProof/>
          <w:sz w:val="28"/>
          <w:szCs w:val="28"/>
          <w:rtl/>
        </w:rPr>
      </w:pPr>
      <w:r w:rsidRPr="00261DD0">
        <w:rPr>
          <w:rFonts w:ascii="FrankRuehl" w:hAnsi="FrankRuehl" w:cs="FrankRuehl"/>
          <w:sz w:val="28"/>
          <w:szCs w:val="28"/>
          <w:rtl/>
        </w:rPr>
        <w:lastRenderedPageBreak/>
        <w:t xml:space="preserve">על סכומים דומים חזרו במספר פסקי דין </w:t>
      </w:r>
      <w:r w:rsidR="005B5E70">
        <w:rPr>
          <w:rFonts w:ascii="FrankRuehl" w:hAnsi="FrankRuehl" w:cs="FrankRuehl" w:hint="cs"/>
          <w:sz w:val="28"/>
          <w:szCs w:val="28"/>
          <w:rtl/>
        </w:rPr>
        <w:t xml:space="preserve">במקרה של </w:t>
      </w:r>
      <w:r w:rsidRPr="00261DD0">
        <w:rPr>
          <w:rFonts w:ascii="FrankRuehl" w:hAnsi="FrankRuehl" w:cs="FrankRuehl"/>
          <w:sz w:val="28"/>
          <w:szCs w:val="28"/>
          <w:rtl/>
        </w:rPr>
        <w:t xml:space="preserve">קטין שהורגל לרמת חיים "רגילה" ושאינו מתגורר בשני בתים. בין היתר, ראו עמ"ש 12792-10-19 </w:t>
      </w:r>
      <w:r w:rsidRPr="00261DD0">
        <w:rPr>
          <w:rFonts w:ascii="FrankRuehl" w:hAnsi="FrankRuehl" w:cs="FrankRuehl"/>
          <w:b/>
          <w:bCs/>
          <w:sz w:val="28"/>
          <w:szCs w:val="28"/>
          <w:rtl/>
        </w:rPr>
        <w:t xml:space="preserve">ע.נ. נ' ע.ע.נ. </w:t>
      </w:r>
      <w:r w:rsidR="005B5E70">
        <w:rPr>
          <w:rFonts w:ascii="FrankRuehl" w:hAnsi="FrankRuehl" w:cs="FrankRuehl"/>
          <w:sz w:val="28"/>
          <w:szCs w:val="28"/>
          <w:rtl/>
        </w:rPr>
        <w:t xml:space="preserve">מיום 27.10.2020; עמ"ש </w:t>
      </w:r>
      <w:r w:rsidRPr="00261DD0">
        <w:rPr>
          <w:rFonts w:ascii="FrankRuehl" w:hAnsi="FrankRuehl" w:cs="FrankRuehl"/>
          <w:sz w:val="28"/>
          <w:szCs w:val="28"/>
          <w:rtl/>
        </w:rPr>
        <w:t>65692-11-19 ד</w:t>
      </w:r>
      <w:r w:rsidRPr="00261DD0">
        <w:rPr>
          <w:rFonts w:ascii="FrankRuehl" w:hAnsi="FrankRuehl" w:cs="FrankRuehl"/>
          <w:b/>
          <w:bCs/>
          <w:sz w:val="28"/>
          <w:szCs w:val="28"/>
          <w:rtl/>
        </w:rPr>
        <w:t>.ס. נ' ל.צ.ס.</w:t>
      </w:r>
      <w:r w:rsidRPr="00261DD0">
        <w:rPr>
          <w:rFonts w:ascii="FrankRuehl" w:hAnsi="FrankRuehl" w:cs="FrankRuehl"/>
          <w:sz w:val="28"/>
          <w:szCs w:val="28"/>
          <w:rtl/>
        </w:rPr>
        <w:t xml:space="preserve"> סעיפים 22-23 לפסה"ד מיום 22.09.2020; עמ"ש 56000-10-18 </w:t>
      </w:r>
      <w:r w:rsidRPr="00261DD0">
        <w:rPr>
          <w:rFonts w:ascii="FrankRuehl" w:hAnsi="FrankRuehl" w:cs="FrankRuehl"/>
          <w:b/>
          <w:bCs/>
          <w:sz w:val="28"/>
          <w:szCs w:val="28"/>
          <w:rtl/>
        </w:rPr>
        <w:t xml:space="preserve">פלוני נ' פלונית </w:t>
      </w:r>
      <w:r w:rsidRPr="00261DD0">
        <w:rPr>
          <w:rFonts w:ascii="FrankRuehl" w:hAnsi="FrankRuehl" w:cs="FrankRuehl"/>
          <w:sz w:val="28"/>
          <w:szCs w:val="28"/>
          <w:rtl/>
        </w:rPr>
        <w:t xml:space="preserve">סעיף 47 לפסה"ד מיום </w:t>
      </w:r>
      <w:r w:rsidR="001B4E47">
        <w:rPr>
          <w:rFonts w:ascii="FrankRuehl" w:hAnsi="FrankRuehl" w:cs="FrankRuehl"/>
          <w:sz w:val="28"/>
          <w:szCs w:val="28"/>
          <w:rtl/>
        </w:rPr>
        <w:t>31.01.2019</w:t>
      </w:r>
      <w:r w:rsidR="001B4E47">
        <w:rPr>
          <w:rFonts w:ascii="FrankRuehl" w:hAnsi="FrankRuehl" w:cs="FrankRuehl" w:hint="cs"/>
          <w:sz w:val="28"/>
          <w:szCs w:val="28"/>
          <w:rtl/>
        </w:rPr>
        <w:t>.</w:t>
      </w:r>
    </w:p>
    <w:p w:rsidR="00261DD0" w:rsidRPr="00261DD0" w:rsidRDefault="00261DD0" w:rsidP="00261DD0">
      <w:pPr>
        <w:ind w:left="1134" w:right="1134"/>
        <w:jc w:val="both"/>
        <w:rPr>
          <w:rFonts w:ascii="FrankRuehl" w:eastAsia="Calibri" w:hAnsi="FrankRuehl" w:cs="FrankRuehl"/>
          <w:sz w:val="28"/>
          <w:szCs w:val="28"/>
        </w:rPr>
      </w:pPr>
    </w:p>
    <w:p w:rsidR="00261DD0" w:rsidRPr="00261DD0" w:rsidRDefault="005B5E70" w:rsidP="00261DD0">
      <w:pPr>
        <w:pStyle w:val="ad"/>
        <w:numPr>
          <w:ilvl w:val="0"/>
          <w:numId w:val="1"/>
        </w:numPr>
        <w:spacing w:after="0" w:line="360" w:lineRule="auto"/>
        <w:ind w:left="368" w:hanging="426"/>
        <w:jc w:val="both"/>
        <w:rPr>
          <w:rFonts w:ascii="FrankRuehl" w:eastAsia="Times New Roman" w:hAnsi="FrankRuehl" w:cs="FrankRuehl"/>
          <w:noProof/>
          <w:sz w:val="28"/>
          <w:szCs w:val="28"/>
          <w:rtl/>
        </w:rPr>
      </w:pPr>
      <w:r>
        <w:rPr>
          <w:rFonts w:ascii="FrankRuehl" w:hAnsi="FrankRuehl" w:cs="FrankRuehl"/>
          <w:sz w:val="28"/>
          <w:szCs w:val="28"/>
          <w:rtl/>
        </w:rPr>
        <w:t>בעמ"ש</w:t>
      </w:r>
      <w:r w:rsidR="00261DD0" w:rsidRPr="00261DD0">
        <w:rPr>
          <w:rFonts w:ascii="FrankRuehl" w:hAnsi="FrankRuehl" w:cs="FrankRuehl"/>
          <w:sz w:val="28"/>
          <w:szCs w:val="28"/>
          <w:rtl/>
        </w:rPr>
        <w:t xml:space="preserve"> 1180-05-14 </w:t>
      </w:r>
      <w:r w:rsidR="00261DD0" w:rsidRPr="00261DD0">
        <w:rPr>
          <w:rFonts w:ascii="FrankRuehl" w:hAnsi="FrankRuehl" w:cs="FrankRuehl"/>
          <w:b/>
          <w:bCs/>
          <w:sz w:val="28"/>
          <w:szCs w:val="28"/>
          <w:rtl/>
        </w:rPr>
        <w:t>א.א. נ' מ.א.</w:t>
      </w:r>
      <w:r w:rsidR="00261DD0" w:rsidRPr="00261DD0">
        <w:rPr>
          <w:rFonts w:ascii="FrankRuehl" w:hAnsi="FrankRuehl" w:cs="FrankRuehl"/>
          <w:sz w:val="28"/>
          <w:szCs w:val="28"/>
          <w:rtl/>
        </w:rPr>
        <w:t>, מיום 26.3.2015 עמוד 4 לפסה"ד נאמר כי:</w:t>
      </w:r>
    </w:p>
    <w:p w:rsidR="00261DD0" w:rsidRPr="00261DD0" w:rsidRDefault="00261DD0" w:rsidP="00261DD0">
      <w:pPr>
        <w:ind w:left="1360" w:right="1134"/>
        <w:jc w:val="both"/>
        <w:rPr>
          <w:rFonts w:ascii="FrankRuehl" w:eastAsia="Calibri" w:hAnsi="FrankRuehl" w:cs="FrankRuehl"/>
          <w:sz w:val="28"/>
          <w:szCs w:val="28"/>
        </w:rPr>
      </w:pPr>
    </w:p>
    <w:p w:rsidR="00261DD0" w:rsidRPr="001B4E47" w:rsidRDefault="00261DD0" w:rsidP="00261DD0">
      <w:pPr>
        <w:ind w:left="1360" w:right="1134"/>
        <w:jc w:val="both"/>
        <w:rPr>
          <w:rFonts w:ascii="FrankRuehl" w:eastAsia="Calibri" w:hAnsi="FrankRuehl" w:cs="Miriam"/>
          <w:noProof w:val="0"/>
          <w:sz w:val="28"/>
          <w:szCs w:val="23"/>
        </w:rPr>
      </w:pPr>
      <w:r w:rsidRPr="001B4E47">
        <w:rPr>
          <w:rFonts w:ascii="FrankRuehl" w:eastAsia="Calibri" w:hAnsi="FrankRuehl" w:cs="Miriam"/>
          <w:sz w:val="28"/>
          <w:szCs w:val="23"/>
          <w:rtl/>
        </w:rPr>
        <w:t>"הסכומים עליהם הועמדו הצרכים ההכרחיים לא נקבעו על בסיס מחקרי או כלכלי כלשהו... ומהווים חזקה שניתנת לסתירה בהתקיים נסיבות מיוחדות/חריגות בהקשר לתא המשפחתי הספציפי והקטינים במסגרתו, שעניינם עומד לדיון. ייתכנו בהחלט מקרים בהם מוכח (והנטל על מי שטוען זאת), כי הצרכים ההכרחיים של משק הבית שעניינו עומד לדיון נמוכים יותר מהסכומים שנקבעו ככאלה, מה שמשפיע על גובה צרכי הקטנים כלפי מטה...".</w:t>
      </w:r>
    </w:p>
    <w:p w:rsidR="00261DD0" w:rsidRPr="00261DD0" w:rsidRDefault="00261DD0" w:rsidP="00261DD0">
      <w:pPr>
        <w:ind w:left="1360" w:right="1134"/>
        <w:jc w:val="both"/>
        <w:rPr>
          <w:rFonts w:ascii="FrankRuehl" w:eastAsia="Calibri" w:hAnsi="FrankRuehl" w:cs="FrankRuehl"/>
          <w:noProof w:val="0"/>
          <w:sz w:val="28"/>
          <w:szCs w:val="28"/>
          <w:rtl/>
        </w:rPr>
      </w:pPr>
    </w:p>
    <w:p w:rsidR="00261DD0" w:rsidRPr="00261DD0" w:rsidRDefault="00261DD0" w:rsidP="00261DD0">
      <w:pPr>
        <w:pStyle w:val="ad"/>
        <w:numPr>
          <w:ilvl w:val="0"/>
          <w:numId w:val="1"/>
        </w:numPr>
        <w:spacing w:line="360" w:lineRule="auto"/>
        <w:ind w:left="368" w:hanging="426"/>
        <w:jc w:val="both"/>
        <w:rPr>
          <w:rFonts w:ascii="FrankRuehl" w:eastAsia="Times New Roman" w:hAnsi="FrankRuehl" w:cs="FrankRuehl"/>
          <w:noProof/>
          <w:sz w:val="28"/>
          <w:szCs w:val="28"/>
          <w:rtl/>
        </w:rPr>
      </w:pPr>
      <w:r w:rsidRPr="00261DD0">
        <w:rPr>
          <w:rFonts w:ascii="FrankRuehl" w:eastAsia="Calibri" w:hAnsi="FrankRuehl" w:cs="FrankRuehl"/>
          <w:sz w:val="28"/>
          <w:szCs w:val="28"/>
          <w:rtl/>
        </w:rPr>
        <w:t xml:space="preserve">נפסק כי על ההורים לספק לילדיהם את רמת החיים אליה הורגלו. ראו רע"א 324/88 </w:t>
      </w:r>
      <w:r w:rsidRPr="00261DD0">
        <w:rPr>
          <w:rFonts w:ascii="FrankRuehl" w:eastAsia="Calibri" w:hAnsi="FrankRuehl" w:cs="FrankRuehl"/>
          <w:b/>
          <w:bCs/>
          <w:sz w:val="28"/>
          <w:szCs w:val="28"/>
          <w:rtl/>
        </w:rPr>
        <w:t>אדר נ' אדר</w:t>
      </w:r>
      <w:r w:rsidRPr="00261DD0">
        <w:rPr>
          <w:rFonts w:ascii="FrankRuehl" w:eastAsia="Calibri" w:hAnsi="FrankRuehl" w:cs="FrankRuehl"/>
          <w:sz w:val="28"/>
          <w:szCs w:val="28"/>
          <w:rtl/>
        </w:rPr>
        <w:t xml:space="preserve">, פד"י מב(3) 347, 351. </w:t>
      </w:r>
    </w:p>
    <w:p w:rsidR="00261DD0" w:rsidRPr="00261DD0" w:rsidRDefault="00261DD0" w:rsidP="00261DD0">
      <w:pPr>
        <w:pStyle w:val="ad"/>
        <w:spacing w:line="360" w:lineRule="auto"/>
        <w:ind w:left="368"/>
        <w:jc w:val="both"/>
        <w:rPr>
          <w:rFonts w:ascii="FrankRuehl" w:eastAsia="Times New Roman" w:hAnsi="FrankRuehl" w:cs="FrankRuehl"/>
          <w:noProof/>
          <w:sz w:val="28"/>
          <w:szCs w:val="28"/>
        </w:rPr>
      </w:pPr>
    </w:p>
    <w:p w:rsidR="00261DD0" w:rsidRPr="00261DD0" w:rsidRDefault="00261DD0" w:rsidP="00AC195F">
      <w:pPr>
        <w:pStyle w:val="ad"/>
        <w:numPr>
          <w:ilvl w:val="0"/>
          <w:numId w:val="1"/>
        </w:numPr>
        <w:spacing w:line="360" w:lineRule="auto"/>
        <w:ind w:left="368" w:hanging="426"/>
        <w:jc w:val="both"/>
        <w:rPr>
          <w:rFonts w:ascii="FrankRuehl" w:eastAsia="Times New Roman" w:hAnsi="FrankRuehl" w:cs="FrankRuehl"/>
          <w:noProof/>
          <w:sz w:val="28"/>
          <w:szCs w:val="28"/>
        </w:rPr>
      </w:pPr>
      <w:r w:rsidRPr="00261DD0">
        <w:rPr>
          <w:rFonts w:ascii="FrankRuehl" w:hAnsi="FrankRuehl" w:cs="FrankRuehl"/>
          <w:b/>
          <w:bCs/>
          <w:sz w:val="28"/>
          <w:szCs w:val="28"/>
          <w:rtl/>
        </w:rPr>
        <w:t xml:space="preserve">נוסף על כך נפסק כי מדיניות המשפטית הרצויה היא ליישם את עִקרון השוויון המגדרי כך שיימצא ביטויו גם בחיוב דמי מזונות על פי הדין האישי - תוך ראיית התא המשפחתי בכללותו, הכנסות שני ההורים, זמני השהות ורמת חיים נאותה אליה </w:t>
      </w:r>
      <w:r w:rsidR="00AC195F">
        <w:rPr>
          <w:rFonts w:ascii="FrankRuehl" w:hAnsi="FrankRuehl" w:cs="FrankRuehl" w:hint="cs"/>
          <w:b/>
          <w:bCs/>
          <w:sz w:val="28"/>
          <w:szCs w:val="28"/>
          <w:rtl/>
        </w:rPr>
        <w:t>הורגל הקטין</w:t>
      </w:r>
      <w:r w:rsidRPr="00261DD0">
        <w:rPr>
          <w:rFonts w:ascii="FrankRuehl" w:hAnsi="FrankRuehl" w:cs="FrankRuehl"/>
          <w:b/>
          <w:bCs/>
          <w:sz w:val="28"/>
          <w:szCs w:val="28"/>
          <w:rtl/>
        </w:rPr>
        <w:t>.</w:t>
      </w:r>
      <w:r w:rsidRPr="00261DD0">
        <w:rPr>
          <w:rFonts w:ascii="FrankRuehl" w:eastAsia="Calibri" w:hAnsi="FrankRuehl" w:cs="FrankRuehl"/>
          <w:sz w:val="28"/>
          <w:szCs w:val="28"/>
          <w:rtl/>
        </w:rPr>
        <w:t xml:space="preserve"> </w:t>
      </w:r>
      <w:r w:rsidRPr="00261DD0">
        <w:rPr>
          <w:rFonts w:ascii="FrankRuehl" w:eastAsia="Calibri" w:hAnsi="FrankRuehl" w:cs="FrankRuehl"/>
          <w:b/>
          <w:bCs/>
          <w:sz w:val="28"/>
          <w:szCs w:val="28"/>
          <w:rtl/>
        </w:rPr>
        <w:t xml:space="preserve">משמעות הדבר הוא כי </w:t>
      </w:r>
      <w:r w:rsidRPr="00261DD0">
        <w:rPr>
          <w:rFonts w:ascii="FrankRuehl" w:hAnsi="FrankRuehl" w:cs="FrankRuehl"/>
          <w:b/>
          <w:bCs/>
          <w:sz w:val="28"/>
          <w:szCs w:val="28"/>
          <w:rtl/>
        </w:rPr>
        <w:t>יש לצמצם את סכום המזונות הכרחיים בהם חב האב לבדו עד גיל 6.</w:t>
      </w:r>
    </w:p>
    <w:p w:rsidR="00261DD0" w:rsidRPr="00261DD0" w:rsidRDefault="00261DD0" w:rsidP="00261DD0">
      <w:pPr>
        <w:pStyle w:val="ad"/>
        <w:rPr>
          <w:rFonts w:ascii="FrankRuehl" w:hAnsi="FrankRuehl" w:cs="FrankRuehl"/>
          <w:sz w:val="28"/>
          <w:szCs w:val="28"/>
        </w:rPr>
      </w:pPr>
    </w:p>
    <w:p w:rsidR="00261DD0" w:rsidRDefault="00261DD0" w:rsidP="005B5E70">
      <w:pPr>
        <w:pStyle w:val="ad"/>
        <w:numPr>
          <w:ilvl w:val="0"/>
          <w:numId w:val="1"/>
        </w:numPr>
        <w:spacing w:line="360" w:lineRule="auto"/>
        <w:ind w:left="368" w:hanging="426"/>
        <w:jc w:val="both"/>
        <w:rPr>
          <w:rFonts w:ascii="FrankRuehl" w:eastAsia="Times New Roman" w:hAnsi="FrankRuehl" w:cs="FrankRuehl"/>
          <w:noProof/>
          <w:sz w:val="28"/>
          <w:szCs w:val="28"/>
        </w:rPr>
      </w:pPr>
      <w:r w:rsidRPr="00261DD0">
        <w:rPr>
          <w:rFonts w:ascii="FrankRuehl" w:hAnsi="FrankRuehl" w:cs="FrankRuehl"/>
          <w:sz w:val="28"/>
          <w:szCs w:val="28"/>
          <w:rtl/>
        </w:rPr>
        <w:t xml:space="preserve">פרשנות מצמצמת של מושג הצרכים ההכרחיים עולה בקנה אחד ערך השוויון, באופן טבעי – עת צרכים לא יחשבו הכרחיים, תהיה התחשבות בהכנסות שני ההורים (מכוח דיני הצדקה), ונגשים את המדיניות של יישום עקרון שוויון מגדרי. ראו </w:t>
      </w:r>
      <w:r w:rsidRPr="00261DD0">
        <w:rPr>
          <w:rFonts w:ascii="FrankRuehl" w:eastAsia="Times New Roman" w:hAnsi="FrankRuehl" w:cs="FrankRuehl"/>
          <w:noProof/>
          <w:sz w:val="28"/>
          <w:szCs w:val="28"/>
          <w:rtl/>
        </w:rPr>
        <w:t xml:space="preserve">44496-10-20 </w:t>
      </w:r>
      <w:r w:rsidRPr="00261DD0">
        <w:rPr>
          <w:rFonts w:ascii="FrankRuehl" w:eastAsia="Times New Roman" w:hAnsi="FrankRuehl" w:cs="FrankRuehl"/>
          <w:b/>
          <w:bCs/>
          <w:noProof/>
          <w:sz w:val="28"/>
          <w:szCs w:val="28"/>
          <w:rtl/>
        </w:rPr>
        <w:t>א נ' ב</w:t>
      </w:r>
      <w:r w:rsidRPr="00261DD0">
        <w:rPr>
          <w:rFonts w:ascii="FrankRuehl" w:eastAsia="Times New Roman" w:hAnsi="FrankRuehl" w:cs="FrankRuehl"/>
          <w:noProof/>
          <w:sz w:val="28"/>
          <w:szCs w:val="28"/>
          <w:rtl/>
        </w:rPr>
        <w:t xml:space="preserve"> מיום 11.</w:t>
      </w:r>
      <w:r w:rsidR="001B4E47">
        <w:rPr>
          <w:rFonts w:ascii="FrankRuehl" w:eastAsia="Times New Roman" w:hAnsi="FrankRuehl" w:cs="FrankRuehl" w:hint="cs"/>
          <w:noProof/>
          <w:sz w:val="28"/>
          <w:szCs w:val="28"/>
          <w:rtl/>
        </w:rPr>
        <w:t>08</w:t>
      </w:r>
      <w:r w:rsidRPr="00261DD0">
        <w:rPr>
          <w:rFonts w:ascii="FrankRuehl" w:eastAsia="Times New Roman" w:hAnsi="FrankRuehl" w:cs="FrankRuehl"/>
          <w:noProof/>
          <w:sz w:val="28"/>
          <w:szCs w:val="28"/>
          <w:rtl/>
        </w:rPr>
        <w:t>.</w:t>
      </w:r>
      <w:r w:rsidR="001B4E47">
        <w:rPr>
          <w:rFonts w:ascii="FrankRuehl" w:eastAsia="Times New Roman" w:hAnsi="FrankRuehl" w:cs="FrankRuehl" w:hint="cs"/>
          <w:noProof/>
          <w:sz w:val="28"/>
          <w:szCs w:val="28"/>
          <w:rtl/>
        </w:rPr>
        <w:t>2021</w:t>
      </w:r>
      <w:r w:rsidRPr="00261DD0">
        <w:rPr>
          <w:rFonts w:ascii="FrankRuehl" w:eastAsia="Times New Roman" w:hAnsi="FrankRuehl" w:cs="FrankRuehl"/>
          <w:noProof/>
          <w:sz w:val="28"/>
          <w:szCs w:val="28"/>
          <w:rtl/>
        </w:rPr>
        <w:t>.</w:t>
      </w:r>
      <w:r w:rsidRPr="00261DD0">
        <w:rPr>
          <w:rFonts w:ascii="FrankRuehl" w:hAnsi="FrankRuehl" w:cs="FrankRuehl"/>
          <w:sz w:val="28"/>
          <w:szCs w:val="28"/>
          <w:rtl/>
        </w:rPr>
        <w:t xml:space="preserve"> פסה"ד של השופט סילמן שם המפנה לסעיף 27 בעמ"ש חיפה 12752-03-19 </w:t>
      </w:r>
      <w:r w:rsidRPr="00261DD0">
        <w:rPr>
          <w:rFonts w:ascii="FrankRuehl" w:hAnsi="FrankRuehl" w:cs="FrankRuehl"/>
          <w:b/>
          <w:bCs/>
          <w:sz w:val="28"/>
          <w:szCs w:val="28"/>
          <w:rtl/>
        </w:rPr>
        <w:t>פלוני נ' אלמונית</w:t>
      </w:r>
      <w:r w:rsidRPr="00261DD0">
        <w:rPr>
          <w:rFonts w:ascii="FrankRuehl" w:hAnsi="FrankRuehl" w:cs="FrankRuehl"/>
          <w:sz w:val="28"/>
          <w:szCs w:val="28"/>
          <w:rtl/>
        </w:rPr>
        <w:t xml:space="preserve">, מיום </w:t>
      </w:r>
      <w:r w:rsidR="001B4E47">
        <w:rPr>
          <w:rFonts w:ascii="FrankRuehl" w:hAnsi="FrankRuehl" w:cs="FrankRuehl" w:hint="cs"/>
          <w:sz w:val="28"/>
          <w:szCs w:val="28"/>
          <w:rtl/>
        </w:rPr>
        <w:t>09</w:t>
      </w:r>
      <w:r w:rsidRPr="00261DD0">
        <w:rPr>
          <w:rFonts w:ascii="FrankRuehl" w:hAnsi="FrankRuehl" w:cs="FrankRuehl"/>
          <w:sz w:val="28"/>
          <w:szCs w:val="28"/>
          <w:rtl/>
        </w:rPr>
        <w:t>.</w:t>
      </w:r>
      <w:r w:rsidR="001B4E47">
        <w:rPr>
          <w:rFonts w:ascii="FrankRuehl" w:hAnsi="FrankRuehl" w:cs="FrankRuehl" w:hint="cs"/>
          <w:sz w:val="28"/>
          <w:szCs w:val="28"/>
          <w:rtl/>
        </w:rPr>
        <w:t>07</w:t>
      </w:r>
      <w:r w:rsidRPr="00261DD0">
        <w:rPr>
          <w:rFonts w:ascii="FrankRuehl" w:hAnsi="FrankRuehl" w:cs="FrankRuehl"/>
          <w:sz w:val="28"/>
          <w:szCs w:val="28"/>
          <w:rtl/>
        </w:rPr>
        <w:t>.</w:t>
      </w:r>
      <w:r w:rsidR="001B4E47">
        <w:rPr>
          <w:rFonts w:ascii="FrankRuehl" w:hAnsi="FrankRuehl" w:cs="FrankRuehl" w:hint="cs"/>
          <w:sz w:val="28"/>
          <w:szCs w:val="28"/>
          <w:rtl/>
        </w:rPr>
        <w:t>2019</w:t>
      </w:r>
      <w:r w:rsidRPr="00261DD0">
        <w:rPr>
          <w:rFonts w:ascii="FrankRuehl" w:hAnsi="FrankRuehl" w:cs="FrankRuehl"/>
          <w:sz w:val="28"/>
          <w:szCs w:val="28"/>
          <w:rtl/>
        </w:rPr>
        <w:t>. עוד נאמר שם "</w:t>
      </w:r>
      <w:r w:rsidRPr="001B4E47">
        <w:rPr>
          <w:rFonts w:ascii="FrankRuehl" w:hAnsi="FrankRuehl" w:cs="Miriam"/>
          <w:sz w:val="28"/>
          <w:szCs w:val="23"/>
          <w:rtl/>
        </w:rPr>
        <w:t>לעתים תחשיב המהווה חיבור של צרכים, גם אם כולם 'הכרחיים', יביא תוצאות בלתי אפשריות ויותיר החייב במזונות ללא אמצעי מחיה סבירים</w:t>
      </w:r>
      <w:r w:rsidRPr="00261DD0">
        <w:rPr>
          <w:rFonts w:ascii="FrankRuehl" w:hAnsi="FrankRuehl" w:cs="FrankRuehl"/>
          <w:sz w:val="28"/>
          <w:szCs w:val="28"/>
          <w:rtl/>
        </w:rPr>
        <w:t>".</w:t>
      </w:r>
      <w:r w:rsidR="005B5E70">
        <w:rPr>
          <w:rFonts w:ascii="FrankRuehl" w:eastAsia="Calibri" w:hAnsi="FrankRuehl" w:cs="FrankRuehl"/>
          <w:sz w:val="28"/>
          <w:szCs w:val="28"/>
          <w:rtl/>
        </w:rPr>
        <w:t xml:space="preserve"> ראו גם </w:t>
      </w:r>
      <w:r w:rsidRPr="00261DD0">
        <w:rPr>
          <w:rFonts w:ascii="FrankRuehl" w:eastAsia="Calibri" w:hAnsi="FrankRuehl" w:cs="FrankRuehl"/>
          <w:sz w:val="28"/>
          <w:szCs w:val="28"/>
          <w:rtl/>
        </w:rPr>
        <w:t xml:space="preserve">פסק דיני בתלה"מ 34699-10-20 </w:t>
      </w:r>
      <w:r w:rsidRPr="00261DD0">
        <w:rPr>
          <w:rFonts w:ascii="FrankRuehl" w:eastAsia="Calibri" w:hAnsi="FrankRuehl" w:cs="FrankRuehl"/>
          <w:b/>
          <w:bCs/>
          <w:sz w:val="28"/>
          <w:szCs w:val="28"/>
          <w:rtl/>
        </w:rPr>
        <w:t>ס.ל נ' ס.א</w:t>
      </w:r>
      <w:r w:rsidRPr="00261DD0">
        <w:rPr>
          <w:rFonts w:ascii="FrankRuehl" w:eastAsia="Calibri" w:hAnsi="FrankRuehl" w:cs="FrankRuehl"/>
          <w:sz w:val="28"/>
          <w:szCs w:val="28"/>
          <w:rtl/>
        </w:rPr>
        <w:t xml:space="preserve"> מיום 30.</w:t>
      </w:r>
      <w:r w:rsidR="001B4E47">
        <w:rPr>
          <w:rFonts w:ascii="FrankRuehl" w:eastAsia="Calibri" w:hAnsi="FrankRuehl" w:cs="FrankRuehl" w:hint="cs"/>
          <w:sz w:val="28"/>
          <w:szCs w:val="28"/>
          <w:rtl/>
        </w:rPr>
        <w:t>08</w:t>
      </w:r>
      <w:r w:rsidRPr="00261DD0">
        <w:rPr>
          <w:rFonts w:ascii="FrankRuehl" w:eastAsia="Calibri" w:hAnsi="FrankRuehl" w:cs="FrankRuehl"/>
          <w:sz w:val="28"/>
          <w:szCs w:val="28"/>
          <w:rtl/>
        </w:rPr>
        <w:t>.22</w:t>
      </w:r>
      <w:r w:rsidR="001B4E47">
        <w:rPr>
          <w:rFonts w:ascii="FrankRuehl" w:eastAsia="Calibri" w:hAnsi="FrankRuehl" w:cs="FrankRuehl" w:hint="cs"/>
          <w:sz w:val="28"/>
          <w:szCs w:val="28"/>
          <w:rtl/>
        </w:rPr>
        <w:t>2022.</w:t>
      </w:r>
    </w:p>
    <w:p w:rsidR="005B5E70" w:rsidRPr="005B5E70" w:rsidRDefault="005B5E70" w:rsidP="005B5E70">
      <w:pPr>
        <w:pStyle w:val="ad"/>
        <w:rPr>
          <w:rFonts w:ascii="FrankRuehl" w:eastAsia="Times New Roman" w:hAnsi="FrankRuehl" w:cs="FrankRuehl"/>
          <w:noProof/>
          <w:sz w:val="28"/>
          <w:szCs w:val="28"/>
          <w:rtl/>
        </w:rPr>
      </w:pPr>
    </w:p>
    <w:p w:rsidR="00261DD0" w:rsidRPr="00261DD0" w:rsidRDefault="001B4E47" w:rsidP="00261DD0">
      <w:pPr>
        <w:pStyle w:val="ad"/>
        <w:numPr>
          <w:ilvl w:val="0"/>
          <w:numId w:val="1"/>
        </w:numPr>
        <w:spacing w:line="360" w:lineRule="auto"/>
        <w:ind w:left="368" w:hanging="426"/>
        <w:jc w:val="both"/>
        <w:rPr>
          <w:rFonts w:ascii="FrankRuehl" w:eastAsia="Times New Roman" w:hAnsi="FrankRuehl" w:cs="FrankRuehl"/>
          <w:noProof/>
          <w:sz w:val="28"/>
          <w:szCs w:val="28"/>
          <w:rtl/>
        </w:rPr>
      </w:pPr>
      <w:r>
        <w:rPr>
          <w:rFonts w:ascii="FrankRuehl" w:hAnsi="FrankRuehl" w:cs="FrankRuehl"/>
          <w:sz w:val="28"/>
          <w:szCs w:val="28"/>
          <w:rtl/>
        </w:rPr>
        <w:t>הקטין מתגורר בבית האֵם ועל פי הנתונים שהובאו</w:t>
      </w:r>
      <w:r w:rsidR="00261DD0" w:rsidRPr="00261DD0">
        <w:rPr>
          <w:rFonts w:ascii="FrankRuehl" w:hAnsi="FrankRuehl" w:cs="FrankRuehl"/>
          <w:sz w:val="28"/>
          <w:szCs w:val="28"/>
          <w:rtl/>
        </w:rPr>
        <w:t xml:space="preserve"> והכנסות ההורים כפי שמפורט להלן, רמת החיים אליה הורגל הקטין היא רמת חיים שאינה גבוהה, ניתן לומר אפילו נמוכה במקצת. למעשה כלל לא</w:t>
      </w:r>
      <w:r>
        <w:rPr>
          <w:rFonts w:ascii="FrankRuehl" w:hAnsi="FrankRuehl" w:cs="FrankRuehl"/>
          <w:sz w:val="28"/>
          <w:szCs w:val="28"/>
          <w:rtl/>
        </w:rPr>
        <w:t xml:space="preserve"> נטענו טענות לצרכים גבוהים מכך.</w:t>
      </w:r>
    </w:p>
    <w:p w:rsidR="00261DD0" w:rsidRPr="00261DD0" w:rsidRDefault="00261DD0" w:rsidP="00261DD0">
      <w:pPr>
        <w:pStyle w:val="ad"/>
        <w:rPr>
          <w:rFonts w:ascii="FrankRuehl" w:hAnsi="FrankRuehl" w:cs="FrankRuehl"/>
          <w:b/>
          <w:bCs/>
          <w:sz w:val="28"/>
          <w:szCs w:val="28"/>
        </w:rPr>
      </w:pPr>
    </w:p>
    <w:p w:rsidR="00261DD0" w:rsidRPr="00261DD0" w:rsidRDefault="00261DD0" w:rsidP="00261DD0">
      <w:pPr>
        <w:pStyle w:val="ad"/>
        <w:numPr>
          <w:ilvl w:val="0"/>
          <w:numId w:val="1"/>
        </w:numPr>
        <w:spacing w:line="360" w:lineRule="auto"/>
        <w:ind w:left="368" w:hanging="426"/>
        <w:jc w:val="both"/>
        <w:rPr>
          <w:rFonts w:ascii="FrankRuehl" w:eastAsia="Times New Roman" w:hAnsi="FrankRuehl" w:cs="FrankRuehl"/>
          <w:noProof/>
          <w:sz w:val="28"/>
          <w:szCs w:val="28"/>
          <w:rtl/>
        </w:rPr>
      </w:pPr>
      <w:r w:rsidRPr="00261DD0">
        <w:rPr>
          <w:rFonts w:ascii="FrankRuehl" w:hAnsi="FrankRuehl" w:cs="FrankRuehl"/>
          <w:b/>
          <w:bCs/>
          <w:sz w:val="28"/>
          <w:szCs w:val="28"/>
          <w:rtl/>
        </w:rPr>
        <w:lastRenderedPageBreak/>
        <w:t>בהינתן</w:t>
      </w:r>
      <w:r w:rsidR="001B4E47">
        <w:rPr>
          <w:rFonts w:ascii="FrankRuehl" w:hAnsi="FrankRuehl" w:cs="FrankRuehl"/>
          <w:b/>
          <w:bCs/>
          <w:sz w:val="28"/>
          <w:szCs w:val="28"/>
          <w:rtl/>
        </w:rPr>
        <w:t xml:space="preserve"> האמור אני אומדת את צרכי הקטין </w:t>
      </w:r>
      <w:r w:rsidRPr="00261DD0">
        <w:rPr>
          <w:rFonts w:ascii="FrankRuehl" w:hAnsi="FrankRuehl" w:cs="FrankRuehl"/>
          <w:b/>
          <w:bCs/>
          <w:sz w:val="28"/>
          <w:szCs w:val="28"/>
          <w:rtl/>
        </w:rPr>
        <w:t xml:space="preserve">סך 1,600 ₪ לחודש. סכום זה מורכב מצרכים הכרחיים וצרכים שאינם הכרחיים ואינו כולל מדור. </w:t>
      </w:r>
    </w:p>
    <w:p w:rsidR="00261DD0" w:rsidRPr="00261DD0" w:rsidRDefault="00261DD0" w:rsidP="00261DD0">
      <w:pPr>
        <w:pStyle w:val="ad"/>
        <w:rPr>
          <w:rFonts w:ascii="FrankRuehl" w:eastAsia="Calibri" w:hAnsi="FrankRuehl" w:cs="FrankRuehl"/>
          <w:sz w:val="28"/>
          <w:szCs w:val="28"/>
        </w:rPr>
      </w:pPr>
    </w:p>
    <w:p w:rsidR="00261DD0" w:rsidRPr="00261DD0" w:rsidRDefault="00261DD0" w:rsidP="00261DD0">
      <w:pPr>
        <w:pStyle w:val="ad"/>
        <w:numPr>
          <w:ilvl w:val="0"/>
          <w:numId w:val="1"/>
        </w:numPr>
        <w:spacing w:line="360" w:lineRule="auto"/>
        <w:ind w:left="368" w:hanging="426"/>
        <w:jc w:val="both"/>
        <w:rPr>
          <w:rFonts w:ascii="FrankRuehl" w:eastAsia="Times New Roman" w:hAnsi="FrankRuehl" w:cs="FrankRuehl"/>
          <w:noProof/>
          <w:sz w:val="28"/>
          <w:szCs w:val="28"/>
          <w:rtl/>
        </w:rPr>
      </w:pPr>
      <w:r w:rsidRPr="00261DD0">
        <w:rPr>
          <w:rFonts w:ascii="FrankRuehl" w:hAnsi="FrankRuehl" w:cs="FrankRuehl"/>
          <w:sz w:val="28"/>
          <w:szCs w:val="28"/>
          <w:rtl/>
        </w:rPr>
        <w:t xml:space="preserve">כמפורט לעיל, על פי הדין האישי החל, האב חב לבדו בצרכים ההכרחיים של ילדו </w:t>
      </w:r>
      <w:r w:rsidRPr="00261DD0">
        <w:rPr>
          <w:rFonts w:ascii="FrankRuehl" w:hAnsi="FrankRuehl" w:cs="FrankRuehl"/>
          <w:b/>
          <w:bCs/>
          <w:sz w:val="28"/>
          <w:szCs w:val="28"/>
          <w:u w:val="single"/>
          <w:rtl/>
        </w:rPr>
        <w:t>עד גיל 6</w:t>
      </w:r>
      <w:r w:rsidRPr="00261DD0">
        <w:rPr>
          <w:rFonts w:ascii="FrankRuehl" w:hAnsi="FrankRuehl" w:cs="FrankRuehl"/>
          <w:sz w:val="28"/>
          <w:szCs w:val="28"/>
          <w:rtl/>
        </w:rPr>
        <w:t>. במקרה כאן הקטין מתחת לגיל 6 שנים. לכ</w:t>
      </w:r>
      <w:r w:rsidR="000C6809">
        <w:rPr>
          <w:rFonts w:ascii="FrankRuehl" w:hAnsi="FrankRuehl" w:cs="FrankRuehl" w:hint="cs"/>
          <w:sz w:val="28"/>
          <w:szCs w:val="28"/>
          <w:rtl/>
        </w:rPr>
        <w:t>ן</w:t>
      </w:r>
      <w:r w:rsidRPr="00261DD0">
        <w:rPr>
          <w:rFonts w:ascii="FrankRuehl" w:hAnsi="FrankRuehl" w:cs="FrankRuehl"/>
          <w:sz w:val="28"/>
          <w:szCs w:val="28"/>
          <w:rtl/>
        </w:rPr>
        <w:t xml:space="preserve">, על מנת לקבוע את היקף החיוב של האב, יש לחלק צרכיו לצרכים הכרחיים וצרכים שאינם הכרחיים. בנתונים כפי שפורטו לעיל ולהלן, </w:t>
      </w:r>
      <w:r w:rsidRPr="000C6809">
        <w:rPr>
          <w:rFonts w:ascii="FrankRuehl" w:hAnsi="FrankRuehl" w:cs="FrankRuehl"/>
          <w:b/>
          <w:bCs/>
          <w:sz w:val="28"/>
          <w:szCs w:val="28"/>
          <w:rtl/>
        </w:rPr>
        <w:t>אני</w:t>
      </w:r>
      <w:r w:rsidRPr="00261DD0">
        <w:rPr>
          <w:rFonts w:ascii="FrankRuehl" w:hAnsi="FrankRuehl" w:cs="FrankRuehl"/>
          <w:sz w:val="28"/>
          <w:szCs w:val="28"/>
          <w:rtl/>
        </w:rPr>
        <w:t xml:space="preserve"> </w:t>
      </w:r>
      <w:r w:rsidRPr="00261DD0">
        <w:rPr>
          <w:rFonts w:ascii="FrankRuehl" w:hAnsi="FrankRuehl" w:cs="FrankRuehl"/>
          <w:b/>
          <w:bCs/>
          <w:sz w:val="28"/>
          <w:szCs w:val="28"/>
          <w:rtl/>
        </w:rPr>
        <w:t xml:space="preserve">אומדת את צרכי הקטין </w:t>
      </w:r>
      <w:r w:rsidRPr="00261DD0">
        <w:rPr>
          <w:rFonts w:ascii="FrankRuehl" w:hAnsi="FrankRuehl" w:cs="FrankRuehl"/>
          <w:b/>
          <w:bCs/>
          <w:sz w:val="28"/>
          <w:szCs w:val="28"/>
          <w:u w:val="single"/>
          <w:rtl/>
        </w:rPr>
        <w:t>ההכרחיים</w:t>
      </w:r>
      <w:r w:rsidR="000C6809">
        <w:rPr>
          <w:rFonts w:ascii="FrankRuehl" w:hAnsi="FrankRuehl" w:cs="FrankRuehl"/>
          <w:b/>
          <w:bCs/>
          <w:sz w:val="28"/>
          <w:szCs w:val="28"/>
          <w:rtl/>
        </w:rPr>
        <w:t>, סך 1,300 ₪ לחודש.</w:t>
      </w:r>
    </w:p>
    <w:p w:rsidR="00261DD0" w:rsidRPr="00261DD0" w:rsidRDefault="00261DD0" w:rsidP="00261DD0">
      <w:pPr>
        <w:pStyle w:val="ad"/>
        <w:rPr>
          <w:rFonts w:ascii="FrankRuehl" w:hAnsi="FrankRuehl" w:cs="FrankRuehl"/>
          <w:b/>
          <w:bCs/>
          <w:sz w:val="28"/>
          <w:szCs w:val="28"/>
        </w:rPr>
      </w:pPr>
    </w:p>
    <w:p w:rsidR="00261DD0" w:rsidRPr="00261DD0" w:rsidRDefault="00261DD0" w:rsidP="000C6809">
      <w:pPr>
        <w:pStyle w:val="ad"/>
        <w:numPr>
          <w:ilvl w:val="0"/>
          <w:numId w:val="1"/>
        </w:numPr>
        <w:spacing w:line="360" w:lineRule="auto"/>
        <w:ind w:left="368" w:hanging="426"/>
        <w:jc w:val="both"/>
        <w:rPr>
          <w:rFonts w:ascii="FrankRuehl" w:eastAsia="Times New Roman" w:hAnsi="FrankRuehl" w:cs="FrankRuehl"/>
          <w:noProof/>
          <w:sz w:val="28"/>
          <w:szCs w:val="28"/>
          <w:rtl/>
        </w:rPr>
      </w:pPr>
      <w:r w:rsidRPr="00261DD0">
        <w:rPr>
          <w:rFonts w:ascii="FrankRuehl" w:hAnsi="FrankRuehl" w:cs="FrankRuehl"/>
          <w:b/>
          <w:bCs/>
          <w:sz w:val="28"/>
          <w:szCs w:val="28"/>
          <w:u w:val="single"/>
          <w:rtl/>
        </w:rPr>
        <w:t>לאחר גיל 6</w:t>
      </w:r>
      <w:r w:rsidRPr="00261DD0">
        <w:rPr>
          <w:rFonts w:ascii="FrankRuehl" w:hAnsi="FrankRuehl" w:cs="FrankRuehl"/>
          <w:sz w:val="28"/>
          <w:szCs w:val="28"/>
          <w:rtl/>
        </w:rPr>
        <w:t>, שני ההורים חבים בצרכי הקטין במידה שווה לפי יחס הכנסותיהם אך יש לשקול גם צרכים בהם ההורה נושא בעין בעת זמני השהות. לכן יש להפריד צרכי הקטין</w:t>
      </w:r>
      <w:r w:rsidRPr="00261DD0">
        <w:rPr>
          <w:rFonts w:ascii="FrankRuehl" w:hAnsi="FrankRuehl" w:cs="FrankRuehl"/>
          <w:b/>
          <w:bCs/>
          <w:sz w:val="28"/>
          <w:szCs w:val="28"/>
          <w:rtl/>
        </w:rPr>
        <w:t xml:space="preserve"> </w:t>
      </w:r>
      <w:r w:rsidRPr="00261DD0">
        <w:rPr>
          <w:rFonts w:ascii="FrankRuehl" w:hAnsi="FrankRuehl" w:cs="FrankRuehl"/>
          <w:b/>
          <w:bCs/>
          <w:sz w:val="28"/>
          <w:szCs w:val="28"/>
          <w:u w:val="single"/>
          <w:rtl/>
        </w:rPr>
        <w:t>לצרכים תלויי שהות ולצרכים שאינם תלויי שהות</w:t>
      </w:r>
      <w:r w:rsidRPr="00261DD0">
        <w:rPr>
          <w:rFonts w:ascii="FrankRuehl" w:hAnsi="FrankRuehl" w:cs="FrankRuehl"/>
          <w:sz w:val="28"/>
          <w:szCs w:val="28"/>
          <w:rtl/>
        </w:rPr>
        <w:t>.</w:t>
      </w:r>
      <w:r w:rsidRPr="00261DD0">
        <w:rPr>
          <w:rFonts w:ascii="FrankRuehl" w:hAnsi="FrankRuehl" w:cs="FrankRuehl"/>
          <w:b/>
          <w:bCs/>
          <w:sz w:val="28"/>
          <w:szCs w:val="28"/>
          <w:rtl/>
        </w:rPr>
        <w:t xml:space="preserve"> </w:t>
      </w:r>
      <w:r w:rsidRPr="00261DD0">
        <w:rPr>
          <w:rFonts w:ascii="FrankRuehl" w:hAnsi="FrankRuehl" w:cs="FrankRuehl"/>
          <w:sz w:val="28"/>
          <w:szCs w:val="28"/>
          <w:rtl/>
        </w:rPr>
        <w:t>בנתונים שפורטו לעיל, אני אומדת את צרכיי הקטין שהם</w:t>
      </w:r>
      <w:r w:rsidRPr="00261DD0">
        <w:rPr>
          <w:rFonts w:ascii="FrankRuehl" w:hAnsi="FrankRuehl" w:cs="FrankRuehl"/>
          <w:b/>
          <w:bCs/>
          <w:sz w:val="28"/>
          <w:szCs w:val="28"/>
          <w:rtl/>
        </w:rPr>
        <w:t xml:space="preserve"> </w:t>
      </w:r>
      <w:r w:rsidRPr="00261DD0">
        <w:rPr>
          <w:rFonts w:ascii="FrankRuehl" w:hAnsi="FrankRuehl" w:cs="FrankRuehl"/>
          <w:b/>
          <w:bCs/>
          <w:sz w:val="28"/>
          <w:szCs w:val="28"/>
          <w:u w:val="single"/>
          <w:rtl/>
        </w:rPr>
        <w:t>תלויי שהות</w:t>
      </w:r>
      <w:r w:rsidRPr="00261DD0">
        <w:rPr>
          <w:rFonts w:ascii="FrankRuehl" w:hAnsi="FrankRuehl" w:cs="FrankRuehl"/>
          <w:b/>
          <w:bCs/>
          <w:sz w:val="28"/>
          <w:szCs w:val="28"/>
          <w:rtl/>
        </w:rPr>
        <w:t xml:space="preserve"> סך 1,100 ש"ח לחודש וצרכי הקטין שאינם תלויי שהות סך 500 לחודש.</w:t>
      </w:r>
    </w:p>
    <w:p w:rsidR="00261DD0" w:rsidRPr="00261DD0" w:rsidRDefault="00261DD0" w:rsidP="00261DD0">
      <w:pPr>
        <w:pStyle w:val="ad"/>
        <w:rPr>
          <w:rFonts w:ascii="FrankRuehl" w:eastAsia="Times New Roman" w:hAnsi="FrankRuehl" w:cs="FrankRuehl"/>
          <w:noProof/>
          <w:sz w:val="28"/>
          <w:szCs w:val="28"/>
        </w:rPr>
      </w:pPr>
    </w:p>
    <w:p w:rsidR="00261DD0" w:rsidRPr="00261DD0" w:rsidRDefault="00261DD0" w:rsidP="00261DD0">
      <w:pPr>
        <w:spacing w:line="360" w:lineRule="auto"/>
        <w:jc w:val="both"/>
        <w:rPr>
          <w:rFonts w:ascii="FrankRuehl" w:hAnsi="FrankRuehl" w:cs="FrankRuehl"/>
          <w:b/>
          <w:bCs/>
          <w:sz w:val="28"/>
          <w:szCs w:val="28"/>
          <w:u w:val="single"/>
          <w:rtl/>
        </w:rPr>
      </w:pPr>
      <w:r w:rsidRPr="00261DD0">
        <w:rPr>
          <w:rFonts w:ascii="FrankRuehl" w:hAnsi="FrankRuehl" w:cs="FrankRuehl"/>
          <w:b/>
          <w:bCs/>
          <w:sz w:val="28"/>
          <w:szCs w:val="28"/>
          <w:u w:val="single"/>
          <w:rtl/>
        </w:rPr>
        <w:t>יכולתם של ההורים</w:t>
      </w:r>
      <w:r w:rsidR="000C6809" w:rsidRPr="000C6809">
        <w:rPr>
          <w:rFonts w:ascii="FrankRuehl" w:hAnsi="FrankRuehl" w:cs="FrankRuehl" w:hint="cs"/>
          <w:b/>
          <w:bCs/>
          <w:sz w:val="28"/>
          <w:szCs w:val="28"/>
          <w:rtl/>
        </w:rPr>
        <w:t>:</w:t>
      </w:r>
    </w:p>
    <w:p w:rsidR="00261DD0" w:rsidRPr="00261DD0" w:rsidRDefault="00261DD0" w:rsidP="00261DD0">
      <w:pPr>
        <w:pStyle w:val="ad"/>
        <w:rPr>
          <w:rFonts w:ascii="FrankRuehl" w:hAnsi="FrankRuehl" w:cs="FrankRuehl"/>
          <w:b/>
          <w:bCs/>
          <w:sz w:val="28"/>
          <w:szCs w:val="28"/>
        </w:rPr>
      </w:pPr>
    </w:p>
    <w:p w:rsidR="00261DD0" w:rsidRPr="00261DD0" w:rsidRDefault="00261DD0" w:rsidP="00261DD0">
      <w:pPr>
        <w:pStyle w:val="ad"/>
        <w:numPr>
          <w:ilvl w:val="0"/>
          <w:numId w:val="1"/>
        </w:numPr>
        <w:spacing w:line="360" w:lineRule="auto"/>
        <w:ind w:left="368" w:hanging="426"/>
        <w:jc w:val="both"/>
        <w:rPr>
          <w:rFonts w:ascii="FrankRuehl" w:eastAsia="Times New Roman" w:hAnsi="FrankRuehl" w:cs="FrankRuehl"/>
          <w:noProof/>
          <w:sz w:val="28"/>
          <w:szCs w:val="28"/>
          <w:rtl/>
        </w:rPr>
      </w:pPr>
      <w:r w:rsidRPr="00261DD0">
        <w:rPr>
          <w:rFonts w:ascii="FrankRuehl" w:hAnsi="FrankRuehl" w:cs="FrankRuehl"/>
          <w:b/>
          <w:bCs/>
          <w:sz w:val="28"/>
          <w:szCs w:val="28"/>
          <w:rtl/>
        </w:rPr>
        <w:t xml:space="preserve">כפי שפורט לעיל, היקף החיוב של כל הורה בצרכי הקטין כפי שנקבעו, ייקבע בהתחשב </w:t>
      </w:r>
      <w:r w:rsidRPr="00261DD0">
        <w:rPr>
          <w:rFonts w:ascii="FrankRuehl" w:hAnsi="FrankRuehl" w:cs="FrankRuehl"/>
          <w:sz w:val="28"/>
          <w:szCs w:val="28"/>
          <w:rtl/>
        </w:rPr>
        <w:t>ביכולתו הכלכלית הכנ</w:t>
      </w:r>
      <w:r w:rsidR="000C6809">
        <w:rPr>
          <w:rFonts w:ascii="FrankRuehl" w:hAnsi="FrankRuehl" w:cs="FrankRuehl"/>
          <w:sz w:val="28"/>
          <w:szCs w:val="28"/>
          <w:rtl/>
        </w:rPr>
        <w:t>סתו ורכושו ובהתחשב בזמני השהות.</w:t>
      </w:r>
    </w:p>
    <w:p w:rsidR="00261DD0" w:rsidRPr="00261DD0" w:rsidRDefault="00261DD0" w:rsidP="00261DD0">
      <w:pPr>
        <w:pStyle w:val="ad"/>
        <w:spacing w:line="360" w:lineRule="auto"/>
        <w:ind w:left="368"/>
        <w:jc w:val="both"/>
        <w:rPr>
          <w:rFonts w:ascii="FrankRuehl" w:eastAsia="Times New Roman" w:hAnsi="FrankRuehl" w:cs="FrankRuehl"/>
          <w:noProof/>
          <w:sz w:val="28"/>
          <w:szCs w:val="28"/>
        </w:rPr>
      </w:pPr>
    </w:p>
    <w:p w:rsidR="00261DD0" w:rsidRPr="00261DD0" w:rsidRDefault="00261DD0" w:rsidP="000C6809">
      <w:pPr>
        <w:pStyle w:val="ad"/>
        <w:numPr>
          <w:ilvl w:val="0"/>
          <w:numId w:val="1"/>
        </w:numPr>
        <w:spacing w:line="360" w:lineRule="auto"/>
        <w:ind w:left="368" w:hanging="426"/>
        <w:jc w:val="both"/>
        <w:rPr>
          <w:rFonts w:ascii="FrankRuehl" w:eastAsia="Times New Roman" w:hAnsi="FrankRuehl" w:cs="FrankRuehl"/>
          <w:noProof/>
          <w:sz w:val="28"/>
          <w:szCs w:val="28"/>
        </w:rPr>
      </w:pPr>
      <w:r w:rsidRPr="00261DD0">
        <w:rPr>
          <w:rFonts w:ascii="FrankRuehl" w:eastAsia="Times New Roman" w:hAnsi="FrankRuehl" w:cs="FrankRuehl"/>
          <w:b/>
          <w:bCs/>
          <w:noProof/>
          <w:sz w:val="28"/>
          <w:szCs w:val="28"/>
          <w:rtl/>
        </w:rPr>
        <w:t>יכולתה הכלכלית של התובעת</w:t>
      </w:r>
      <w:r w:rsidRPr="00261DD0">
        <w:rPr>
          <w:rFonts w:ascii="FrankRuehl" w:eastAsia="Times New Roman" w:hAnsi="FrankRuehl" w:cs="FrankRuehl"/>
          <w:noProof/>
          <w:sz w:val="28"/>
          <w:szCs w:val="28"/>
          <w:rtl/>
        </w:rPr>
        <w:t xml:space="preserve"> – עובר למגפת הקורונה, עבדה התובעת במשתלה</w:t>
      </w:r>
      <w:r w:rsidR="000C6809">
        <w:rPr>
          <w:rFonts w:ascii="FrankRuehl" w:eastAsia="Times New Roman" w:hAnsi="FrankRuehl" w:cs="FrankRuehl"/>
          <w:noProof/>
          <w:sz w:val="28"/>
          <w:szCs w:val="28"/>
          <w:rtl/>
        </w:rPr>
        <w:t>. על פי תלושי שכרה לחודשים 3/20-</w:t>
      </w:r>
      <w:r w:rsidRPr="00261DD0">
        <w:rPr>
          <w:rFonts w:ascii="FrankRuehl" w:eastAsia="Times New Roman" w:hAnsi="FrankRuehl" w:cs="FrankRuehl"/>
          <w:noProof/>
          <w:sz w:val="28"/>
          <w:szCs w:val="28"/>
          <w:rtl/>
        </w:rPr>
        <w:t xml:space="preserve">6/19 היה שכרה החודשי הממוצע סך 4,968 ₪ נטו. ביום </w:t>
      </w:r>
      <w:r w:rsidR="000C6809">
        <w:rPr>
          <w:rFonts w:ascii="FrankRuehl" w:eastAsia="Times New Roman" w:hAnsi="FrankRuehl" w:cs="FrankRuehl" w:hint="cs"/>
          <w:noProof/>
          <w:sz w:val="28"/>
          <w:szCs w:val="28"/>
          <w:rtl/>
        </w:rPr>
        <w:t>05</w:t>
      </w:r>
      <w:r w:rsidRPr="00261DD0">
        <w:rPr>
          <w:rFonts w:ascii="FrankRuehl" w:eastAsia="Times New Roman" w:hAnsi="FrankRuehl" w:cs="FrankRuehl"/>
          <w:noProof/>
          <w:sz w:val="28"/>
          <w:szCs w:val="28"/>
          <w:rtl/>
        </w:rPr>
        <w:t>.</w:t>
      </w:r>
      <w:r w:rsidR="000C6809">
        <w:rPr>
          <w:rFonts w:ascii="FrankRuehl" w:eastAsia="Times New Roman" w:hAnsi="FrankRuehl" w:cs="FrankRuehl" w:hint="cs"/>
          <w:noProof/>
          <w:sz w:val="28"/>
          <w:szCs w:val="28"/>
          <w:rtl/>
        </w:rPr>
        <w:t>07</w:t>
      </w:r>
      <w:r w:rsidRPr="00261DD0">
        <w:rPr>
          <w:rFonts w:ascii="FrankRuehl" w:eastAsia="Times New Roman" w:hAnsi="FrankRuehl" w:cs="FrankRuehl"/>
          <w:noProof/>
          <w:sz w:val="28"/>
          <w:szCs w:val="28"/>
          <w:rtl/>
        </w:rPr>
        <w:t>.</w:t>
      </w:r>
      <w:r w:rsidR="000C6809">
        <w:rPr>
          <w:rFonts w:ascii="FrankRuehl" w:eastAsia="Times New Roman" w:hAnsi="FrankRuehl" w:cs="FrankRuehl" w:hint="cs"/>
          <w:noProof/>
          <w:sz w:val="28"/>
          <w:szCs w:val="28"/>
          <w:rtl/>
        </w:rPr>
        <w:t>2020</w:t>
      </w:r>
      <w:r w:rsidRPr="00261DD0">
        <w:rPr>
          <w:rFonts w:ascii="FrankRuehl" w:eastAsia="Times New Roman" w:hAnsi="FrankRuehl" w:cs="FrankRuehl"/>
          <w:noProof/>
          <w:sz w:val="28"/>
          <w:szCs w:val="28"/>
          <w:rtl/>
        </w:rPr>
        <w:t xml:space="preserve"> התובעת הו</w:t>
      </w:r>
      <w:r w:rsidR="000C6809">
        <w:rPr>
          <w:rFonts w:ascii="FrankRuehl" w:eastAsia="Times New Roman" w:hAnsi="FrankRuehl" w:cs="FrankRuehl" w:hint="cs"/>
          <w:noProof/>
          <w:sz w:val="28"/>
          <w:szCs w:val="28"/>
          <w:rtl/>
        </w:rPr>
        <w:t>ּ</w:t>
      </w:r>
      <w:r w:rsidR="000C6809">
        <w:rPr>
          <w:rFonts w:ascii="FrankRuehl" w:eastAsia="Times New Roman" w:hAnsi="FrankRuehl" w:cs="FrankRuehl"/>
          <w:noProof/>
          <w:sz w:val="28"/>
          <w:szCs w:val="28"/>
          <w:rtl/>
        </w:rPr>
        <w:t>צאה לחל"ת</w:t>
      </w:r>
      <w:r w:rsidRPr="00261DD0">
        <w:rPr>
          <w:rFonts w:ascii="FrankRuehl" w:eastAsia="Times New Roman" w:hAnsi="FrankRuehl" w:cs="FrankRuehl"/>
          <w:noProof/>
          <w:sz w:val="28"/>
          <w:szCs w:val="28"/>
          <w:rtl/>
        </w:rPr>
        <w:t xml:space="preserve"> ולפי אישור המוסד לביטוח לאומי שהוגש, התובעת אינה </w:t>
      </w:r>
      <w:r w:rsidR="00AC195F">
        <w:rPr>
          <w:rFonts w:ascii="FrankRuehl" w:eastAsia="Times New Roman" w:hAnsi="FrankRuehl" w:cs="FrankRuehl" w:hint="cs"/>
          <w:noProof/>
          <w:sz w:val="28"/>
          <w:szCs w:val="28"/>
          <w:rtl/>
        </w:rPr>
        <w:t xml:space="preserve">עובדת </w:t>
      </w:r>
      <w:r w:rsidRPr="00261DD0">
        <w:rPr>
          <w:rFonts w:ascii="FrankRuehl" w:eastAsia="Times New Roman" w:hAnsi="FrankRuehl" w:cs="FrankRuehl"/>
          <w:noProof/>
          <w:sz w:val="28"/>
          <w:szCs w:val="28"/>
          <w:rtl/>
        </w:rPr>
        <w:t xml:space="preserve">מאז התאריך </w:t>
      </w:r>
      <w:r w:rsidR="000C6809">
        <w:rPr>
          <w:rFonts w:ascii="FrankRuehl" w:eastAsia="Times New Roman" w:hAnsi="FrankRuehl" w:cs="FrankRuehl" w:hint="cs"/>
          <w:noProof/>
          <w:sz w:val="28"/>
          <w:szCs w:val="28"/>
          <w:rtl/>
        </w:rPr>
        <w:t>01</w:t>
      </w:r>
      <w:r w:rsidRPr="00261DD0">
        <w:rPr>
          <w:rFonts w:ascii="FrankRuehl" w:eastAsia="Times New Roman" w:hAnsi="FrankRuehl" w:cs="FrankRuehl"/>
          <w:noProof/>
          <w:sz w:val="28"/>
          <w:szCs w:val="28"/>
          <w:rtl/>
        </w:rPr>
        <w:t>.</w:t>
      </w:r>
      <w:r w:rsidR="000C6809">
        <w:rPr>
          <w:rFonts w:ascii="FrankRuehl" w:eastAsia="Times New Roman" w:hAnsi="FrankRuehl" w:cs="FrankRuehl" w:hint="cs"/>
          <w:noProof/>
          <w:sz w:val="28"/>
          <w:szCs w:val="28"/>
          <w:rtl/>
        </w:rPr>
        <w:t>08</w:t>
      </w:r>
      <w:r w:rsidRPr="00261DD0">
        <w:rPr>
          <w:rFonts w:ascii="FrankRuehl" w:eastAsia="Times New Roman" w:hAnsi="FrankRuehl" w:cs="FrankRuehl"/>
          <w:noProof/>
          <w:sz w:val="28"/>
          <w:szCs w:val="28"/>
          <w:rtl/>
        </w:rPr>
        <w:t>.</w:t>
      </w:r>
      <w:r w:rsidR="000C6809">
        <w:rPr>
          <w:rFonts w:ascii="FrankRuehl" w:eastAsia="Times New Roman" w:hAnsi="FrankRuehl" w:cs="FrankRuehl" w:hint="cs"/>
          <w:noProof/>
          <w:sz w:val="28"/>
          <w:szCs w:val="28"/>
          <w:rtl/>
        </w:rPr>
        <w:t>2020</w:t>
      </w:r>
      <w:r w:rsidRPr="00261DD0">
        <w:rPr>
          <w:rFonts w:ascii="FrankRuehl" w:eastAsia="Times New Roman" w:hAnsi="FrankRuehl" w:cs="FrankRuehl"/>
          <w:noProof/>
          <w:sz w:val="28"/>
          <w:szCs w:val="28"/>
          <w:rtl/>
        </w:rPr>
        <w:t>.</w:t>
      </w:r>
    </w:p>
    <w:p w:rsidR="00261DD0" w:rsidRPr="00261DD0" w:rsidRDefault="00261DD0" w:rsidP="00261DD0">
      <w:pPr>
        <w:pStyle w:val="ad"/>
        <w:rPr>
          <w:rFonts w:ascii="FrankRuehl" w:eastAsia="Times New Roman" w:hAnsi="FrankRuehl" w:cs="FrankRuehl"/>
          <w:noProof/>
          <w:sz w:val="28"/>
          <w:szCs w:val="28"/>
        </w:rPr>
      </w:pPr>
    </w:p>
    <w:p w:rsidR="00261DD0" w:rsidRPr="00261DD0" w:rsidRDefault="00261DD0" w:rsidP="00261DD0">
      <w:pPr>
        <w:pStyle w:val="ad"/>
        <w:numPr>
          <w:ilvl w:val="0"/>
          <w:numId w:val="1"/>
        </w:numPr>
        <w:spacing w:line="360" w:lineRule="auto"/>
        <w:ind w:left="368" w:hanging="426"/>
        <w:jc w:val="both"/>
        <w:rPr>
          <w:rFonts w:ascii="FrankRuehl" w:eastAsia="Times New Roman" w:hAnsi="FrankRuehl" w:cs="FrankRuehl"/>
          <w:noProof/>
          <w:sz w:val="28"/>
          <w:szCs w:val="28"/>
          <w:rtl/>
        </w:rPr>
      </w:pPr>
      <w:r w:rsidRPr="00261DD0">
        <w:rPr>
          <w:rFonts w:ascii="FrankRuehl" w:hAnsi="FrankRuehl" w:cs="FrankRuehl"/>
          <w:sz w:val="28"/>
          <w:szCs w:val="28"/>
          <w:rtl/>
        </w:rPr>
        <w:t>בעדותה, אישרה התובעת כי בעבר השתכרה גם ממתן טיפולים אלטרנטיביים והעיד</w:t>
      </w:r>
      <w:r w:rsidR="00AC195F">
        <w:rPr>
          <w:rFonts w:ascii="FrankRuehl" w:hAnsi="FrankRuehl" w:cs="FrankRuehl" w:hint="cs"/>
          <w:sz w:val="28"/>
          <w:szCs w:val="28"/>
          <w:rtl/>
        </w:rPr>
        <w:t>ה</w:t>
      </w:r>
      <w:r w:rsidRPr="00261DD0">
        <w:rPr>
          <w:rFonts w:ascii="FrankRuehl" w:hAnsi="FrankRuehl" w:cs="FrankRuehl"/>
          <w:sz w:val="28"/>
          <w:szCs w:val="28"/>
          <w:rtl/>
        </w:rPr>
        <w:t xml:space="preserve"> כי הכנסתה</w:t>
      </w:r>
      <w:r w:rsidR="000C6809">
        <w:rPr>
          <w:rFonts w:ascii="FrankRuehl" w:hAnsi="FrankRuehl" w:cs="FrankRuehl" w:hint="cs"/>
          <w:sz w:val="28"/>
          <w:szCs w:val="28"/>
          <w:rtl/>
        </w:rPr>
        <w:t>ּ</w:t>
      </w:r>
      <w:r w:rsidRPr="00261DD0">
        <w:rPr>
          <w:rFonts w:ascii="FrankRuehl" w:hAnsi="FrankRuehl" w:cs="FrankRuehl"/>
          <w:sz w:val="28"/>
          <w:szCs w:val="28"/>
          <w:rtl/>
        </w:rPr>
        <w:t xml:space="preserve"> החודשית מטיפולים אלו הייתה סך 2,500-3,000 ₪ לחודש – אך אינה עובדת בעבודתה זו בשל ההרעה במצבה הבריאותי </w:t>
      </w:r>
      <w:r w:rsidRPr="00261DD0">
        <w:rPr>
          <w:rFonts w:ascii="FrankRuehl" w:eastAsia="Times New Roman" w:hAnsi="FrankRuehl" w:cs="FrankRuehl"/>
          <w:noProof/>
          <w:sz w:val="28"/>
          <w:szCs w:val="28"/>
          <w:rtl/>
        </w:rPr>
        <w:t>הנובע ממחלת פיברומילגיה וראומטיקה</w:t>
      </w:r>
      <w:r w:rsidRPr="00261DD0">
        <w:rPr>
          <w:rFonts w:ascii="FrankRuehl" w:hAnsi="FrankRuehl" w:cs="FrankRuehl"/>
          <w:sz w:val="28"/>
          <w:szCs w:val="28"/>
          <w:rtl/>
        </w:rPr>
        <w:t>. ראו עמוד 4 שורות 23-36 לעדותה.</w:t>
      </w:r>
    </w:p>
    <w:p w:rsidR="00261DD0" w:rsidRPr="00261DD0" w:rsidRDefault="00261DD0" w:rsidP="00261DD0">
      <w:pPr>
        <w:pStyle w:val="ad"/>
        <w:rPr>
          <w:rFonts w:ascii="FrankRuehl" w:eastAsia="Times New Roman" w:hAnsi="FrankRuehl" w:cs="FrankRuehl"/>
          <w:noProof/>
          <w:sz w:val="28"/>
          <w:szCs w:val="28"/>
        </w:rPr>
      </w:pPr>
    </w:p>
    <w:p w:rsidR="00261DD0" w:rsidRPr="00261DD0" w:rsidRDefault="00261DD0" w:rsidP="000C6809">
      <w:pPr>
        <w:pStyle w:val="ad"/>
        <w:numPr>
          <w:ilvl w:val="0"/>
          <w:numId w:val="1"/>
        </w:numPr>
        <w:spacing w:line="360" w:lineRule="auto"/>
        <w:ind w:left="368" w:hanging="426"/>
        <w:jc w:val="both"/>
        <w:rPr>
          <w:rFonts w:ascii="FrankRuehl" w:eastAsia="Times New Roman" w:hAnsi="FrankRuehl" w:cs="FrankRuehl"/>
          <w:noProof/>
          <w:sz w:val="28"/>
          <w:szCs w:val="28"/>
          <w:rtl/>
        </w:rPr>
      </w:pPr>
      <w:r w:rsidRPr="00261DD0">
        <w:rPr>
          <w:rFonts w:ascii="FrankRuehl" w:eastAsia="Times New Roman" w:hAnsi="FrankRuehl" w:cs="FrankRuehl"/>
          <w:noProof/>
          <w:sz w:val="28"/>
          <w:szCs w:val="28"/>
          <w:rtl/>
        </w:rPr>
        <w:t>התובעת הו</w:t>
      </w:r>
      <w:r w:rsidR="000C6809">
        <w:rPr>
          <w:rFonts w:ascii="FrankRuehl" w:eastAsia="Times New Roman" w:hAnsi="FrankRuehl" w:cs="FrankRuehl" w:hint="cs"/>
          <w:noProof/>
          <w:sz w:val="28"/>
          <w:szCs w:val="28"/>
          <w:rtl/>
        </w:rPr>
        <w:t>ּ</w:t>
      </w:r>
      <w:r w:rsidRPr="00261DD0">
        <w:rPr>
          <w:rFonts w:ascii="FrankRuehl" w:eastAsia="Times New Roman" w:hAnsi="FrankRuehl" w:cs="FrankRuehl"/>
          <w:noProof/>
          <w:sz w:val="28"/>
          <w:szCs w:val="28"/>
          <w:rtl/>
        </w:rPr>
        <w:t xml:space="preserve">כרה </w:t>
      </w:r>
      <w:r w:rsidR="000C6809">
        <w:rPr>
          <w:rFonts w:ascii="FrankRuehl" w:eastAsia="Times New Roman" w:hAnsi="FrankRuehl" w:cs="FrankRuehl"/>
          <w:noProof/>
          <w:sz w:val="28"/>
          <w:szCs w:val="28"/>
          <w:rtl/>
        </w:rPr>
        <w:t>כבעלת נכות כללית בשיעור 52% ואי</w:t>
      </w:r>
      <w:r w:rsidR="000C6809">
        <w:rPr>
          <w:rFonts w:ascii="FrankRuehl" w:eastAsia="Times New Roman" w:hAnsi="FrankRuehl" w:cs="FrankRuehl" w:hint="cs"/>
          <w:noProof/>
          <w:sz w:val="28"/>
          <w:szCs w:val="28"/>
          <w:rtl/>
        </w:rPr>
        <w:t>-</w:t>
      </w:r>
      <w:r w:rsidRPr="00261DD0">
        <w:rPr>
          <w:rFonts w:ascii="FrankRuehl" w:eastAsia="Times New Roman" w:hAnsi="FrankRuehl" w:cs="FrankRuehl"/>
          <w:noProof/>
          <w:sz w:val="28"/>
          <w:szCs w:val="28"/>
          <w:rtl/>
        </w:rPr>
        <w:t>כושר זמני שנקבע בשיעור מלא (100%). ראו נספח 8 לתצהיר ת/1 נכון ליום 27.</w:t>
      </w:r>
      <w:r w:rsidR="000C6809">
        <w:rPr>
          <w:rFonts w:ascii="FrankRuehl" w:eastAsia="Times New Roman" w:hAnsi="FrankRuehl" w:cs="FrankRuehl" w:hint="cs"/>
          <w:noProof/>
          <w:sz w:val="28"/>
          <w:szCs w:val="28"/>
          <w:rtl/>
        </w:rPr>
        <w:t>06</w:t>
      </w:r>
      <w:r w:rsidRPr="00261DD0">
        <w:rPr>
          <w:rFonts w:ascii="FrankRuehl" w:eastAsia="Times New Roman" w:hAnsi="FrankRuehl" w:cs="FrankRuehl"/>
          <w:noProof/>
          <w:sz w:val="28"/>
          <w:szCs w:val="28"/>
          <w:rtl/>
        </w:rPr>
        <w:t>.</w:t>
      </w:r>
      <w:r w:rsidR="000C6809">
        <w:rPr>
          <w:rFonts w:ascii="FrankRuehl" w:eastAsia="Times New Roman" w:hAnsi="FrankRuehl" w:cs="FrankRuehl" w:hint="cs"/>
          <w:noProof/>
          <w:sz w:val="28"/>
          <w:szCs w:val="28"/>
          <w:rtl/>
        </w:rPr>
        <w:t>2021</w:t>
      </w:r>
      <w:r w:rsidRPr="00261DD0">
        <w:rPr>
          <w:rFonts w:ascii="FrankRuehl" w:eastAsia="Times New Roman" w:hAnsi="FrankRuehl" w:cs="FrankRuehl"/>
          <w:noProof/>
          <w:sz w:val="28"/>
          <w:szCs w:val="28"/>
          <w:rtl/>
        </w:rPr>
        <w:t>.</w:t>
      </w:r>
    </w:p>
    <w:p w:rsidR="00261DD0" w:rsidRPr="00261DD0" w:rsidRDefault="00261DD0" w:rsidP="00261DD0">
      <w:pPr>
        <w:pStyle w:val="ad"/>
        <w:rPr>
          <w:rFonts w:ascii="FrankRuehl" w:eastAsia="Times New Roman" w:hAnsi="FrankRuehl" w:cs="FrankRuehl"/>
          <w:noProof/>
          <w:sz w:val="28"/>
          <w:szCs w:val="28"/>
        </w:rPr>
      </w:pPr>
    </w:p>
    <w:p w:rsidR="00261DD0" w:rsidRPr="00261DD0" w:rsidRDefault="001B4E47" w:rsidP="002714AD">
      <w:pPr>
        <w:pStyle w:val="ad"/>
        <w:numPr>
          <w:ilvl w:val="0"/>
          <w:numId w:val="1"/>
        </w:numPr>
        <w:spacing w:line="360" w:lineRule="auto"/>
        <w:ind w:left="368" w:hanging="426"/>
        <w:jc w:val="both"/>
        <w:rPr>
          <w:rFonts w:ascii="FrankRuehl" w:eastAsia="Times New Roman" w:hAnsi="FrankRuehl" w:cs="FrankRuehl"/>
          <w:noProof/>
          <w:sz w:val="28"/>
          <w:szCs w:val="28"/>
          <w:rtl/>
        </w:rPr>
      </w:pPr>
      <w:r>
        <w:rPr>
          <w:rFonts w:ascii="FrankRuehl" w:eastAsia="Times New Roman" w:hAnsi="FrankRuehl" w:cs="FrankRuehl"/>
          <w:noProof/>
          <w:sz w:val="28"/>
          <w:szCs w:val="28"/>
          <w:rtl/>
        </w:rPr>
        <w:lastRenderedPageBreak/>
        <w:t>קִצבת</w:t>
      </w:r>
      <w:r w:rsidR="00261DD0" w:rsidRPr="00261DD0">
        <w:rPr>
          <w:rFonts w:ascii="FrankRuehl" w:eastAsia="Times New Roman" w:hAnsi="FrankRuehl" w:cs="FrankRuehl"/>
          <w:noProof/>
          <w:sz w:val="28"/>
          <w:szCs w:val="28"/>
          <w:rtl/>
        </w:rPr>
        <w:t xml:space="preserve"> הנכות המשולמת לתובעת היא סך 3,321 ₪ לח</w:t>
      </w:r>
      <w:r w:rsidR="002714AD">
        <w:rPr>
          <w:rFonts w:ascii="FrankRuehl" w:eastAsia="Times New Roman" w:hAnsi="FrankRuehl" w:cs="FrankRuehl"/>
          <w:noProof/>
          <w:sz w:val="28"/>
          <w:szCs w:val="28"/>
          <w:rtl/>
        </w:rPr>
        <w:t xml:space="preserve">ודש </w:t>
      </w:r>
      <w:r w:rsidR="00AC195F">
        <w:rPr>
          <w:rFonts w:ascii="FrankRuehl" w:eastAsia="Times New Roman" w:hAnsi="FrankRuehl" w:cs="FrankRuehl"/>
          <w:noProof/>
          <w:sz w:val="28"/>
          <w:szCs w:val="28"/>
          <w:rtl/>
        </w:rPr>
        <w:t>לפי אישור נכון לשנת 2020</w:t>
      </w:r>
      <w:r w:rsidR="00AC195F">
        <w:rPr>
          <w:rFonts w:ascii="FrankRuehl" w:eastAsia="Times New Roman" w:hAnsi="FrankRuehl" w:cs="FrankRuehl" w:hint="cs"/>
          <w:noProof/>
          <w:sz w:val="28"/>
          <w:szCs w:val="28"/>
          <w:rtl/>
        </w:rPr>
        <w:t xml:space="preserve">. </w:t>
      </w:r>
      <w:r w:rsidR="00261DD0" w:rsidRPr="00261DD0">
        <w:rPr>
          <w:rFonts w:ascii="FrankRuehl" w:eastAsia="Times New Roman" w:hAnsi="FrankRuehl" w:cs="FrankRuehl"/>
          <w:noProof/>
          <w:sz w:val="28"/>
          <w:szCs w:val="28"/>
          <w:rtl/>
        </w:rPr>
        <w:t>התובעת לא</w:t>
      </w:r>
      <w:r w:rsidR="000C6809">
        <w:rPr>
          <w:rFonts w:ascii="FrankRuehl" w:eastAsia="Times New Roman" w:hAnsi="FrankRuehl" w:cs="FrankRuehl" w:hint="cs"/>
          <w:noProof/>
          <w:sz w:val="28"/>
          <w:szCs w:val="28"/>
          <w:rtl/>
        </w:rPr>
        <w:t xml:space="preserve"> </w:t>
      </w:r>
      <w:r w:rsidR="00261DD0" w:rsidRPr="00261DD0">
        <w:rPr>
          <w:rFonts w:ascii="FrankRuehl" w:eastAsia="Times New Roman" w:hAnsi="FrankRuehl" w:cs="FrankRuehl"/>
          <w:noProof/>
          <w:sz w:val="28"/>
          <w:szCs w:val="28"/>
          <w:rtl/>
        </w:rPr>
        <w:t xml:space="preserve">הציגה אישורים מעודכנים וטענה בסיכומיה כי הסכום נותר כפי שהוא. </w:t>
      </w:r>
      <w:r w:rsidR="00261DD0" w:rsidRPr="00261DD0">
        <w:rPr>
          <w:rFonts w:ascii="FrankRuehl" w:hAnsi="FrankRuehl" w:cs="FrankRuehl"/>
          <w:sz w:val="28"/>
          <w:szCs w:val="28"/>
          <w:rtl/>
        </w:rPr>
        <w:t>נוסף על כך, משולמת לתובעת מאת המוסד לביטוח לאומי תוספת תל</w:t>
      </w:r>
      <w:r w:rsidR="000C6809">
        <w:rPr>
          <w:rFonts w:ascii="FrankRuehl" w:hAnsi="FrankRuehl" w:cs="FrankRuehl"/>
          <w:sz w:val="28"/>
          <w:szCs w:val="28"/>
          <w:rtl/>
        </w:rPr>
        <w:t>ויים עבור הקטין סך 950 ₪ לחודש.</w:t>
      </w:r>
    </w:p>
    <w:p w:rsidR="00261DD0" w:rsidRPr="00261DD0" w:rsidRDefault="00261DD0" w:rsidP="00261DD0">
      <w:pPr>
        <w:pStyle w:val="ad"/>
        <w:rPr>
          <w:rFonts w:ascii="FrankRuehl" w:hAnsi="FrankRuehl" w:cs="FrankRuehl"/>
          <w:sz w:val="28"/>
          <w:szCs w:val="28"/>
          <w:rtl/>
        </w:rPr>
      </w:pPr>
    </w:p>
    <w:p w:rsidR="00261DD0" w:rsidRPr="000C6809" w:rsidRDefault="00261DD0" w:rsidP="000C6809">
      <w:pPr>
        <w:pStyle w:val="ad"/>
        <w:numPr>
          <w:ilvl w:val="0"/>
          <w:numId w:val="1"/>
        </w:numPr>
        <w:spacing w:line="360" w:lineRule="auto"/>
        <w:ind w:left="368" w:hanging="426"/>
        <w:jc w:val="both"/>
        <w:rPr>
          <w:rFonts w:ascii="FrankRuehl" w:eastAsia="Times New Roman" w:hAnsi="FrankRuehl" w:cs="FrankRuehl"/>
          <w:noProof/>
          <w:sz w:val="28"/>
          <w:szCs w:val="28"/>
          <w:u w:val="single"/>
          <w:rtl/>
        </w:rPr>
      </w:pPr>
      <w:r w:rsidRPr="00261DD0">
        <w:rPr>
          <w:rFonts w:ascii="FrankRuehl" w:hAnsi="FrankRuehl" w:cs="FrankRuehl"/>
          <w:b/>
          <w:bCs/>
          <w:sz w:val="28"/>
          <w:szCs w:val="28"/>
          <w:u w:val="single"/>
          <w:rtl/>
        </w:rPr>
        <w:t>עם זאת, עלה מעדותה</w:t>
      </w:r>
      <w:r w:rsidR="000C6809">
        <w:rPr>
          <w:rFonts w:ascii="FrankRuehl" w:hAnsi="FrankRuehl" w:cs="FrankRuehl" w:hint="cs"/>
          <w:b/>
          <w:bCs/>
          <w:sz w:val="28"/>
          <w:szCs w:val="28"/>
          <w:u w:val="single"/>
          <w:rtl/>
        </w:rPr>
        <w:t>ּ</w:t>
      </w:r>
      <w:r w:rsidRPr="00261DD0">
        <w:rPr>
          <w:rFonts w:ascii="FrankRuehl" w:hAnsi="FrankRuehl" w:cs="FrankRuehl"/>
          <w:b/>
          <w:bCs/>
          <w:sz w:val="28"/>
          <w:szCs w:val="28"/>
          <w:u w:val="single"/>
          <w:rtl/>
        </w:rPr>
        <w:t xml:space="preserve"> כי </w:t>
      </w:r>
      <w:r w:rsidR="000C6809">
        <w:rPr>
          <w:rFonts w:ascii="FrankRuehl" w:hAnsi="FrankRuehl" w:cs="FrankRuehl" w:hint="cs"/>
          <w:b/>
          <w:bCs/>
          <w:sz w:val="28"/>
          <w:szCs w:val="28"/>
          <w:u w:val="single"/>
          <w:rtl/>
        </w:rPr>
        <w:t>(בניגוד ל</w:t>
      </w:r>
      <w:r w:rsidRPr="00261DD0">
        <w:rPr>
          <w:rFonts w:ascii="FrankRuehl" w:hAnsi="FrankRuehl" w:cs="FrankRuehl"/>
          <w:b/>
          <w:bCs/>
          <w:sz w:val="28"/>
          <w:szCs w:val="28"/>
          <w:u w:val="single"/>
          <w:rtl/>
        </w:rPr>
        <w:t xml:space="preserve">אישור </w:t>
      </w:r>
      <w:r w:rsidR="000C6809">
        <w:rPr>
          <w:rFonts w:ascii="FrankRuehl" w:hAnsi="FrankRuehl" w:cs="FrankRuehl" w:hint="cs"/>
          <w:b/>
          <w:bCs/>
          <w:sz w:val="28"/>
          <w:szCs w:val="28"/>
          <w:u w:val="single"/>
          <w:rtl/>
        </w:rPr>
        <w:t>מ</w:t>
      </w:r>
      <w:r w:rsidRPr="00261DD0">
        <w:rPr>
          <w:rFonts w:ascii="FrankRuehl" w:hAnsi="FrankRuehl" w:cs="FrankRuehl"/>
          <w:b/>
          <w:bCs/>
          <w:sz w:val="28"/>
          <w:szCs w:val="28"/>
          <w:u w:val="single"/>
          <w:rtl/>
        </w:rPr>
        <w:t>המוסד לביטוח לאומי</w:t>
      </w:r>
      <w:r w:rsidR="000C6809">
        <w:rPr>
          <w:rFonts w:ascii="FrankRuehl" w:hAnsi="FrankRuehl" w:cs="FrankRuehl" w:hint="cs"/>
          <w:b/>
          <w:bCs/>
          <w:sz w:val="28"/>
          <w:szCs w:val="28"/>
          <w:u w:val="single"/>
          <w:rtl/>
        </w:rPr>
        <w:t>)</w:t>
      </w:r>
      <w:r w:rsidRPr="00261DD0">
        <w:rPr>
          <w:rFonts w:ascii="FrankRuehl" w:hAnsi="FrankRuehl" w:cs="FrankRuehl"/>
          <w:b/>
          <w:bCs/>
          <w:sz w:val="28"/>
          <w:szCs w:val="28"/>
          <w:u w:val="single"/>
          <w:rtl/>
        </w:rPr>
        <w:t xml:space="preserve"> התובעת עובדת למחייתה</w:t>
      </w:r>
      <w:r w:rsidRPr="000C6809">
        <w:rPr>
          <w:rFonts w:ascii="FrankRuehl" w:hAnsi="FrankRuehl" w:cs="FrankRuehl"/>
          <w:b/>
          <w:bCs/>
          <w:sz w:val="28"/>
          <w:szCs w:val="28"/>
          <w:rtl/>
        </w:rPr>
        <w:t>.</w:t>
      </w:r>
    </w:p>
    <w:p w:rsidR="00261DD0" w:rsidRPr="00261DD0" w:rsidRDefault="00261DD0" w:rsidP="00261DD0">
      <w:pPr>
        <w:pStyle w:val="ad"/>
        <w:rPr>
          <w:rFonts w:ascii="FrankRuehl" w:hAnsi="FrankRuehl" w:cs="FrankRuehl"/>
          <w:sz w:val="28"/>
          <w:szCs w:val="28"/>
        </w:rPr>
      </w:pPr>
    </w:p>
    <w:p w:rsidR="00261DD0" w:rsidRPr="00261DD0" w:rsidRDefault="00261DD0" w:rsidP="000C6809">
      <w:pPr>
        <w:pStyle w:val="ad"/>
        <w:numPr>
          <w:ilvl w:val="0"/>
          <w:numId w:val="1"/>
        </w:numPr>
        <w:spacing w:line="360" w:lineRule="auto"/>
        <w:ind w:left="368" w:hanging="426"/>
        <w:jc w:val="both"/>
        <w:rPr>
          <w:rFonts w:ascii="FrankRuehl" w:eastAsia="Times New Roman" w:hAnsi="FrankRuehl" w:cs="FrankRuehl"/>
          <w:noProof/>
          <w:sz w:val="28"/>
          <w:szCs w:val="28"/>
          <w:rtl/>
        </w:rPr>
      </w:pPr>
      <w:r w:rsidRPr="00261DD0">
        <w:rPr>
          <w:rFonts w:ascii="FrankRuehl" w:hAnsi="FrankRuehl" w:cs="FrankRuehl"/>
          <w:sz w:val="28"/>
          <w:szCs w:val="28"/>
          <w:rtl/>
        </w:rPr>
        <w:t>עיון בתדפיסי חשבון הבנק של התובעת לתקופה 31.</w:t>
      </w:r>
      <w:r w:rsidR="000C6809">
        <w:rPr>
          <w:rFonts w:ascii="FrankRuehl" w:hAnsi="FrankRuehl" w:cs="FrankRuehl" w:hint="cs"/>
          <w:sz w:val="28"/>
          <w:szCs w:val="28"/>
          <w:rtl/>
        </w:rPr>
        <w:t>01</w:t>
      </w:r>
      <w:r w:rsidRPr="00261DD0">
        <w:rPr>
          <w:rFonts w:ascii="FrankRuehl" w:hAnsi="FrankRuehl" w:cs="FrankRuehl"/>
          <w:sz w:val="28"/>
          <w:szCs w:val="28"/>
          <w:rtl/>
        </w:rPr>
        <w:t>.</w:t>
      </w:r>
      <w:r w:rsidR="000C6809">
        <w:rPr>
          <w:rFonts w:ascii="FrankRuehl" w:hAnsi="FrankRuehl" w:cs="FrankRuehl" w:hint="cs"/>
          <w:sz w:val="28"/>
          <w:szCs w:val="28"/>
          <w:rtl/>
        </w:rPr>
        <w:t>2022</w:t>
      </w:r>
      <w:r w:rsidRPr="00261DD0">
        <w:rPr>
          <w:rFonts w:ascii="FrankRuehl" w:hAnsi="FrankRuehl" w:cs="FrankRuehl"/>
          <w:sz w:val="28"/>
          <w:szCs w:val="28"/>
          <w:rtl/>
        </w:rPr>
        <w:t>-15.</w:t>
      </w:r>
      <w:r w:rsidR="000C6809">
        <w:rPr>
          <w:rFonts w:ascii="FrankRuehl" w:hAnsi="FrankRuehl" w:cs="FrankRuehl" w:hint="cs"/>
          <w:sz w:val="28"/>
          <w:szCs w:val="28"/>
          <w:rtl/>
        </w:rPr>
        <w:t>05</w:t>
      </w:r>
      <w:r w:rsidRPr="00261DD0">
        <w:rPr>
          <w:rFonts w:ascii="FrankRuehl" w:hAnsi="FrankRuehl" w:cs="FrankRuehl"/>
          <w:sz w:val="28"/>
          <w:szCs w:val="28"/>
          <w:rtl/>
        </w:rPr>
        <w:t>.</w:t>
      </w:r>
      <w:r w:rsidR="000C6809">
        <w:rPr>
          <w:rFonts w:ascii="FrankRuehl" w:hAnsi="FrankRuehl" w:cs="FrankRuehl" w:hint="cs"/>
          <w:sz w:val="28"/>
          <w:szCs w:val="28"/>
          <w:rtl/>
        </w:rPr>
        <w:t>2022</w:t>
      </w:r>
      <w:r w:rsidRPr="00261DD0">
        <w:rPr>
          <w:rFonts w:ascii="FrankRuehl" w:hAnsi="FrankRuehl" w:cs="FrankRuehl"/>
          <w:sz w:val="28"/>
          <w:szCs w:val="28"/>
          <w:rtl/>
        </w:rPr>
        <w:t xml:space="preserve"> שצורפו ביום </w:t>
      </w:r>
      <w:r w:rsidR="000C6809">
        <w:rPr>
          <w:rFonts w:ascii="FrankRuehl" w:hAnsi="FrankRuehl" w:cs="FrankRuehl" w:hint="cs"/>
          <w:sz w:val="28"/>
          <w:szCs w:val="28"/>
          <w:rtl/>
        </w:rPr>
        <w:t>07</w:t>
      </w:r>
      <w:r w:rsidRPr="00261DD0">
        <w:rPr>
          <w:rFonts w:ascii="FrankRuehl" w:hAnsi="FrankRuehl" w:cs="FrankRuehl"/>
          <w:sz w:val="28"/>
          <w:szCs w:val="28"/>
          <w:rtl/>
        </w:rPr>
        <w:t>.</w:t>
      </w:r>
      <w:r w:rsidR="000C6809">
        <w:rPr>
          <w:rFonts w:ascii="FrankRuehl" w:hAnsi="FrankRuehl" w:cs="FrankRuehl" w:hint="cs"/>
          <w:sz w:val="28"/>
          <w:szCs w:val="28"/>
          <w:rtl/>
        </w:rPr>
        <w:t>02</w:t>
      </w:r>
      <w:r w:rsidRPr="00261DD0">
        <w:rPr>
          <w:rFonts w:ascii="FrankRuehl" w:hAnsi="FrankRuehl" w:cs="FrankRuehl"/>
          <w:sz w:val="28"/>
          <w:szCs w:val="28"/>
          <w:rtl/>
        </w:rPr>
        <w:t xml:space="preserve">.2022 כהשלמה </w:t>
      </w:r>
      <w:r w:rsidR="00AC195F">
        <w:rPr>
          <w:rFonts w:ascii="FrankRuehl" w:hAnsi="FrankRuehl" w:cs="FrankRuehl" w:hint="cs"/>
          <w:sz w:val="28"/>
          <w:szCs w:val="28"/>
          <w:rtl/>
        </w:rPr>
        <w:t>ל</w:t>
      </w:r>
      <w:r w:rsidRPr="00261DD0">
        <w:rPr>
          <w:rFonts w:ascii="FrankRuehl" w:hAnsi="FrankRuehl" w:cs="FrankRuehl"/>
          <w:sz w:val="28"/>
          <w:szCs w:val="28"/>
          <w:rtl/>
        </w:rPr>
        <w:t xml:space="preserve">תצהירה ת/1 (נספח 1 להשלמה) מעלה הפקדות באמצעות יישומון </w:t>
      </w:r>
      <w:r w:rsidR="000C6809">
        <w:rPr>
          <w:rFonts w:ascii="FrankRuehl" w:hAnsi="FrankRuehl" w:cs="FrankRuehl" w:hint="cs"/>
          <w:sz w:val="28"/>
          <w:szCs w:val="28"/>
          <w:rtl/>
        </w:rPr>
        <w:t>"</w:t>
      </w:r>
      <w:r w:rsidRPr="00261DD0">
        <w:rPr>
          <w:rFonts w:ascii="FrankRuehl" w:hAnsi="FrankRuehl" w:cs="FrankRuehl"/>
          <w:sz w:val="28"/>
          <w:szCs w:val="28"/>
          <w:rtl/>
        </w:rPr>
        <w:t>ביט</w:t>
      </w:r>
      <w:r w:rsidR="000C6809">
        <w:rPr>
          <w:rFonts w:ascii="FrankRuehl" w:hAnsi="FrankRuehl" w:cs="FrankRuehl" w:hint="cs"/>
          <w:sz w:val="28"/>
          <w:szCs w:val="28"/>
          <w:rtl/>
        </w:rPr>
        <w:t>"</w:t>
      </w:r>
      <w:r w:rsidRPr="00261DD0">
        <w:rPr>
          <w:rFonts w:ascii="FrankRuehl" w:hAnsi="FrankRuehl" w:cs="FrankRuehl"/>
          <w:sz w:val="28"/>
          <w:szCs w:val="28"/>
          <w:rtl/>
        </w:rPr>
        <w:t>.</w:t>
      </w:r>
      <w:r w:rsidRPr="00261DD0">
        <w:rPr>
          <w:rFonts w:ascii="FrankRuehl" w:eastAsia="Times New Roman" w:hAnsi="FrankRuehl" w:cs="FrankRuehl"/>
          <w:noProof/>
          <w:sz w:val="28"/>
          <w:szCs w:val="28"/>
          <w:rtl/>
        </w:rPr>
        <w:t xml:space="preserve"> </w:t>
      </w:r>
      <w:r w:rsidRPr="00261DD0">
        <w:rPr>
          <w:rFonts w:ascii="FrankRuehl" w:hAnsi="FrankRuehl" w:cs="FrankRuehl"/>
          <w:sz w:val="28"/>
          <w:szCs w:val="28"/>
          <w:rtl/>
        </w:rPr>
        <w:t>אמנם בחקירתה ביקשה התובעת לטעון כי מדובר במכירת מיטלטלין, ראו עמוד 16 שורות 27-33, אך לא נתתי אמון בעדותה.</w:t>
      </w:r>
      <w:r w:rsidRPr="00261DD0">
        <w:rPr>
          <w:rFonts w:ascii="FrankRuehl" w:eastAsia="Times New Roman" w:hAnsi="FrankRuehl" w:cs="FrankRuehl"/>
          <w:noProof/>
          <w:sz w:val="28"/>
          <w:szCs w:val="28"/>
          <w:rtl/>
        </w:rPr>
        <w:t xml:space="preserve"> </w:t>
      </w:r>
      <w:r w:rsidRPr="00261DD0">
        <w:rPr>
          <w:rFonts w:ascii="FrankRuehl" w:hAnsi="FrankRuehl" w:cs="FrankRuehl"/>
          <w:sz w:val="28"/>
          <w:szCs w:val="28"/>
          <w:rtl/>
        </w:rPr>
        <w:t>לא זו אף זו לא שבהמשך חקירתה</w:t>
      </w:r>
      <w:r w:rsidR="000C6809">
        <w:rPr>
          <w:rFonts w:ascii="FrankRuehl" w:hAnsi="FrankRuehl" w:cs="FrankRuehl" w:hint="cs"/>
          <w:sz w:val="28"/>
          <w:szCs w:val="28"/>
          <w:rtl/>
        </w:rPr>
        <w:t>ּ</w:t>
      </w:r>
      <w:r w:rsidRPr="00261DD0">
        <w:rPr>
          <w:rFonts w:ascii="FrankRuehl" w:hAnsi="FrankRuehl" w:cs="FrankRuehl"/>
          <w:sz w:val="28"/>
          <w:szCs w:val="28"/>
          <w:rtl/>
        </w:rPr>
        <w:t xml:space="preserve"> העידה התובעת כי התשלומים הם בגין מכירה באינטרנט של מוצרי משתלה. ראו עמוד 17 שורות 1-10.</w:t>
      </w:r>
    </w:p>
    <w:p w:rsidR="00261DD0" w:rsidRPr="00261DD0" w:rsidRDefault="00261DD0" w:rsidP="00261DD0">
      <w:pPr>
        <w:pStyle w:val="ad"/>
        <w:rPr>
          <w:rFonts w:ascii="FrankRuehl" w:eastAsia="Times New Roman" w:hAnsi="FrankRuehl" w:cs="FrankRuehl"/>
          <w:noProof/>
          <w:sz w:val="28"/>
          <w:szCs w:val="28"/>
        </w:rPr>
      </w:pPr>
    </w:p>
    <w:p w:rsidR="00261DD0" w:rsidRPr="000C6809" w:rsidRDefault="00261DD0" w:rsidP="00261DD0">
      <w:pPr>
        <w:pStyle w:val="ad"/>
        <w:numPr>
          <w:ilvl w:val="0"/>
          <w:numId w:val="1"/>
        </w:numPr>
        <w:spacing w:line="360" w:lineRule="auto"/>
        <w:ind w:left="368" w:hanging="426"/>
        <w:jc w:val="both"/>
        <w:rPr>
          <w:rFonts w:ascii="FrankRuehl" w:eastAsia="Times New Roman" w:hAnsi="FrankRuehl" w:cs="FrankRuehl"/>
          <w:noProof/>
          <w:sz w:val="28"/>
          <w:szCs w:val="28"/>
        </w:rPr>
      </w:pPr>
      <w:r w:rsidRPr="00261DD0">
        <w:rPr>
          <w:rFonts w:ascii="FrankRuehl" w:hAnsi="FrankRuehl" w:cs="FrankRuehl"/>
          <w:sz w:val="28"/>
          <w:szCs w:val="28"/>
          <w:rtl/>
        </w:rPr>
        <w:t>בהמשך חקירתה</w:t>
      </w:r>
      <w:r w:rsidR="000C6809">
        <w:rPr>
          <w:rFonts w:ascii="FrankRuehl" w:hAnsi="FrankRuehl" w:cs="FrankRuehl" w:hint="cs"/>
          <w:sz w:val="28"/>
          <w:szCs w:val="28"/>
          <w:rtl/>
        </w:rPr>
        <w:t>ּ</w:t>
      </w:r>
      <w:r w:rsidRPr="00261DD0">
        <w:rPr>
          <w:rFonts w:ascii="FrankRuehl" w:hAnsi="FrankRuehl" w:cs="FrankRuehl"/>
          <w:sz w:val="28"/>
          <w:szCs w:val="28"/>
          <w:rtl/>
        </w:rPr>
        <w:t xml:space="preserve"> התברר כי התובעת עובדת בתיווך או שיווק משתלות שונות וגם במתן טיפולים אלטרנטיביים. הכנסותיה נוסף על </w:t>
      </w:r>
      <w:r w:rsidR="001B4E47">
        <w:rPr>
          <w:rFonts w:ascii="FrankRuehl" w:hAnsi="FrankRuehl" w:cs="FrankRuehl"/>
          <w:sz w:val="28"/>
          <w:szCs w:val="28"/>
          <w:rtl/>
        </w:rPr>
        <w:t>קִצבת</w:t>
      </w:r>
      <w:r w:rsidRPr="00261DD0">
        <w:rPr>
          <w:rFonts w:ascii="FrankRuehl" w:hAnsi="FrankRuehl" w:cs="FrankRuehl"/>
          <w:sz w:val="28"/>
          <w:szCs w:val="28"/>
          <w:rtl/>
        </w:rPr>
        <w:t xml:space="preserve"> הנכות הן מעמלות המשולמות לה בגין לקוחות שנשלחים למשתלה ורוכשים מוצרים וגם תמורה ממתן טיפולים אלטרנטיביים. ראו חקירתה בעמוד 16 שורות 26-39 וגם חקירתה בעמוד 17 שורות 21-37 ועמוד 18. התובעת העידה כי בגין כל טיפול הכנסתה היא 250-300 ₪ וישנם טיפולים שהכנסתה </w:t>
      </w:r>
      <w:r w:rsidR="000C6809">
        <w:rPr>
          <w:rFonts w:ascii="FrankRuehl" w:hAnsi="FrankRuehl" w:cs="FrankRuehl"/>
          <w:sz w:val="28"/>
          <w:szCs w:val="28"/>
          <w:rtl/>
        </w:rPr>
        <w:t>מהם היא 400 ₪</w:t>
      </w:r>
      <w:r w:rsidR="000C6809">
        <w:rPr>
          <w:rFonts w:ascii="FrankRuehl" w:hAnsi="FrankRuehl" w:cs="FrankRuehl" w:hint="cs"/>
          <w:sz w:val="28"/>
          <w:szCs w:val="28"/>
          <w:rtl/>
        </w:rPr>
        <w:t xml:space="preserve">, </w:t>
      </w:r>
      <w:r w:rsidR="000C6809">
        <w:rPr>
          <w:rFonts w:ascii="FrankRuehl" w:hAnsi="FrankRuehl" w:cs="FrankRuehl"/>
          <w:sz w:val="28"/>
          <w:szCs w:val="28"/>
          <w:rtl/>
        </w:rPr>
        <w:t>ראו עמוד 19 שורות 9-10</w:t>
      </w:r>
      <w:r w:rsidR="000C6809">
        <w:rPr>
          <w:rFonts w:ascii="FrankRuehl" w:hAnsi="FrankRuehl" w:cs="FrankRuehl" w:hint="cs"/>
          <w:sz w:val="28"/>
          <w:szCs w:val="28"/>
          <w:rtl/>
        </w:rPr>
        <w:t>,</w:t>
      </w:r>
      <w:r w:rsidRPr="00261DD0">
        <w:rPr>
          <w:rFonts w:ascii="FrankRuehl" w:hAnsi="FrankRuehl" w:cs="FrankRuehl"/>
          <w:sz w:val="28"/>
          <w:szCs w:val="28"/>
          <w:rtl/>
        </w:rPr>
        <w:t xml:space="preserve"> אך חזרה והעידה כי של מצבה</w:t>
      </w:r>
      <w:r w:rsidR="000C6809">
        <w:rPr>
          <w:rFonts w:ascii="FrankRuehl" w:hAnsi="FrankRuehl" w:cs="FrankRuehl" w:hint="cs"/>
          <w:sz w:val="28"/>
          <w:szCs w:val="28"/>
          <w:rtl/>
        </w:rPr>
        <w:t>ּ</w:t>
      </w:r>
      <w:r w:rsidRPr="00261DD0">
        <w:rPr>
          <w:rFonts w:ascii="FrankRuehl" w:hAnsi="FrankRuehl" w:cs="FrankRuehl"/>
          <w:sz w:val="28"/>
          <w:szCs w:val="28"/>
          <w:rtl/>
        </w:rPr>
        <w:t xml:space="preserve"> הבר</w:t>
      </w:r>
      <w:r w:rsidR="000C6809">
        <w:rPr>
          <w:rFonts w:ascii="FrankRuehl" w:hAnsi="FrankRuehl" w:cs="FrankRuehl"/>
          <w:sz w:val="28"/>
          <w:szCs w:val="28"/>
          <w:rtl/>
        </w:rPr>
        <w:t>יאותי תדירות מתן הטיפולים פחתה.</w:t>
      </w:r>
    </w:p>
    <w:p w:rsidR="000C6809" w:rsidRPr="00261DD0" w:rsidRDefault="000C6809" w:rsidP="000C6809">
      <w:pPr>
        <w:pStyle w:val="ad"/>
        <w:spacing w:line="360" w:lineRule="auto"/>
        <w:ind w:left="368"/>
        <w:jc w:val="both"/>
        <w:rPr>
          <w:rFonts w:ascii="FrankRuehl" w:eastAsia="Times New Roman" w:hAnsi="FrankRuehl" w:cs="FrankRuehl"/>
          <w:noProof/>
          <w:sz w:val="28"/>
          <w:szCs w:val="28"/>
          <w:rtl/>
        </w:rPr>
      </w:pPr>
    </w:p>
    <w:p w:rsidR="00916A3B" w:rsidRPr="00916A3B" w:rsidRDefault="00261DD0" w:rsidP="00916A3B">
      <w:pPr>
        <w:pStyle w:val="ad"/>
        <w:numPr>
          <w:ilvl w:val="0"/>
          <w:numId w:val="1"/>
        </w:numPr>
        <w:spacing w:line="360" w:lineRule="auto"/>
        <w:ind w:left="368" w:hanging="426"/>
        <w:jc w:val="both"/>
        <w:rPr>
          <w:rFonts w:ascii="FrankRuehl" w:eastAsia="Times New Roman" w:hAnsi="FrankRuehl" w:cs="FrankRuehl"/>
          <w:noProof/>
          <w:sz w:val="28"/>
          <w:szCs w:val="28"/>
        </w:rPr>
      </w:pPr>
      <w:r w:rsidRPr="00261DD0">
        <w:rPr>
          <w:rFonts w:ascii="FrankRuehl" w:hAnsi="FrankRuehl" w:cs="FrankRuehl"/>
          <w:sz w:val="28"/>
          <w:szCs w:val="28"/>
          <w:rtl/>
        </w:rPr>
        <w:t>בעדות התוב</w:t>
      </w:r>
      <w:r w:rsidR="000C6809">
        <w:rPr>
          <w:rFonts w:ascii="FrankRuehl" w:hAnsi="FrankRuehl" w:cs="FrankRuehl"/>
          <w:sz w:val="28"/>
          <w:szCs w:val="28"/>
          <w:rtl/>
        </w:rPr>
        <w:t>עת בעניין הכנסותיה מעבודתה התגל</w:t>
      </w:r>
      <w:r w:rsidR="000C6809">
        <w:rPr>
          <w:rFonts w:ascii="FrankRuehl" w:hAnsi="FrankRuehl" w:cs="FrankRuehl" w:hint="cs"/>
          <w:sz w:val="28"/>
          <w:szCs w:val="28"/>
          <w:rtl/>
        </w:rPr>
        <w:t>ה</w:t>
      </w:r>
      <w:r w:rsidRPr="00261DD0">
        <w:rPr>
          <w:rFonts w:ascii="FrankRuehl" w:hAnsi="FrankRuehl" w:cs="FrankRuehl"/>
          <w:sz w:val="28"/>
          <w:szCs w:val="28"/>
          <w:rtl/>
        </w:rPr>
        <w:t xml:space="preserve"> מספר רב של סתירות. כך למשל נשאלה התובעת לפשר העברות כספים באמצעות הביט על ידי אדם בשם ישי. העידה</w:t>
      </w:r>
      <w:r w:rsidR="00916A3B">
        <w:rPr>
          <w:rFonts w:ascii="FrankRuehl" w:hAnsi="FrankRuehl" w:cs="FrankRuehl" w:hint="cs"/>
          <w:sz w:val="28"/>
          <w:szCs w:val="28"/>
          <w:rtl/>
        </w:rPr>
        <w:t xml:space="preserve"> כי </w:t>
      </w:r>
    </w:p>
    <w:p w:rsidR="00916A3B" w:rsidRPr="00916A3B" w:rsidRDefault="00916A3B" w:rsidP="00916A3B">
      <w:pPr>
        <w:pStyle w:val="ad"/>
        <w:rPr>
          <w:rFonts w:ascii="FrankRuehl" w:hAnsi="FrankRuehl" w:cs="FrankRuehl"/>
          <w:sz w:val="28"/>
          <w:szCs w:val="28"/>
          <w:rtl/>
        </w:rPr>
      </w:pPr>
    </w:p>
    <w:p w:rsidR="00261DD0" w:rsidRPr="00261DD0" w:rsidRDefault="00261DD0" w:rsidP="00916A3B">
      <w:pPr>
        <w:pStyle w:val="ad"/>
        <w:numPr>
          <w:ilvl w:val="0"/>
          <w:numId w:val="1"/>
        </w:numPr>
        <w:spacing w:line="360" w:lineRule="auto"/>
        <w:ind w:left="368" w:hanging="426"/>
        <w:jc w:val="both"/>
        <w:rPr>
          <w:rFonts w:ascii="FrankRuehl" w:eastAsia="Times New Roman" w:hAnsi="FrankRuehl" w:cs="FrankRuehl"/>
          <w:noProof/>
          <w:sz w:val="28"/>
          <w:szCs w:val="28"/>
        </w:rPr>
      </w:pPr>
      <w:r w:rsidRPr="00261DD0">
        <w:rPr>
          <w:rFonts w:ascii="FrankRuehl" w:hAnsi="FrankRuehl" w:cs="FrankRuehl"/>
          <w:sz w:val="28"/>
          <w:szCs w:val="28"/>
          <w:rtl/>
        </w:rPr>
        <w:t>מדובר בהעברות תמורת מוצרי משתלה. עמוד 17 שורות 11-17. אלא שבהמשך העידה התובעת כי הכנסתה מעבודתה במשתלה משולמת על ידי בעל המשתלה מר יחזקאל אברהם. ראו עמוד 18 שורות 22- 39 ועמוד 19 שורות 1-6. תשלומים מצד ג' הנ"ל נכללו בדפי חשבון הבנק שהוגשו ונכתב שם כי זו "</w:t>
      </w:r>
      <w:r w:rsidRPr="000C6809">
        <w:rPr>
          <w:rFonts w:ascii="FrankRuehl" w:hAnsi="FrankRuehl" w:cs="Miriam"/>
          <w:sz w:val="28"/>
          <w:szCs w:val="23"/>
          <w:rtl/>
        </w:rPr>
        <w:t>הפקדה על חשבון משכורת</w:t>
      </w:r>
      <w:r w:rsidR="000C6809">
        <w:rPr>
          <w:rFonts w:ascii="FrankRuehl" w:hAnsi="FrankRuehl" w:cs="FrankRuehl" w:hint="cs"/>
          <w:sz w:val="28"/>
          <w:szCs w:val="28"/>
          <w:rtl/>
        </w:rPr>
        <w:t>"</w:t>
      </w:r>
      <w:r w:rsidRPr="00261DD0">
        <w:rPr>
          <w:rFonts w:ascii="FrankRuehl" w:hAnsi="FrankRuehl" w:cs="FrankRuehl"/>
          <w:sz w:val="28"/>
          <w:szCs w:val="28"/>
          <w:rtl/>
        </w:rPr>
        <w:t xml:space="preserve"> – ראו חודש מאי 2021. </w:t>
      </w:r>
    </w:p>
    <w:p w:rsidR="00261DD0" w:rsidRPr="00261DD0" w:rsidRDefault="00261DD0" w:rsidP="00261DD0">
      <w:pPr>
        <w:pStyle w:val="ad"/>
        <w:spacing w:line="360" w:lineRule="auto"/>
        <w:ind w:left="368"/>
        <w:jc w:val="both"/>
        <w:rPr>
          <w:rFonts w:ascii="FrankRuehl" w:eastAsia="Times New Roman" w:hAnsi="FrankRuehl" w:cs="FrankRuehl"/>
          <w:noProof/>
          <w:sz w:val="28"/>
          <w:szCs w:val="28"/>
        </w:rPr>
      </w:pPr>
    </w:p>
    <w:p w:rsidR="00261DD0" w:rsidRDefault="00261DD0" w:rsidP="00261DD0">
      <w:pPr>
        <w:pStyle w:val="ad"/>
        <w:numPr>
          <w:ilvl w:val="0"/>
          <w:numId w:val="1"/>
        </w:numPr>
        <w:spacing w:line="360" w:lineRule="auto"/>
        <w:ind w:left="368" w:hanging="426"/>
        <w:jc w:val="both"/>
        <w:rPr>
          <w:rFonts w:ascii="FrankRuehl" w:eastAsia="Times New Roman" w:hAnsi="FrankRuehl" w:cs="FrankRuehl"/>
          <w:noProof/>
          <w:sz w:val="28"/>
          <w:szCs w:val="28"/>
        </w:rPr>
      </w:pPr>
      <w:r w:rsidRPr="00261DD0">
        <w:rPr>
          <w:rFonts w:ascii="FrankRuehl" w:hAnsi="FrankRuehl" w:cs="FrankRuehl"/>
          <w:sz w:val="28"/>
          <w:szCs w:val="28"/>
          <w:rtl/>
        </w:rPr>
        <w:t xml:space="preserve"> לפי דפי חשבון הבנק של התובעת, ממוצע הכנסתה החודשית לתקופה 1/21-9/</w:t>
      </w:r>
      <w:r w:rsidR="000C6809">
        <w:rPr>
          <w:rFonts w:ascii="FrankRuehl" w:hAnsi="FrankRuehl" w:cs="FrankRuehl"/>
          <w:sz w:val="28"/>
          <w:szCs w:val="28"/>
          <w:rtl/>
        </w:rPr>
        <w:t>22 הייתה סך 2,899 ₪ נטו לחודש.</w:t>
      </w:r>
    </w:p>
    <w:p w:rsidR="00916A3B" w:rsidRPr="00261DD0" w:rsidRDefault="00916A3B" w:rsidP="00916A3B">
      <w:pPr>
        <w:pStyle w:val="ad"/>
        <w:spacing w:line="360" w:lineRule="auto"/>
        <w:ind w:left="368"/>
        <w:jc w:val="both"/>
        <w:rPr>
          <w:rFonts w:ascii="FrankRuehl" w:eastAsia="Times New Roman" w:hAnsi="FrankRuehl" w:cs="FrankRuehl"/>
          <w:noProof/>
          <w:sz w:val="28"/>
          <w:szCs w:val="28"/>
        </w:rPr>
      </w:pPr>
    </w:p>
    <w:p w:rsidR="00261DD0" w:rsidRPr="00261DD0" w:rsidRDefault="00261DD0" w:rsidP="000C6809">
      <w:pPr>
        <w:pStyle w:val="ad"/>
        <w:numPr>
          <w:ilvl w:val="0"/>
          <w:numId w:val="1"/>
        </w:numPr>
        <w:spacing w:line="360" w:lineRule="auto"/>
        <w:ind w:left="368" w:hanging="426"/>
        <w:jc w:val="both"/>
        <w:rPr>
          <w:rFonts w:ascii="FrankRuehl" w:eastAsia="Times New Roman" w:hAnsi="FrankRuehl" w:cs="FrankRuehl"/>
          <w:noProof/>
          <w:sz w:val="28"/>
          <w:szCs w:val="28"/>
        </w:rPr>
      </w:pPr>
      <w:r w:rsidRPr="00261DD0">
        <w:rPr>
          <w:rFonts w:ascii="FrankRuehl" w:eastAsia="Times New Roman" w:hAnsi="FrankRuehl" w:cs="FrankRuehl"/>
          <w:noProof/>
          <w:sz w:val="28"/>
          <w:szCs w:val="28"/>
          <w:rtl/>
        </w:rPr>
        <w:t>נוסף על כך מקבלת התובעת מבעלה לשעבר מזונות עבור אחיי הקטין</w:t>
      </w:r>
      <w:r w:rsidR="000C6809">
        <w:rPr>
          <w:rFonts w:ascii="FrankRuehl" w:eastAsia="Times New Roman" w:hAnsi="FrankRuehl" w:cs="FrankRuehl"/>
          <w:noProof/>
          <w:sz w:val="28"/>
          <w:szCs w:val="28"/>
          <w:rtl/>
        </w:rPr>
        <w:t xml:space="preserve"> סך 3,000 ₪ לחודש </w:t>
      </w:r>
      <w:r w:rsidR="000C6809">
        <w:rPr>
          <w:rFonts w:ascii="FrankRuehl" w:eastAsia="Times New Roman" w:hAnsi="FrankRuehl" w:cs="FrankRuehl" w:hint="cs"/>
          <w:noProof/>
          <w:sz w:val="28"/>
          <w:szCs w:val="28"/>
          <w:rtl/>
        </w:rPr>
        <w:t>ו</w:t>
      </w:r>
      <w:r w:rsidRPr="00261DD0">
        <w:rPr>
          <w:rFonts w:ascii="FrankRuehl" w:eastAsia="Times New Roman" w:hAnsi="FrankRuehl" w:cs="FrankRuehl"/>
          <w:noProof/>
          <w:sz w:val="28"/>
          <w:szCs w:val="28"/>
          <w:rtl/>
        </w:rPr>
        <w:t xml:space="preserve">מחציות חינוך ובריאות וגם </w:t>
      </w:r>
      <w:r w:rsidR="001B4E47">
        <w:rPr>
          <w:rFonts w:ascii="FrankRuehl" w:eastAsia="Times New Roman" w:hAnsi="FrankRuehl" w:cs="FrankRuehl"/>
          <w:noProof/>
          <w:sz w:val="28"/>
          <w:szCs w:val="28"/>
          <w:rtl/>
        </w:rPr>
        <w:t>קִצבת</w:t>
      </w:r>
      <w:r w:rsidRPr="00261DD0">
        <w:rPr>
          <w:rFonts w:ascii="FrankRuehl" w:eastAsia="Times New Roman" w:hAnsi="FrankRuehl" w:cs="FrankRuehl"/>
          <w:noProof/>
          <w:sz w:val="28"/>
          <w:szCs w:val="28"/>
          <w:rtl/>
        </w:rPr>
        <w:t xml:space="preserve"> ילדים סך 728 ₪ לחודש.</w:t>
      </w:r>
    </w:p>
    <w:p w:rsidR="00261DD0" w:rsidRPr="00261DD0" w:rsidRDefault="000C6809" w:rsidP="00261DD0">
      <w:pPr>
        <w:pStyle w:val="ad"/>
        <w:numPr>
          <w:ilvl w:val="0"/>
          <w:numId w:val="1"/>
        </w:numPr>
        <w:spacing w:line="360" w:lineRule="auto"/>
        <w:ind w:left="368" w:hanging="426"/>
        <w:jc w:val="both"/>
        <w:rPr>
          <w:rFonts w:ascii="FrankRuehl" w:eastAsia="Times New Roman" w:hAnsi="FrankRuehl" w:cs="FrankRuehl"/>
          <w:noProof/>
          <w:sz w:val="28"/>
          <w:szCs w:val="28"/>
          <w:rtl/>
        </w:rPr>
      </w:pPr>
      <w:r>
        <w:rPr>
          <w:rFonts w:ascii="FrankRuehl" w:eastAsia="Times New Roman" w:hAnsi="FrankRuehl" w:cs="FrankRuehl" w:hint="cs"/>
          <w:noProof/>
          <w:sz w:val="28"/>
          <w:szCs w:val="28"/>
          <w:rtl/>
        </w:rPr>
        <w:lastRenderedPageBreak/>
        <w:t>לא זו אף זו</w:t>
      </w:r>
      <w:r w:rsidR="00261DD0" w:rsidRPr="00261DD0">
        <w:rPr>
          <w:rFonts w:ascii="FrankRuehl" w:eastAsia="Times New Roman" w:hAnsi="FrankRuehl" w:cs="FrankRuehl"/>
          <w:noProof/>
          <w:sz w:val="28"/>
          <w:szCs w:val="28"/>
          <w:rtl/>
        </w:rPr>
        <w:t>, בבעלות התובעת דירה שנרכשה מכספי מכירת דירה ישנה שהייתה בבעלות התובעת, הון עצמי והלוואה המובטחת במשכנתא. ראו  עמוד 3 שורות 35-39, עמוד 4 שורות 1-4.  התובעת נושאת בעלות משכנתא סך 3,000 ₪ לחודש עמוד 5 שורות 19</w:t>
      </w:r>
      <w:r>
        <w:rPr>
          <w:rFonts w:ascii="FrankRuehl" w:eastAsia="Times New Roman" w:hAnsi="FrankRuehl" w:cs="FrankRuehl"/>
          <w:noProof/>
          <w:sz w:val="28"/>
          <w:szCs w:val="28"/>
          <w:rtl/>
        </w:rPr>
        <w:t>-23.</w:t>
      </w:r>
    </w:p>
    <w:p w:rsidR="00261DD0" w:rsidRPr="00261DD0" w:rsidRDefault="00261DD0" w:rsidP="00261DD0">
      <w:pPr>
        <w:pStyle w:val="ad"/>
        <w:rPr>
          <w:rFonts w:ascii="FrankRuehl" w:eastAsia="Times New Roman" w:hAnsi="FrankRuehl" w:cs="FrankRuehl"/>
          <w:noProof/>
          <w:sz w:val="28"/>
          <w:szCs w:val="28"/>
        </w:rPr>
      </w:pPr>
    </w:p>
    <w:p w:rsidR="00261DD0" w:rsidRPr="00261DD0" w:rsidRDefault="00261DD0" w:rsidP="00261DD0">
      <w:pPr>
        <w:pStyle w:val="ad"/>
        <w:numPr>
          <w:ilvl w:val="0"/>
          <w:numId w:val="1"/>
        </w:numPr>
        <w:spacing w:line="360" w:lineRule="auto"/>
        <w:ind w:left="368" w:hanging="426"/>
        <w:jc w:val="both"/>
        <w:rPr>
          <w:rFonts w:ascii="FrankRuehl" w:eastAsia="Times New Roman" w:hAnsi="FrankRuehl" w:cs="FrankRuehl"/>
          <w:noProof/>
          <w:sz w:val="28"/>
          <w:szCs w:val="28"/>
          <w:rtl/>
        </w:rPr>
      </w:pPr>
      <w:r w:rsidRPr="00261DD0">
        <w:rPr>
          <w:rFonts w:ascii="FrankRuehl" w:eastAsia="Times New Roman" w:hAnsi="FrankRuehl" w:cs="FrankRuehl"/>
          <w:noProof/>
          <w:sz w:val="28"/>
          <w:szCs w:val="28"/>
          <w:rtl/>
        </w:rPr>
        <w:t xml:space="preserve">אשר להוצאות התובעת, התובעת העידה כי היא מפקידה כל חודש לחיסכון, בהוראות קבע, סך 200-250 ₪ לחודש לכל כל אחד מארבעת ילדיה. ראו עמוד 4 שורות 5-10. עוד העידה כי היא משלמת עבור חוגים של 3 ילדיה הנוספים ועד לאחרונה השתתף כל ילד מבין  שלושת ילדיה הבוגרים ב- 2 חוגים (חוג כדורגל וחוג קפוארה). כיום ילדיה משתתפים </w:t>
      </w:r>
      <w:r w:rsidR="000C6809">
        <w:rPr>
          <w:rFonts w:ascii="FrankRuehl" w:eastAsia="Times New Roman" w:hAnsi="FrankRuehl" w:cs="FrankRuehl"/>
          <w:noProof/>
          <w:sz w:val="28"/>
          <w:szCs w:val="28"/>
          <w:rtl/>
        </w:rPr>
        <w:t>בחוג כדורגל שעלותו סך 350 ₪ לחו</w:t>
      </w:r>
      <w:r w:rsidR="000C6809">
        <w:rPr>
          <w:rFonts w:ascii="FrankRuehl" w:eastAsia="Times New Roman" w:hAnsi="FrankRuehl" w:cs="FrankRuehl" w:hint="cs"/>
          <w:noProof/>
          <w:sz w:val="28"/>
          <w:szCs w:val="28"/>
          <w:rtl/>
        </w:rPr>
        <w:t>ג</w:t>
      </w:r>
      <w:r w:rsidRPr="00261DD0">
        <w:rPr>
          <w:rFonts w:ascii="FrankRuehl" w:eastAsia="Times New Roman" w:hAnsi="FrankRuehl" w:cs="FrankRuehl"/>
          <w:noProof/>
          <w:sz w:val="28"/>
          <w:szCs w:val="28"/>
          <w:rtl/>
        </w:rPr>
        <w:t xml:space="preserve"> עבור הילד הראשון וסך 250 ₪ עבור היל</w:t>
      </w:r>
      <w:r w:rsidR="000C6809">
        <w:rPr>
          <w:rFonts w:ascii="FrankRuehl" w:eastAsia="Times New Roman" w:hAnsi="FrankRuehl" w:cs="FrankRuehl"/>
          <w:noProof/>
          <w:sz w:val="28"/>
          <w:szCs w:val="28"/>
          <w:rtl/>
        </w:rPr>
        <w:t>ד השני. ראו עמוד 6 שורות 8-24.</w:t>
      </w:r>
    </w:p>
    <w:p w:rsidR="00261DD0" w:rsidRPr="00261DD0" w:rsidRDefault="00261DD0" w:rsidP="00261DD0">
      <w:pPr>
        <w:pStyle w:val="ad"/>
        <w:rPr>
          <w:rFonts w:ascii="FrankRuehl" w:eastAsia="Times New Roman" w:hAnsi="FrankRuehl" w:cs="FrankRuehl"/>
          <w:noProof/>
          <w:sz w:val="28"/>
          <w:szCs w:val="28"/>
        </w:rPr>
      </w:pPr>
    </w:p>
    <w:p w:rsidR="00261DD0" w:rsidRPr="00261DD0" w:rsidRDefault="00261DD0" w:rsidP="00261DD0">
      <w:pPr>
        <w:pStyle w:val="ad"/>
        <w:numPr>
          <w:ilvl w:val="0"/>
          <w:numId w:val="1"/>
        </w:numPr>
        <w:spacing w:line="360" w:lineRule="auto"/>
        <w:ind w:left="368" w:hanging="426"/>
        <w:jc w:val="both"/>
        <w:rPr>
          <w:rFonts w:ascii="FrankRuehl" w:eastAsia="Times New Roman" w:hAnsi="FrankRuehl" w:cs="FrankRuehl"/>
          <w:noProof/>
          <w:sz w:val="28"/>
          <w:szCs w:val="28"/>
          <w:rtl/>
        </w:rPr>
      </w:pPr>
      <w:r w:rsidRPr="00261DD0">
        <w:rPr>
          <w:rFonts w:ascii="FrankRuehl" w:eastAsia="Times New Roman" w:hAnsi="FrankRuehl" w:cs="FrankRuehl"/>
          <w:noProof/>
          <w:sz w:val="28"/>
          <w:szCs w:val="28"/>
          <w:rtl/>
        </w:rPr>
        <w:t>מעבר לכך לא צורפו אסמכתאות להוצאות קבועות גבוהות אחרות – מה גם שההוצאות שפורטו הן בהוצאות חריגות עבור חינוך או הוצאות שהן מעבר לצרכים ההכרחיים וא</w:t>
      </w:r>
      <w:r w:rsidR="00DC5DC7">
        <w:rPr>
          <w:rFonts w:ascii="FrankRuehl" w:eastAsia="Times New Roman" w:hAnsi="FrankRuehl" w:cs="FrankRuehl"/>
          <w:noProof/>
          <w:sz w:val="28"/>
          <w:szCs w:val="28"/>
          <w:rtl/>
        </w:rPr>
        <w:t>ין הן עבור הקטין אלא עבור אחיו.</w:t>
      </w:r>
    </w:p>
    <w:p w:rsidR="00261DD0" w:rsidRPr="00261DD0" w:rsidRDefault="00261DD0" w:rsidP="00261DD0">
      <w:pPr>
        <w:pStyle w:val="ad"/>
        <w:rPr>
          <w:rFonts w:ascii="FrankRuehl" w:eastAsia="Times New Roman" w:hAnsi="FrankRuehl" w:cs="FrankRuehl"/>
          <w:noProof/>
          <w:sz w:val="28"/>
          <w:szCs w:val="28"/>
        </w:rPr>
      </w:pPr>
    </w:p>
    <w:p w:rsidR="00261DD0" w:rsidRPr="00261DD0" w:rsidRDefault="00DC5DC7" w:rsidP="00DC5DC7">
      <w:pPr>
        <w:pStyle w:val="ad"/>
        <w:numPr>
          <w:ilvl w:val="0"/>
          <w:numId w:val="1"/>
        </w:numPr>
        <w:spacing w:line="360" w:lineRule="auto"/>
        <w:ind w:left="368" w:hanging="426"/>
        <w:jc w:val="both"/>
        <w:rPr>
          <w:rFonts w:ascii="FrankRuehl" w:hAnsi="FrankRuehl" w:cs="FrankRuehl"/>
          <w:sz w:val="28"/>
          <w:szCs w:val="28"/>
          <w:rtl/>
        </w:rPr>
      </w:pPr>
      <w:r>
        <w:rPr>
          <w:rFonts w:ascii="FrankRuehl" w:eastAsia="Times New Roman" w:hAnsi="FrankRuehl" w:cs="FrankRuehl"/>
          <w:noProof/>
          <w:sz w:val="28"/>
          <w:szCs w:val="28"/>
          <w:rtl/>
        </w:rPr>
        <w:t>עוד משלמת התובעת החזר הלוואת המשכנתא</w:t>
      </w:r>
      <w:r w:rsidR="00261DD0" w:rsidRPr="00261DD0">
        <w:rPr>
          <w:rFonts w:ascii="FrankRuehl" w:eastAsia="Times New Roman" w:hAnsi="FrankRuehl" w:cs="FrankRuehl"/>
          <w:noProof/>
          <w:sz w:val="28"/>
          <w:szCs w:val="28"/>
          <w:rtl/>
        </w:rPr>
        <w:t xml:space="preserve"> סך 3,000 ₪ לחודש.</w:t>
      </w:r>
      <w:r w:rsidR="00261DD0" w:rsidRPr="00261DD0">
        <w:rPr>
          <w:rFonts w:ascii="FrankRuehl" w:hAnsi="FrankRuehl" w:cs="FrankRuehl"/>
          <w:sz w:val="28"/>
          <w:szCs w:val="28"/>
          <w:rtl/>
        </w:rPr>
        <w:t xml:space="preserve"> בהתייחס להוצאות אחזקת מדור התובעת העידה כי בין הוצאותיה סך 1,055 ₪ לחודשים תשלום ארנונה. ראו עמוד 5 שורות 15-16, וגם צורף חשבון תשלום ארנונה לחודשים 7-8/20 . בגין חשמל צורף נספח 6 לתצהיר התובעת ת/1 והתשלום הוא כ-300 ₪ לחודש וסך 107 ₪ עבור ח</w:t>
      </w:r>
      <w:r>
        <w:rPr>
          <w:rFonts w:ascii="FrankRuehl" w:hAnsi="FrankRuehl" w:cs="FrankRuehl"/>
          <w:sz w:val="28"/>
          <w:szCs w:val="28"/>
          <w:rtl/>
        </w:rPr>
        <w:t>שבון גז. ראו עמוד 5 שורות 19-23</w:t>
      </w:r>
      <w:r w:rsidR="00261DD0" w:rsidRPr="00261DD0">
        <w:rPr>
          <w:rFonts w:ascii="FrankRuehl" w:hAnsi="FrankRuehl" w:cs="FrankRuehl"/>
          <w:sz w:val="28"/>
          <w:szCs w:val="28"/>
          <w:rtl/>
        </w:rPr>
        <w:t xml:space="preserve">. עוד משלמת התובעת עבור </w:t>
      </w:r>
      <w:r>
        <w:rPr>
          <w:rFonts w:ascii="FrankRuehl" w:hAnsi="FrankRuehl" w:cs="FrankRuehl" w:hint="cs"/>
          <w:sz w:val="28"/>
          <w:szCs w:val="28"/>
          <w:rtl/>
        </w:rPr>
        <w:t xml:space="preserve">חברת </w:t>
      </w:r>
      <w:r w:rsidR="00261DD0" w:rsidRPr="00261DD0">
        <w:rPr>
          <w:rFonts w:ascii="FrankRuehl" w:hAnsi="FrankRuehl" w:cs="FrankRuehl"/>
          <w:sz w:val="28"/>
          <w:szCs w:val="28"/>
          <w:rtl/>
        </w:rPr>
        <w:t>"הוט".</w:t>
      </w:r>
    </w:p>
    <w:p w:rsidR="00261DD0" w:rsidRPr="00261DD0" w:rsidRDefault="00261DD0" w:rsidP="00261DD0">
      <w:pPr>
        <w:pStyle w:val="ad"/>
        <w:rPr>
          <w:rFonts w:ascii="FrankRuehl" w:eastAsia="Times New Roman" w:hAnsi="FrankRuehl" w:cs="FrankRuehl"/>
          <w:noProof/>
          <w:sz w:val="28"/>
          <w:szCs w:val="28"/>
        </w:rPr>
      </w:pPr>
    </w:p>
    <w:p w:rsidR="00261DD0" w:rsidRPr="00261DD0" w:rsidRDefault="00261DD0" w:rsidP="008C36BE">
      <w:pPr>
        <w:pStyle w:val="ad"/>
        <w:numPr>
          <w:ilvl w:val="0"/>
          <w:numId w:val="1"/>
        </w:numPr>
        <w:spacing w:line="360" w:lineRule="auto"/>
        <w:ind w:left="368" w:hanging="426"/>
        <w:jc w:val="both"/>
        <w:rPr>
          <w:rFonts w:ascii="FrankRuehl" w:hAnsi="FrankRuehl" w:cs="FrankRuehl"/>
          <w:sz w:val="28"/>
          <w:szCs w:val="28"/>
          <w:rtl/>
        </w:rPr>
      </w:pPr>
      <w:r w:rsidRPr="00261DD0">
        <w:rPr>
          <w:rFonts w:ascii="FrankRuehl" w:eastAsia="Times New Roman" w:hAnsi="FrankRuehl" w:cs="FrankRuehl"/>
          <w:noProof/>
          <w:sz w:val="28"/>
          <w:szCs w:val="28"/>
          <w:rtl/>
        </w:rPr>
        <w:t xml:space="preserve">הנתבע טען כי הכנסות </w:t>
      </w:r>
      <w:r w:rsidR="008C36BE">
        <w:rPr>
          <w:rFonts w:ascii="FrankRuehl" w:eastAsia="Times New Roman" w:hAnsi="FrankRuehl" w:cs="FrankRuehl" w:hint="cs"/>
          <w:noProof/>
          <w:sz w:val="28"/>
          <w:szCs w:val="28"/>
          <w:rtl/>
        </w:rPr>
        <w:t>התובעת</w:t>
      </w:r>
      <w:r w:rsidRPr="00261DD0">
        <w:rPr>
          <w:rFonts w:ascii="FrankRuehl" w:eastAsia="Times New Roman" w:hAnsi="FrankRuehl" w:cs="FrankRuehl"/>
          <w:noProof/>
          <w:sz w:val="28"/>
          <w:szCs w:val="28"/>
          <w:rtl/>
        </w:rPr>
        <w:t xml:space="preserve"> הן 10,00</w:t>
      </w:r>
      <w:r w:rsidR="008C36BE">
        <w:rPr>
          <w:rFonts w:ascii="FrankRuehl" w:eastAsia="Times New Roman" w:hAnsi="FrankRuehl" w:cs="FrankRuehl" w:hint="cs"/>
          <w:noProof/>
          <w:sz w:val="28"/>
          <w:szCs w:val="28"/>
          <w:rtl/>
        </w:rPr>
        <w:t>0</w:t>
      </w:r>
      <w:r w:rsidRPr="00261DD0">
        <w:rPr>
          <w:rFonts w:ascii="FrankRuehl" w:eastAsia="Times New Roman" w:hAnsi="FrankRuehl" w:cs="FrankRuehl"/>
          <w:noProof/>
          <w:sz w:val="28"/>
          <w:szCs w:val="28"/>
          <w:rtl/>
        </w:rPr>
        <w:t xml:space="preserve"> ₪</w:t>
      </w:r>
      <w:r w:rsidR="008C36BE">
        <w:rPr>
          <w:rFonts w:ascii="FrankRuehl" w:eastAsia="Times New Roman" w:hAnsi="FrankRuehl" w:cs="FrankRuehl" w:hint="cs"/>
          <w:noProof/>
          <w:sz w:val="28"/>
          <w:szCs w:val="28"/>
          <w:rtl/>
        </w:rPr>
        <w:t xml:space="preserve"> נטו</w:t>
      </w:r>
      <w:r w:rsidRPr="00261DD0">
        <w:rPr>
          <w:rFonts w:ascii="FrankRuehl" w:eastAsia="Times New Roman" w:hAnsi="FrankRuehl" w:cs="FrankRuehl"/>
          <w:noProof/>
          <w:sz w:val="28"/>
          <w:szCs w:val="28"/>
          <w:rtl/>
        </w:rPr>
        <w:t xml:space="preserve"> לחודש והיא זכאית גם ל</w:t>
      </w:r>
      <w:r w:rsidR="001B4E47">
        <w:rPr>
          <w:rFonts w:ascii="FrankRuehl" w:eastAsia="Times New Roman" w:hAnsi="FrankRuehl" w:cs="FrankRuehl"/>
          <w:noProof/>
          <w:sz w:val="28"/>
          <w:szCs w:val="28"/>
          <w:rtl/>
        </w:rPr>
        <w:t>קִצבת</w:t>
      </w:r>
      <w:r w:rsidRPr="00261DD0">
        <w:rPr>
          <w:rFonts w:ascii="FrankRuehl" w:eastAsia="Times New Roman" w:hAnsi="FrankRuehl" w:cs="FrankRuehl"/>
          <w:noProof/>
          <w:sz w:val="28"/>
          <w:szCs w:val="28"/>
          <w:rtl/>
        </w:rPr>
        <w:t xml:space="preserve"> תלויים שיש להפחיתה מחיובו במזונותיו מאחר ו</w:t>
      </w:r>
      <w:r w:rsidR="001B4E47">
        <w:rPr>
          <w:rFonts w:ascii="FrankRuehl" w:eastAsia="Times New Roman" w:hAnsi="FrankRuehl" w:cs="FrankRuehl"/>
          <w:noProof/>
          <w:sz w:val="28"/>
          <w:szCs w:val="28"/>
          <w:rtl/>
        </w:rPr>
        <w:t>קִצבת</w:t>
      </w:r>
      <w:r w:rsidRPr="00261DD0">
        <w:rPr>
          <w:rFonts w:ascii="FrankRuehl" w:eastAsia="Times New Roman" w:hAnsi="FrankRuehl" w:cs="FrankRuehl"/>
          <w:noProof/>
          <w:sz w:val="28"/>
          <w:szCs w:val="28"/>
          <w:rtl/>
        </w:rPr>
        <w:t xml:space="preserve"> תלוים מקבל רק הורה אחד.</w:t>
      </w:r>
      <w:r w:rsidRPr="00261DD0">
        <w:rPr>
          <w:rFonts w:ascii="FrankRuehl" w:hAnsi="FrankRuehl" w:cs="FrankRuehl"/>
          <w:sz w:val="28"/>
          <w:szCs w:val="28"/>
          <w:rtl/>
        </w:rPr>
        <w:t xml:space="preserve"> עוד טען כי יש להביא בחשבון כי עם התובעת ו</w:t>
      </w:r>
      <w:r w:rsidR="008C36BE">
        <w:rPr>
          <w:rFonts w:ascii="FrankRuehl" w:hAnsi="FrankRuehl" w:cs="FrankRuehl" w:hint="cs"/>
          <w:sz w:val="28"/>
          <w:szCs w:val="28"/>
          <w:rtl/>
        </w:rPr>
        <w:t>ה</w:t>
      </w:r>
      <w:r w:rsidRPr="00261DD0">
        <w:rPr>
          <w:rFonts w:ascii="FrankRuehl" w:hAnsi="FrankRuehl" w:cs="FrankRuehl"/>
          <w:sz w:val="28"/>
          <w:szCs w:val="28"/>
          <w:rtl/>
        </w:rPr>
        <w:t>קטין מתגוררים גם 3 אחיו מאב אחר.</w:t>
      </w:r>
    </w:p>
    <w:p w:rsidR="00261DD0" w:rsidRPr="00261DD0" w:rsidRDefault="00261DD0" w:rsidP="00261DD0">
      <w:pPr>
        <w:pStyle w:val="ad"/>
        <w:rPr>
          <w:rFonts w:ascii="FrankRuehl" w:eastAsia="Times New Roman" w:hAnsi="FrankRuehl" w:cs="FrankRuehl"/>
          <w:noProof/>
          <w:sz w:val="28"/>
          <w:szCs w:val="28"/>
        </w:rPr>
      </w:pPr>
    </w:p>
    <w:p w:rsidR="00261DD0" w:rsidRPr="00261DD0" w:rsidRDefault="00261DD0" w:rsidP="00261DD0">
      <w:pPr>
        <w:pStyle w:val="ad"/>
        <w:numPr>
          <w:ilvl w:val="0"/>
          <w:numId w:val="1"/>
        </w:numPr>
        <w:spacing w:line="360" w:lineRule="auto"/>
        <w:ind w:left="368" w:hanging="426"/>
        <w:jc w:val="both"/>
        <w:rPr>
          <w:rFonts w:ascii="FrankRuehl" w:hAnsi="FrankRuehl" w:cs="FrankRuehl"/>
          <w:b/>
          <w:bCs/>
          <w:sz w:val="28"/>
          <w:szCs w:val="28"/>
          <w:rtl/>
        </w:rPr>
      </w:pPr>
      <w:r w:rsidRPr="00261DD0">
        <w:rPr>
          <w:rFonts w:ascii="FrankRuehl" w:eastAsia="Times New Roman" w:hAnsi="FrankRuehl" w:cs="FrankRuehl"/>
          <w:noProof/>
          <w:sz w:val="28"/>
          <w:szCs w:val="28"/>
          <w:rtl/>
        </w:rPr>
        <w:t>לאחר שבחנתי טענת הצדדים, העדויות והמסמכים שהוגשו, ולאחר שלא ניתן היה לתת אמון בעדותה בעניין סכום הכנסותיה החודשי, והו</w:t>
      </w:r>
      <w:r w:rsidR="00DC5DC7">
        <w:rPr>
          <w:rFonts w:ascii="FrankRuehl" w:eastAsia="Times New Roman" w:hAnsi="FrankRuehl" w:cs="FrankRuehl" w:hint="cs"/>
          <w:noProof/>
          <w:sz w:val="28"/>
          <w:szCs w:val="28"/>
          <w:rtl/>
        </w:rPr>
        <w:t>ּ</w:t>
      </w:r>
      <w:r w:rsidRPr="00261DD0">
        <w:rPr>
          <w:rFonts w:ascii="FrankRuehl" w:eastAsia="Times New Roman" w:hAnsi="FrankRuehl" w:cs="FrankRuehl"/>
          <w:noProof/>
          <w:sz w:val="28"/>
          <w:szCs w:val="28"/>
          <w:rtl/>
        </w:rPr>
        <w:t xml:space="preserve">כח כי בניגוד למידע שמועבר למוסד לביטוח לאומי לתובעת הכנסות מעבודה או מעסק ובבעלותה דירה, </w:t>
      </w:r>
      <w:r w:rsidRPr="00261DD0">
        <w:rPr>
          <w:rFonts w:ascii="FrankRuehl" w:eastAsia="Times New Roman" w:hAnsi="FrankRuehl" w:cs="FrankRuehl"/>
          <w:b/>
          <w:bCs/>
          <w:noProof/>
          <w:sz w:val="28"/>
          <w:szCs w:val="28"/>
          <w:rtl/>
        </w:rPr>
        <w:t xml:space="preserve">אני אומדת הכנסתה החודשית הממוצעת של התובעת (לא כולל דמי המזונות אותם היא מקבלת עבור ילדיה הגדולים) סך 10,500 ₪ ברוטו לחודש והכנסתה הפנויה סך 6,500 </w:t>
      </w:r>
      <w:r w:rsidR="00DC5DC7">
        <w:rPr>
          <w:rFonts w:ascii="FrankRuehl" w:eastAsia="Times New Roman" w:hAnsi="FrankRuehl" w:cs="FrankRuehl"/>
          <w:b/>
          <w:bCs/>
          <w:noProof/>
          <w:sz w:val="28"/>
          <w:szCs w:val="28"/>
          <w:rtl/>
        </w:rPr>
        <w:t>₪ נטו לחודש.</w:t>
      </w:r>
    </w:p>
    <w:p w:rsidR="00261DD0" w:rsidRPr="00261DD0" w:rsidRDefault="00261DD0" w:rsidP="00261DD0">
      <w:pPr>
        <w:pStyle w:val="ad"/>
        <w:spacing w:line="360" w:lineRule="auto"/>
        <w:ind w:left="368"/>
        <w:jc w:val="both"/>
        <w:rPr>
          <w:rFonts w:ascii="FrankRuehl" w:hAnsi="FrankRuehl" w:cs="FrankRuehl"/>
          <w:b/>
          <w:bCs/>
          <w:sz w:val="28"/>
          <w:szCs w:val="28"/>
        </w:rPr>
      </w:pPr>
    </w:p>
    <w:p w:rsidR="00261DD0" w:rsidRPr="00261DD0" w:rsidRDefault="00261DD0" w:rsidP="00DC5DC7">
      <w:pPr>
        <w:pStyle w:val="ad"/>
        <w:numPr>
          <w:ilvl w:val="0"/>
          <w:numId w:val="1"/>
        </w:numPr>
        <w:spacing w:line="360" w:lineRule="auto"/>
        <w:ind w:left="368" w:hanging="426"/>
        <w:jc w:val="both"/>
        <w:rPr>
          <w:rFonts w:ascii="FrankRuehl" w:hAnsi="FrankRuehl" w:cs="FrankRuehl"/>
          <w:b/>
          <w:bCs/>
          <w:sz w:val="28"/>
          <w:szCs w:val="28"/>
          <w:u w:val="single"/>
        </w:rPr>
      </w:pPr>
      <w:r w:rsidRPr="00261DD0">
        <w:rPr>
          <w:rFonts w:ascii="FrankRuehl" w:hAnsi="FrankRuehl" w:cs="FrankRuehl"/>
          <w:b/>
          <w:bCs/>
          <w:sz w:val="28"/>
          <w:szCs w:val="28"/>
          <w:u w:val="single"/>
          <w:rtl/>
        </w:rPr>
        <w:t>אשר ליכולתו הכלכלית של הנתבע</w:t>
      </w:r>
      <w:r w:rsidRPr="00261DD0">
        <w:rPr>
          <w:rFonts w:ascii="FrankRuehl" w:hAnsi="FrankRuehl" w:cs="FrankRuehl"/>
          <w:sz w:val="28"/>
          <w:szCs w:val="28"/>
          <w:rtl/>
        </w:rPr>
        <w:t xml:space="preserve">, </w:t>
      </w:r>
      <w:r w:rsidR="00DC5DC7">
        <w:rPr>
          <w:rFonts w:ascii="FrankRuehl" w:eastAsia="Times New Roman" w:hAnsi="FrankRuehl" w:cs="FrankRuehl"/>
          <w:noProof/>
          <w:sz w:val="28"/>
          <w:szCs w:val="28"/>
          <w:rtl/>
        </w:rPr>
        <w:t>הנתבע עלה מצרפת בשנת 2018</w:t>
      </w:r>
      <w:r w:rsidRPr="00261DD0">
        <w:rPr>
          <w:rFonts w:ascii="FrankRuehl" w:eastAsia="Times New Roman" w:hAnsi="FrankRuehl" w:cs="FrankRuehl"/>
          <w:noProof/>
          <w:sz w:val="28"/>
          <w:szCs w:val="28"/>
          <w:rtl/>
        </w:rPr>
        <w:t xml:space="preserve"> ולטענתו</w:t>
      </w:r>
      <w:r w:rsidR="00DC5DC7">
        <w:rPr>
          <w:rFonts w:ascii="FrankRuehl" w:eastAsia="Times New Roman" w:hAnsi="FrankRuehl" w:cs="FrankRuehl" w:hint="cs"/>
          <w:noProof/>
          <w:sz w:val="28"/>
          <w:szCs w:val="28"/>
          <w:rtl/>
        </w:rPr>
        <w:t>,</w:t>
      </w:r>
      <w:r w:rsidRPr="00261DD0">
        <w:rPr>
          <w:rFonts w:ascii="FrankRuehl" w:eastAsia="Times New Roman" w:hAnsi="FrankRuehl" w:cs="FrankRuehl"/>
          <w:noProof/>
          <w:sz w:val="28"/>
          <w:szCs w:val="28"/>
          <w:rtl/>
        </w:rPr>
        <w:t xml:space="preserve"> מאז עלייתו ארצה לא עבד בעבודה כלשהי. בצרפת הועסק הנתבע כמוכר בחנות טלפון משך כ-8 שנים.</w:t>
      </w:r>
    </w:p>
    <w:p w:rsidR="00261DD0" w:rsidRPr="00261DD0" w:rsidRDefault="00261DD0" w:rsidP="00DC5DC7">
      <w:pPr>
        <w:pStyle w:val="ad"/>
        <w:spacing w:line="360" w:lineRule="auto"/>
        <w:ind w:left="360"/>
        <w:jc w:val="both"/>
        <w:rPr>
          <w:rFonts w:ascii="FrankRuehl" w:hAnsi="FrankRuehl" w:cs="FrankRuehl"/>
          <w:sz w:val="28"/>
          <w:szCs w:val="28"/>
          <w:rtl/>
        </w:rPr>
      </w:pPr>
      <w:r w:rsidRPr="00261DD0">
        <w:rPr>
          <w:rFonts w:ascii="FrankRuehl" w:hAnsi="FrankRuehl" w:cs="FrankRuehl"/>
          <w:sz w:val="28"/>
          <w:szCs w:val="28"/>
          <w:rtl/>
        </w:rPr>
        <w:lastRenderedPageBreak/>
        <w:t xml:space="preserve">לנתבע משולמת </w:t>
      </w:r>
      <w:r w:rsidR="001B4E47">
        <w:rPr>
          <w:rFonts w:ascii="FrankRuehl" w:hAnsi="FrankRuehl" w:cs="FrankRuehl"/>
          <w:sz w:val="28"/>
          <w:szCs w:val="28"/>
          <w:rtl/>
        </w:rPr>
        <w:t>קִצבת</w:t>
      </w:r>
      <w:r w:rsidRPr="00261DD0">
        <w:rPr>
          <w:rFonts w:ascii="FrankRuehl" w:hAnsi="FrankRuehl" w:cs="FrankRuehl"/>
          <w:sz w:val="28"/>
          <w:szCs w:val="28"/>
          <w:rtl/>
        </w:rPr>
        <w:t xml:space="preserve"> הבטחת הכנסה סך כ- 1,500 ₪ לחודש, ראו עמוד 29 שורה 3 גם בשנת 2021, כך לפי אישור המוסד לביטוח לאומי מיום </w:t>
      </w:r>
      <w:r w:rsidR="00DC5DC7">
        <w:rPr>
          <w:rFonts w:ascii="FrankRuehl" w:hAnsi="FrankRuehl" w:cs="FrankRuehl" w:hint="cs"/>
          <w:sz w:val="28"/>
          <w:szCs w:val="28"/>
          <w:rtl/>
        </w:rPr>
        <w:t>09</w:t>
      </w:r>
      <w:r w:rsidRPr="00261DD0">
        <w:rPr>
          <w:rFonts w:ascii="FrankRuehl" w:hAnsi="FrankRuehl" w:cs="FrankRuehl"/>
          <w:sz w:val="28"/>
          <w:szCs w:val="28"/>
          <w:rtl/>
        </w:rPr>
        <w:t>.</w:t>
      </w:r>
      <w:r w:rsidR="00DC5DC7">
        <w:rPr>
          <w:rFonts w:ascii="FrankRuehl" w:hAnsi="FrankRuehl" w:cs="FrankRuehl" w:hint="cs"/>
          <w:sz w:val="28"/>
          <w:szCs w:val="28"/>
          <w:rtl/>
        </w:rPr>
        <w:t>01</w:t>
      </w:r>
      <w:r w:rsidRPr="00261DD0">
        <w:rPr>
          <w:rFonts w:ascii="FrankRuehl" w:hAnsi="FrankRuehl" w:cs="FrankRuehl"/>
          <w:sz w:val="28"/>
          <w:szCs w:val="28"/>
          <w:rtl/>
        </w:rPr>
        <w:t>.</w:t>
      </w:r>
      <w:r w:rsidR="00DC5DC7">
        <w:rPr>
          <w:rFonts w:ascii="FrankRuehl" w:hAnsi="FrankRuehl" w:cs="FrankRuehl" w:hint="cs"/>
          <w:sz w:val="28"/>
          <w:szCs w:val="28"/>
          <w:rtl/>
        </w:rPr>
        <w:t>2022</w:t>
      </w:r>
      <w:r w:rsidRPr="00261DD0">
        <w:rPr>
          <w:rFonts w:ascii="FrankRuehl" w:hAnsi="FrankRuehl" w:cs="FrankRuehl"/>
          <w:sz w:val="28"/>
          <w:szCs w:val="28"/>
          <w:rtl/>
        </w:rPr>
        <w:t>.</w:t>
      </w:r>
    </w:p>
    <w:p w:rsidR="00261DD0" w:rsidRPr="00261DD0" w:rsidRDefault="00261DD0" w:rsidP="00261DD0">
      <w:pPr>
        <w:pStyle w:val="ad"/>
        <w:spacing w:line="360" w:lineRule="auto"/>
        <w:ind w:left="360"/>
        <w:jc w:val="both"/>
        <w:rPr>
          <w:rFonts w:ascii="FrankRuehl" w:hAnsi="FrankRuehl" w:cs="FrankRuehl"/>
          <w:sz w:val="28"/>
          <w:szCs w:val="28"/>
          <w:rtl/>
        </w:rPr>
      </w:pPr>
      <w:r w:rsidRPr="00261DD0">
        <w:rPr>
          <w:rFonts w:ascii="FrankRuehl" w:hAnsi="FrankRuehl" w:cs="FrankRuehl"/>
          <w:sz w:val="28"/>
          <w:szCs w:val="28"/>
          <w:rtl/>
        </w:rPr>
        <w:t xml:space="preserve">   </w:t>
      </w:r>
    </w:p>
    <w:p w:rsidR="00261DD0" w:rsidRPr="00261DD0" w:rsidRDefault="00261DD0" w:rsidP="002714AD">
      <w:pPr>
        <w:pStyle w:val="ad"/>
        <w:numPr>
          <w:ilvl w:val="0"/>
          <w:numId w:val="1"/>
        </w:numPr>
        <w:spacing w:line="360" w:lineRule="auto"/>
        <w:ind w:left="368" w:hanging="426"/>
        <w:jc w:val="both"/>
        <w:rPr>
          <w:rFonts w:ascii="FrankRuehl" w:hAnsi="FrankRuehl" w:cs="FrankRuehl"/>
          <w:b/>
          <w:bCs/>
          <w:sz w:val="28"/>
          <w:szCs w:val="28"/>
          <w:u w:val="single"/>
          <w:rtl/>
        </w:rPr>
      </w:pPr>
      <w:r w:rsidRPr="00261DD0">
        <w:rPr>
          <w:rFonts w:ascii="FrankRuehl" w:hAnsi="FrankRuehl" w:cs="FrankRuehl"/>
          <w:sz w:val="28"/>
          <w:szCs w:val="28"/>
          <w:rtl/>
        </w:rPr>
        <w:t>הנתבע טען כי אינו בעל כושר עבודה בשל נכותו שהוכרה בצרפת, אך בארץ תביעת</w:t>
      </w:r>
      <w:r w:rsidR="002714AD">
        <w:rPr>
          <w:rFonts w:ascii="FrankRuehl" w:hAnsi="FrankRuehl" w:cs="FrankRuehl" w:hint="cs"/>
          <w:sz w:val="28"/>
          <w:szCs w:val="28"/>
          <w:rtl/>
        </w:rPr>
        <w:t xml:space="preserve"> נכותו </w:t>
      </w:r>
      <w:r w:rsidRPr="00261DD0">
        <w:rPr>
          <w:rFonts w:ascii="FrankRuehl" w:hAnsi="FrankRuehl" w:cs="FrankRuehl"/>
          <w:sz w:val="28"/>
          <w:szCs w:val="28"/>
          <w:rtl/>
        </w:rPr>
        <w:t xml:space="preserve">נדחתה על ידי המוסד לביטוח לאומי בשל קשיי שפה. </w:t>
      </w:r>
      <w:r w:rsidR="00DC5DC7">
        <w:rPr>
          <w:rFonts w:ascii="FrankRuehl" w:eastAsia="Times New Roman" w:hAnsi="FrankRuehl" w:cs="FrankRuehl"/>
          <w:noProof/>
          <w:sz w:val="28"/>
          <w:szCs w:val="28"/>
          <w:rtl/>
        </w:rPr>
        <w:t xml:space="preserve">סעיף 7 לתצהירו נ/1. </w:t>
      </w:r>
      <w:r w:rsidRPr="00261DD0">
        <w:rPr>
          <w:rFonts w:ascii="FrankRuehl" w:eastAsia="Times New Roman" w:hAnsi="FrankRuehl" w:cs="FrankRuehl"/>
          <w:noProof/>
          <w:sz w:val="28"/>
          <w:szCs w:val="28"/>
          <w:rtl/>
        </w:rPr>
        <w:t>עם זאת בעדותו טען הנתבע כי לא רצה לקבל אחוזי נכות בשל היותו נורמלי</w:t>
      </w:r>
      <w:r w:rsidR="00DC5DC7">
        <w:rPr>
          <w:rFonts w:ascii="FrankRuehl" w:eastAsia="Times New Roman" w:hAnsi="FrankRuehl" w:cs="FrankRuehl" w:hint="cs"/>
          <w:noProof/>
          <w:sz w:val="28"/>
          <w:szCs w:val="28"/>
          <w:rtl/>
        </w:rPr>
        <w:t>,</w:t>
      </w:r>
      <w:r w:rsidR="00DC5DC7">
        <w:rPr>
          <w:rFonts w:ascii="FrankRuehl" w:eastAsia="Times New Roman" w:hAnsi="FrankRuehl" w:cs="FrankRuehl"/>
          <w:noProof/>
          <w:sz w:val="28"/>
          <w:szCs w:val="28"/>
          <w:rtl/>
        </w:rPr>
        <w:t xml:space="preserve"> כלשונו</w:t>
      </w:r>
      <w:r w:rsidR="00DC5DC7">
        <w:rPr>
          <w:rFonts w:ascii="FrankRuehl" w:eastAsia="Times New Roman" w:hAnsi="FrankRuehl" w:cs="FrankRuehl" w:hint="cs"/>
          <w:noProof/>
          <w:sz w:val="28"/>
          <w:szCs w:val="28"/>
          <w:rtl/>
        </w:rPr>
        <w:t>:</w:t>
      </w:r>
      <w:r w:rsidRPr="00261DD0">
        <w:rPr>
          <w:rFonts w:ascii="FrankRuehl" w:eastAsia="Times New Roman" w:hAnsi="FrankRuehl" w:cs="FrankRuehl"/>
          <w:noProof/>
          <w:sz w:val="28"/>
          <w:szCs w:val="28"/>
          <w:rtl/>
        </w:rPr>
        <w:t xml:space="preserve"> "</w:t>
      </w:r>
      <w:r w:rsidRPr="00DC5DC7">
        <w:rPr>
          <w:rFonts w:ascii="FrankRuehl" w:eastAsia="Times New Roman" w:hAnsi="FrankRuehl" w:cs="Miriam"/>
          <w:noProof/>
          <w:sz w:val="28"/>
          <w:szCs w:val="23"/>
          <w:rtl/>
        </w:rPr>
        <w:t>אני אומר לביטוח לאומי לא רוצה, יש לי נכות בגלל שאני נורמאלי ואני רגיל</w:t>
      </w:r>
      <w:r w:rsidRPr="00261DD0">
        <w:rPr>
          <w:rFonts w:ascii="FrankRuehl" w:eastAsia="Times New Roman" w:hAnsi="FrankRuehl" w:cs="FrankRuehl"/>
          <w:noProof/>
          <w:sz w:val="28"/>
          <w:szCs w:val="28"/>
          <w:rtl/>
        </w:rPr>
        <w:t>". עמוד 36 שורה 18.</w:t>
      </w:r>
      <w:r w:rsidRPr="00DC5DC7">
        <w:rPr>
          <w:rFonts w:ascii="FrankRuehl" w:hAnsi="FrankRuehl" w:cs="FrankRuehl"/>
          <w:b/>
          <w:bCs/>
          <w:sz w:val="28"/>
          <w:szCs w:val="28"/>
          <w:rtl/>
        </w:rPr>
        <w:t xml:space="preserve"> </w:t>
      </w:r>
      <w:r w:rsidRPr="00261DD0">
        <w:rPr>
          <w:rFonts w:ascii="FrankRuehl" w:hAnsi="FrankRuehl" w:cs="FrankRuehl"/>
          <w:b/>
          <w:bCs/>
          <w:sz w:val="28"/>
          <w:szCs w:val="28"/>
          <w:u w:val="single"/>
          <w:rtl/>
        </w:rPr>
        <w:t>יוער כי טענת</w:t>
      </w:r>
      <w:r w:rsidR="002714AD">
        <w:rPr>
          <w:rFonts w:ascii="FrankRuehl" w:hAnsi="FrankRuehl" w:cs="FrankRuehl" w:hint="cs"/>
          <w:b/>
          <w:bCs/>
          <w:sz w:val="28"/>
          <w:szCs w:val="28"/>
          <w:u w:val="single"/>
          <w:rtl/>
        </w:rPr>
        <w:t xml:space="preserve"> הנתבע</w:t>
      </w:r>
      <w:r w:rsidRPr="00261DD0">
        <w:rPr>
          <w:rFonts w:ascii="FrankRuehl" w:hAnsi="FrankRuehl" w:cs="FrankRuehl"/>
          <w:b/>
          <w:bCs/>
          <w:sz w:val="28"/>
          <w:szCs w:val="28"/>
          <w:u w:val="single"/>
          <w:rtl/>
        </w:rPr>
        <w:t>, בדבר נכותו, לא נתמכה ב</w:t>
      </w:r>
      <w:r w:rsidR="002714AD">
        <w:rPr>
          <w:rFonts w:ascii="FrankRuehl" w:hAnsi="FrankRuehl" w:cs="FrankRuehl" w:hint="cs"/>
          <w:b/>
          <w:bCs/>
          <w:sz w:val="28"/>
          <w:szCs w:val="28"/>
          <w:u w:val="single"/>
          <w:rtl/>
        </w:rPr>
        <w:t xml:space="preserve">ראיה ואינה עולה מהמסמך </w:t>
      </w:r>
      <w:r w:rsidR="00DC5DC7">
        <w:rPr>
          <w:rFonts w:ascii="FrankRuehl" w:hAnsi="FrankRuehl" w:cs="FrankRuehl" w:hint="cs"/>
          <w:b/>
          <w:bCs/>
          <w:sz w:val="28"/>
          <w:szCs w:val="28"/>
          <w:u w:val="single"/>
          <w:rtl/>
        </w:rPr>
        <w:t>א</w:t>
      </w:r>
      <w:r w:rsidRPr="00261DD0">
        <w:rPr>
          <w:rFonts w:ascii="FrankRuehl" w:hAnsi="FrankRuehl" w:cs="FrankRuehl"/>
          <w:b/>
          <w:bCs/>
          <w:sz w:val="28"/>
          <w:szCs w:val="28"/>
          <w:u w:val="single"/>
          <w:rtl/>
        </w:rPr>
        <w:t>ליו הפנה (</w:t>
      </w:r>
      <w:r w:rsidR="00DC5DC7">
        <w:rPr>
          <w:rFonts w:ascii="FrankRuehl" w:hAnsi="FrankRuehl" w:cs="FrankRuehl" w:hint="cs"/>
          <w:b/>
          <w:bCs/>
          <w:sz w:val="28"/>
          <w:szCs w:val="28"/>
          <w:u w:val="single"/>
          <w:rtl/>
        </w:rPr>
        <w:t>ו</w:t>
      </w:r>
      <w:r w:rsidRPr="00261DD0">
        <w:rPr>
          <w:rFonts w:ascii="FrankRuehl" w:hAnsi="FrankRuehl" w:cs="FrankRuehl"/>
          <w:b/>
          <w:bCs/>
          <w:sz w:val="28"/>
          <w:szCs w:val="28"/>
          <w:u w:val="single"/>
          <w:rtl/>
        </w:rPr>
        <w:t>שלא הוגש כנדרש)</w:t>
      </w:r>
      <w:r w:rsidRPr="00DC5DC7">
        <w:rPr>
          <w:rFonts w:ascii="FrankRuehl" w:hAnsi="FrankRuehl" w:cs="FrankRuehl"/>
          <w:b/>
          <w:bCs/>
          <w:sz w:val="28"/>
          <w:szCs w:val="28"/>
          <w:rtl/>
        </w:rPr>
        <w:t>.</w:t>
      </w:r>
    </w:p>
    <w:p w:rsidR="00261DD0" w:rsidRPr="00261DD0" w:rsidRDefault="00261DD0" w:rsidP="00261DD0">
      <w:pPr>
        <w:pStyle w:val="ad"/>
        <w:spacing w:line="360" w:lineRule="auto"/>
        <w:ind w:left="368"/>
        <w:jc w:val="both"/>
        <w:rPr>
          <w:rFonts w:ascii="FrankRuehl" w:hAnsi="FrankRuehl" w:cs="FrankRuehl"/>
          <w:b/>
          <w:bCs/>
          <w:sz w:val="28"/>
          <w:szCs w:val="28"/>
          <w:u w:val="single"/>
        </w:rPr>
      </w:pPr>
    </w:p>
    <w:p w:rsidR="00261DD0" w:rsidRPr="00261DD0" w:rsidRDefault="00261DD0" w:rsidP="00DC5DC7">
      <w:pPr>
        <w:pStyle w:val="ad"/>
        <w:numPr>
          <w:ilvl w:val="0"/>
          <w:numId w:val="1"/>
        </w:numPr>
        <w:spacing w:line="360" w:lineRule="auto"/>
        <w:ind w:left="368" w:hanging="426"/>
        <w:jc w:val="both"/>
        <w:rPr>
          <w:rFonts w:ascii="FrankRuehl" w:hAnsi="FrankRuehl" w:cs="FrankRuehl"/>
          <w:sz w:val="28"/>
          <w:szCs w:val="28"/>
        </w:rPr>
      </w:pPr>
      <w:r w:rsidRPr="00261DD0">
        <w:rPr>
          <w:rFonts w:ascii="FrankRuehl" w:hAnsi="FrankRuehl" w:cs="FrankRuehl"/>
          <w:sz w:val="28"/>
          <w:szCs w:val="28"/>
          <w:rtl/>
        </w:rPr>
        <w:t xml:space="preserve">כפי שאירע בעניין התובעת, </w:t>
      </w:r>
      <w:r w:rsidRPr="00261DD0">
        <w:rPr>
          <w:rFonts w:ascii="FrankRuehl" w:hAnsi="FrankRuehl" w:cs="FrankRuehl"/>
          <w:b/>
          <w:bCs/>
          <w:sz w:val="28"/>
          <w:szCs w:val="28"/>
          <w:u w:val="single"/>
          <w:rtl/>
        </w:rPr>
        <w:t xml:space="preserve">גם בחקירת הנתבע התברר כי בניגוד לטענותיו ושלא כפי המידע שמסר למוסד לביטוח לאומי לנתבע הכנסה מעבודה הוא עובד </w:t>
      </w:r>
      <w:r w:rsidRPr="00261DD0">
        <w:rPr>
          <w:rFonts w:ascii="FrankRuehl" w:hAnsi="FrankRuehl" w:cs="FrankRuehl"/>
          <w:sz w:val="28"/>
          <w:szCs w:val="28"/>
          <w:rtl/>
        </w:rPr>
        <w:t>אצל "</w:t>
      </w:r>
      <w:r w:rsidRPr="00DC5DC7">
        <w:rPr>
          <w:rFonts w:ascii="FrankRuehl" w:hAnsi="FrankRuehl" w:cs="Miriam"/>
          <w:sz w:val="28"/>
          <w:szCs w:val="23"/>
          <w:rtl/>
        </w:rPr>
        <w:t>בחור צרפתי</w:t>
      </w:r>
      <w:r w:rsidRPr="00261DD0">
        <w:rPr>
          <w:rFonts w:ascii="FrankRuehl" w:hAnsi="FrankRuehl" w:cs="FrankRuehl"/>
          <w:sz w:val="28"/>
          <w:szCs w:val="28"/>
          <w:rtl/>
        </w:rPr>
        <w:t>" ש</w:t>
      </w:r>
      <w:r w:rsidR="00DC5DC7">
        <w:rPr>
          <w:rFonts w:ascii="FrankRuehl" w:hAnsi="FrankRuehl" w:cs="FrankRuehl" w:hint="cs"/>
          <w:sz w:val="28"/>
          <w:szCs w:val="28"/>
          <w:rtl/>
        </w:rPr>
        <w:t>-</w:t>
      </w:r>
      <w:r w:rsidRPr="00261DD0">
        <w:rPr>
          <w:rFonts w:ascii="FrankRuehl" w:hAnsi="FrankRuehl" w:cs="FrankRuehl"/>
          <w:sz w:val="28"/>
          <w:szCs w:val="28"/>
          <w:rtl/>
        </w:rPr>
        <w:t>"</w:t>
      </w:r>
      <w:r w:rsidRPr="00DC5DC7">
        <w:rPr>
          <w:rFonts w:ascii="FrankRuehl" w:hAnsi="FrankRuehl" w:cs="Miriam"/>
          <w:sz w:val="28"/>
          <w:szCs w:val="23"/>
          <w:rtl/>
        </w:rPr>
        <w:t>תומך בו כלכלית</w:t>
      </w:r>
      <w:r w:rsidR="00DC5DC7">
        <w:rPr>
          <w:rFonts w:ascii="FrankRuehl" w:hAnsi="FrankRuehl" w:cs="FrankRuehl"/>
          <w:sz w:val="28"/>
          <w:szCs w:val="28"/>
          <w:rtl/>
        </w:rPr>
        <w:t>"</w:t>
      </w:r>
      <w:r w:rsidRPr="00261DD0">
        <w:rPr>
          <w:rFonts w:ascii="FrankRuehl" w:hAnsi="FrankRuehl" w:cs="FrankRuehl"/>
          <w:sz w:val="28"/>
          <w:szCs w:val="28"/>
          <w:rtl/>
        </w:rPr>
        <w:t xml:space="preserve"> </w:t>
      </w:r>
      <w:r w:rsidR="00DC5DC7">
        <w:rPr>
          <w:rFonts w:ascii="FrankRuehl" w:hAnsi="FrankRuehl" w:cs="FrankRuehl" w:hint="cs"/>
          <w:sz w:val="28"/>
          <w:szCs w:val="28"/>
          <w:rtl/>
        </w:rPr>
        <w:t>ו</w:t>
      </w:r>
      <w:r w:rsidRPr="00261DD0">
        <w:rPr>
          <w:rFonts w:ascii="FrankRuehl" w:hAnsi="FrankRuehl" w:cs="FrankRuehl"/>
          <w:sz w:val="28"/>
          <w:szCs w:val="28"/>
          <w:rtl/>
        </w:rPr>
        <w:t xml:space="preserve">הנתבע מסייע לו בשיווק לשוק הצרפתי, בדרך של פרסום בעיתונים שונים בצרפת. בהמשך תיאר את אותו צד ג' כחבר קרוב שהוא מסייע לו </w:t>
      </w:r>
      <w:r w:rsidRPr="00261DD0">
        <w:rPr>
          <w:rFonts w:ascii="FrankRuehl" w:eastAsia="Times New Roman" w:hAnsi="FrankRuehl" w:cs="FrankRuehl"/>
          <w:noProof/>
          <w:sz w:val="28"/>
          <w:szCs w:val="28"/>
          <w:rtl/>
        </w:rPr>
        <w:t xml:space="preserve">ובגין סיוע זה, </w:t>
      </w:r>
      <w:r w:rsidR="00DC5DC7">
        <w:rPr>
          <w:rFonts w:ascii="FrankRuehl" w:eastAsia="Times New Roman" w:hAnsi="FrankRuehl" w:cs="FrankRuehl" w:hint="cs"/>
          <w:noProof/>
          <w:sz w:val="28"/>
          <w:szCs w:val="28"/>
          <w:rtl/>
        </w:rPr>
        <w:t xml:space="preserve">משלם </w:t>
      </w:r>
      <w:r w:rsidRPr="00261DD0">
        <w:rPr>
          <w:rFonts w:ascii="FrankRuehl" w:eastAsia="Times New Roman" w:hAnsi="FrankRuehl" w:cs="FrankRuehl"/>
          <w:noProof/>
          <w:sz w:val="28"/>
          <w:szCs w:val="28"/>
          <w:rtl/>
        </w:rPr>
        <w:t>החבר הקרוב את חשבונותיו.</w:t>
      </w:r>
      <w:r w:rsidR="00DC5DC7">
        <w:rPr>
          <w:rFonts w:ascii="FrankRuehl" w:hAnsi="FrankRuehl" w:cs="FrankRuehl"/>
          <w:sz w:val="28"/>
          <w:szCs w:val="28"/>
          <w:rtl/>
        </w:rPr>
        <w:t xml:space="preserve"> ראו עמוד 32 שורות 1-32.</w:t>
      </w:r>
    </w:p>
    <w:p w:rsidR="00261DD0" w:rsidRPr="00261DD0" w:rsidRDefault="00261DD0" w:rsidP="00261DD0">
      <w:pPr>
        <w:pStyle w:val="ad"/>
        <w:rPr>
          <w:rFonts w:ascii="FrankRuehl" w:hAnsi="FrankRuehl" w:cs="FrankRuehl"/>
          <w:sz w:val="28"/>
          <w:szCs w:val="28"/>
        </w:rPr>
      </w:pPr>
    </w:p>
    <w:p w:rsidR="00261DD0" w:rsidRPr="00261DD0" w:rsidRDefault="00261DD0" w:rsidP="00261DD0">
      <w:pPr>
        <w:pStyle w:val="ad"/>
        <w:numPr>
          <w:ilvl w:val="0"/>
          <w:numId w:val="1"/>
        </w:numPr>
        <w:spacing w:line="360" w:lineRule="auto"/>
        <w:ind w:left="368" w:hanging="426"/>
        <w:jc w:val="both"/>
        <w:rPr>
          <w:rFonts w:ascii="FrankRuehl" w:hAnsi="FrankRuehl" w:cs="FrankRuehl"/>
          <w:sz w:val="28"/>
          <w:szCs w:val="28"/>
          <w:rtl/>
        </w:rPr>
      </w:pPr>
      <w:r w:rsidRPr="00261DD0">
        <w:rPr>
          <w:rFonts w:ascii="FrankRuehl" w:hAnsi="FrankRuehl" w:cs="FrankRuehl"/>
          <w:sz w:val="28"/>
          <w:szCs w:val="28"/>
          <w:rtl/>
        </w:rPr>
        <w:t>הנתבע, בחקירתו,  הודה כי אין בידו מסמך המאשר כי אינו בעל יכולת השתכרות ולמעשה באפשרותו לעבוד. ראו עמוד 28 שורות 19-21, שורות 22-23.</w:t>
      </w:r>
    </w:p>
    <w:p w:rsidR="00261DD0" w:rsidRPr="00261DD0" w:rsidRDefault="00261DD0" w:rsidP="00261DD0">
      <w:pPr>
        <w:pStyle w:val="ad"/>
        <w:rPr>
          <w:rFonts w:ascii="FrankRuehl" w:hAnsi="FrankRuehl" w:cs="FrankRuehl"/>
          <w:sz w:val="28"/>
          <w:szCs w:val="28"/>
        </w:rPr>
      </w:pPr>
    </w:p>
    <w:p w:rsidR="00261DD0" w:rsidRPr="00261DD0" w:rsidRDefault="00261DD0" w:rsidP="00261DD0">
      <w:pPr>
        <w:pStyle w:val="ad"/>
        <w:spacing w:line="360" w:lineRule="auto"/>
        <w:ind w:left="368"/>
        <w:jc w:val="both"/>
        <w:rPr>
          <w:rFonts w:ascii="FrankRuehl" w:hAnsi="FrankRuehl" w:cs="FrankRuehl"/>
          <w:sz w:val="28"/>
          <w:szCs w:val="28"/>
          <w:rtl/>
        </w:rPr>
      </w:pPr>
      <w:r w:rsidRPr="00261DD0">
        <w:rPr>
          <w:rFonts w:ascii="FrankRuehl" w:hAnsi="FrankRuehl" w:cs="FrankRuehl"/>
          <w:sz w:val="28"/>
          <w:szCs w:val="28"/>
          <w:rtl/>
        </w:rPr>
        <w:t>עוד התברר בחקירתו כי הנתבע מקבל סיוע בדיור ממשרד השיכון סך 400 ₪ לחודש. ראו עמוד 29 שורה 1 וגם ראו דפי חשבון הבנק של הנ</w:t>
      </w:r>
      <w:r w:rsidR="00DC5DC7">
        <w:rPr>
          <w:rFonts w:ascii="FrankRuehl" w:hAnsi="FrankRuehl" w:cs="FrankRuehl"/>
          <w:sz w:val="28"/>
          <w:szCs w:val="28"/>
          <w:rtl/>
        </w:rPr>
        <w:t>תבע שצורפו נספח ג לתצהירו נ/1.</w:t>
      </w:r>
    </w:p>
    <w:p w:rsidR="00261DD0" w:rsidRPr="00261DD0" w:rsidRDefault="00261DD0" w:rsidP="00261DD0">
      <w:pPr>
        <w:pStyle w:val="ad"/>
        <w:rPr>
          <w:rFonts w:ascii="FrankRuehl" w:eastAsia="Times New Roman" w:hAnsi="FrankRuehl" w:cs="FrankRuehl"/>
          <w:noProof/>
          <w:sz w:val="28"/>
          <w:szCs w:val="28"/>
        </w:rPr>
      </w:pPr>
    </w:p>
    <w:p w:rsidR="00261DD0" w:rsidRDefault="00261DD0" w:rsidP="00DC5DC7">
      <w:pPr>
        <w:spacing w:line="360" w:lineRule="auto"/>
        <w:ind w:left="368"/>
        <w:jc w:val="both"/>
        <w:rPr>
          <w:rFonts w:ascii="FrankRuehl" w:hAnsi="FrankRuehl" w:cs="FrankRuehl"/>
          <w:sz w:val="28"/>
          <w:szCs w:val="28"/>
          <w:rtl/>
        </w:rPr>
      </w:pPr>
      <w:r w:rsidRPr="00261DD0">
        <w:rPr>
          <w:rFonts w:ascii="FrankRuehl" w:hAnsi="FrankRuehl" w:cs="FrankRuehl"/>
          <w:sz w:val="28"/>
          <w:szCs w:val="28"/>
          <w:rtl/>
        </w:rPr>
        <w:t>אשר להוצאות הנתבע - בחקירתו העיד הנתבע כי משלם שכר דירה סך 2,300 ₪ לחודש. כאשר או</w:t>
      </w:r>
      <w:r w:rsidR="00DC5DC7">
        <w:rPr>
          <w:rFonts w:ascii="FrankRuehl" w:hAnsi="FrankRuehl" w:cs="FrankRuehl" w:hint="cs"/>
          <w:sz w:val="28"/>
          <w:szCs w:val="28"/>
          <w:rtl/>
        </w:rPr>
        <w:t>ּ</w:t>
      </w:r>
      <w:r w:rsidRPr="00261DD0">
        <w:rPr>
          <w:rFonts w:ascii="FrankRuehl" w:hAnsi="FrankRuehl" w:cs="FrankRuehl"/>
          <w:sz w:val="28"/>
          <w:szCs w:val="28"/>
          <w:rtl/>
        </w:rPr>
        <w:t>מת הנתבע עם העובדה כי בדפי חשבונו אין תשלומי שכר דירה, העיד הנתבע כי את יתרת שכר הדירה, לאחר השתתפות משרד השיכון, משלמים אמו וחברים טובים שעוזרים לו. ראו עמוד 30 שורות 37-38, עמוד  31 שורות 11-16 וגם סעיף 5 הודעה על הגשת מסמכים מטעם הנתבע שהוגשה ביום 14.12.21. הנתבע אישר כי אינו משלם את המזונות שנפסקו. ראו עמוד 26 שורות 29-38</w:t>
      </w:r>
      <w:r w:rsidR="002714AD">
        <w:rPr>
          <w:rFonts w:ascii="FrankRuehl" w:hAnsi="FrankRuehl" w:cs="FrankRuehl" w:hint="cs"/>
          <w:sz w:val="28"/>
          <w:szCs w:val="28"/>
          <w:rtl/>
        </w:rPr>
        <w:t>.</w:t>
      </w:r>
    </w:p>
    <w:p w:rsidR="002714AD" w:rsidRPr="00261DD0" w:rsidRDefault="002714AD" w:rsidP="00DC5DC7">
      <w:pPr>
        <w:spacing w:line="360" w:lineRule="auto"/>
        <w:ind w:left="368"/>
        <w:jc w:val="both"/>
        <w:rPr>
          <w:rFonts w:ascii="FrankRuehl" w:hAnsi="FrankRuehl" w:cs="FrankRuehl"/>
          <w:sz w:val="28"/>
          <w:szCs w:val="28"/>
          <w:rtl/>
        </w:rPr>
      </w:pPr>
    </w:p>
    <w:p w:rsidR="00261DD0" w:rsidRPr="00261DD0" w:rsidRDefault="00261DD0" w:rsidP="00261DD0">
      <w:pPr>
        <w:pStyle w:val="ad"/>
        <w:numPr>
          <w:ilvl w:val="0"/>
          <w:numId w:val="1"/>
        </w:numPr>
        <w:spacing w:line="360" w:lineRule="auto"/>
        <w:ind w:left="368" w:hanging="426"/>
        <w:jc w:val="both"/>
        <w:rPr>
          <w:rFonts w:ascii="FrankRuehl" w:hAnsi="FrankRuehl" w:cs="FrankRuehl"/>
          <w:b/>
          <w:bCs/>
          <w:sz w:val="28"/>
          <w:szCs w:val="28"/>
          <w:u w:val="single"/>
          <w:rtl/>
        </w:rPr>
      </w:pPr>
      <w:r w:rsidRPr="00261DD0">
        <w:rPr>
          <w:rFonts w:ascii="FrankRuehl" w:hAnsi="FrankRuehl" w:cs="FrankRuehl"/>
          <w:sz w:val="28"/>
          <w:szCs w:val="28"/>
          <w:rtl/>
        </w:rPr>
        <w:t>טענות הנתבע בתצהירו נ/1, כי הוצאותיו משולמות על ידי צדדי ג', תמיכת לשכת הרווחה וצדדי ג' כגון ארגוני חב"ד וארגוני צדקה אחרים או חברים ומשפחה, ל</w:t>
      </w:r>
      <w:r w:rsidR="00DC5DC7">
        <w:rPr>
          <w:rFonts w:ascii="FrankRuehl" w:hAnsi="FrankRuehl" w:cs="FrankRuehl"/>
          <w:sz w:val="28"/>
          <w:szCs w:val="28"/>
          <w:rtl/>
        </w:rPr>
        <w:t>א נתמכו בראיות או בעדים שזומנו.</w:t>
      </w:r>
    </w:p>
    <w:p w:rsidR="00261DD0" w:rsidRPr="00261DD0" w:rsidRDefault="00261DD0" w:rsidP="002714AD">
      <w:pPr>
        <w:pStyle w:val="ad"/>
        <w:numPr>
          <w:ilvl w:val="0"/>
          <w:numId w:val="1"/>
        </w:numPr>
        <w:spacing w:line="360" w:lineRule="auto"/>
        <w:ind w:left="368" w:hanging="426"/>
        <w:jc w:val="both"/>
        <w:rPr>
          <w:rFonts w:ascii="FrankRuehl" w:hAnsi="FrankRuehl" w:cs="FrankRuehl"/>
          <w:b/>
          <w:bCs/>
          <w:sz w:val="28"/>
          <w:szCs w:val="28"/>
          <w:u w:val="single"/>
        </w:rPr>
      </w:pPr>
      <w:r w:rsidRPr="00261DD0">
        <w:rPr>
          <w:rFonts w:ascii="FrankRuehl" w:hAnsi="FrankRuehl" w:cs="FrankRuehl"/>
          <w:sz w:val="28"/>
          <w:szCs w:val="28"/>
          <w:rtl/>
        </w:rPr>
        <w:lastRenderedPageBreak/>
        <w:t>הלכה פ</w:t>
      </w:r>
      <w:r w:rsidR="00DC5DC7">
        <w:rPr>
          <w:rFonts w:ascii="FrankRuehl" w:hAnsi="FrankRuehl" w:cs="FrankRuehl"/>
          <w:sz w:val="28"/>
          <w:szCs w:val="28"/>
          <w:rtl/>
        </w:rPr>
        <w:t>סוקה היא כי כאשר בעל דין נמנע מ</w:t>
      </w:r>
      <w:r w:rsidRPr="00261DD0">
        <w:rPr>
          <w:rFonts w:ascii="FrankRuehl" w:hAnsi="FrankRuehl" w:cs="FrankRuehl"/>
          <w:sz w:val="28"/>
          <w:szCs w:val="28"/>
          <w:rtl/>
        </w:rPr>
        <w:t>ל</w:t>
      </w:r>
      <w:r w:rsidR="00DC5DC7">
        <w:rPr>
          <w:rFonts w:ascii="FrankRuehl" w:hAnsi="FrankRuehl" w:cs="FrankRuehl" w:hint="cs"/>
          <w:sz w:val="28"/>
          <w:szCs w:val="28"/>
          <w:rtl/>
        </w:rPr>
        <w:t>ה</w:t>
      </w:r>
      <w:r w:rsidRPr="00261DD0">
        <w:rPr>
          <w:rFonts w:ascii="FrankRuehl" w:hAnsi="FrankRuehl" w:cs="FrankRuehl"/>
          <w:sz w:val="28"/>
          <w:szCs w:val="28"/>
          <w:rtl/>
        </w:rPr>
        <w:t>ציג</w:t>
      </w:r>
      <w:r w:rsidR="002714AD">
        <w:rPr>
          <w:rFonts w:ascii="FrankRuehl" w:hAnsi="FrankRuehl" w:cs="FrankRuehl"/>
          <w:sz w:val="28"/>
          <w:szCs w:val="28"/>
          <w:rtl/>
        </w:rPr>
        <w:t xml:space="preserve"> ראיה או להביא עד, יש להניח כי </w:t>
      </w:r>
      <w:r w:rsidRPr="00261DD0">
        <w:rPr>
          <w:rFonts w:ascii="FrankRuehl" w:hAnsi="FrankRuehl" w:cs="FrankRuehl"/>
          <w:sz w:val="28"/>
          <w:szCs w:val="28"/>
          <w:rtl/>
        </w:rPr>
        <w:t xml:space="preserve">מדובר בראיה או עדות הפועלת לרעתו ותשמש כנגדו. ראו ע"א 465/88 </w:t>
      </w:r>
      <w:r w:rsidRPr="00261DD0">
        <w:rPr>
          <w:rFonts w:ascii="FrankRuehl" w:hAnsi="FrankRuehl" w:cs="FrankRuehl"/>
          <w:b/>
          <w:bCs/>
          <w:sz w:val="28"/>
          <w:szCs w:val="28"/>
          <w:rtl/>
        </w:rPr>
        <w:t>הבנק למימון מסחר בע"מ נ' סלימה מתתיהו ואח'</w:t>
      </w:r>
      <w:r w:rsidRPr="00261DD0">
        <w:rPr>
          <w:rFonts w:ascii="FrankRuehl" w:hAnsi="FrankRuehl" w:cs="FrankRuehl"/>
          <w:sz w:val="28"/>
          <w:szCs w:val="28"/>
          <w:rtl/>
        </w:rPr>
        <w:t xml:space="preserve">, פד"י מ"ה (4) 651, ע"א 795/99 </w:t>
      </w:r>
      <w:r w:rsidRPr="00261DD0">
        <w:rPr>
          <w:rFonts w:ascii="FrankRuehl" w:hAnsi="FrankRuehl" w:cs="FrankRuehl"/>
          <w:b/>
          <w:bCs/>
          <w:sz w:val="28"/>
          <w:szCs w:val="28"/>
          <w:rtl/>
        </w:rPr>
        <w:t>פרנסואה נ' פוזיל</w:t>
      </w:r>
      <w:r w:rsidR="002714AD">
        <w:rPr>
          <w:rFonts w:ascii="FrankRuehl" w:hAnsi="FrankRuehl" w:cs="FrankRuehl" w:hint="cs"/>
          <w:sz w:val="28"/>
          <w:szCs w:val="28"/>
          <w:rtl/>
        </w:rPr>
        <w:t>,</w:t>
      </w:r>
      <w:r w:rsidRPr="00261DD0">
        <w:rPr>
          <w:rFonts w:ascii="FrankRuehl" w:hAnsi="FrankRuehl" w:cs="FrankRuehl"/>
          <w:sz w:val="28"/>
          <w:szCs w:val="28"/>
          <w:rtl/>
        </w:rPr>
        <w:t xml:space="preserve"> פד"י נ"ד (3) 107. על </w:t>
      </w:r>
      <w:r w:rsidR="00DC5DC7">
        <w:rPr>
          <w:rFonts w:ascii="FrankRuehl" w:hAnsi="FrankRuehl" w:cs="FrankRuehl"/>
          <w:sz w:val="28"/>
          <w:szCs w:val="28"/>
          <w:rtl/>
        </w:rPr>
        <w:t>אחת כמה וכמה</w:t>
      </w:r>
      <w:r w:rsidRPr="00261DD0">
        <w:rPr>
          <w:rFonts w:ascii="FrankRuehl" w:hAnsi="FrankRuehl" w:cs="FrankRuehl"/>
          <w:sz w:val="28"/>
          <w:szCs w:val="28"/>
          <w:rtl/>
        </w:rPr>
        <w:t xml:space="preserve"> כ</w:t>
      </w:r>
      <w:r w:rsidR="00DC5DC7">
        <w:rPr>
          <w:rFonts w:ascii="FrankRuehl" w:hAnsi="FrankRuehl" w:cs="FrankRuehl" w:hint="cs"/>
          <w:sz w:val="28"/>
          <w:szCs w:val="28"/>
          <w:rtl/>
        </w:rPr>
        <w:t>א</w:t>
      </w:r>
      <w:r w:rsidRPr="00261DD0">
        <w:rPr>
          <w:rFonts w:ascii="FrankRuehl" w:hAnsi="FrankRuehl" w:cs="FrankRuehl"/>
          <w:sz w:val="28"/>
          <w:szCs w:val="28"/>
          <w:rtl/>
        </w:rPr>
        <w:t>ש</w:t>
      </w:r>
      <w:r w:rsidR="00DC5DC7">
        <w:rPr>
          <w:rFonts w:ascii="FrankRuehl" w:hAnsi="FrankRuehl" w:cs="FrankRuehl" w:hint="cs"/>
          <w:sz w:val="28"/>
          <w:szCs w:val="28"/>
          <w:rtl/>
        </w:rPr>
        <w:t xml:space="preserve">ר </w:t>
      </w:r>
      <w:r w:rsidRPr="00261DD0">
        <w:rPr>
          <w:rFonts w:ascii="FrankRuehl" w:hAnsi="FrankRuehl" w:cs="FrankRuehl"/>
          <w:sz w:val="28"/>
          <w:szCs w:val="28"/>
          <w:rtl/>
        </w:rPr>
        <w:t>מדובר בראיות או בעדות שהן בשליטת בעל דין – כבמקרה דנן.</w:t>
      </w:r>
    </w:p>
    <w:p w:rsidR="00261DD0" w:rsidRPr="002714AD" w:rsidRDefault="00261DD0" w:rsidP="00261DD0">
      <w:pPr>
        <w:pStyle w:val="ad"/>
        <w:rPr>
          <w:rFonts w:ascii="FrankRuehl" w:hAnsi="FrankRuehl" w:cs="FrankRuehl"/>
          <w:sz w:val="28"/>
          <w:szCs w:val="28"/>
        </w:rPr>
      </w:pPr>
    </w:p>
    <w:p w:rsidR="00261DD0" w:rsidRPr="00261DD0" w:rsidRDefault="00261DD0" w:rsidP="00261DD0">
      <w:pPr>
        <w:pStyle w:val="ad"/>
        <w:numPr>
          <w:ilvl w:val="0"/>
          <w:numId w:val="1"/>
        </w:numPr>
        <w:spacing w:line="360" w:lineRule="auto"/>
        <w:ind w:left="368" w:hanging="426"/>
        <w:jc w:val="both"/>
        <w:rPr>
          <w:rFonts w:ascii="FrankRuehl" w:hAnsi="FrankRuehl" w:cs="FrankRuehl"/>
          <w:b/>
          <w:bCs/>
          <w:sz w:val="28"/>
          <w:szCs w:val="28"/>
          <w:u w:val="single"/>
          <w:rtl/>
        </w:rPr>
      </w:pPr>
      <w:r w:rsidRPr="00261DD0">
        <w:rPr>
          <w:rFonts w:ascii="FrankRuehl" w:hAnsi="FrankRuehl" w:cs="FrankRuehl"/>
          <w:sz w:val="28"/>
          <w:szCs w:val="28"/>
          <w:rtl/>
        </w:rPr>
        <w:t>התובעת טענה כי מאחר ו</w:t>
      </w:r>
      <w:r w:rsidR="00DC5DC7">
        <w:rPr>
          <w:rFonts w:ascii="FrankRuehl" w:hAnsi="FrankRuehl" w:cs="FrankRuehl" w:hint="cs"/>
          <w:sz w:val="28"/>
          <w:szCs w:val="28"/>
          <w:rtl/>
        </w:rPr>
        <w:t>ה</w:t>
      </w:r>
      <w:r w:rsidR="00DC5DC7">
        <w:rPr>
          <w:rFonts w:ascii="FrankRuehl" w:hAnsi="FrankRuehl" w:cs="FrankRuehl"/>
          <w:sz w:val="28"/>
          <w:szCs w:val="28"/>
          <w:rtl/>
        </w:rPr>
        <w:t>נתבע הסתיר הכנסותיו ואינו ב</w:t>
      </w:r>
      <w:r w:rsidR="00DC5DC7">
        <w:rPr>
          <w:rFonts w:ascii="FrankRuehl" w:hAnsi="FrankRuehl" w:cs="FrankRuehl" w:hint="cs"/>
          <w:sz w:val="28"/>
          <w:szCs w:val="28"/>
          <w:rtl/>
        </w:rPr>
        <w:t>ע</w:t>
      </w:r>
      <w:r w:rsidRPr="00261DD0">
        <w:rPr>
          <w:rFonts w:ascii="FrankRuehl" w:hAnsi="FrankRuehl" w:cs="FrankRuehl"/>
          <w:sz w:val="28"/>
          <w:szCs w:val="28"/>
          <w:rtl/>
        </w:rPr>
        <w:t>ל נכות תעסוקתית, יש לראותו כמי שמשתכר כפי</w:t>
      </w:r>
      <w:r w:rsidR="00DC5DC7">
        <w:rPr>
          <w:rFonts w:ascii="FrankRuehl" w:hAnsi="FrankRuehl" w:cs="FrankRuehl"/>
          <w:sz w:val="28"/>
          <w:szCs w:val="28"/>
          <w:rtl/>
        </w:rPr>
        <w:t xml:space="preserve"> השכר הממוצע במשק סך 11,784 ₪.</w:t>
      </w:r>
    </w:p>
    <w:p w:rsidR="00261DD0" w:rsidRPr="00261DD0" w:rsidRDefault="00261DD0" w:rsidP="00261DD0">
      <w:pPr>
        <w:pStyle w:val="ad"/>
        <w:rPr>
          <w:rFonts w:ascii="FrankRuehl" w:hAnsi="FrankRuehl" w:cs="FrankRuehl"/>
          <w:b/>
          <w:bCs/>
          <w:sz w:val="28"/>
          <w:szCs w:val="28"/>
          <w:u w:val="single"/>
        </w:rPr>
      </w:pPr>
    </w:p>
    <w:p w:rsidR="00261DD0" w:rsidRPr="00261DD0" w:rsidRDefault="00261DD0" w:rsidP="00271861">
      <w:pPr>
        <w:pStyle w:val="ad"/>
        <w:numPr>
          <w:ilvl w:val="0"/>
          <w:numId w:val="1"/>
        </w:numPr>
        <w:spacing w:line="360" w:lineRule="auto"/>
        <w:ind w:left="368" w:hanging="426"/>
        <w:jc w:val="both"/>
        <w:rPr>
          <w:rFonts w:ascii="FrankRuehl" w:hAnsi="FrankRuehl" w:cs="FrankRuehl"/>
          <w:b/>
          <w:bCs/>
          <w:sz w:val="28"/>
          <w:szCs w:val="28"/>
          <w:u w:val="single"/>
          <w:rtl/>
        </w:rPr>
      </w:pPr>
      <w:r w:rsidRPr="00261DD0">
        <w:rPr>
          <w:rFonts w:ascii="FrankRuehl" w:hAnsi="FrankRuehl" w:cs="FrankRuehl"/>
          <w:sz w:val="28"/>
          <w:szCs w:val="28"/>
          <w:rtl/>
        </w:rPr>
        <w:t>יצוין כבר כעת כי אני דוחה טענות הנתבע כי בשל מצבו הנפשי אינו יכול להשתכר למחייתו. טענותיו כי הו</w:t>
      </w:r>
      <w:r w:rsidR="00DC5DC7">
        <w:rPr>
          <w:rFonts w:ascii="FrankRuehl" w:hAnsi="FrankRuehl" w:cs="FrankRuehl" w:hint="cs"/>
          <w:sz w:val="28"/>
          <w:szCs w:val="28"/>
          <w:rtl/>
        </w:rPr>
        <w:t>ּ</w:t>
      </w:r>
      <w:r w:rsidRPr="00261DD0">
        <w:rPr>
          <w:rFonts w:ascii="FrankRuehl" w:hAnsi="FrankRuehl" w:cs="FrankRuehl"/>
          <w:sz w:val="28"/>
          <w:szCs w:val="28"/>
          <w:rtl/>
        </w:rPr>
        <w:t>כר כנכה או כחולה במחלה נפשית לא נתמכ</w:t>
      </w:r>
      <w:r w:rsidR="00271861">
        <w:rPr>
          <w:rFonts w:ascii="FrankRuehl" w:hAnsi="FrankRuehl" w:cs="FrankRuehl" w:hint="cs"/>
          <w:sz w:val="28"/>
          <w:szCs w:val="28"/>
          <w:rtl/>
        </w:rPr>
        <w:t>ו</w:t>
      </w:r>
      <w:r w:rsidRPr="00261DD0">
        <w:rPr>
          <w:rFonts w:ascii="FrankRuehl" w:hAnsi="FrankRuehl" w:cs="FrankRuehl"/>
          <w:sz w:val="28"/>
          <w:szCs w:val="28"/>
          <w:rtl/>
        </w:rPr>
        <w:t xml:space="preserve"> בראיות כלל. גם מיעוט המסמכים הרפואיים שהוגשו - ושלפנים משורת הדין עיינתי בהם למרות שהוגשו בניגוד לדיני הראיות – לא נכתב בהם כי מחלתו גרמה לפגיעה בכושר עבודתו. מה גם שבעדותו, הנתבע אישר כי אין בי</w:t>
      </w:r>
      <w:r w:rsidR="00271861">
        <w:rPr>
          <w:rFonts w:ascii="FrankRuehl" w:hAnsi="FrankRuehl" w:cs="FrankRuehl" w:hint="cs"/>
          <w:sz w:val="28"/>
          <w:szCs w:val="28"/>
          <w:rtl/>
        </w:rPr>
        <w:t>ד</w:t>
      </w:r>
      <w:r w:rsidRPr="00261DD0">
        <w:rPr>
          <w:rFonts w:ascii="FrankRuehl" w:hAnsi="FrankRuehl" w:cs="FrankRuehl"/>
          <w:sz w:val="28"/>
          <w:szCs w:val="28"/>
          <w:rtl/>
        </w:rPr>
        <w:t>ו מסמך שכזה</w:t>
      </w:r>
      <w:r w:rsidRPr="00261DD0">
        <w:rPr>
          <w:rFonts w:ascii="FrankRuehl" w:hAnsi="FrankRuehl" w:cs="FrankRuehl"/>
          <w:b/>
          <w:bCs/>
          <w:sz w:val="28"/>
          <w:szCs w:val="28"/>
          <w:rtl/>
        </w:rPr>
        <w:t>.</w:t>
      </w:r>
    </w:p>
    <w:p w:rsidR="00261DD0" w:rsidRPr="00261DD0" w:rsidRDefault="00261DD0" w:rsidP="00261DD0">
      <w:pPr>
        <w:pStyle w:val="ad"/>
        <w:rPr>
          <w:rFonts w:ascii="FrankRuehl" w:hAnsi="FrankRuehl" w:cs="FrankRuehl"/>
          <w:sz w:val="28"/>
          <w:szCs w:val="28"/>
        </w:rPr>
      </w:pPr>
    </w:p>
    <w:p w:rsidR="00261DD0" w:rsidRPr="00261DD0" w:rsidRDefault="00261DD0" w:rsidP="00261DD0">
      <w:pPr>
        <w:pStyle w:val="ad"/>
        <w:numPr>
          <w:ilvl w:val="0"/>
          <w:numId w:val="1"/>
        </w:numPr>
        <w:spacing w:line="360" w:lineRule="auto"/>
        <w:ind w:left="368" w:hanging="426"/>
        <w:jc w:val="both"/>
        <w:rPr>
          <w:rFonts w:ascii="FrankRuehl" w:hAnsi="FrankRuehl" w:cs="FrankRuehl"/>
          <w:b/>
          <w:bCs/>
          <w:sz w:val="28"/>
          <w:szCs w:val="28"/>
          <w:u w:val="single"/>
          <w:rtl/>
        </w:rPr>
      </w:pPr>
      <w:r w:rsidRPr="00261DD0">
        <w:rPr>
          <w:rFonts w:ascii="FrankRuehl" w:hAnsi="FrankRuehl" w:cs="FrankRuehl"/>
          <w:sz w:val="28"/>
          <w:szCs w:val="28"/>
          <w:rtl/>
        </w:rPr>
        <w:t>כפי שציינתי לעיל הימנעות בעל דין להציג ראיות לתמוך בטענותיו פועלת כנגדו.</w:t>
      </w:r>
    </w:p>
    <w:p w:rsidR="00261DD0" w:rsidRPr="00261DD0" w:rsidRDefault="00261DD0" w:rsidP="00261DD0">
      <w:pPr>
        <w:pStyle w:val="ad"/>
        <w:rPr>
          <w:rFonts w:ascii="FrankRuehl" w:hAnsi="FrankRuehl" w:cs="FrankRuehl"/>
          <w:sz w:val="28"/>
          <w:szCs w:val="28"/>
        </w:rPr>
      </w:pPr>
    </w:p>
    <w:p w:rsidR="00261DD0" w:rsidRPr="00261DD0" w:rsidRDefault="00261DD0" w:rsidP="00D26517">
      <w:pPr>
        <w:pStyle w:val="ad"/>
        <w:numPr>
          <w:ilvl w:val="0"/>
          <w:numId w:val="1"/>
        </w:numPr>
        <w:spacing w:line="360" w:lineRule="auto"/>
        <w:ind w:left="368" w:hanging="426"/>
        <w:jc w:val="both"/>
        <w:rPr>
          <w:rFonts w:ascii="FrankRuehl" w:hAnsi="FrankRuehl" w:cs="FrankRuehl"/>
          <w:b/>
          <w:bCs/>
          <w:sz w:val="28"/>
          <w:szCs w:val="28"/>
          <w:u w:val="single"/>
          <w:rtl/>
        </w:rPr>
      </w:pPr>
      <w:r w:rsidRPr="00261DD0">
        <w:rPr>
          <w:rFonts w:ascii="FrankRuehl" w:hAnsi="FrankRuehl" w:cs="FrankRuehl"/>
          <w:sz w:val="28"/>
          <w:szCs w:val="28"/>
          <w:rtl/>
        </w:rPr>
        <w:t>איני סבורה כי ניתן להעמיד את שכרו של הנתבע על השכר הממוצע במשק כטענת התובעת. לא הוצגו בפני</w:t>
      </w:r>
      <w:r w:rsidR="00DC5DC7">
        <w:rPr>
          <w:rFonts w:ascii="FrankRuehl" w:hAnsi="FrankRuehl" w:cs="FrankRuehl" w:hint="cs"/>
          <w:sz w:val="28"/>
          <w:szCs w:val="28"/>
          <w:rtl/>
        </w:rPr>
        <w:t>י</w:t>
      </w:r>
      <w:r w:rsidR="00DC5DC7">
        <w:rPr>
          <w:rFonts w:ascii="FrankRuehl" w:hAnsi="FrankRuehl" w:cs="FrankRuehl"/>
          <w:sz w:val="28"/>
          <w:szCs w:val="28"/>
          <w:rtl/>
        </w:rPr>
        <w:t xml:space="preserve"> נתוני</w:t>
      </w:r>
      <w:r w:rsidRPr="00261DD0">
        <w:rPr>
          <w:rFonts w:ascii="FrankRuehl" w:hAnsi="FrankRuehl" w:cs="FrankRuehl"/>
          <w:sz w:val="28"/>
          <w:szCs w:val="28"/>
          <w:rtl/>
        </w:rPr>
        <w:t xml:space="preserve"> השכלה, מקצו</w:t>
      </w:r>
      <w:r w:rsidR="00DC5DC7">
        <w:rPr>
          <w:rFonts w:ascii="FrankRuehl" w:hAnsi="FrankRuehl" w:cs="FrankRuehl" w:hint="cs"/>
          <w:sz w:val="28"/>
          <w:szCs w:val="28"/>
          <w:rtl/>
        </w:rPr>
        <w:t>ע</w:t>
      </w:r>
      <w:r w:rsidRPr="00261DD0">
        <w:rPr>
          <w:rFonts w:ascii="FrankRuehl" w:hAnsi="FrankRuehl" w:cs="FrankRuehl"/>
          <w:sz w:val="28"/>
          <w:szCs w:val="28"/>
          <w:rtl/>
        </w:rPr>
        <w:t xml:space="preserve"> או תעסוקה מקצועית של הנתבע, למעט עברו כזבן בצרפת. </w:t>
      </w:r>
      <w:r w:rsidR="00D26517">
        <w:rPr>
          <w:rFonts w:ascii="FrankRuehl" w:hAnsi="FrankRuehl" w:cs="FrankRuehl"/>
          <w:sz w:val="28"/>
          <w:szCs w:val="28"/>
          <w:rtl/>
        </w:rPr>
        <w:t>הנתבע עולה חדש בעלי קשיי שפה</w:t>
      </w:r>
      <w:r w:rsidR="00D26517">
        <w:rPr>
          <w:rFonts w:ascii="FrankRuehl" w:hAnsi="FrankRuehl" w:cs="FrankRuehl" w:hint="cs"/>
          <w:sz w:val="28"/>
          <w:szCs w:val="28"/>
          <w:rtl/>
        </w:rPr>
        <w:t>,</w:t>
      </w:r>
      <w:r w:rsidRPr="00261DD0">
        <w:rPr>
          <w:rFonts w:ascii="FrankRuehl" w:hAnsi="FrankRuehl" w:cs="FrankRuehl"/>
          <w:sz w:val="28"/>
          <w:szCs w:val="28"/>
          <w:rtl/>
        </w:rPr>
        <w:t xml:space="preserve"> כפי שהתרשמתי ישירות בדיונים. יתר על כן, הנתבע סובל מהתמכרות לאלכוהול – הדברים אמנם הוכחשו על ידי הנתבע אך לאור התרשמותי, המידע שהובא בתסקירים וחוסר שיתוף הפעולה </w:t>
      </w:r>
      <w:r w:rsidR="00D26517">
        <w:rPr>
          <w:rFonts w:ascii="FrankRuehl" w:hAnsi="FrankRuehl" w:cs="FrankRuehl" w:hint="cs"/>
          <w:sz w:val="28"/>
          <w:szCs w:val="28"/>
          <w:rtl/>
        </w:rPr>
        <w:t xml:space="preserve">של </w:t>
      </w:r>
      <w:r w:rsidR="00D26517">
        <w:rPr>
          <w:rFonts w:ascii="FrankRuehl" w:hAnsi="FrankRuehl" w:cs="FrankRuehl"/>
          <w:sz w:val="28"/>
          <w:szCs w:val="28"/>
          <w:rtl/>
        </w:rPr>
        <w:t xml:space="preserve">הנתבע </w:t>
      </w:r>
      <w:r w:rsidR="00D26517">
        <w:rPr>
          <w:rFonts w:ascii="FrankRuehl" w:hAnsi="FrankRuehl" w:cs="FrankRuehl" w:hint="cs"/>
          <w:sz w:val="28"/>
          <w:szCs w:val="28"/>
          <w:rtl/>
        </w:rPr>
        <w:t>עם ה</w:t>
      </w:r>
      <w:r w:rsidRPr="00261DD0">
        <w:rPr>
          <w:rFonts w:ascii="FrankRuehl" w:hAnsi="FrankRuehl" w:cs="FrankRuehl"/>
          <w:sz w:val="28"/>
          <w:szCs w:val="28"/>
          <w:rtl/>
        </w:rPr>
        <w:t>יחידה לטיפול בהתמכרויות, מצאתי לקבוע זאת. באיזון בין הדברים, אני אומדת שכרו של הנתבע כשכר מינימום חודשי, הי</w:t>
      </w:r>
      <w:r w:rsidR="00D26517">
        <w:rPr>
          <w:rFonts w:ascii="FrankRuehl" w:hAnsi="FrankRuehl" w:cs="FrankRuehl" w:hint="cs"/>
          <w:sz w:val="28"/>
          <w:szCs w:val="28"/>
          <w:rtl/>
        </w:rPr>
        <w:t>ְ</w:t>
      </w:r>
      <w:r w:rsidRPr="00261DD0">
        <w:rPr>
          <w:rFonts w:ascii="FrankRuehl" w:hAnsi="FrankRuehl" w:cs="FrankRuehl"/>
          <w:sz w:val="28"/>
          <w:szCs w:val="28"/>
          <w:rtl/>
        </w:rPr>
        <w:t>ינו 5,300 ₪ ברוטו לחודש וסך 4,800 ₪ כהכנסתו הפנויה.</w:t>
      </w:r>
    </w:p>
    <w:p w:rsidR="00261DD0" w:rsidRPr="00261DD0" w:rsidRDefault="00261DD0" w:rsidP="00261DD0">
      <w:pPr>
        <w:pStyle w:val="ad"/>
        <w:rPr>
          <w:rFonts w:ascii="FrankRuehl" w:hAnsi="FrankRuehl" w:cs="FrankRuehl"/>
          <w:b/>
          <w:bCs/>
          <w:sz w:val="28"/>
          <w:szCs w:val="28"/>
          <w:u w:val="single"/>
        </w:rPr>
      </w:pPr>
    </w:p>
    <w:p w:rsidR="00261DD0" w:rsidRDefault="00261DD0" w:rsidP="00261DD0">
      <w:pPr>
        <w:pStyle w:val="ad"/>
        <w:numPr>
          <w:ilvl w:val="0"/>
          <w:numId w:val="1"/>
        </w:numPr>
        <w:spacing w:line="360" w:lineRule="auto"/>
        <w:ind w:left="368" w:hanging="426"/>
        <w:jc w:val="both"/>
        <w:rPr>
          <w:rFonts w:ascii="FrankRuehl" w:hAnsi="FrankRuehl" w:cs="FrankRuehl"/>
          <w:b/>
          <w:bCs/>
          <w:sz w:val="28"/>
          <w:szCs w:val="28"/>
          <w:u w:val="single"/>
        </w:rPr>
      </w:pPr>
      <w:r w:rsidRPr="00261DD0">
        <w:rPr>
          <w:rFonts w:ascii="FrankRuehl" w:hAnsi="FrankRuehl" w:cs="FrankRuehl"/>
          <w:b/>
          <w:bCs/>
          <w:sz w:val="28"/>
          <w:szCs w:val="28"/>
          <w:u w:val="single"/>
          <w:rtl/>
        </w:rPr>
        <w:t>מכאן שיחס הכנסות ההורים, 55% התובעת ו-45% הנתבע</w:t>
      </w:r>
      <w:r w:rsidRPr="00D26517">
        <w:rPr>
          <w:rFonts w:ascii="FrankRuehl" w:hAnsi="FrankRuehl" w:cs="FrankRuehl"/>
          <w:b/>
          <w:bCs/>
          <w:sz w:val="28"/>
          <w:szCs w:val="28"/>
          <w:rtl/>
        </w:rPr>
        <w:t>.</w:t>
      </w:r>
    </w:p>
    <w:p w:rsidR="00261DD0" w:rsidRPr="00261DD0" w:rsidRDefault="00261DD0" w:rsidP="00261DD0">
      <w:pPr>
        <w:pStyle w:val="ad"/>
        <w:rPr>
          <w:rFonts w:ascii="FrankRuehl" w:eastAsia="Times New Roman" w:hAnsi="FrankRuehl" w:cs="FrankRuehl"/>
          <w:noProof/>
          <w:sz w:val="28"/>
          <w:szCs w:val="28"/>
        </w:rPr>
      </w:pPr>
    </w:p>
    <w:p w:rsidR="00261DD0" w:rsidRPr="00261DD0" w:rsidRDefault="00261DD0" w:rsidP="00261DD0">
      <w:pPr>
        <w:pStyle w:val="ad"/>
        <w:numPr>
          <w:ilvl w:val="0"/>
          <w:numId w:val="1"/>
        </w:numPr>
        <w:spacing w:line="360" w:lineRule="auto"/>
        <w:ind w:left="368" w:hanging="426"/>
        <w:jc w:val="both"/>
        <w:rPr>
          <w:rFonts w:ascii="FrankRuehl" w:hAnsi="FrankRuehl" w:cs="FrankRuehl"/>
          <w:b/>
          <w:bCs/>
          <w:sz w:val="28"/>
          <w:szCs w:val="28"/>
          <w:u w:val="single"/>
          <w:rtl/>
        </w:rPr>
      </w:pPr>
      <w:r w:rsidRPr="00261DD0">
        <w:rPr>
          <w:rFonts w:ascii="FrankRuehl" w:eastAsia="Times New Roman" w:hAnsi="FrankRuehl" w:cs="FrankRuehl"/>
          <w:b/>
          <w:bCs/>
          <w:noProof/>
          <w:sz w:val="28"/>
          <w:szCs w:val="28"/>
          <w:u w:val="single"/>
          <w:rtl/>
        </w:rPr>
        <w:t>אשר לזמני השהות</w:t>
      </w:r>
      <w:r w:rsidRPr="00261DD0">
        <w:rPr>
          <w:rFonts w:ascii="FrankRuehl" w:eastAsia="Times New Roman" w:hAnsi="FrankRuehl" w:cs="FrankRuehl"/>
          <w:noProof/>
          <w:sz w:val="28"/>
          <w:szCs w:val="28"/>
          <w:rtl/>
        </w:rPr>
        <w:t>, למעשה אין מתקיימים זמני שהות. הנתבע נמנע מלשתף פעול</w:t>
      </w:r>
      <w:r w:rsidR="00DD08FA">
        <w:rPr>
          <w:rFonts w:ascii="FrankRuehl" w:eastAsia="Times New Roman" w:hAnsi="FrankRuehl" w:cs="FrankRuehl" w:hint="cs"/>
          <w:noProof/>
          <w:sz w:val="28"/>
          <w:szCs w:val="28"/>
          <w:rtl/>
        </w:rPr>
        <w:t>ה</w:t>
      </w:r>
      <w:r w:rsidRPr="00261DD0">
        <w:rPr>
          <w:rFonts w:ascii="FrankRuehl" w:eastAsia="Times New Roman" w:hAnsi="FrankRuehl" w:cs="FrankRuehl"/>
          <w:noProof/>
          <w:sz w:val="28"/>
          <w:szCs w:val="28"/>
          <w:rtl/>
        </w:rPr>
        <w:t xml:space="preserve"> עם ג</w:t>
      </w:r>
      <w:r w:rsidR="00D26517">
        <w:rPr>
          <w:rFonts w:ascii="FrankRuehl" w:eastAsia="Times New Roman" w:hAnsi="FrankRuehl" w:cs="FrankRuehl"/>
          <w:noProof/>
          <w:sz w:val="28"/>
          <w:szCs w:val="28"/>
          <w:rtl/>
        </w:rPr>
        <w:t>ורמי הט</w:t>
      </w:r>
      <w:r w:rsidR="00DD08FA">
        <w:rPr>
          <w:rFonts w:ascii="FrankRuehl" w:eastAsia="Times New Roman" w:hAnsi="FrankRuehl" w:cs="FrankRuehl" w:hint="cs"/>
          <w:noProof/>
          <w:sz w:val="28"/>
          <w:szCs w:val="28"/>
          <w:rtl/>
        </w:rPr>
        <w:t>י</w:t>
      </w:r>
      <w:r w:rsidR="00D26517">
        <w:rPr>
          <w:rFonts w:ascii="FrankRuehl" w:eastAsia="Times New Roman" w:hAnsi="FrankRuehl" w:cs="FrankRuehl"/>
          <w:noProof/>
          <w:sz w:val="28"/>
          <w:szCs w:val="28"/>
          <w:rtl/>
        </w:rPr>
        <w:t xml:space="preserve">פול וברקע, סירוב לטיפול </w:t>
      </w:r>
      <w:r w:rsidR="00D26517">
        <w:rPr>
          <w:rFonts w:ascii="FrankRuehl" w:eastAsia="Times New Roman" w:hAnsi="FrankRuehl" w:cs="FrankRuehl" w:hint="cs"/>
          <w:noProof/>
          <w:sz w:val="28"/>
          <w:szCs w:val="28"/>
          <w:rtl/>
        </w:rPr>
        <w:t>מטעם ה</w:t>
      </w:r>
      <w:r w:rsidRPr="00261DD0">
        <w:rPr>
          <w:rFonts w:ascii="FrankRuehl" w:eastAsia="Times New Roman" w:hAnsi="FrankRuehl" w:cs="FrankRuehl"/>
          <w:noProof/>
          <w:sz w:val="28"/>
          <w:szCs w:val="28"/>
          <w:rtl/>
        </w:rPr>
        <w:t>יחידה לטיפול בהתמכרויות. נעשו כיום נ</w:t>
      </w:r>
      <w:r w:rsidR="00D26517">
        <w:rPr>
          <w:rFonts w:ascii="FrankRuehl" w:eastAsia="Times New Roman" w:hAnsi="FrankRuehl" w:cs="FrankRuehl" w:hint="cs"/>
          <w:noProof/>
          <w:sz w:val="28"/>
          <w:szCs w:val="28"/>
          <w:rtl/>
        </w:rPr>
        <w:t>ּ</w:t>
      </w:r>
      <w:r w:rsidRPr="00261DD0">
        <w:rPr>
          <w:rFonts w:ascii="FrankRuehl" w:eastAsia="Times New Roman" w:hAnsi="FrankRuehl" w:cs="FrankRuehl"/>
          <w:noProof/>
          <w:sz w:val="28"/>
          <w:szCs w:val="28"/>
          <w:rtl/>
        </w:rPr>
        <w:t>סיונות לייצר מפגשים מצומצמים ללא לינה, בליווי סומכת - לכל הפחות, פעמיים בשבוע, כפוף לפניית הנתבע ליחידה לטיפול בהתמכרויות ושיתוף פעו</w:t>
      </w:r>
      <w:r w:rsidR="00DD08FA">
        <w:rPr>
          <w:rFonts w:ascii="FrankRuehl" w:eastAsia="Times New Roman" w:hAnsi="FrankRuehl" w:cs="FrankRuehl" w:hint="cs"/>
          <w:noProof/>
          <w:sz w:val="28"/>
          <w:szCs w:val="28"/>
          <w:rtl/>
        </w:rPr>
        <w:t>ל</w:t>
      </w:r>
      <w:r w:rsidRPr="00261DD0">
        <w:rPr>
          <w:rFonts w:ascii="FrankRuehl" w:eastAsia="Times New Roman" w:hAnsi="FrankRuehl" w:cs="FrankRuehl"/>
          <w:noProof/>
          <w:sz w:val="28"/>
          <w:szCs w:val="28"/>
          <w:rtl/>
        </w:rPr>
        <w:t>ה עם הטיפול.</w:t>
      </w:r>
    </w:p>
    <w:p w:rsidR="00261DD0" w:rsidRPr="00261DD0" w:rsidRDefault="00261DD0" w:rsidP="00261DD0">
      <w:pPr>
        <w:pStyle w:val="ad"/>
        <w:rPr>
          <w:rFonts w:ascii="FrankRuehl" w:eastAsia="Times New Roman" w:hAnsi="FrankRuehl" w:cs="FrankRuehl"/>
          <w:noProof/>
          <w:sz w:val="28"/>
          <w:szCs w:val="28"/>
        </w:rPr>
      </w:pPr>
    </w:p>
    <w:p w:rsidR="00261DD0" w:rsidRPr="00261DD0" w:rsidRDefault="00261DD0" w:rsidP="002714AD">
      <w:pPr>
        <w:pStyle w:val="ad"/>
        <w:spacing w:line="360" w:lineRule="auto"/>
        <w:ind w:left="368"/>
        <w:jc w:val="both"/>
        <w:rPr>
          <w:rFonts w:ascii="FrankRuehl" w:hAnsi="FrankRuehl" w:cs="FrankRuehl"/>
          <w:b/>
          <w:bCs/>
          <w:sz w:val="28"/>
          <w:szCs w:val="28"/>
          <w:u w:val="single"/>
          <w:rtl/>
        </w:rPr>
      </w:pPr>
      <w:r w:rsidRPr="00261DD0">
        <w:rPr>
          <w:rFonts w:ascii="FrankRuehl" w:eastAsia="Times New Roman" w:hAnsi="FrankRuehl" w:cs="FrankRuehl"/>
          <w:noProof/>
          <w:sz w:val="28"/>
          <w:szCs w:val="28"/>
          <w:rtl/>
        </w:rPr>
        <w:t>על כן, כל נטל הגידול רובץ על כתפי התובעת.</w:t>
      </w:r>
    </w:p>
    <w:p w:rsidR="00261DD0" w:rsidRPr="00261DD0" w:rsidRDefault="00261DD0" w:rsidP="00261DD0">
      <w:pPr>
        <w:pStyle w:val="ad"/>
        <w:rPr>
          <w:rFonts w:ascii="FrankRuehl" w:eastAsia="Times New Roman" w:hAnsi="FrankRuehl" w:cs="FrankRuehl"/>
          <w:noProof/>
          <w:sz w:val="28"/>
          <w:szCs w:val="28"/>
        </w:rPr>
      </w:pPr>
    </w:p>
    <w:p w:rsidR="00261DD0" w:rsidRPr="00261DD0" w:rsidRDefault="00261DD0" w:rsidP="00261DD0">
      <w:pPr>
        <w:pStyle w:val="ad"/>
        <w:numPr>
          <w:ilvl w:val="0"/>
          <w:numId w:val="1"/>
        </w:numPr>
        <w:spacing w:line="360" w:lineRule="auto"/>
        <w:ind w:left="368" w:hanging="426"/>
        <w:jc w:val="both"/>
        <w:rPr>
          <w:rFonts w:ascii="FrankRuehl" w:hAnsi="FrankRuehl" w:cs="FrankRuehl"/>
          <w:b/>
          <w:bCs/>
          <w:sz w:val="28"/>
          <w:szCs w:val="28"/>
          <w:u w:val="single"/>
          <w:rtl/>
        </w:rPr>
      </w:pPr>
      <w:r w:rsidRPr="00261DD0">
        <w:rPr>
          <w:rFonts w:ascii="FrankRuehl" w:eastAsia="Times New Roman" w:hAnsi="FrankRuehl" w:cs="FrankRuehl"/>
          <w:noProof/>
          <w:sz w:val="28"/>
          <w:szCs w:val="28"/>
          <w:rtl/>
        </w:rPr>
        <w:lastRenderedPageBreak/>
        <w:t xml:space="preserve">לאור כך אני מחייבת את הנתבע לשאת בכל הצרכים הכרחיים של הקטין סך 1,300 ₪ לחודש וסך 150 ₪ בגין הצרכים שאינם הכרחיים, </w:t>
      </w:r>
      <w:r w:rsidRPr="00261DD0">
        <w:rPr>
          <w:rFonts w:ascii="FrankRuehl" w:eastAsia="Times New Roman" w:hAnsi="FrankRuehl" w:cs="FrankRuehl"/>
          <w:b/>
          <w:bCs/>
          <w:noProof/>
          <w:sz w:val="28"/>
          <w:szCs w:val="28"/>
          <w:u w:val="single"/>
          <w:rtl/>
        </w:rPr>
        <w:t>עד הגיע הקטין לגיל 6</w:t>
      </w:r>
      <w:r w:rsidRPr="00D26517">
        <w:rPr>
          <w:rFonts w:ascii="FrankRuehl" w:eastAsia="Times New Roman" w:hAnsi="FrankRuehl" w:cs="FrankRuehl"/>
          <w:b/>
          <w:bCs/>
          <w:noProof/>
          <w:sz w:val="28"/>
          <w:szCs w:val="28"/>
          <w:rtl/>
        </w:rPr>
        <w:t>.</w:t>
      </w:r>
    </w:p>
    <w:p w:rsidR="00261DD0" w:rsidRPr="00261DD0" w:rsidRDefault="00261DD0" w:rsidP="00261DD0">
      <w:pPr>
        <w:pStyle w:val="ad"/>
        <w:rPr>
          <w:rFonts w:ascii="FrankRuehl" w:eastAsia="Times New Roman" w:hAnsi="FrankRuehl" w:cs="FrankRuehl"/>
          <w:noProof/>
          <w:sz w:val="28"/>
          <w:szCs w:val="28"/>
          <w:u w:val="single"/>
        </w:rPr>
      </w:pPr>
    </w:p>
    <w:p w:rsidR="00261DD0" w:rsidRPr="00261DD0" w:rsidRDefault="00261DD0" w:rsidP="00427B27">
      <w:pPr>
        <w:pStyle w:val="ad"/>
        <w:numPr>
          <w:ilvl w:val="0"/>
          <w:numId w:val="1"/>
        </w:numPr>
        <w:spacing w:line="360" w:lineRule="auto"/>
        <w:ind w:left="368" w:hanging="426"/>
        <w:jc w:val="both"/>
        <w:rPr>
          <w:rFonts w:ascii="FrankRuehl" w:hAnsi="FrankRuehl" w:cs="FrankRuehl"/>
          <w:b/>
          <w:bCs/>
          <w:sz w:val="28"/>
          <w:szCs w:val="28"/>
          <w:u w:val="single"/>
          <w:rtl/>
        </w:rPr>
      </w:pPr>
      <w:r w:rsidRPr="00261DD0">
        <w:rPr>
          <w:rFonts w:ascii="FrankRuehl" w:eastAsia="Times New Roman" w:hAnsi="FrankRuehl" w:cs="FrankRuehl"/>
          <w:noProof/>
          <w:sz w:val="28"/>
          <w:szCs w:val="28"/>
          <w:u w:val="single"/>
          <w:rtl/>
        </w:rPr>
        <w:t>מעת הגעת הקטין לגיל 6</w:t>
      </w:r>
      <w:r w:rsidRPr="00261DD0">
        <w:rPr>
          <w:rFonts w:ascii="FrankRuehl" w:eastAsia="Times New Roman" w:hAnsi="FrankRuehl" w:cs="FrankRuehl"/>
          <w:noProof/>
          <w:sz w:val="28"/>
          <w:szCs w:val="28"/>
          <w:rtl/>
        </w:rPr>
        <w:t>, יש להפחית את המזונות מחד</w:t>
      </w:r>
      <w:r w:rsidR="00D26517">
        <w:rPr>
          <w:rFonts w:ascii="FrankRuehl" w:eastAsia="Times New Roman" w:hAnsi="FrankRuehl" w:cs="FrankRuehl" w:hint="cs"/>
          <w:noProof/>
          <w:sz w:val="28"/>
          <w:szCs w:val="28"/>
          <w:rtl/>
        </w:rPr>
        <w:t xml:space="preserve"> גיסא</w:t>
      </w:r>
      <w:r w:rsidRPr="00261DD0">
        <w:rPr>
          <w:rFonts w:ascii="FrankRuehl" w:eastAsia="Times New Roman" w:hAnsi="FrankRuehl" w:cs="FrankRuehl"/>
          <w:noProof/>
          <w:sz w:val="28"/>
          <w:szCs w:val="28"/>
          <w:rtl/>
        </w:rPr>
        <w:t xml:space="preserve">, אך </w:t>
      </w:r>
      <w:r w:rsidR="00D26517">
        <w:rPr>
          <w:rFonts w:ascii="FrankRuehl" w:eastAsia="Times New Roman" w:hAnsi="FrankRuehl" w:cs="FrankRuehl" w:hint="cs"/>
          <w:noProof/>
          <w:sz w:val="28"/>
          <w:szCs w:val="28"/>
          <w:rtl/>
        </w:rPr>
        <w:t xml:space="preserve">מאידך גיסא </w:t>
      </w:r>
      <w:r w:rsidRPr="00261DD0">
        <w:rPr>
          <w:rFonts w:ascii="FrankRuehl" w:eastAsia="Times New Roman" w:hAnsi="FrankRuehl" w:cs="FrankRuehl"/>
          <w:noProof/>
          <w:sz w:val="28"/>
          <w:szCs w:val="28"/>
          <w:rtl/>
        </w:rPr>
        <w:t>להב</w:t>
      </w:r>
      <w:r w:rsidR="00D26517">
        <w:rPr>
          <w:rFonts w:ascii="FrankRuehl" w:eastAsia="Times New Roman" w:hAnsi="FrankRuehl" w:cs="FrankRuehl" w:hint="cs"/>
          <w:noProof/>
          <w:sz w:val="28"/>
          <w:szCs w:val="28"/>
          <w:rtl/>
        </w:rPr>
        <w:t>י</w:t>
      </w:r>
      <w:r w:rsidRPr="00261DD0">
        <w:rPr>
          <w:rFonts w:ascii="FrankRuehl" w:eastAsia="Times New Roman" w:hAnsi="FrankRuehl" w:cs="FrankRuehl"/>
          <w:noProof/>
          <w:sz w:val="28"/>
          <w:szCs w:val="28"/>
          <w:rtl/>
        </w:rPr>
        <w:t xml:space="preserve">א בחשבון את </w:t>
      </w:r>
      <w:r w:rsidR="00D26517">
        <w:rPr>
          <w:rFonts w:ascii="FrankRuehl" w:eastAsia="Times New Roman" w:hAnsi="FrankRuehl" w:cs="FrankRuehl" w:hint="cs"/>
          <w:noProof/>
          <w:sz w:val="28"/>
          <w:szCs w:val="28"/>
          <w:rtl/>
        </w:rPr>
        <w:t xml:space="preserve">היעדרם </w:t>
      </w:r>
      <w:r w:rsidR="00D26517">
        <w:rPr>
          <w:rFonts w:ascii="FrankRuehl" w:eastAsia="Times New Roman" w:hAnsi="FrankRuehl" w:cs="FrankRuehl"/>
          <w:noProof/>
          <w:sz w:val="28"/>
          <w:szCs w:val="28"/>
          <w:rtl/>
        </w:rPr>
        <w:t>של זמני שהות ממשים וקבועים</w:t>
      </w:r>
      <w:r w:rsidRPr="00261DD0">
        <w:rPr>
          <w:rFonts w:ascii="FrankRuehl" w:eastAsia="Times New Roman" w:hAnsi="FrankRuehl" w:cs="FrankRuehl"/>
          <w:noProof/>
          <w:sz w:val="28"/>
          <w:szCs w:val="28"/>
          <w:rtl/>
        </w:rPr>
        <w:t xml:space="preserve"> בין האב </w:t>
      </w:r>
      <w:r w:rsidRPr="002714AD">
        <w:rPr>
          <w:rFonts w:ascii="FrankRuehl" w:eastAsia="Times New Roman" w:hAnsi="FrankRuehl" w:cs="FrankRuehl"/>
          <w:noProof/>
          <w:sz w:val="28"/>
          <w:szCs w:val="28"/>
          <w:rtl/>
        </w:rPr>
        <w:t>ובין הקטין. על כן אני קובעת כי עם הגעת הקטין לגיל 6 יופחתו המזונות לסך 1,20</w:t>
      </w:r>
      <w:r w:rsidR="00D26517" w:rsidRPr="002714AD">
        <w:rPr>
          <w:rFonts w:ascii="FrankRuehl" w:eastAsia="Times New Roman" w:hAnsi="FrankRuehl" w:cs="FrankRuehl"/>
          <w:noProof/>
          <w:sz w:val="28"/>
          <w:szCs w:val="28"/>
          <w:rtl/>
        </w:rPr>
        <w:t>0 ₪ לחודש</w:t>
      </w:r>
      <w:r w:rsidR="00427B27" w:rsidRPr="002714AD">
        <w:rPr>
          <w:rFonts w:ascii="FrankRuehl" w:eastAsia="Times New Roman" w:hAnsi="FrankRuehl" w:cs="FrankRuehl" w:hint="cs"/>
          <w:noProof/>
          <w:sz w:val="28"/>
          <w:szCs w:val="28"/>
          <w:rtl/>
        </w:rPr>
        <w:t>.</w:t>
      </w:r>
      <w:r w:rsidR="002714AD">
        <w:rPr>
          <w:rFonts w:ascii="FrankRuehl" w:eastAsia="Times New Roman" w:hAnsi="FrankRuehl" w:cs="FrankRuehl" w:hint="cs"/>
          <w:noProof/>
          <w:sz w:val="28"/>
          <w:szCs w:val="28"/>
          <w:rtl/>
        </w:rPr>
        <w:t xml:space="preserve"> </w:t>
      </w:r>
      <w:r w:rsidR="00D26517" w:rsidRPr="002714AD">
        <w:rPr>
          <w:rFonts w:ascii="FrankRuehl" w:eastAsia="Times New Roman" w:hAnsi="FrankRuehl" w:cs="FrankRuehl"/>
          <w:b/>
          <w:bCs/>
          <w:noProof/>
          <w:sz w:val="28"/>
          <w:szCs w:val="28"/>
          <w:rtl/>
        </w:rPr>
        <w:t>אם יורחבו זמני השהות</w:t>
      </w:r>
      <w:r w:rsidR="00D26517" w:rsidRPr="002714AD">
        <w:rPr>
          <w:rFonts w:ascii="FrankRuehl" w:eastAsia="Times New Roman" w:hAnsi="FrankRuehl" w:cs="FrankRuehl" w:hint="cs"/>
          <w:b/>
          <w:bCs/>
          <w:noProof/>
          <w:sz w:val="28"/>
          <w:szCs w:val="28"/>
          <w:rtl/>
        </w:rPr>
        <w:t xml:space="preserve">, </w:t>
      </w:r>
      <w:r w:rsidRPr="002714AD">
        <w:rPr>
          <w:rFonts w:ascii="FrankRuehl" w:eastAsia="Times New Roman" w:hAnsi="FrankRuehl" w:cs="FrankRuehl"/>
          <w:b/>
          <w:bCs/>
          <w:noProof/>
          <w:sz w:val="28"/>
          <w:szCs w:val="28"/>
          <w:rtl/>
        </w:rPr>
        <w:t>למצער, ללינה פעמיים ב-7 ימים</w:t>
      </w:r>
      <w:r w:rsidR="00D26517" w:rsidRPr="002714AD">
        <w:rPr>
          <w:rFonts w:ascii="FrankRuehl" w:eastAsia="Times New Roman" w:hAnsi="FrankRuehl" w:cs="FrankRuehl" w:hint="cs"/>
          <w:b/>
          <w:bCs/>
          <w:noProof/>
          <w:sz w:val="28"/>
          <w:szCs w:val="28"/>
          <w:rtl/>
        </w:rPr>
        <w:t>:</w:t>
      </w:r>
      <w:r w:rsidRPr="002714AD">
        <w:rPr>
          <w:rFonts w:ascii="FrankRuehl" w:eastAsia="Times New Roman" w:hAnsi="FrankRuehl" w:cs="FrankRuehl"/>
          <w:b/>
          <w:bCs/>
          <w:noProof/>
          <w:sz w:val="28"/>
          <w:szCs w:val="28"/>
          <w:rtl/>
        </w:rPr>
        <w:t xml:space="preserve"> </w:t>
      </w:r>
      <w:r w:rsidR="00D26517" w:rsidRPr="002714AD">
        <w:rPr>
          <w:rFonts w:ascii="FrankRuehl" w:eastAsia="Times New Roman" w:hAnsi="FrankRuehl" w:cs="FrankRuehl"/>
          <w:b/>
          <w:bCs/>
          <w:noProof/>
          <w:sz w:val="28"/>
          <w:szCs w:val="28"/>
          <w:rtl/>
        </w:rPr>
        <w:t>יופחתו המזונות לסך 900 ₪ לחודש</w:t>
      </w:r>
      <w:r w:rsidR="00D26517">
        <w:rPr>
          <w:rFonts w:ascii="FrankRuehl" w:eastAsia="Times New Roman" w:hAnsi="FrankRuehl" w:cs="FrankRuehl"/>
          <w:noProof/>
          <w:sz w:val="28"/>
          <w:szCs w:val="28"/>
          <w:rtl/>
        </w:rPr>
        <w:t>.</w:t>
      </w:r>
    </w:p>
    <w:p w:rsidR="00261DD0" w:rsidRPr="00261DD0" w:rsidRDefault="00261DD0" w:rsidP="00261DD0">
      <w:pPr>
        <w:pStyle w:val="ad"/>
        <w:rPr>
          <w:rFonts w:ascii="FrankRuehl" w:hAnsi="FrankRuehl" w:cs="FrankRuehl"/>
          <w:sz w:val="28"/>
          <w:szCs w:val="28"/>
        </w:rPr>
      </w:pPr>
    </w:p>
    <w:p w:rsidR="00261DD0" w:rsidRPr="00261DD0" w:rsidRDefault="00261DD0" w:rsidP="00261DD0">
      <w:pPr>
        <w:pStyle w:val="ad"/>
        <w:numPr>
          <w:ilvl w:val="0"/>
          <w:numId w:val="1"/>
        </w:numPr>
        <w:spacing w:line="360" w:lineRule="auto"/>
        <w:ind w:left="368" w:hanging="426"/>
        <w:jc w:val="both"/>
        <w:rPr>
          <w:rFonts w:ascii="FrankRuehl" w:hAnsi="FrankRuehl" w:cs="FrankRuehl"/>
          <w:b/>
          <w:bCs/>
          <w:sz w:val="28"/>
          <w:szCs w:val="28"/>
          <w:u w:val="single"/>
          <w:rtl/>
        </w:rPr>
      </w:pPr>
      <w:r w:rsidRPr="00261DD0">
        <w:rPr>
          <w:rFonts w:ascii="FrankRuehl" w:hAnsi="FrankRuehl" w:cs="FrankRuehl"/>
          <w:sz w:val="28"/>
          <w:szCs w:val="28"/>
          <w:rtl/>
        </w:rPr>
        <w:t xml:space="preserve">נוסף על מזונות הקטין יש לחייב האב בתשלום מדור הקטין. על פי ההלכה הפסוקה, חלקו של קטין בהוצאות מדור הוא בשיעור 30%. ראו ע"א 52/87 </w:t>
      </w:r>
      <w:r w:rsidRPr="00261DD0">
        <w:rPr>
          <w:rFonts w:ascii="FrankRuehl" w:hAnsi="FrankRuehl" w:cs="FrankRuehl"/>
          <w:b/>
          <w:bCs/>
          <w:sz w:val="28"/>
          <w:szCs w:val="28"/>
          <w:rtl/>
        </w:rPr>
        <w:t>הראל נ' הראל</w:t>
      </w:r>
      <w:r w:rsidRPr="00261DD0">
        <w:rPr>
          <w:rFonts w:ascii="FrankRuehl" w:hAnsi="FrankRuehl" w:cs="FrankRuehl"/>
          <w:sz w:val="28"/>
          <w:szCs w:val="28"/>
          <w:rtl/>
        </w:rPr>
        <w:t xml:space="preserve"> מיום 12.10.1989. </w:t>
      </w:r>
      <w:r w:rsidRPr="00261DD0">
        <w:rPr>
          <w:rFonts w:ascii="FrankRuehl" w:hAnsi="FrankRuehl" w:cs="FrankRuehl"/>
          <w:b/>
          <w:bCs/>
          <w:sz w:val="28"/>
          <w:szCs w:val="28"/>
          <w:u w:val="single"/>
          <w:rtl/>
        </w:rPr>
        <w:t>במקרה כאן מתגוררים בדירה גם 3 א</w:t>
      </w:r>
      <w:r w:rsidR="00D26517">
        <w:rPr>
          <w:rFonts w:ascii="FrankRuehl" w:hAnsi="FrankRuehl" w:cs="FrankRuehl" w:hint="cs"/>
          <w:b/>
          <w:bCs/>
          <w:sz w:val="28"/>
          <w:szCs w:val="28"/>
          <w:u w:val="single"/>
          <w:rtl/>
        </w:rPr>
        <w:t>ֵ</w:t>
      </w:r>
      <w:r w:rsidRPr="00261DD0">
        <w:rPr>
          <w:rFonts w:ascii="FrankRuehl" w:hAnsi="FrankRuehl" w:cs="FrankRuehl"/>
          <w:b/>
          <w:bCs/>
          <w:sz w:val="28"/>
          <w:szCs w:val="28"/>
          <w:u w:val="single"/>
          <w:rtl/>
        </w:rPr>
        <w:t>חיו של הקטין והאם</w:t>
      </w:r>
      <w:r w:rsidRPr="00D26517">
        <w:rPr>
          <w:rFonts w:ascii="FrankRuehl" w:hAnsi="FrankRuehl" w:cs="FrankRuehl"/>
          <w:b/>
          <w:bCs/>
          <w:sz w:val="28"/>
          <w:szCs w:val="28"/>
          <w:rtl/>
        </w:rPr>
        <w:t xml:space="preserve">. </w:t>
      </w:r>
      <w:r w:rsidRPr="00261DD0">
        <w:rPr>
          <w:rFonts w:ascii="FrankRuehl" w:hAnsi="FrankRuehl" w:cs="FrankRuehl"/>
          <w:sz w:val="28"/>
          <w:szCs w:val="28"/>
          <w:rtl/>
        </w:rPr>
        <w:t>לאור כך</w:t>
      </w:r>
      <w:r w:rsidR="00D26517">
        <w:rPr>
          <w:rFonts w:ascii="FrankRuehl" w:hAnsi="FrankRuehl" w:cs="FrankRuehl" w:hint="cs"/>
          <w:sz w:val="28"/>
          <w:szCs w:val="28"/>
          <w:rtl/>
        </w:rPr>
        <w:t>,</w:t>
      </w:r>
      <w:r w:rsidRPr="00261DD0">
        <w:rPr>
          <w:rFonts w:ascii="FrankRuehl" w:hAnsi="FrankRuehl" w:cs="FrankRuehl"/>
          <w:sz w:val="28"/>
          <w:szCs w:val="28"/>
          <w:rtl/>
        </w:rPr>
        <w:t xml:space="preserve"> אני מעמידה</w:t>
      </w:r>
      <w:r w:rsidR="00D26517">
        <w:rPr>
          <w:rFonts w:ascii="FrankRuehl" w:hAnsi="FrankRuehl" w:cs="FrankRuehl"/>
          <w:sz w:val="28"/>
          <w:szCs w:val="28"/>
          <w:rtl/>
        </w:rPr>
        <w:t xml:space="preserve"> את חלקו של האב בגין מדור הקטין סך 375 ₪ לחודש.</w:t>
      </w:r>
    </w:p>
    <w:p w:rsidR="00261DD0" w:rsidRPr="00261DD0" w:rsidRDefault="00261DD0" w:rsidP="00261DD0">
      <w:pPr>
        <w:pStyle w:val="ad"/>
        <w:rPr>
          <w:rFonts w:ascii="FrankRuehl" w:eastAsia="Times New Roman" w:hAnsi="FrankRuehl" w:cs="FrankRuehl"/>
          <w:b/>
          <w:bCs/>
          <w:noProof/>
          <w:sz w:val="28"/>
          <w:szCs w:val="28"/>
          <w:u w:val="single"/>
        </w:rPr>
      </w:pPr>
    </w:p>
    <w:p w:rsidR="00261DD0" w:rsidRPr="00261DD0" w:rsidRDefault="00261DD0" w:rsidP="00261DD0">
      <w:pPr>
        <w:pStyle w:val="ad"/>
        <w:numPr>
          <w:ilvl w:val="0"/>
          <w:numId w:val="1"/>
        </w:numPr>
        <w:spacing w:line="360" w:lineRule="auto"/>
        <w:ind w:left="368" w:hanging="426"/>
        <w:jc w:val="both"/>
        <w:rPr>
          <w:rFonts w:ascii="FrankRuehl" w:hAnsi="FrankRuehl" w:cs="FrankRuehl"/>
          <w:b/>
          <w:bCs/>
          <w:sz w:val="28"/>
          <w:szCs w:val="28"/>
          <w:u w:val="single"/>
          <w:rtl/>
        </w:rPr>
      </w:pPr>
      <w:r w:rsidRPr="00261DD0">
        <w:rPr>
          <w:rFonts w:ascii="FrankRuehl" w:eastAsia="Times New Roman" w:hAnsi="FrankRuehl" w:cs="FrankRuehl"/>
          <w:b/>
          <w:bCs/>
          <w:noProof/>
          <w:sz w:val="28"/>
          <w:szCs w:val="28"/>
          <w:u w:val="single"/>
          <w:rtl/>
        </w:rPr>
        <w:t>נפסק</w:t>
      </w:r>
      <w:r w:rsidRPr="00D26517">
        <w:rPr>
          <w:rFonts w:ascii="FrankRuehl" w:eastAsia="Times New Roman" w:hAnsi="FrankRuehl" w:cs="FrankRuehl"/>
          <w:b/>
          <w:bCs/>
          <w:noProof/>
          <w:sz w:val="28"/>
          <w:szCs w:val="28"/>
          <w:rtl/>
        </w:rPr>
        <w:t>:</w:t>
      </w:r>
    </w:p>
    <w:p w:rsidR="00261DD0" w:rsidRPr="00261DD0" w:rsidRDefault="00261DD0" w:rsidP="00427B27">
      <w:pPr>
        <w:spacing w:line="360" w:lineRule="auto"/>
        <w:ind w:left="567" w:hanging="567"/>
        <w:jc w:val="both"/>
        <w:rPr>
          <w:rFonts w:ascii="FrankRuehl" w:eastAsia="Calibri" w:hAnsi="FrankRuehl" w:cs="FrankRuehl"/>
          <w:b/>
          <w:bCs/>
          <w:sz w:val="28"/>
          <w:szCs w:val="28"/>
        </w:rPr>
      </w:pPr>
      <w:r w:rsidRPr="00261DD0">
        <w:rPr>
          <w:rFonts w:ascii="FrankRuehl" w:eastAsia="Calibri" w:hAnsi="FrankRuehl" w:cs="FrankRuehl"/>
          <w:sz w:val="28"/>
          <w:szCs w:val="28"/>
          <w:rtl/>
        </w:rPr>
        <w:t>6</w:t>
      </w:r>
      <w:r w:rsidR="00427B27">
        <w:rPr>
          <w:rFonts w:ascii="FrankRuehl" w:eastAsia="Calibri" w:hAnsi="FrankRuehl" w:cs="FrankRuehl" w:hint="cs"/>
          <w:sz w:val="28"/>
          <w:szCs w:val="28"/>
          <w:rtl/>
        </w:rPr>
        <w:t>4</w:t>
      </w:r>
      <w:r w:rsidRPr="00261DD0">
        <w:rPr>
          <w:rFonts w:ascii="FrankRuehl" w:eastAsia="Calibri" w:hAnsi="FrankRuehl" w:cs="FrankRuehl"/>
          <w:sz w:val="28"/>
          <w:szCs w:val="28"/>
          <w:rtl/>
        </w:rPr>
        <w:t>.1.</w:t>
      </w:r>
      <w:r w:rsidRPr="00261DD0">
        <w:rPr>
          <w:rFonts w:ascii="FrankRuehl" w:eastAsia="Calibri" w:hAnsi="FrankRuehl" w:cs="FrankRuehl"/>
          <w:sz w:val="28"/>
          <w:szCs w:val="28"/>
          <w:rtl/>
        </w:rPr>
        <w:tab/>
        <w:t xml:space="preserve">ממועד פסה"ד ישלם הנתבע, באמצעות האֵם, עבור מזונות הקטין  ומדורו, 1,825 ₪ לחודש, כל חודש מראש. </w:t>
      </w:r>
      <w:r w:rsidRPr="00261DD0">
        <w:rPr>
          <w:rFonts w:ascii="FrankRuehl" w:eastAsia="Calibri" w:hAnsi="FrankRuehl" w:cs="FrankRuehl"/>
          <w:b/>
          <w:bCs/>
          <w:sz w:val="28"/>
          <w:szCs w:val="28"/>
          <w:rtl/>
        </w:rPr>
        <w:t>התשלום ישולם ב- 10 לכל חודש מראש עד הגעת הקטין  לגיל 6.</w:t>
      </w:r>
    </w:p>
    <w:p w:rsidR="00261DD0" w:rsidRPr="00261DD0" w:rsidRDefault="00261DD0" w:rsidP="00261DD0">
      <w:pPr>
        <w:spacing w:line="360" w:lineRule="auto"/>
        <w:ind w:left="567" w:hanging="567"/>
        <w:jc w:val="both"/>
        <w:rPr>
          <w:rFonts w:ascii="FrankRuehl" w:eastAsia="Calibri" w:hAnsi="FrankRuehl" w:cs="FrankRuehl"/>
          <w:b/>
          <w:bCs/>
          <w:sz w:val="28"/>
          <w:szCs w:val="28"/>
          <w:rtl/>
        </w:rPr>
      </w:pPr>
    </w:p>
    <w:p w:rsidR="00261DD0" w:rsidRPr="00261DD0" w:rsidRDefault="00261DD0" w:rsidP="00261DD0">
      <w:pPr>
        <w:spacing w:line="360" w:lineRule="auto"/>
        <w:ind w:left="567"/>
        <w:jc w:val="both"/>
        <w:rPr>
          <w:rFonts w:ascii="FrankRuehl" w:eastAsia="Calibri" w:hAnsi="FrankRuehl" w:cs="FrankRuehl"/>
          <w:b/>
          <w:bCs/>
          <w:sz w:val="28"/>
          <w:szCs w:val="28"/>
          <w:rtl/>
        </w:rPr>
      </w:pPr>
      <w:r w:rsidRPr="00261DD0">
        <w:rPr>
          <w:rFonts w:ascii="FrankRuehl" w:eastAsia="Calibri" w:hAnsi="FrankRuehl" w:cs="FrankRuehl"/>
          <w:b/>
          <w:bCs/>
          <w:sz w:val="28"/>
          <w:szCs w:val="28"/>
          <w:rtl/>
        </w:rPr>
        <w:t>עת יגיע הקטין  לגיל 6, יופחת הסכום לסך 1,575 ₪ לחודש.</w:t>
      </w:r>
    </w:p>
    <w:p w:rsidR="00261DD0" w:rsidRPr="00261DD0" w:rsidRDefault="00261DD0" w:rsidP="00261DD0">
      <w:pPr>
        <w:spacing w:line="360" w:lineRule="auto"/>
        <w:ind w:left="567"/>
        <w:jc w:val="both"/>
        <w:rPr>
          <w:rFonts w:ascii="FrankRuehl" w:eastAsia="Calibri" w:hAnsi="FrankRuehl" w:cs="FrankRuehl"/>
          <w:b/>
          <w:bCs/>
          <w:sz w:val="28"/>
          <w:szCs w:val="28"/>
          <w:rtl/>
        </w:rPr>
      </w:pPr>
    </w:p>
    <w:p w:rsidR="00261DD0" w:rsidRPr="00261DD0" w:rsidRDefault="00261DD0" w:rsidP="00427B27">
      <w:pPr>
        <w:spacing w:line="360" w:lineRule="auto"/>
        <w:ind w:left="567"/>
        <w:jc w:val="both"/>
        <w:rPr>
          <w:rFonts w:ascii="FrankRuehl" w:eastAsia="Calibri" w:hAnsi="FrankRuehl" w:cs="FrankRuehl"/>
          <w:b/>
          <w:bCs/>
          <w:sz w:val="28"/>
          <w:szCs w:val="28"/>
          <w:rtl/>
        </w:rPr>
      </w:pPr>
      <w:r w:rsidRPr="00261DD0">
        <w:rPr>
          <w:rFonts w:ascii="FrankRuehl" w:eastAsia="Calibri" w:hAnsi="FrankRuehl" w:cs="FrankRuehl"/>
          <w:b/>
          <w:bCs/>
          <w:sz w:val="28"/>
          <w:szCs w:val="28"/>
          <w:rtl/>
        </w:rPr>
        <w:t>לאחר גיל 6, אם הנתבע ישתף פעולה עם גורמי הטיפול</w:t>
      </w:r>
      <w:r w:rsidR="00427B27">
        <w:rPr>
          <w:rFonts w:ascii="FrankRuehl" w:eastAsia="Calibri" w:hAnsi="FrankRuehl" w:cs="FrankRuehl" w:hint="cs"/>
          <w:b/>
          <w:bCs/>
          <w:sz w:val="28"/>
          <w:szCs w:val="28"/>
          <w:rtl/>
        </w:rPr>
        <w:t>,</w:t>
      </w:r>
      <w:r w:rsidRPr="00261DD0">
        <w:rPr>
          <w:rFonts w:ascii="FrankRuehl" w:eastAsia="Calibri" w:hAnsi="FrankRuehl" w:cs="FrankRuehl"/>
          <w:b/>
          <w:bCs/>
          <w:sz w:val="28"/>
          <w:szCs w:val="28"/>
          <w:rtl/>
        </w:rPr>
        <w:t xml:space="preserve"> </w:t>
      </w:r>
      <w:r w:rsidR="00427B27">
        <w:rPr>
          <w:rFonts w:ascii="FrankRuehl" w:eastAsia="Calibri" w:hAnsi="FrankRuehl" w:cs="FrankRuehl"/>
          <w:b/>
          <w:bCs/>
          <w:sz w:val="28"/>
          <w:szCs w:val="28"/>
          <w:rtl/>
        </w:rPr>
        <w:t xml:space="preserve">למצער </w:t>
      </w:r>
      <w:r w:rsidR="00427B27">
        <w:rPr>
          <w:rFonts w:ascii="FrankRuehl" w:eastAsia="Calibri" w:hAnsi="FrankRuehl" w:cs="FrankRuehl" w:hint="cs"/>
          <w:b/>
          <w:bCs/>
          <w:sz w:val="28"/>
          <w:szCs w:val="28"/>
          <w:rtl/>
        </w:rPr>
        <w:t>למשך</w:t>
      </w:r>
      <w:r w:rsidRPr="00261DD0">
        <w:rPr>
          <w:rFonts w:ascii="FrankRuehl" w:eastAsia="Calibri" w:hAnsi="FrankRuehl" w:cs="FrankRuehl"/>
          <w:b/>
          <w:bCs/>
          <w:sz w:val="28"/>
          <w:szCs w:val="28"/>
          <w:rtl/>
        </w:rPr>
        <w:t xml:space="preserve"> 10 חודשים לכל הפחות</w:t>
      </w:r>
      <w:r w:rsidR="00D26517">
        <w:rPr>
          <w:rFonts w:ascii="FrankRuehl" w:eastAsia="Calibri" w:hAnsi="FrankRuehl" w:cs="FrankRuehl" w:hint="cs"/>
          <w:b/>
          <w:bCs/>
          <w:sz w:val="28"/>
          <w:szCs w:val="28"/>
          <w:rtl/>
        </w:rPr>
        <w:t>,</w:t>
      </w:r>
      <w:r w:rsidRPr="00261DD0">
        <w:rPr>
          <w:rFonts w:ascii="FrankRuehl" w:eastAsia="Calibri" w:hAnsi="FrankRuehl" w:cs="FrankRuehl"/>
          <w:b/>
          <w:bCs/>
          <w:sz w:val="28"/>
          <w:szCs w:val="28"/>
          <w:rtl/>
        </w:rPr>
        <w:t xml:space="preserve"> </w:t>
      </w:r>
      <w:r w:rsidR="00D26517">
        <w:rPr>
          <w:rFonts w:ascii="FrankRuehl" w:eastAsia="Calibri" w:hAnsi="FrankRuehl" w:cs="FrankRuehl" w:hint="cs"/>
          <w:b/>
          <w:bCs/>
          <w:sz w:val="28"/>
          <w:szCs w:val="28"/>
          <w:rtl/>
        </w:rPr>
        <w:t>ו</w:t>
      </w:r>
      <w:r w:rsidR="00D26517">
        <w:rPr>
          <w:rFonts w:ascii="FrankRuehl" w:eastAsia="Calibri" w:hAnsi="FrankRuehl" w:cs="FrankRuehl"/>
          <w:b/>
          <w:bCs/>
          <w:sz w:val="28"/>
          <w:szCs w:val="28"/>
          <w:rtl/>
        </w:rPr>
        <w:t>יתקיימו זמני שהות</w:t>
      </w:r>
      <w:r w:rsidRPr="00261DD0">
        <w:rPr>
          <w:rFonts w:ascii="FrankRuehl" w:eastAsia="Calibri" w:hAnsi="FrankRuehl" w:cs="FrankRuehl"/>
          <w:b/>
          <w:bCs/>
          <w:sz w:val="28"/>
          <w:szCs w:val="28"/>
          <w:rtl/>
        </w:rPr>
        <w:t xml:space="preserve"> הכוללים לכל הפחות 2 לילות לינה בבית התובע לכל 7 ימים  (הי</w:t>
      </w:r>
      <w:r w:rsidR="00D26517">
        <w:rPr>
          <w:rFonts w:ascii="FrankRuehl" w:eastAsia="Calibri" w:hAnsi="FrankRuehl" w:cs="FrankRuehl" w:hint="cs"/>
          <w:b/>
          <w:bCs/>
          <w:sz w:val="28"/>
          <w:szCs w:val="28"/>
          <w:rtl/>
        </w:rPr>
        <w:t>ְ</w:t>
      </w:r>
      <w:r w:rsidR="00D26517">
        <w:rPr>
          <w:rFonts w:ascii="FrankRuehl" w:eastAsia="Calibri" w:hAnsi="FrankRuehl" w:cs="FrankRuehl"/>
          <w:b/>
          <w:bCs/>
          <w:sz w:val="28"/>
          <w:szCs w:val="28"/>
          <w:rtl/>
        </w:rPr>
        <w:t>ינו כל שבוע כולל סוף שבוע)</w:t>
      </w:r>
      <w:r w:rsidRPr="00261DD0">
        <w:rPr>
          <w:rFonts w:ascii="FrankRuehl" w:eastAsia="Calibri" w:hAnsi="FrankRuehl" w:cs="FrankRuehl"/>
          <w:b/>
          <w:bCs/>
          <w:sz w:val="28"/>
          <w:szCs w:val="28"/>
          <w:rtl/>
        </w:rPr>
        <w:t xml:space="preserve"> יופחתו </w:t>
      </w:r>
      <w:r w:rsidR="00D26517">
        <w:rPr>
          <w:rFonts w:ascii="FrankRuehl" w:eastAsia="Calibri" w:hAnsi="FrankRuehl" w:cs="FrankRuehl" w:hint="cs"/>
          <w:b/>
          <w:bCs/>
          <w:sz w:val="28"/>
          <w:szCs w:val="28"/>
          <w:rtl/>
        </w:rPr>
        <w:t xml:space="preserve">דמי </w:t>
      </w:r>
      <w:r w:rsidRPr="00261DD0">
        <w:rPr>
          <w:rFonts w:ascii="FrankRuehl" w:eastAsia="Calibri" w:hAnsi="FrankRuehl" w:cs="FrankRuehl"/>
          <w:b/>
          <w:bCs/>
          <w:sz w:val="28"/>
          <w:szCs w:val="28"/>
          <w:rtl/>
        </w:rPr>
        <w:t>המזונות החודשים ויעמדו על סך 1,275 ₪.</w:t>
      </w:r>
    </w:p>
    <w:p w:rsidR="00261DD0" w:rsidRPr="00261DD0" w:rsidRDefault="00261DD0" w:rsidP="00261DD0">
      <w:pPr>
        <w:spacing w:line="360" w:lineRule="auto"/>
        <w:ind w:left="567"/>
        <w:jc w:val="both"/>
        <w:rPr>
          <w:rFonts w:ascii="FrankRuehl" w:hAnsi="FrankRuehl" w:cs="FrankRuehl"/>
          <w:b/>
          <w:bCs/>
          <w:sz w:val="28"/>
          <w:szCs w:val="28"/>
          <w:rtl/>
        </w:rPr>
      </w:pPr>
    </w:p>
    <w:p w:rsidR="00261DD0" w:rsidRPr="00261DD0" w:rsidRDefault="00261DD0" w:rsidP="00261DD0">
      <w:pPr>
        <w:spacing w:line="360" w:lineRule="auto"/>
        <w:ind w:left="567"/>
        <w:jc w:val="both"/>
        <w:rPr>
          <w:rFonts w:ascii="FrankRuehl" w:eastAsia="Calibri" w:hAnsi="FrankRuehl" w:cs="FrankRuehl"/>
          <w:sz w:val="28"/>
          <w:szCs w:val="28"/>
          <w:rtl/>
        </w:rPr>
      </w:pPr>
      <w:r w:rsidRPr="00261DD0">
        <w:rPr>
          <w:rFonts w:ascii="FrankRuehl" w:eastAsia="Calibri" w:hAnsi="FrankRuehl" w:cs="FrankRuehl"/>
          <w:sz w:val="28"/>
          <w:szCs w:val="28"/>
          <w:rtl/>
        </w:rPr>
        <w:t>המזונות ישולמו עד הגעת הקטין לגיל 18 או סיום לימודי התיכון לפי המאוחר מבין השניים. ממועד זה ובתקופת השירות הצבאי (חובה), שירות הלאומי ושנת שירות, יעמדו דמי המזונות על שליש – כפי גובהם ערב תשלומם.</w:t>
      </w:r>
    </w:p>
    <w:p w:rsidR="00261DD0" w:rsidRPr="00261DD0" w:rsidRDefault="00261DD0" w:rsidP="00261DD0">
      <w:pPr>
        <w:spacing w:line="360" w:lineRule="auto"/>
        <w:ind w:left="567" w:hanging="567"/>
        <w:jc w:val="both"/>
        <w:rPr>
          <w:rFonts w:ascii="FrankRuehl" w:eastAsia="Calibri" w:hAnsi="FrankRuehl" w:cs="FrankRuehl"/>
          <w:sz w:val="28"/>
          <w:szCs w:val="28"/>
          <w:rtl/>
        </w:rPr>
      </w:pPr>
      <w:r w:rsidRPr="00261DD0">
        <w:rPr>
          <w:rFonts w:ascii="FrankRuehl" w:eastAsia="Calibri" w:hAnsi="FrankRuehl" w:cs="FrankRuehl"/>
          <w:sz w:val="28"/>
          <w:szCs w:val="28"/>
          <w:rtl/>
        </w:rPr>
        <w:tab/>
      </w:r>
    </w:p>
    <w:p w:rsidR="00261DD0" w:rsidRPr="00261DD0" w:rsidRDefault="00261DD0" w:rsidP="00261DD0">
      <w:pPr>
        <w:spacing w:line="360" w:lineRule="auto"/>
        <w:ind w:left="567"/>
        <w:jc w:val="both"/>
        <w:rPr>
          <w:rFonts w:ascii="FrankRuehl" w:eastAsia="Calibri" w:hAnsi="FrankRuehl" w:cs="FrankRuehl"/>
          <w:b/>
          <w:bCs/>
          <w:sz w:val="28"/>
          <w:szCs w:val="28"/>
          <w:rtl/>
        </w:rPr>
      </w:pPr>
      <w:r w:rsidRPr="00261DD0">
        <w:rPr>
          <w:rFonts w:ascii="FrankRuehl" w:eastAsia="Calibri" w:hAnsi="FrankRuehl" w:cs="FrankRuehl"/>
          <w:sz w:val="28"/>
          <w:szCs w:val="28"/>
          <w:rtl/>
        </w:rPr>
        <w:t>דמי המזונות יהיו צמודים למדד המחירים לצרכן על בסיס המדד הידוע היום ויעודכן פעם בשנה – במזונות חודש ינואר של כל שנה, ללא הפרשים לתקופות הביניים.</w:t>
      </w:r>
    </w:p>
    <w:p w:rsidR="00261DD0" w:rsidRPr="00261DD0" w:rsidRDefault="00261DD0" w:rsidP="00261DD0">
      <w:pPr>
        <w:spacing w:line="360" w:lineRule="auto"/>
        <w:ind w:left="567"/>
        <w:jc w:val="both"/>
        <w:rPr>
          <w:rFonts w:ascii="FrankRuehl" w:eastAsia="Calibri" w:hAnsi="FrankRuehl" w:cs="FrankRuehl"/>
          <w:b/>
          <w:bCs/>
          <w:sz w:val="28"/>
          <w:szCs w:val="28"/>
          <w:rtl/>
        </w:rPr>
      </w:pPr>
    </w:p>
    <w:p w:rsidR="00261DD0" w:rsidRPr="00261DD0" w:rsidRDefault="00261DD0" w:rsidP="00427B27">
      <w:pPr>
        <w:spacing w:line="360" w:lineRule="auto"/>
        <w:ind w:left="567" w:hanging="567"/>
        <w:jc w:val="both"/>
        <w:rPr>
          <w:rFonts w:ascii="FrankRuehl" w:eastAsia="Calibri" w:hAnsi="FrankRuehl" w:cs="FrankRuehl"/>
          <w:sz w:val="28"/>
          <w:szCs w:val="28"/>
          <w:rtl/>
        </w:rPr>
      </w:pPr>
      <w:r w:rsidRPr="00261DD0">
        <w:rPr>
          <w:rFonts w:ascii="FrankRuehl" w:eastAsia="Calibri" w:hAnsi="FrankRuehl" w:cs="FrankRuehl"/>
          <w:sz w:val="28"/>
          <w:szCs w:val="28"/>
          <w:rtl/>
        </w:rPr>
        <w:lastRenderedPageBreak/>
        <w:t>6</w:t>
      </w:r>
      <w:r w:rsidR="00427B27">
        <w:rPr>
          <w:rFonts w:ascii="FrankRuehl" w:eastAsia="Calibri" w:hAnsi="FrankRuehl" w:cs="FrankRuehl" w:hint="cs"/>
          <w:sz w:val="28"/>
          <w:szCs w:val="28"/>
          <w:rtl/>
        </w:rPr>
        <w:t>4</w:t>
      </w:r>
      <w:r w:rsidRPr="00261DD0">
        <w:rPr>
          <w:rFonts w:ascii="FrankRuehl" w:eastAsia="Calibri" w:hAnsi="FrankRuehl" w:cs="FrankRuehl"/>
          <w:sz w:val="28"/>
          <w:szCs w:val="28"/>
          <w:rtl/>
        </w:rPr>
        <w:t>.2</w:t>
      </w:r>
      <w:r w:rsidRPr="00261DD0">
        <w:rPr>
          <w:rFonts w:ascii="FrankRuehl" w:eastAsia="Calibri" w:hAnsi="FrankRuehl" w:cs="FrankRuehl"/>
          <w:sz w:val="28"/>
          <w:szCs w:val="28"/>
          <w:rtl/>
        </w:rPr>
        <w:tab/>
      </w:r>
      <w:r w:rsidR="001B4E47">
        <w:rPr>
          <w:rFonts w:ascii="FrankRuehl" w:eastAsia="Calibri" w:hAnsi="FrankRuehl" w:cs="FrankRuehl"/>
          <w:sz w:val="28"/>
          <w:szCs w:val="28"/>
          <w:rtl/>
        </w:rPr>
        <w:t>קִצבת</w:t>
      </w:r>
      <w:r w:rsidRPr="00261DD0">
        <w:rPr>
          <w:rFonts w:ascii="FrankRuehl" w:eastAsia="Calibri" w:hAnsi="FrankRuehl" w:cs="FrankRuehl"/>
          <w:sz w:val="28"/>
          <w:szCs w:val="28"/>
          <w:rtl/>
        </w:rPr>
        <w:t xml:space="preserve"> הילדים וכל קצבה המשולמת על-ידי המוסד לביטוח לאומי עבור הקטין (לרבות קצת התלוים שמקבלת האם), תשולם לתובעת בנוסף לדמי המזונות.</w:t>
      </w:r>
    </w:p>
    <w:p w:rsidR="00261DD0" w:rsidRPr="00261DD0" w:rsidRDefault="00261DD0" w:rsidP="00261DD0">
      <w:pPr>
        <w:spacing w:line="360" w:lineRule="auto"/>
        <w:ind w:left="567" w:hanging="567"/>
        <w:jc w:val="both"/>
        <w:rPr>
          <w:rFonts w:ascii="FrankRuehl" w:eastAsia="Calibri" w:hAnsi="FrankRuehl" w:cs="FrankRuehl"/>
          <w:sz w:val="28"/>
          <w:szCs w:val="28"/>
          <w:rtl/>
        </w:rPr>
      </w:pPr>
    </w:p>
    <w:p w:rsidR="00261DD0" w:rsidRPr="00261DD0" w:rsidRDefault="00261DD0" w:rsidP="00427B27">
      <w:pPr>
        <w:spacing w:line="360" w:lineRule="auto"/>
        <w:ind w:left="567" w:hanging="567"/>
        <w:jc w:val="both"/>
        <w:rPr>
          <w:rFonts w:ascii="FrankRuehl" w:eastAsia="Calibri" w:hAnsi="FrankRuehl" w:cs="FrankRuehl"/>
          <w:b/>
          <w:bCs/>
          <w:sz w:val="28"/>
          <w:szCs w:val="28"/>
          <w:rtl/>
        </w:rPr>
      </w:pPr>
      <w:r w:rsidRPr="00261DD0">
        <w:rPr>
          <w:rFonts w:ascii="FrankRuehl" w:eastAsia="Calibri" w:hAnsi="FrankRuehl" w:cs="FrankRuehl"/>
          <w:sz w:val="28"/>
          <w:szCs w:val="28"/>
          <w:rtl/>
        </w:rPr>
        <w:t>6</w:t>
      </w:r>
      <w:r w:rsidR="00427B27">
        <w:rPr>
          <w:rFonts w:ascii="FrankRuehl" w:eastAsia="Calibri" w:hAnsi="FrankRuehl" w:cs="FrankRuehl" w:hint="cs"/>
          <w:sz w:val="28"/>
          <w:szCs w:val="28"/>
          <w:rtl/>
        </w:rPr>
        <w:t>4</w:t>
      </w:r>
      <w:r w:rsidRPr="00261DD0">
        <w:rPr>
          <w:rFonts w:ascii="FrankRuehl" w:eastAsia="Calibri" w:hAnsi="FrankRuehl" w:cs="FrankRuehl"/>
          <w:sz w:val="28"/>
          <w:szCs w:val="28"/>
          <w:rtl/>
        </w:rPr>
        <w:t>.3.</w:t>
      </w:r>
      <w:r w:rsidRPr="00261DD0">
        <w:rPr>
          <w:rFonts w:ascii="FrankRuehl" w:eastAsia="Calibri" w:hAnsi="FrankRuehl" w:cs="FrankRuehl"/>
          <w:sz w:val="28"/>
          <w:szCs w:val="28"/>
          <w:rtl/>
        </w:rPr>
        <w:tab/>
        <w:t xml:space="preserve">אשר להוצאות בריאות חריגות, החל ממועד פסק דין זה, יישאו הצדדים בחלקים שווים בהוצאות רפואיות חריגות מכל מין וסוג שהוא ובלבד שסכום ההוצאה עולה על 100 ש"ח, לרבות רפואת שיניים כולל אורתודנטיה, משקפיים עדשות מגע, טיפולים פסיכולוגיים טיפולים רגשיים, אִבחונים, אבחוני ליקוי למידה, וכל הוצאה רפואית אחרת חריגה אשר איננה מכוסה (במלואה או בחלקה) על ידי קופת חולים, ובכלל זה הפרשים בגין אותה הוצאה חריגה לאחר קבלת החזר מכל מקור שהוא, אלא א"כ ההחזר מתקבל מביטוח פרטי הממומן על-ידי הורה אחד, בלבד שאז רק ההורה המממן זכאי ליהנות מהחזר זה. </w:t>
      </w:r>
    </w:p>
    <w:p w:rsidR="00261DD0" w:rsidRPr="00261DD0" w:rsidRDefault="00261DD0" w:rsidP="00261DD0">
      <w:pPr>
        <w:spacing w:line="360" w:lineRule="auto"/>
        <w:ind w:left="567" w:hanging="567"/>
        <w:jc w:val="both"/>
        <w:rPr>
          <w:rFonts w:ascii="FrankRuehl" w:eastAsia="Calibri" w:hAnsi="FrankRuehl" w:cs="FrankRuehl"/>
          <w:b/>
          <w:bCs/>
          <w:sz w:val="28"/>
          <w:szCs w:val="28"/>
          <w:rtl/>
        </w:rPr>
      </w:pPr>
    </w:p>
    <w:p w:rsidR="00261DD0" w:rsidRPr="00261DD0" w:rsidRDefault="00261DD0" w:rsidP="00261DD0">
      <w:pPr>
        <w:spacing w:line="360" w:lineRule="auto"/>
        <w:ind w:left="567"/>
        <w:jc w:val="both"/>
        <w:rPr>
          <w:rFonts w:ascii="FrankRuehl" w:eastAsia="Calibri" w:hAnsi="FrankRuehl" w:cs="FrankRuehl"/>
          <w:b/>
          <w:bCs/>
          <w:sz w:val="28"/>
          <w:szCs w:val="28"/>
          <w:rtl/>
        </w:rPr>
      </w:pPr>
      <w:r w:rsidRPr="00261DD0">
        <w:rPr>
          <w:rFonts w:ascii="FrankRuehl" w:eastAsia="Calibri" w:hAnsi="FrankRuehl" w:cs="FrankRuehl"/>
          <w:sz w:val="28"/>
          <w:szCs w:val="28"/>
          <w:rtl/>
        </w:rPr>
        <w:t xml:space="preserve">כל הוצאה רפואית כנ"ל תעשה על יסוד אסמכתא מגורם רלוונטי המאשר את נחיצותה, אשר תועבר מהורה אחד לשני בתקשורת מתועדת טרם הוצאת ההוצאה או קבלת הטיפול, על-מנת לאפשר להורה השני לבדוק האמור בתוך 10 ימים מיום משלוח האסמכתא. הוצאות שהוצאו קודם לפסק הדין – על הצד המשלם לשלוח לצד שכנגד הודעה בדואר רשום ואת תוך 21 יום שאם לא כן – יוחזק כמי שוויתר על ההוצאה. </w:t>
      </w:r>
    </w:p>
    <w:p w:rsidR="00261DD0" w:rsidRPr="00261DD0" w:rsidRDefault="00261DD0" w:rsidP="00261DD0">
      <w:pPr>
        <w:spacing w:line="360" w:lineRule="auto"/>
        <w:ind w:left="567"/>
        <w:jc w:val="both"/>
        <w:rPr>
          <w:rFonts w:ascii="FrankRuehl" w:eastAsia="Calibri" w:hAnsi="FrankRuehl" w:cs="FrankRuehl"/>
          <w:b/>
          <w:bCs/>
          <w:sz w:val="28"/>
          <w:szCs w:val="28"/>
          <w:rtl/>
        </w:rPr>
      </w:pPr>
    </w:p>
    <w:p w:rsidR="00261DD0" w:rsidRPr="00261DD0" w:rsidRDefault="00261DD0" w:rsidP="00427B27">
      <w:pPr>
        <w:spacing w:line="360" w:lineRule="auto"/>
        <w:ind w:left="567" w:hanging="567"/>
        <w:jc w:val="both"/>
        <w:rPr>
          <w:rFonts w:ascii="FrankRuehl" w:eastAsiaTheme="minorHAnsi" w:hAnsi="FrankRuehl" w:cs="FrankRuehl"/>
          <w:sz w:val="28"/>
          <w:szCs w:val="28"/>
          <w:rtl/>
        </w:rPr>
      </w:pPr>
      <w:r w:rsidRPr="00261DD0">
        <w:rPr>
          <w:rFonts w:ascii="FrankRuehl" w:eastAsia="Calibri" w:hAnsi="FrankRuehl" w:cs="FrankRuehl"/>
          <w:sz w:val="28"/>
          <w:szCs w:val="28"/>
          <w:rtl/>
        </w:rPr>
        <w:t>6</w:t>
      </w:r>
      <w:r w:rsidR="00427B27">
        <w:rPr>
          <w:rFonts w:ascii="FrankRuehl" w:eastAsia="Calibri" w:hAnsi="FrankRuehl" w:cs="FrankRuehl" w:hint="cs"/>
          <w:sz w:val="28"/>
          <w:szCs w:val="28"/>
          <w:rtl/>
        </w:rPr>
        <w:t>4</w:t>
      </w:r>
      <w:r w:rsidRPr="00261DD0">
        <w:rPr>
          <w:rFonts w:ascii="FrankRuehl" w:eastAsia="Calibri" w:hAnsi="FrankRuehl" w:cs="FrankRuehl"/>
          <w:sz w:val="28"/>
          <w:szCs w:val="28"/>
          <w:rtl/>
        </w:rPr>
        <w:t>.4.</w:t>
      </w:r>
      <w:r w:rsidRPr="00261DD0">
        <w:rPr>
          <w:rFonts w:ascii="FrankRuehl" w:eastAsia="Calibri" w:hAnsi="FrankRuehl" w:cs="FrankRuehl"/>
          <w:sz w:val="28"/>
          <w:szCs w:val="28"/>
          <w:rtl/>
        </w:rPr>
        <w:tab/>
        <w:t>אשר להוצאות חינוך חריגות, החל ממועד פסק דין זה, יישאו הצדדים בחלקים שווים בהוצאות החינוך כדלקמן: אגרות חינוך, שכר לימוד וכל תשלום אחר הנדרש לתשלום ישירות למערכת החינוכית ו/או למסגרת החינוכית לרבות ועד הורים, וכן מעון, צהרון (ציבורי), חוג, שיעורי עזר (על-פי המלצת הגורם הרלוונטי) ותנועת נוער, בקיזוז ההטבה שתקבל האֵם מהמל"ל ו/או מהצד השלישי. הצדדים יישאו בעלות של מחזור קייטנה אחת בחופשת הקיץ וכן קייטנה אחת בפסח או סוכות. טרם רישום לקייטנה, על הצדדים להסכים לעלותה של הקייטנה ובהעדר הסכמה התשלום יהא בהתאם לעלות קייטנה עירונית</w:t>
      </w:r>
      <w:r w:rsidR="00D26517">
        <w:rPr>
          <w:rFonts w:ascii="FrankRuehl" w:eastAsia="Calibri" w:hAnsi="FrankRuehl" w:cs="FrankRuehl" w:hint="cs"/>
          <w:sz w:val="28"/>
          <w:szCs w:val="28"/>
          <w:rtl/>
        </w:rPr>
        <w:t xml:space="preserve"> </w:t>
      </w:r>
      <w:r w:rsidRPr="00261DD0">
        <w:rPr>
          <w:rFonts w:ascii="FrankRuehl" w:eastAsia="Calibri" w:hAnsi="FrankRuehl" w:cs="FrankRuehl"/>
          <w:sz w:val="28"/>
          <w:szCs w:val="28"/>
          <w:rtl/>
        </w:rPr>
        <w:t>/</w:t>
      </w:r>
      <w:r w:rsidR="00D26517">
        <w:rPr>
          <w:rFonts w:ascii="FrankRuehl" w:eastAsia="Calibri" w:hAnsi="FrankRuehl" w:cs="FrankRuehl" w:hint="cs"/>
          <w:sz w:val="28"/>
          <w:szCs w:val="28"/>
          <w:rtl/>
        </w:rPr>
        <w:t xml:space="preserve"> </w:t>
      </w:r>
      <w:r w:rsidRPr="00261DD0">
        <w:rPr>
          <w:rFonts w:ascii="FrankRuehl" w:eastAsia="Calibri" w:hAnsi="FrankRuehl" w:cs="FrankRuehl"/>
          <w:sz w:val="28"/>
          <w:szCs w:val="28"/>
          <w:rtl/>
        </w:rPr>
        <w:t>מתנ"ס. הוצאת שהוצאו קודם לפסק הדין על הצד המשלם לשלוח לצד שכנגד הודעה בדואר רשום וזאת בתוך 21 יום, שאם לא כן</w:t>
      </w:r>
      <w:r w:rsidRPr="00261DD0">
        <w:rPr>
          <w:rFonts w:ascii="FrankRuehl" w:eastAsia="Calibri" w:hAnsi="FrankRuehl" w:cs="FrankRuehl"/>
          <w:sz w:val="28"/>
          <w:szCs w:val="28"/>
        </w:rPr>
        <w:t xml:space="preserve"> </w:t>
      </w:r>
      <w:r w:rsidRPr="00261DD0">
        <w:rPr>
          <w:rFonts w:ascii="FrankRuehl" w:eastAsia="Calibri" w:hAnsi="FrankRuehl" w:cs="FrankRuehl"/>
          <w:sz w:val="28"/>
          <w:szCs w:val="28"/>
          <w:rtl/>
        </w:rPr>
        <w:t>יוחזק כמי שוויתר על ההוצאה</w:t>
      </w:r>
      <w:r w:rsidRPr="00261DD0">
        <w:rPr>
          <w:rFonts w:ascii="FrankRuehl" w:hAnsi="FrankRuehl" w:cs="FrankRuehl"/>
          <w:sz w:val="28"/>
          <w:szCs w:val="28"/>
          <w:rtl/>
        </w:rPr>
        <w:t>.</w:t>
      </w:r>
    </w:p>
    <w:p w:rsidR="00261DD0" w:rsidRPr="00261DD0" w:rsidRDefault="00261DD0" w:rsidP="00261DD0">
      <w:pPr>
        <w:spacing w:line="360" w:lineRule="auto"/>
        <w:ind w:left="567" w:hanging="567"/>
        <w:jc w:val="both"/>
        <w:rPr>
          <w:rFonts w:ascii="FrankRuehl" w:eastAsiaTheme="minorHAnsi" w:hAnsi="FrankRuehl" w:cs="FrankRuehl"/>
          <w:sz w:val="28"/>
          <w:szCs w:val="28"/>
          <w:rtl/>
        </w:rPr>
      </w:pPr>
    </w:p>
    <w:p w:rsidR="00261DD0" w:rsidRPr="00261DD0" w:rsidRDefault="00261DD0" w:rsidP="00427B27">
      <w:pPr>
        <w:spacing w:line="360" w:lineRule="auto"/>
        <w:ind w:left="567" w:hanging="567"/>
        <w:jc w:val="both"/>
        <w:rPr>
          <w:rFonts w:ascii="FrankRuehl" w:hAnsi="FrankRuehl" w:cs="FrankRuehl"/>
          <w:sz w:val="28"/>
          <w:szCs w:val="28"/>
          <w:rtl/>
        </w:rPr>
      </w:pPr>
      <w:r w:rsidRPr="00261DD0">
        <w:rPr>
          <w:rFonts w:ascii="FrankRuehl" w:hAnsi="FrankRuehl" w:cs="FrankRuehl"/>
          <w:sz w:val="28"/>
          <w:szCs w:val="28"/>
          <w:rtl/>
        </w:rPr>
        <w:t>6</w:t>
      </w:r>
      <w:r w:rsidR="00427B27">
        <w:rPr>
          <w:rFonts w:ascii="FrankRuehl" w:hAnsi="FrankRuehl" w:cs="FrankRuehl" w:hint="cs"/>
          <w:sz w:val="28"/>
          <w:szCs w:val="28"/>
          <w:rtl/>
        </w:rPr>
        <w:t>4</w:t>
      </w:r>
      <w:r w:rsidRPr="00261DD0">
        <w:rPr>
          <w:rFonts w:ascii="FrankRuehl" w:hAnsi="FrankRuehl" w:cs="FrankRuehl"/>
          <w:sz w:val="28"/>
          <w:szCs w:val="28"/>
          <w:rtl/>
        </w:rPr>
        <w:t>.5.</w:t>
      </w:r>
      <w:r w:rsidRPr="00261DD0">
        <w:rPr>
          <w:rFonts w:ascii="FrankRuehl" w:hAnsi="FrankRuehl" w:cs="FrankRuehl"/>
          <w:sz w:val="28"/>
          <w:szCs w:val="28"/>
          <w:rtl/>
        </w:rPr>
        <w:tab/>
      </w:r>
      <w:r w:rsidRPr="00261DD0">
        <w:rPr>
          <w:rFonts w:ascii="FrankRuehl" w:eastAsia="Calibri" w:hAnsi="FrankRuehl" w:cs="FrankRuehl"/>
          <w:sz w:val="28"/>
          <w:szCs w:val="28"/>
          <w:rtl/>
        </w:rPr>
        <w:t>כל הוצאה חריגה אחרת שלא נכללת לעיל, יישאו בה שני ההורים בחלקים שווים ובלבד ששני ההורים הסכימו להוצאה זו באופן מתועד (לרבות בתקשורת המתועדת).</w:t>
      </w:r>
    </w:p>
    <w:p w:rsidR="00261DD0" w:rsidRPr="00261DD0" w:rsidRDefault="00261DD0" w:rsidP="00261DD0">
      <w:pPr>
        <w:spacing w:line="360" w:lineRule="auto"/>
        <w:ind w:left="567" w:hanging="567"/>
        <w:jc w:val="both"/>
        <w:rPr>
          <w:rFonts w:ascii="FrankRuehl" w:hAnsi="FrankRuehl" w:cs="FrankRuehl"/>
          <w:sz w:val="28"/>
          <w:szCs w:val="28"/>
          <w:rtl/>
        </w:rPr>
      </w:pPr>
    </w:p>
    <w:p w:rsidR="00D26517" w:rsidRDefault="00261DD0" w:rsidP="00427B27">
      <w:pPr>
        <w:spacing w:line="360" w:lineRule="auto"/>
        <w:ind w:left="567" w:hanging="567"/>
        <w:jc w:val="both"/>
        <w:rPr>
          <w:rFonts w:ascii="FrankRuehl" w:eastAsia="Calibri" w:hAnsi="FrankRuehl" w:cs="FrankRuehl"/>
          <w:sz w:val="28"/>
          <w:szCs w:val="28"/>
          <w:rtl/>
        </w:rPr>
      </w:pPr>
      <w:r w:rsidRPr="00261DD0">
        <w:rPr>
          <w:rFonts w:ascii="FrankRuehl" w:hAnsi="FrankRuehl" w:cs="FrankRuehl"/>
          <w:sz w:val="28"/>
          <w:szCs w:val="28"/>
          <w:rtl/>
        </w:rPr>
        <w:lastRenderedPageBreak/>
        <w:t>6</w:t>
      </w:r>
      <w:r w:rsidR="00427B27">
        <w:rPr>
          <w:rFonts w:ascii="FrankRuehl" w:hAnsi="FrankRuehl" w:cs="FrankRuehl" w:hint="cs"/>
          <w:sz w:val="28"/>
          <w:szCs w:val="28"/>
          <w:rtl/>
        </w:rPr>
        <w:t>4</w:t>
      </w:r>
      <w:r w:rsidRPr="00261DD0">
        <w:rPr>
          <w:rFonts w:ascii="FrankRuehl" w:hAnsi="FrankRuehl" w:cs="FrankRuehl"/>
          <w:sz w:val="28"/>
          <w:szCs w:val="28"/>
          <w:rtl/>
        </w:rPr>
        <w:t>.6.</w:t>
      </w:r>
      <w:r w:rsidRPr="00261DD0">
        <w:rPr>
          <w:rFonts w:ascii="FrankRuehl" w:hAnsi="FrankRuehl" w:cs="FrankRuehl"/>
          <w:sz w:val="28"/>
          <w:szCs w:val="28"/>
          <w:rtl/>
        </w:rPr>
        <w:tab/>
      </w:r>
      <w:r w:rsidRPr="00261DD0">
        <w:rPr>
          <w:rFonts w:ascii="FrankRuehl" w:eastAsia="Calibri" w:hAnsi="FrankRuehl" w:cs="FrankRuehl"/>
          <w:sz w:val="28"/>
          <w:szCs w:val="28"/>
          <w:rtl/>
        </w:rPr>
        <w:t xml:space="preserve">הורה אשר יישא בסכום העולה על שיעור חלקו בגין ההוצאות המפורטות לעיל ("ההורה המשלם") יקבל מהורה השני ("ההורה החייב") את חלקו בהתאם לאמור לעיל, וזאת בתוך 10 ימים מיום שההורה המשלם שלח להורה החייב בתקשורת המתועדת דרישה בצירוף האסמכתא הרלוונטית על התשלום הנדרש, ובתנאי שהמשלוח ייעשה לא יאוחר                                                                                                                                                                                                                                                                                                                                                             מחצי שנה לאחר ההוצאה. לחילופין רשאי ההורה החייב להודיע לאם בתקשורת המתועדת בתוך עשרת הימים דלעיל, כי הוא ישלם את </w:t>
      </w:r>
      <w:r w:rsidR="00D26517">
        <w:rPr>
          <w:rFonts w:ascii="FrankRuehl" w:eastAsia="Calibri" w:hAnsi="FrankRuehl" w:cs="FrankRuehl"/>
          <w:sz w:val="28"/>
          <w:szCs w:val="28"/>
          <w:rtl/>
        </w:rPr>
        <w:t>חלקו ישירות לגורם נותן השירות.</w:t>
      </w:r>
    </w:p>
    <w:p w:rsidR="00D26517" w:rsidRPr="00D26517" w:rsidRDefault="00D26517" w:rsidP="00D26517">
      <w:pPr>
        <w:spacing w:line="360" w:lineRule="auto"/>
        <w:ind w:left="567" w:hanging="567"/>
        <w:jc w:val="both"/>
        <w:rPr>
          <w:rFonts w:ascii="FrankRuehl" w:eastAsia="Calibri" w:hAnsi="FrankRuehl" w:cs="FrankRuehl"/>
          <w:sz w:val="28"/>
          <w:szCs w:val="28"/>
          <w:rtl/>
        </w:rPr>
      </w:pPr>
    </w:p>
    <w:p w:rsidR="00261DD0" w:rsidRPr="00261DD0" w:rsidRDefault="00261DD0" w:rsidP="00427B27">
      <w:pPr>
        <w:spacing w:line="360" w:lineRule="auto"/>
        <w:ind w:left="567" w:hanging="567"/>
        <w:jc w:val="both"/>
        <w:rPr>
          <w:rFonts w:ascii="FrankRuehl" w:hAnsi="FrankRuehl" w:cs="FrankRuehl"/>
          <w:sz w:val="28"/>
          <w:szCs w:val="28"/>
          <w:rtl/>
        </w:rPr>
      </w:pPr>
      <w:r w:rsidRPr="00261DD0">
        <w:rPr>
          <w:rFonts w:ascii="FrankRuehl" w:hAnsi="FrankRuehl" w:cs="FrankRuehl"/>
          <w:sz w:val="28"/>
          <w:szCs w:val="28"/>
          <w:rtl/>
        </w:rPr>
        <w:t>6</w:t>
      </w:r>
      <w:r w:rsidR="00427B27">
        <w:rPr>
          <w:rFonts w:ascii="FrankRuehl" w:hAnsi="FrankRuehl" w:cs="FrankRuehl" w:hint="cs"/>
          <w:sz w:val="28"/>
          <w:szCs w:val="28"/>
          <w:rtl/>
        </w:rPr>
        <w:t>4</w:t>
      </w:r>
      <w:r w:rsidRPr="00261DD0">
        <w:rPr>
          <w:rFonts w:ascii="FrankRuehl" w:hAnsi="FrankRuehl" w:cs="FrankRuehl"/>
          <w:sz w:val="28"/>
          <w:szCs w:val="28"/>
          <w:rtl/>
        </w:rPr>
        <w:t>.7.</w:t>
      </w:r>
      <w:r w:rsidRPr="00261DD0">
        <w:rPr>
          <w:rFonts w:ascii="FrankRuehl" w:hAnsi="FrankRuehl" w:cs="FrankRuehl"/>
          <w:sz w:val="28"/>
          <w:szCs w:val="28"/>
          <w:rtl/>
        </w:rPr>
        <w:tab/>
      </w:r>
      <w:r w:rsidRPr="00261DD0">
        <w:rPr>
          <w:rFonts w:ascii="FrankRuehl" w:eastAsia="Calibri" w:hAnsi="FrankRuehl" w:cs="FrankRuehl"/>
          <w:sz w:val="28"/>
          <w:szCs w:val="28"/>
          <w:rtl/>
        </w:rPr>
        <w:t xml:space="preserve">כל הודעה לרבות מסמכים, בקשור לחיובי המזונות, תועבר באחד מאופני התקשורת הבאים - להלן: "תקשורת מתועדת": דוא"ל / דואר רשום / תקשורת סלולרית (כגון: </w:t>
      </w:r>
      <w:r w:rsidRPr="00D26517">
        <w:rPr>
          <w:rFonts w:ascii="FrankRuehl" w:eastAsia="Calibri" w:hAnsi="FrankRuehl" w:cs="FrankRuehl"/>
          <w:sz w:val="23"/>
          <w:szCs w:val="23"/>
        </w:rPr>
        <w:t>WhatsApp</w:t>
      </w:r>
      <w:r w:rsidRPr="00261DD0">
        <w:rPr>
          <w:rFonts w:ascii="FrankRuehl" w:eastAsia="Calibri" w:hAnsi="FrankRuehl" w:cs="FrankRuehl"/>
          <w:sz w:val="28"/>
          <w:szCs w:val="28"/>
          <w:rtl/>
        </w:rPr>
        <w:t>), כאשר ההורה השולח איננו מחויב להוכיח כי ההורה השני קיבל לידיו את ההודעה אלא כי שלח לו באחד מאופני התקשורת המפורטים לעיל. כל העברה באופן אחר, תחייב את ההורה השולח להוכיח כי ההורה השני קיבל לידיו את המידע / המסמכים.</w:t>
      </w:r>
    </w:p>
    <w:p w:rsidR="00261DD0" w:rsidRPr="00261DD0" w:rsidRDefault="00261DD0" w:rsidP="00261DD0">
      <w:pPr>
        <w:spacing w:line="360" w:lineRule="auto"/>
        <w:ind w:left="567" w:hanging="567"/>
        <w:jc w:val="both"/>
        <w:rPr>
          <w:rFonts w:ascii="FrankRuehl" w:hAnsi="FrankRuehl" w:cs="FrankRuehl"/>
          <w:sz w:val="28"/>
          <w:szCs w:val="28"/>
          <w:rtl/>
        </w:rPr>
      </w:pPr>
    </w:p>
    <w:p w:rsidR="00261DD0" w:rsidRPr="00261DD0" w:rsidRDefault="00261DD0" w:rsidP="00427B27">
      <w:pPr>
        <w:spacing w:line="360" w:lineRule="auto"/>
        <w:ind w:left="567" w:hanging="567"/>
        <w:jc w:val="both"/>
        <w:rPr>
          <w:rFonts w:ascii="FrankRuehl" w:hAnsi="FrankRuehl" w:cs="FrankRuehl"/>
          <w:sz w:val="28"/>
          <w:szCs w:val="28"/>
          <w:rtl/>
        </w:rPr>
      </w:pPr>
      <w:r w:rsidRPr="00261DD0">
        <w:rPr>
          <w:rFonts w:ascii="FrankRuehl" w:hAnsi="FrankRuehl" w:cs="FrankRuehl"/>
          <w:sz w:val="28"/>
          <w:szCs w:val="28"/>
          <w:rtl/>
        </w:rPr>
        <w:t>6</w:t>
      </w:r>
      <w:r w:rsidR="00427B27">
        <w:rPr>
          <w:rFonts w:ascii="FrankRuehl" w:hAnsi="FrankRuehl" w:cs="FrankRuehl" w:hint="cs"/>
          <w:sz w:val="28"/>
          <w:szCs w:val="28"/>
          <w:rtl/>
        </w:rPr>
        <w:t>4</w:t>
      </w:r>
      <w:r w:rsidRPr="00261DD0">
        <w:rPr>
          <w:rFonts w:ascii="FrankRuehl" w:hAnsi="FrankRuehl" w:cs="FrankRuehl"/>
          <w:sz w:val="28"/>
          <w:szCs w:val="28"/>
          <w:rtl/>
        </w:rPr>
        <w:t xml:space="preserve">.8   </w:t>
      </w:r>
      <w:r w:rsidRPr="00261DD0">
        <w:rPr>
          <w:rFonts w:ascii="FrankRuehl" w:hAnsi="FrankRuehl" w:cs="FrankRuehl"/>
          <w:b/>
          <w:bCs/>
          <w:sz w:val="28"/>
          <w:szCs w:val="28"/>
          <w:rtl/>
        </w:rPr>
        <w:t>מזונות עבר – ממועד הבקשה לי"ס ועד למזונות חודש מרץ 2023, חב הנתבע כפי החלטת השופטת גולדקורן מיום 16.11.2020.</w:t>
      </w:r>
    </w:p>
    <w:p w:rsidR="00261DD0" w:rsidRDefault="00261DD0" w:rsidP="00261DD0">
      <w:pPr>
        <w:spacing w:line="360" w:lineRule="auto"/>
        <w:ind w:left="368" w:hanging="368"/>
        <w:jc w:val="both"/>
        <w:rPr>
          <w:rFonts w:ascii="David" w:hAnsi="David"/>
          <w:b/>
          <w:bCs/>
          <w:u w:val="single"/>
          <w:rtl/>
        </w:rPr>
      </w:pPr>
    </w:p>
    <w:p w:rsidR="00261DD0" w:rsidRPr="00D26517" w:rsidRDefault="00261DD0" w:rsidP="00261DD0">
      <w:pPr>
        <w:spacing w:line="360" w:lineRule="auto"/>
        <w:ind w:left="368" w:hanging="368"/>
        <w:jc w:val="both"/>
        <w:rPr>
          <w:rFonts w:ascii="FrankRuehl" w:hAnsi="FrankRuehl" w:cs="FrankRuehl"/>
          <w:b/>
          <w:bCs/>
          <w:sz w:val="28"/>
          <w:szCs w:val="28"/>
          <w:u w:val="single"/>
          <w:rtl/>
        </w:rPr>
      </w:pPr>
      <w:r w:rsidRPr="00D26517">
        <w:rPr>
          <w:rFonts w:ascii="FrankRuehl" w:hAnsi="FrankRuehl" w:cs="FrankRuehl"/>
          <w:b/>
          <w:bCs/>
          <w:sz w:val="28"/>
          <w:szCs w:val="28"/>
          <w:u w:val="single"/>
          <w:rtl/>
        </w:rPr>
        <w:t>אין צו להוצאות</w:t>
      </w:r>
      <w:r w:rsidRPr="00D26517">
        <w:rPr>
          <w:rFonts w:ascii="FrankRuehl" w:hAnsi="FrankRuehl" w:cs="FrankRuehl"/>
          <w:b/>
          <w:bCs/>
          <w:sz w:val="28"/>
          <w:szCs w:val="28"/>
          <w:rtl/>
        </w:rPr>
        <w:t>.</w:t>
      </w:r>
    </w:p>
    <w:p w:rsidR="00261DD0" w:rsidRPr="00D26517" w:rsidRDefault="00261DD0" w:rsidP="00261DD0">
      <w:pPr>
        <w:spacing w:line="360" w:lineRule="auto"/>
        <w:jc w:val="both"/>
        <w:rPr>
          <w:rFonts w:ascii="FrankRuehl" w:hAnsi="FrankRuehl" w:cs="FrankRuehl"/>
          <w:b/>
          <w:bCs/>
          <w:sz w:val="28"/>
          <w:szCs w:val="28"/>
          <w:u w:val="single"/>
          <w:rtl/>
        </w:rPr>
      </w:pPr>
      <w:r w:rsidRPr="00D26517">
        <w:rPr>
          <w:rFonts w:ascii="FrankRuehl" w:hAnsi="FrankRuehl" w:cs="FrankRuehl"/>
          <w:b/>
          <w:bCs/>
          <w:sz w:val="28"/>
          <w:szCs w:val="28"/>
          <w:u w:val="single"/>
          <w:rtl/>
        </w:rPr>
        <w:t>מותר לפרסום בהשמטת פרטים מזהים, תיקוני הגהה ועריכה</w:t>
      </w:r>
      <w:r w:rsidRPr="00D26517">
        <w:rPr>
          <w:rFonts w:ascii="FrankRuehl" w:hAnsi="FrankRuehl" w:cs="FrankRuehl"/>
          <w:b/>
          <w:bCs/>
          <w:sz w:val="28"/>
          <w:szCs w:val="28"/>
          <w:rtl/>
        </w:rPr>
        <w:t>.</w:t>
      </w:r>
    </w:p>
    <w:p w:rsidR="00261DD0" w:rsidRDefault="00261DD0" w:rsidP="00261DD0">
      <w:pPr>
        <w:spacing w:line="360" w:lineRule="auto"/>
        <w:jc w:val="both"/>
        <w:rPr>
          <w:rFonts w:ascii="FrankRuehl" w:hAnsi="FrankRuehl" w:cs="FrankRuehl"/>
          <w:b/>
          <w:bCs/>
          <w:sz w:val="28"/>
          <w:szCs w:val="28"/>
          <w:u w:val="single"/>
          <w:rtl/>
        </w:rPr>
      </w:pPr>
      <w:r w:rsidRPr="00D26517">
        <w:rPr>
          <w:rFonts w:ascii="FrankRuehl" w:hAnsi="FrankRuehl" w:cs="FrankRuehl"/>
          <w:b/>
          <w:bCs/>
          <w:sz w:val="28"/>
          <w:szCs w:val="28"/>
          <w:u w:val="single"/>
          <w:rtl/>
        </w:rPr>
        <w:t>המזכירות תמציא לצדדים ותסגור תלה"מ 28306-09-20 בלבד</w:t>
      </w:r>
      <w:r w:rsidRPr="00D26517">
        <w:rPr>
          <w:rFonts w:ascii="FrankRuehl" w:hAnsi="FrankRuehl" w:cs="FrankRuehl"/>
          <w:b/>
          <w:bCs/>
          <w:sz w:val="28"/>
          <w:szCs w:val="28"/>
          <w:rtl/>
        </w:rPr>
        <w:t>.</w:t>
      </w:r>
    </w:p>
    <w:p w:rsidR="00D26517" w:rsidRPr="00D26517" w:rsidRDefault="00D26517" w:rsidP="00261DD0">
      <w:pPr>
        <w:spacing w:line="360" w:lineRule="auto"/>
        <w:jc w:val="both"/>
        <w:rPr>
          <w:rFonts w:ascii="FrankRuehl" w:hAnsi="FrankRuehl" w:cs="FrankRuehl"/>
          <w:b/>
          <w:bCs/>
          <w:sz w:val="28"/>
          <w:szCs w:val="28"/>
          <w:u w:val="single"/>
          <w:rtl/>
        </w:rPr>
      </w:pPr>
    </w:p>
    <w:p w:rsidR="00261DD0" w:rsidRPr="00D26517" w:rsidRDefault="00261DD0" w:rsidP="00261DD0">
      <w:pPr>
        <w:spacing w:line="360" w:lineRule="auto"/>
        <w:jc w:val="both"/>
        <w:rPr>
          <w:rFonts w:ascii="FrankRuehl" w:hAnsi="FrankRuehl" w:cs="FrankRuehl"/>
          <w:noProof w:val="0"/>
          <w:sz w:val="28"/>
          <w:szCs w:val="28"/>
          <w:rtl/>
        </w:rPr>
      </w:pPr>
      <w:r w:rsidRPr="00D26517">
        <w:rPr>
          <w:rFonts w:ascii="FrankRuehl" w:hAnsi="FrankRuehl" w:cs="FrankRuehl"/>
          <w:noProof w:val="0"/>
          <w:sz w:val="28"/>
          <w:szCs w:val="28"/>
          <w:rtl/>
        </w:rPr>
        <w:t xml:space="preserve">ניתן היום,  </w:t>
      </w:r>
      <w:sdt>
        <w:sdtPr>
          <w:rPr>
            <w:rFonts w:ascii="FrankRuehl" w:hAnsi="FrankRuehl" w:cs="FrankRuehl"/>
            <w:sz w:val="28"/>
            <w:szCs w:val="28"/>
            <w:rtl/>
          </w:rPr>
          <w:alias w:val="1455"/>
          <w:tag w:val="1455"/>
          <w:id w:val="242217728"/>
          <w:text w:multiLine="1"/>
        </w:sdtPr>
        <w:sdtEndPr/>
        <w:sdtContent>
          <w:r>
            <w:rPr>
              <w:rFonts w:ascii="FrankRuehl" w:hAnsi="FrankRuehl" w:cs="FrankRuehl"/>
              <w:noProof w:val="0"/>
              <w:sz w:val="28"/>
              <w:szCs w:val="28"/>
              <w:rtl/>
            </w:rPr>
            <w:t>כ' אדר תשפ"ג</w:t>
          </w:r>
        </w:sdtContent>
      </w:sdt>
      <w:r w:rsidRPr="00D26517">
        <w:rPr>
          <w:rFonts w:ascii="FrankRuehl" w:hAnsi="FrankRuehl" w:cs="FrankRuehl"/>
          <w:noProof w:val="0"/>
          <w:sz w:val="28"/>
          <w:szCs w:val="28"/>
          <w:rtl/>
        </w:rPr>
        <w:t xml:space="preserve">, </w:t>
      </w:r>
      <w:sdt>
        <w:sdtPr>
          <w:rPr>
            <w:rFonts w:ascii="FrankRuehl" w:hAnsi="FrankRuehl" w:cs="FrankRuehl"/>
            <w:sz w:val="28"/>
            <w:szCs w:val="28"/>
            <w:rtl/>
          </w:rPr>
          <w:alias w:val="1456"/>
          <w:tag w:val="1456"/>
          <w:id w:val="-1101635932"/>
          <w:text w:multiLine="1"/>
        </w:sdtPr>
        <w:sdtEndPr/>
        <w:sdtContent>
          <w:r>
            <w:rPr>
              <w:rFonts w:ascii="FrankRuehl" w:hAnsi="FrankRuehl" w:cs="FrankRuehl"/>
              <w:noProof w:val="0"/>
              <w:sz w:val="28"/>
              <w:szCs w:val="28"/>
              <w:rtl/>
            </w:rPr>
            <w:t>13 מרץ 2023</w:t>
          </w:r>
        </w:sdtContent>
      </w:sdt>
      <w:r w:rsidRPr="00D26517">
        <w:rPr>
          <w:rFonts w:ascii="FrankRuehl" w:hAnsi="FrankRuehl" w:cs="FrankRuehl"/>
          <w:noProof w:val="0"/>
          <w:sz w:val="28"/>
          <w:szCs w:val="28"/>
          <w:rtl/>
        </w:rPr>
        <w:t>, בהעדר הצדדים.</w:t>
      </w:r>
    </w:p>
    <w:p w:rsidR="00261DD0" w:rsidRPr="00D26517" w:rsidRDefault="00261DD0" w:rsidP="00261DD0">
      <w:pPr>
        <w:spacing w:line="360" w:lineRule="auto"/>
        <w:jc w:val="both"/>
        <w:rPr>
          <w:rFonts w:ascii="FrankRuehl" w:hAnsi="FrankRuehl" w:cs="FrankRuehl"/>
          <w:noProof w:val="0"/>
          <w:sz w:val="28"/>
          <w:szCs w:val="28"/>
          <w:rtl/>
        </w:rPr>
      </w:pPr>
      <w:r w:rsidRPr="00D26517">
        <w:rPr>
          <w:rFonts w:ascii="FrankRuehl" w:hAnsi="FrankRuehl" w:cs="FrankRuehl"/>
          <w:noProof w:val="0"/>
          <w:sz w:val="28"/>
          <w:szCs w:val="28"/>
          <w:rtl/>
        </w:rPr>
        <w:tab/>
      </w:r>
      <w:r w:rsidRPr="00D26517">
        <w:rPr>
          <w:rFonts w:ascii="FrankRuehl" w:hAnsi="FrankRuehl" w:cs="FrankRuehl"/>
          <w:noProof w:val="0"/>
          <w:sz w:val="28"/>
          <w:szCs w:val="28"/>
          <w:rtl/>
        </w:rPr>
        <w:tab/>
      </w:r>
      <w:r w:rsidRPr="00D26517">
        <w:rPr>
          <w:rFonts w:ascii="FrankRuehl" w:hAnsi="FrankRuehl" w:cs="FrankRuehl"/>
          <w:noProof w:val="0"/>
          <w:sz w:val="28"/>
          <w:szCs w:val="28"/>
          <w:rtl/>
        </w:rPr>
        <w:tab/>
      </w:r>
      <w:r w:rsidRPr="00D26517">
        <w:rPr>
          <w:rFonts w:ascii="FrankRuehl" w:hAnsi="FrankRuehl" w:cs="FrankRuehl"/>
          <w:noProof w:val="0"/>
          <w:sz w:val="28"/>
          <w:szCs w:val="28"/>
          <w:rtl/>
        </w:rPr>
        <w:tab/>
      </w:r>
      <w:r w:rsidRPr="00D26517">
        <w:rPr>
          <w:rFonts w:ascii="FrankRuehl" w:hAnsi="FrankRuehl" w:cs="FrankRuehl"/>
          <w:noProof w:val="0"/>
          <w:sz w:val="28"/>
          <w:szCs w:val="28"/>
          <w:rtl/>
        </w:rPr>
        <w:tab/>
      </w:r>
      <w:r w:rsidRPr="00D26517">
        <w:rPr>
          <w:rFonts w:ascii="FrankRuehl" w:hAnsi="FrankRuehl" w:cs="FrankRuehl"/>
          <w:noProof w:val="0"/>
          <w:sz w:val="28"/>
          <w:szCs w:val="28"/>
          <w:rtl/>
        </w:rPr>
        <w:tab/>
      </w:r>
      <w:sdt>
        <w:sdtPr>
          <w:rPr>
            <w:rFonts w:ascii="FrankRuehl" w:hAnsi="FrankRuehl" w:cs="FrankRuehl"/>
            <w:noProof w:val="0"/>
            <w:sz w:val="28"/>
            <w:szCs w:val="28"/>
            <w:rtl/>
          </w:rPr>
          <w:alias w:val="2045"/>
          <w:tag w:val="2045"/>
          <w:id w:val="1736736771"/>
          <w:placeholder>
            <w:docPart w:val="B940419846FC4382B76BDEAAFB8DF758"/>
          </w:placeholder>
          <w:showingPlcHdr/>
          <w:text w:multiLine="1"/>
        </w:sdtPr>
        <w:sdtEndPr/>
        <w:sdtContent/>
      </w:sdt>
      <w:r w:rsidRPr="00D26517">
        <w:rPr>
          <w:rFonts w:ascii="FrankRuehl" w:hAnsi="FrankRuehl" w:cs="FrankRuehl"/>
          <w:noProof w:val="0"/>
          <w:sz w:val="28"/>
          <w:szCs w:val="28"/>
          <w:rtl/>
        </w:rPr>
        <w:tab/>
      </w:r>
      <w:r w:rsidRPr="00D26517">
        <w:rPr>
          <w:rFonts w:ascii="FrankRuehl" w:hAnsi="FrankRuehl" w:cs="FrankRuehl"/>
          <w:noProof w:val="0"/>
          <w:sz w:val="28"/>
          <w:szCs w:val="28"/>
          <w:rtl/>
        </w:rPr>
        <w:tab/>
        <w:t xml:space="preserve"> </w:t>
      </w:r>
    </w:p>
    <w:p w:rsidR="00261DD0" w:rsidRPr="00D26517" w:rsidRDefault="00F267C6" w:rsidP="008608B3">
      <w:pPr>
        <w:spacing w:line="360" w:lineRule="auto"/>
        <w:ind w:left="3600" w:firstLine="720"/>
      </w:pPr>
      <w:sdt>
        <w:sdtPr>
          <w:rPr>
            <w:rtl/>
          </w:rPr>
          <w:alias w:val="MergeField"/>
          <w:tag w:val="1237"/>
          <w:id w:val="-1651976454"/>
        </w:sdtPr>
        <w:sdtEndPr/>
        <w:sdtContent>
          <w:r w:rsidR="00B438CC">
            <w:drawing>
              <wp:inline distT="0" distB="0" distL="0" distR="0" wp14:editId="50D07946">
                <wp:extent cx="1647825" cy="904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647825" cy="904875"/>
                        </a:xfrm>
                        <a:prstGeom prst="rect">
                          <a:avLst/>
                        </a:prstGeom>
                      </pic:spPr>
                    </pic:pic>
                  </a:graphicData>
                </a:graphic>
              </wp:inline>
            </w:drawing>
          </w:r>
        </w:sdtContent>
      </w:sdt>
    </w:p>
    <w:p w:rsidR="00261DD0" w:rsidRPr="00D26517" w:rsidRDefault="00261DD0" w:rsidP="008608B3">
      <w:pPr>
        <w:spacing w:line="360" w:lineRule="auto"/>
        <w:ind w:left="3600" w:firstLine="720"/>
        <w:rPr>
          <w:rFonts w:ascii="FrankRuehl" w:hAnsi="FrankRuehl" w:cs="FrankRuehl"/>
          <w:noProof w:val="0"/>
          <w:sz w:val="28"/>
          <w:szCs w:val="28"/>
          <w:rtl/>
        </w:rPr>
      </w:pPr>
    </w:p>
    <w:sectPr w:rsidR="00261DD0" w:rsidRPr="00D26517" w:rsidSect="00261DD0">
      <w:headerReference w:type="default" r:id="rId9"/>
      <w:footerReference w:type="default" r:id="rId10"/>
      <w:pgSz w:w="11907" w:h="16840" w:code="9"/>
      <w:pgMar w:top="458" w:right="1701" w:bottom="1134"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67C6" w:rsidRDefault="00F267C6">
      <w:r>
        <w:separator/>
      </w:r>
    </w:p>
  </w:endnote>
  <w:endnote w:type="continuationSeparator" w:id="0">
    <w:p w:rsidR="00F267C6" w:rsidRDefault="00F26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EA4334">
      <w:rPr>
        <w:rStyle w:val="ab"/>
        <w:rFonts w:cs="Times New Roman"/>
        <w:rtl/>
      </w:rPr>
      <w:t>13</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EA4334">
      <w:rPr>
        <w:rStyle w:val="ab"/>
        <w:rtl/>
      </w:rPr>
      <w:t>13</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67C6" w:rsidRDefault="00F267C6">
      <w:r>
        <w:separator/>
      </w:r>
    </w:p>
  </w:footnote>
  <w:footnote w:type="continuationSeparator" w:id="0">
    <w:p w:rsidR="00F267C6" w:rsidRDefault="00F26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F267C6">
    <w:pPr>
      <w:pStyle w:val="a3"/>
      <w:jc w:val="center"/>
      <w:rPr>
        <w:rFonts w:cs="FrankRuehl"/>
        <w:noProof w:val="0"/>
        <w:sz w:val="28"/>
        <w:szCs w:val="28"/>
        <w:rtl/>
      </w:rPr>
    </w:pPr>
    <w:r>
      <w:rPr>
        <w:rFonts w:cs="FrankRuehl"/>
        <w:sz w:val="28"/>
        <w:szCs w:val="28"/>
        <w:rtl/>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left:0;text-align:left;margin-left:0;margin-top:0;width:478.1pt;height:86.95pt;rotation:315;z-index:251659264;mso-position-horizontal:center;mso-position-horizontal-relative:margin;mso-position-vertical:center;mso-position-vertical-relative:margin" fillcolor="silver" stroked="f">
          <v:stroke r:id="rId1" o:title=""/>
          <v:shadow color="#868686"/>
          <v:textpath style="font-family:&quot;Times New Roman&quot;;font-size:1pt;v-text-kern:t" trim="t" fitpath="t" string="."/>
          <o:lock v:ext="edit" aspectratio="t"/>
          <w10:wrap anchorx="margin" anchory="margin"/>
        </v:shape>
      </w:pict>
    </w:r>
    <w:r w:rsidR="001277D7">
      <w:rPr>
        <w:rFonts w:cs="FrankRuehl"/>
        <w:sz w:val="28"/>
        <w:szCs w:val="28"/>
      </w:rPr>
      <w:drawing>
        <wp:inline distT="0" distB="0" distL="0" distR="0" wp14:anchorId="1F9F84A5" wp14:editId="45B07E1D">
          <wp:extent cx="371475" cy="466725"/>
          <wp:effectExtent l="0" t="0" r="9525" b="9525"/>
          <wp:docPr id="3"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505"/>
    </w:tblGrid>
    <w:tr w:rsidR="00694556" w:rsidTr="00261DD0">
      <w:trPr>
        <w:trHeight w:hRule="exact" w:val="670"/>
        <w:jc w:val="center"/>
      </w:trPr>
      <w:sdt>
        <w:sdtPr>
          <w:rPr>
            <w:rtl/>
          </w:rPr>
          <w:alias w:val="1174"/>
          <w:tag w:val="1174"/>
          <w:id w:val="-1775709220"/>
          <w:text/>
        </w:sdtPr>
        <w:sdtEndPr/>
        <w:sdtContent>
          <w:tc>
            <w:tcPr>
              <w:tcW w:w="8505" w:type="dxa"/>
            </w:tcPr>
            <w:p w:rsidR="00694556" w:rsidRDefault="00005C8B">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בחיפה</w:t>
              </w:r>
            </w:p>
          </w:tc>
        </w:sdtContent>
      </w:sdt>
    </w:tr>
    <w:tr w:rsidR="00694556" w:rsidTr="00261DD0">
      <w:trPr>
        <w:trHeight w:val="337"/>
        <w:jc w:val="center"/>
      </w:trPr>
      <w:tc>
        <w:tcPr>
          <w:tcW w:w="8505" w:type="dxa"/>
        </w:tcPr>
        <w:p w:rsidR="00957C90" w:rsidRPr="00261DD0" w:rsidRDefault="00F267C6" w:rsidP="00606799">
          <w:pPr>
            <w:rPr>
              <w:rFonts w:ascii="FrankRuehl" w:hAnsi="FrankRuehl" w:cs="FrankRuehl"/>
              <w:b/>
              <w:bCs/>
              <w:noProof w:val="0"/>
              <w:sz w:val="28"/>
              <w:szCs w:val="28"/>
              <w:rtl/>
            </w:rPr>
          </w:pPr>
          <w:sdt>
            <w:sdtPr>
              <w:rPr>
                <w:rFonts w:ascii="FrankRuehl" w:hAnsi="FrankRuehl" w:cs="FrankRuehl"/>
                <w:b/>
                <w:bCs/>
                <w:noProof w:val="0"/>
                <w:sz w:val="28"/>
                <w:szCs w:val="28"/>
                <w:rtl/>
              </w:rPr>
              <w:alias w:val="1170"/>
              <w:tag w:val="1170"/>
              <w:id w:val="299038016"/>
              <w:text w:multiLine="1"/>
            </w:sdtPr>
            <w:sdtEndPr/>
            <w:sdtContent>
              <w:r w:rsidR="00E44DDF" w:rsidRPr="00261DD0">
                <w:rPr>
                  <w:rFonts w:ascii="FrankRuehl" w:hAnsi="FrankRuehl" w:cs="FrankRuehl"/>
                  <w:b/>
                  <w:bCs/>
                  <w:noProof w:val="0"/>
                  <w:sz w:val="28"/>
                  <w:szCs w:val="28"/>
                  <w:rtl/>
                </w:rPr>
                <w:t>תלה"מ</w:t>
              </w:r>
            </w:sdtContent>
          </w:sdt>
          <w:r w:rsidR="00005C8B" w:rsidRPr="00261DD0">
            <w:rPr>
              <w:rFonts w:ascii="FrankRuehl" w:hAnsi="FrankRuehl" w:cs="FrankRuehl"/>
              <w:b/>
              <w:bCs/>
              <w:noProof w:val="0"/>
              <w:sz w:val="28"/>
              <w:szCs w:val="28"/>
              <w:rtl/>
            </w:rPr>
            <w:t xml:space="preserve"> </w:t>
          </w:r>
          <w:sdt>
            <w:sdtPr>
              <w:rPr>
                <w:rFonts w:ascii="FrankRuehl" w:hAnsi="FrankRuehl" w:cs="FrankRuehl"/>
                <w:b/>
                <w:bCs/>
                <w:noProof w:val="0"/>
                <w:sz w:val="28"/>
                <w:szCs w:val="28"/>
                <w:rtl/>
              </w:rPr>
              <w:alias w:val="1171"/>
              <w:tag w:val="1171"/>
              <w:id w:val="81650337"/>
              <w:text w:multiLine="1"/>
            </w:sdtPr>
            <w:sdtEndPr/>
            <w:sdtContent>
              <w:r w:rsidR="00E44DDF" w:rsidRPr="00261DD0">
                <w:rPr>
                  <w:rFonts w:ascii="FrankRuehl" w:hAnsi="FrankRuehl" w:cs="FrankRuehl"/>
                  <w:b/>
                  <w:bCs/>
                  <w:noProof w:val="0"/>
                  <w:sz w:val="28"/>
                  <w:szCs w:val="28"/>
                  <w:rtl/>
                </w:rPr>
                <w:t>28306-09-20</w:t>
              </w:r>
            </w:sdtContent>
          </w:sdt>
          <w:r w:rsidR="00005C8B" w:rsidRPr="00261DD0">
            <w:rPr>
              <w:rFonts w:ascii="FrankRuehl" w:hAnsi="FrankRuehl" w:cs="FrankRuehl"/>
              <w:b/>
              <w:bCs/>
              <w:noProof w:val="0"/>
              <w:sz w:val="28"/>
              <w:szCs w:val="28"/>
              <w:rtl/>
            </w:rPr>
            <w:t xml:space="preserve"> </w:t>
          </w:r>
          <w:sdt>
            <w:sdtPr>
              <w:rPr>
                <w:rFonts w:ascii="FrankRuehl" w:hAnsi="FrankRuehl" w:cs="FrankRuehl"/>
                <w:b/>
                <w:bCs/>
                <w:noProof w:val="0"/>
                <w:sz w:val="28"/>
                <w:szCs w:val="28"/>
                <w:rtl/>
              </w:rPr>
              <w:alias w:val="1172"/>
              <w:tag w:val="1172"/>
              <w:id w:val="-1742169342"/>
              <w:text w:multiLine="1"/>
            </w:sdtPr>
            <w:sdtEndPr/>
            <w:sdtContent>
              <w:r w:rsidR="00606799">
                <w:rPr>
                  <w:rFonts w:ascii="FrankRuehl" w:hAnsi="FrankRuehl" w:cs="FrankRuehl" w:hint="cs"/>
                  <w:b/>
                  <w:bCs/>
                  <w:noProof w:val="0"/>
                  <w:sz w:val="28"/>
                  <w:szCs w:val="28"/>
                  <w:rtl/>
                </w:rPr>
                <w:t>א נ' ו</w:t>
              </w:r>
            </w:sdtContent>
          </w:sdt>
        </w:p>
      </w:tc>
    </w:tr>
  </w:tbl>
  <w:p w:rsidR="00694556" w:rsidRDefault="00005C8B">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991EBF"/>
    <w:multiLevelType w:val="hybridMultilevel"/>
    <w:tmpl w:val="2BA6D7FE"/>
    <w:lvl w:ilvl="0" w:tplc="DCCE8F3C">
      <w:start w:val="1"/>
      <w:numFmt w:val="decimal"/>
      <w:lvlText w:val="%1."/>
      <w:lvlJc w:val="left"/>
      <w:pPr>
        <w:ind w:left="360" w:hanging="360"/>
      </w:pPr>
      <w:rPr>
        <w:b w:val="0"/>
        <w:bCs w:val="0"/>
        <w:lang w:val="en-U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7711755"/>
    <w:docVar w:name="CourtID" w:val="26"/>
    <w:docVar w:name="DocumentDS" w:val="&amp;lt;?xml version=&amp;quot;1.0&amp;quot;?&amp;gt;_x000d__x000a_&amp;lt;DocumentDS&amp;gt;_x000d__x000a_  &amp;lt;xs:schema id=&amp;quot;DocumentDS&amp;quot; targetNamespace=&amp;quot;http://www.tempuri.org/DocumentDS.xsd&amp;quot; xmlns:mstns=&amp;quot;http://www.tempuri.org/DocumentDS.xsd&amp;quot; xmlns=&amp;quot;http://www.tempuri.org/DocumentDS.xsd&amp;quot; xmlns:xs=&amp;quot;http://www.w3.org/2001/XMLSchema&amp;quot; xmlns:msdata=&amp;quot;urn:schemas-microsoft-com:xml-msdata&amp;quot; attributeFormDefault=&amp;quot;qualified&amp;quot; elementFormDefault=&amp;quot;qualified&amp;quot;&amp;gt;_x000d__x000a_    &amp;lt;xs:element name=&amp;quot;DocumentDS&amp;quot; msdata:IsDataSet=&amp;quot;true&amp;quot; msdata:Locale=&amp;quot;en-US&amp;quot;&amp;gt;_x000d__x000a_      &amp;lt;xs:complexType&amp;gt;_x000d__x000a_        &amp;lt;xs:choice minOccurs=&amp;quot;0&amp;quot; maxOccurs=&amp;quot;unbounded&amp;quot;&amp;gt;_x000d__x000a_          &amp;lt;xs:element name=&amp;quot;dt_DocumentCase&amp;quot;&amp;gt;_x000d__x000a_            &amp;lt;xs:complexType&amp;gt;_x000d__x000a_              &amp;lt;xs:sequence&amp;gt;_x000d__x000a_                &amp;lt;xs:element name=&amp;quot;CaseID&amp;quot; type=&amp;quot;xs:int&amp;quot; /&amp;gt;_x000d__x000a_                &amp;lt;xs:element name=&amp;quot;DocumentID&amp;quot; type=&amp;quot;xs:int&amp;quot; /&amp;gt;_x000d__x000a_              &amp;lt;/xs:sequence&amp;gt;_x000d__x000a_            &amp;lt;/xs:complexType&amp;gt;_x000d__x000a_          &amp;lt;/xs:element&amp;gt;_x000d__x000a_          &amp;lt;xs:element name=&amp;quot;dt_Bookmark&amp;quot;&amp;gt;_x000d__x000a_            &amp;lt;xs:complexType&amp;gt;_x000d__x000a_              &amp;lt;xs:sequence&amp;gt;_x000d__x000a_                &amp;lt;xs:element name=&amp;quot;Bookmark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BookmarkName&amp;quot; type=&amp;quot;xs:string&amp;quot; minOccurs=&amp;quot;0&amp;quot; /&amp;gt;_x000d__x000a_                &amp;lt;xs:element name=&amp;quot;DocumentPage&amp;quot; type=&amp;quot;xs:int&amp;quot; minOccurs=&amp;quot;0&amp;quot; /&amp;gt;_x000d__x000a_              &amp;lt;/xs:sequence&amp;gt;_x000d__x000a_            &amp;lt;/xs:complexType&amp;gt;_x000d__x000a_          &amp;lt;/xs:element&amp;gt;_x000d__x000a_          &amp;lt;xs:element name=&amp;quot;dt_Document&amp;quot;&amp;gt;_x000d__x000a_            &amp;lt;xs:complexType&amp;gt;_x000d__x000a_              &amp;lt;xs:sequence&amp;gt;_x000d__x000a_                &amp;lt;xs:element name=&amp;quot;DocumentID&amp;quot; msdata:ReadOnly=&amp;quot;true&amp;quot; msdata:AutoIncrement=&amp;quot;true&amp;quot; msdata:AutoIncrementSeed=&amp;quot;-1&amp;quot; msdata:AutoIncrementStep=&amp;quot;-1&amp;quot; type=&amp;quot;xs:int&amp;quot; /&amp;gt;_x000d__x000a_                &amp;lt;xs:element name=&amp;quot;DocumentMainID&amp;quot; type=&amp;quot;xs:int&amp;quot; /&amp;gt;_x000d__x000a_                &amp;lt;xs:element name=&amp;quot;CaseID&amp;quot; type=&amp;quot;xs:int&amp;quot; minOccurs=&amp;quot;0&amp;quot; /&amp;gt;_x000d__x000a_                &amp;lt;xs:element name=&amp;quot;ConvertCaseID&amp;quot; type=&amp;quot;xs:int&amp;quot; minOccurs=&amp;quot;0&amp;quot; /&amp;gt;_x000d__x000a_                &amp;lt;xs:element name=&amp;quot;OldDocumentID&amp;quot; type=&amp;quot;xs:string&amp;quot; minOccurs=&amp;quot;0&amp;quot; /&amp;gt;_x000d__x000a_                &amp;lt;xs:element name=&amp;quot;OldCaseID&amp;quot; type=&amp;quot;xs:string&amp;quot; minOccurs=&amp;quot;0&amp;quot; /&amp;gt;_x000d__x000a_                &amp;lt;xs:element name=&amp;quot;DocumentIncludedDate&amp;quot; type=&amp;quot;xs:dateTime&amp;quot; /&amp;gt;_x000d__x000a_                &amp;lt;xs:element name=&amp;quot;DocumentDesc&amp;quot; type=&amp;quot;xs:string&amp;quot; /&amp;gt;_x000d__x000a_                &amp;lt;xs:element name=&amp;quot;DocumentDirectionID&amp;quot; type=&amp;quot;xs:int&amp;quot; minOccurs=&amp;quot;0&amp;quot; /&amp;gt;_x000d__x000a_                &amp;lt;xs:element name=&amp;quot;SourceID&amp;quot; type=&amp;quot;xs:int&amp;quot; minOccurs=&amp;quot;0&amp;quot; /&amp;gt;_x000d__x000a_                &amp;lt;xs:element name=&amp;quot;SavingMethodID&amp;quot; type=&amp;quot;xs:int&amp;quot; minOccurs=&amp;quot;0&amp;quot; /&amp;gt;_x000d__x000a_                &amp;lt;xs:element name=&amp;quot;PaperDocumentSavingPlace&amp;quot; type=&amp;quot;xs:string&amp;quot; minOccurs=&amp;quot;0&amp;quot; /&amp;gt;_x000d__x000a_                &amp;lt;xs:element name=&amp;quot;VersionNumber&amp;quot; type=&amp;quot;xs:int&amp;quot; /&amp;gt;_x000d__x000a_                &amp;lt;xs:element name=&amp;quot;DocumentVersionTypeID&amp;quot; type=&amp;quot;xs:int&amp;quot; minOccurs=&amp;quot;0&amp;quot; /&amp;gt;_x000d__x000a_                &amp;lt;xs:element name=&amp;quot;IsAttachment&amp;quot; type=&amp;quot;xs:boolean&amp;quot; /&amp;gt;_x000d__x000a_                &amp;lt;xs:element name=&amp;quot;AttachmentOrdinalNumber&amp;quot; type=&amp;quot;xs:int&amp;quot; minOccurs=&amp;quot;0&amp;quot; /&amp;gt;_x000d__x000a_                &amp;lt;xs:element name=&amp;quot;DocumentTypeID&amp;quot; type=&amp;quot;xs:int&amp;quot; minOccurs=&amp;quot;0&amp;quot; /&amp;gt;_x000d__x000a_                &amp;lt;xs:element name=&amp;quot;DocumentSavingDate&amp;quot; type=&amp;quot;xs:dateTime&amp;quot; minOccurs=&amp;quot;0&amp;quot; /&amp;gt;_x000d__x000a_                &amp;lt;xs:element name=&amp;quot;DocumentChangeDate&amp;quot; type=&amp;quot;xs:dateTime&amp;quot; /&amp;gt;_x000d__x000a_                &amp;lt;xs:element name=&amp;quot;IsScanned&amp;quot; type=&amp;quot;xs:boolean&amp;quot; minOccurs=&amp;quot;0&amp;quot; /&amp;gt;_x000d__x000a_                &amp;lt;xs:element name=&amp;quot;DocumentScanningDate&amp;quot; type=&amp;quot;xs:dateTime&amp;quot; minOccurs=&amp;quot;0&amp;quot; /&amp;gt;_x000d__x000a_                &amp;lt;xs:element name=&amp;quot;PageQuantity&amp;quot; type=&amp;quot;xs:int&amp;quot; minOccurs=&amp;quot;0&amp;quot; /&amp;gt;_x000d__x000a_                &amp;lt;xs:element name=&amp;quot;DocumentStatusID&amp;quot; type=&amp;quot;xs:int&amp;quot; minOccurs=&amp;quot;0&amp;quot; /&amp;gt;_x000d__x000a_                &amp;lt;xs:element name=&amp;quot;DocumentStatusChangeDate&amp;quot; type=&amp;quot;xs:dateTime&amp;quot; minOccurs=&amp;quot;0&amp;quot; /&amp;gt;_x000d__x000a_                &amp;lt;xs:element name=&amp;quot;TemplateID&amp;quot; type=&amp;quot;xs:int&amp;quot; minOccurs=&amp;quot;0&amp;quot; /&amp;gt;_x000d__x000a_                &amp;lt;xs:element name=&amp;quot;TemplateVersionID&amp;quot; type=&amp;quot;xs:int&amp;quot; minOccurs=&amp;quot;0&amp;quot; /&amp;gt;_x000d__x000a_                &amp;lt;xs:element name=&amp;quot;DocumentChangeUserID&amp;quot; type=&amp;quot;xs:string&amp;quot; minOccurs=&amp;quot;0&amp;quot; /&amp;gt;_x000d__x000a_                &amp;lt;xs:element name=&amp;quot;DocumentCreationUserID&amp;quot; type=&amp;quot;xs:string&amp;quot; minOccurs=&amp;quot;0&amp;quot; /&amp;gt;_x000d__x000a_                &amp;lt;xs:element name=&amp;quot;OriginalDocumentID&amp;quot; type=&amp;quot;xs:int&amp;quot; minOccurs=&amp;quot;0&amp;quot; /&amp;gt;_x000d__x000a_                &amp;lt;xs:element name=&amp;quot;PrivillegeID&amp;quot; type=&amp;quot;xs:int&amp;quot; /&amp;gt;_x000d__x000a_                &amp;lt;xs:element name=&amp;quot;FromPage&amp;quot; type=&amp;quot;xs:int&amp;quot; default=&amp;quot;0&amp;quot; minOccurs=&amp;quot;0&amp;quot; /&amp;gt;_x000d__x000a_                &amp;lt;xs:element name=&amp;quot;ToPage&amp;quot; type=&amp;quot;xs:int&amp;quot; default=&amp;quot;0&amp;quot; minOccurs=&amp;quot;0&amp;quot; /&amp;gt;_x000d__x000a_                &amp;lt;xs:element name=&amp;quot;IsScannedWithoutEntity&amp;quot; type=&amp;quot;xs:boolean&amp;quot; minOccurs=&amp;quot;0&amp;quot; /&amp;gt;_x000d__x000a_                &amp;lt;xs:element name=&amp;quot;DocumentComment&amp;quot; type=&amp;quot;xs:string&amp;quot; minOccurs=&amp;quot;0&amp;quot; /&amp;gt;_x000d__x000a_                &amp;lt;xs:element name=&amp;quot;BoxNumber&amp;quot; type=&amp;quot;xs:string&amp;quot; minOccurs=&amp;quot;0&amp;quot; /&amp;gt;_x000d__x000a_                &amp;lt;xs:element name=&amp;quot;Archive&amp;quot; type=&amp;quot;xs:string&amp;quot; minOccurs=&amp;quot;0&amp;quot; /&amp;gt;_x000d__x000a_                &amp;lt;xs:element name=&amp;quot;CasePartyID&amp;quot; type=&amp;quot;xs:int&amp;quot; minOccurs=&amp;quot;0&amp;quot; /&amp;gt;_x000d__x000a_                &amp;lt;xs:element name=&amp;quot;FileID&amp;quot; type=&amp;quot;xs:string&amp;quot; minOccurs=&amp;quot;0&amp;quot; /&amp;gt;_x000d__x000a_                &amp;lt;xs:element name=&amp;quot;OriginalFileID&amp;quot; type=&amp;quot;xs:string&amp;quot; minOccurs=&amp;quot;0&amp;quot; /&amp;gt;_x000d__x000a_                &amp;lt;xs:element name=&amp;quot;CaseDisplayNumber&amp;quot; type=&amp;quot;xs:string&amp;quot; minOccurs=&amp;quot;0&amp;quot; /&amp;gt;_x000d__x000a_                &amp;lt;xs:element name=&amp;quot;URL&amp;quot; type=&amp;quot;xs:string&amp;quot; minOccurs=&amp;quot;0&amp;quot; /&amp;gt;_x000d__x000a_                &amp;lt;xs:element name=&amp;quot;SplittedNumberOfPages&amp;quot; type=&amp;quot;xs:int&amp;quot; minOccurs=&amp;quot;0&amp;quot; /&amp;gt;_x000d__x000a_                &amp;lt;xs:element name=&amp;quot;isOliveProcessed&amp;quot; type=&amp;quot;xs:boolean&amp;quot; minOccurs=&amp;quot;0&amp;quot; /&amp;gt;_x000d__x000a_                &amp;lt;xs:element name=&amp;quot;CasePartyDisplayName&amp;quot; type=&amp;quot;xs:string&amp;quot; minOccurs=&amp;quot;0&amp;quot; /&amp;gt;_x000d__x000a_                &amp;lt;xs:element name=&amp;quot;OlivePriority&amp;quot; type=&amp;quot;xs:int&amp;quot; default=&amp;quot;1&amp;quot; minOccurs=&amp;quot;0&amp;quot; /&amp;gt;_x000d__x000a_                &amp;lt;xs:element name=&amp;quot;PreFetchUrl&amp;quot; type=&amp;quot;xs:string&amp;quot; minOccurs=&amp;quot;0&amp;quot; /&amp;gt;_x000d__x000a_                &amp;lt;xs:element name=&amp;quot;DocumentCdImportID&amp;quot; type=&amp;quot;xs:string&amp;quot; minOccurs=&amp;quot;0&amp;quot; /&amp;gt;_x000d__x000a_                &amp;lt;xs:element name=&amp;quot;MetaDataTypeID&amp;quot; type=&amp;quot;xs:int&amp;quot; minOccurs=&amp;quot;0&amp;quot; /&amp;gt;_x000d__x000a_                &amp;lt;xs:element name=&amp;quot;MetaDataChangeDate&amp;quot; type=&amp;quot;xs:dateTime&amp;quot; minOccurs=&amp;quot;0&amp;quot; /&amp;gt;_x000d__x000a_                &amp;lt;xs:element name=&amp;quot;MetaData&amp;quot; type=&amp;quot;xs:string&amp;quot; minOccurs=&amp;quot;0&amp;quot; /&amp;gt;_x000d__x000a_                &amp;lt;xs:element name=&amp;quot;NewVersionRequired&amp;quot; type=&amp;quot;xs:boolean&amp;quot; minOccurs=&amp;quot;0&amp;quot; /&amp;gt;_x000d__x000a_                &amp;lt;xs:element name=&amp;quot;IsReturned&amp;quot; type=&amp;quot;xs:boolean&amp;quot; default=&amp;quot;false&amp;quot; /&amp;gt;_x000d__x000a_                &amp;lt;xs:element name=&amp;quot;SignatureURL&amp;quot; type=&amp;quot;xs:string&amp;quot; minOccurs=&amp;quot;0&amp;quot; /&amp;gt;_x000d__x000a_                &amp;lt;xs:element name=&amp;quot;IsCritical&amp;quot; type=&amp;quot;xs:boolean&amp;quot; default=&amp;quot;false&amp;quot; minOccurs=&amp;quot;0&amp;quot; /&amp;gt;_x000d__x000a_                &amp;lt;xs:element name=&amp;quot;IsEntityCanceled&amp;quot; type=&amp;quot;xs:boolean&amp;quot; default=&amp;quot;false&amp;quot; /&amp;gt;_x000d__x000a_                &amp;lt;xs:element name=&amp;quot;IsRepresentativeRegistryOpenToPublic&amp;quot; type=&amp;quot;xs:boolean&amp;quot; default=&amp;quot;false&amp;quot; minOccurs=&amp;quot;0&amp;quot; /&amp;gt;_x000d__x000a_                &amp;lt;xs:element name=&amp;quot;PresentationDate&amp;quot; type=&amp;quot;xs:dateTime&amp;quot; minOccurs=&amp;quot;0&amp;quot; /&amp;gt;_x000d__x000a_                &amp;lt;xs:element name=&amp;quot;IsIDCPublished&amp;quot; type=&amp;quot;xs:boolean&amp;quot; minOccurs=&amp;quot;0&amp;quot; /&amp;gt;_x000d__x000a_                &amp;lt;xs:element name=&amp;quot;IsDocumentPipexed&amp;quot; type=&amp;quot;xs:boolean&amp;quot; minOccurs=&amp;quot;0&amp;quot; /&amp;gt;_x000d__x000a_                &amp;lt;xs:element name=&amp;quot;ConvertToPdf&amp;quot; type=&amp;quot;xs:int&amp;quot; minOccurs=&amp;quot;0&amp;quot; /&amp;gt;_x000d__x000a_                &amp;lt;xs:element name=&amp;quot;PublishToIDC&amp;quot; type=&amp;quot;xs:int&amp;quot; minOccurs=&amp;quot;0&amp;quot; /&amp;gt;_x000d__x000a_                &amp;lt;xs:element name=&amp;quot;OCR&amp;quot; type=&amp;quot;xs:int&amp;quot; minOccurs=&amp;quot;0&amp;quot; /&amp;gt;_x000d__x000a_                &amp;lt;xs:element name=&amp;quot;DesicionPublish&amp;quot; type=&amp;quot;xs:int&amp;quot; minOccurs=&amp;quot;0&amp;quot; /&amp;gt;_x000d__x000a_                &amp;lt;xs:element name=&amp;quot;IsProof&amp;quot; type=&amp;quot;xs:int&amp;quot; minOccurs=&amp;quot;0&amp;quot; /&amp;gt;_x000d__x000a_                &amp;lt;xs:element name=&amp;quot;Summarization&amp;quot; type=&amp;quot;xs:int&amp;quot; minOccurs=&amp;quot;0&amp;quot; /&amp;gt;_x000d__x000a_                &amp;lt;xs:element name=&amp;quot;GetPunishmentData&amp;quot; type=&amp;quot;xs:int&amp;quot; minOccurs=&amp;quot;0&amp;quot; /&amp;gt;_x000d__x000a_                &amp;lt;xs:element name=&amp;quot;AutomaticallyDelivery&amp;quot; type=&amp;quot;xs:int&amp;quot; minOccurs=&amp;quot;0&amp;quot; /&amp;gt;_x000d__x000a_                &amp;lt;xs:element name=&amp;quot;Send2ELK&amp;quot; type=&amp;quot;xs:int&amp;quot; minOccurs=&amp;quot;0&amp;quot; /&amp;gt;_x000d__x000a_                &amp;lt;xs:element name=&amp;quot;TransportFineExtract&amp;quot; type=&amp;quot;xs:int&amp;quot; minOccurs=&amp;quot;0&amp;quot; /&amp;gt;_x000d__x000a_              &amp;lt;/xs:sequence&amp;gt;_x000d__x000a_            &amp;lt;/xs:complexType&amp;gt;_x000d__x000a_          &amp;lt;/xs:element&amp;gt;_x000d__x000a_          &amp;lt;xs:element name=&amp;quot;dt_DocumentNote&amp;quot;&amp;gt;_x000d__x000a_            &amp;lt;xs:complexType&amp;gt;_x000d__x000a_              &amp;lt;xs:sequence&amp;gt;_x000d__x000a_                &amp;lt;xs:element name=&amp;quot;DocumentNote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DocumentNoteCreateDate&amp;quot; type=&amp;quot;xs:dateTime&amp;quot; /&amp;gt;_x000d__x000a_                &amp;lt;xs:element name=&amp;quot;CreationUserID&amp;quot; type=&amp;quot;xs:string&amp;quot; /&amp;gt;_x000d__x000a_                &amp;lt;xs:element name=&amp;quot;DocumentNoteDesc&amp;quot; type=&amp;quot;xs:string&amp;quot; minOccurs=&amp;quot;0&amp;quot; /&amp;gt;_x000d__x000a_                &amp;lt;xs:element name=&amp;quot;DocumentNoteXML&amp;quot; type=&amp;quot;xs:string&amp;quot; minOccurs=&amp;quot;0&amp;quot; /&amp;gt;_x000d__x000a_                &amp;lt;xs:element name=&amp;quot;DescriptionPageNumber&amp;quot; type=&amp;quot;xs:int&amp;quot; minOccurs=&amp;quot;0&amp;quot; /&amp;gt;_x000d__x000a_                &amp;lt;xs:element name=&amp;quot;AccessTypeID&amp;quot; type=&amp;quot;xs:int&amp;quot; minOccurs=&amp;quot;0&amp;quot; /&amp;gt;_x000d__x000a_                &amp;lt;xs:element name=&amp;quot;NoteTypeID&amp;quot; type=&amp;quot;xs:int&amp;quot; minOccurs=&amp;quot;0&amp;quot; /&amp;gt;_x000d__x000a_                &amp;lt;xs:element name=&amp;quot;X1Location&amp;quot; type=&amp;quot;xs:decimal&amp;quot; /&amp;gt;_x000d__x000a_                &amp;lt;xs:element name=&amp;quot;X2Location&amp;quot; type=&amp;quot;xs:decimal&amp;quot; /&amp;gt;_x000d__x000a_                &amp;lt;xs:element name=&amp;quot;Y1Location&amp;quot; type=&amp;quot;xs:decimal&amp;quot; /&amp;gt;_x000d__x000a_                &amp;lt;xs:element name=&amp;quot;Y2Location&amp;quot; type=&amp;quot;xs:decimal&amp;quot; /&amp;gt;_x000d__x000a_                &amp;lt;xs:element name=&amp;quot;XmlContent&amp;quot; type=&amp;quot;xs:string&amp;quot; minOccurs=&amp;quot;0&amp;quot; /&amp;gt;_x000d__x000a_                &amp;lt;xs:element name=&amp;quot;X1RectLocation&amp;quot; type=&amp;quot;xs:decimal&amp;quot; /&amp;gt;_x000d__x000a_                &amp;lt;xs:element name=&amp;quot;X2RectLocation&amp;quot; type=&amp;quot;xs:decimal&amp;quot; /&amp;gt;_x000d__x000a_                &amp;lt;xs:element name=&amp;quot;Y1RectLocation&amp;quot; type=&amp;quot;xs:decimal&amp;quot; /&amp;gt;_x000d__x000a_                &amp;lt;xs:element name=&amp;quot;Y2RectLocation&amp;quot; type=&amp;quot;xs:decimal&amp;quot; /&amp;gt;_x000d__x000a_                &amp;lt;xs:element name=&amp;quot;IsPopupOpen&amp;quot; type=&amp;quot;xs:boolean&amp;quot; /&amp;gt;_x000d__x000a_                &amp;lt;xs:element name=&amp;quot;CDATA&amp;quot; type=&amp;quot;xs:string&amp;quot; minOccurs=&amp;quot;0&amp;quot; /&amp;gt;_x000d__x000a_                &amp;lt;xs:element name=&amp;quot;Title&amp;quot; type=&amp;quot;xs:string&amp;quot; minOccurs=&amp;quot;0&amp;quot; /&amp;gt;_x000d__x000a_                &amp;lt;xs:element name=&amp;quot;Page&amp;quot; type=&amp;quot;xs:int&amp;quot; minOccurs=&amp;quot;0&amp;quot; /&amp;gt;_x000d__x000a_                &amp;lt;xs:element name=&amp;quot;IsVisiable&amp;quot; type=&amp;quot;xs:boolean&amp;quot; default=&amp;quot;false&amp;quot; /&amp;gt;_x000d__x000a_                &amp;lt;xs:element name=&amp;quot;ActivityStatusID&amp;quot; type=&amp;quot;xs:int&amp;quot; default=&amp;quot;1&amp;quot; /&amp;gt;_x000d__x000a_                &amp;lt;xs:element name=&amp;quot;NoteCaseTitle&amp;quot; type=&amp;quot;xs:string&amp;quot; minOccurs=&amp;quot;0&amp;quot; /&amp;gt;_x000d__x000a_                &amp;lt;xs:element name=&amp;quot;NoteComposerTitle&amp;quot; type=&amp;quot;xs:string&amp;quot; minOccurs=&amp;quot;0&amp;quot; /&amp;gt;_x000d__x000a_                &amp;lt;xs:element name=&amp;quot;NoteZoom&amp;quot; type=&amp;quot;xs:decimal&amp;quot; minOccurs=&amp;quot;0&amp;quot; /&amp;gt;_x000d__x000a_              &amp;lt;/xs:sequence&amp;gt;_x000d__x000a_            &amp;lt;/xs:complexType&amp;gt;_x000d__x000a_          &amp;lt;/xs:element&amp;gt;_x000d__x000a_          &amp;lt;xs:element name=&amp;quot;dt_MLDocsAnalysisPunishment&amp;quot;&amp;gt;_x000d__x000a_            &amp;lt;xs:complexType&amp;gt;_x000d__x000a_              &amp;lt;xs:sequence&amp;gt;_x000d__x000a_                &amp;lt;xs:element name=&amp;quot;MLDocsAnalysisPunishmentID&amp;quot; msdata:AutoIncrement=&amp;quot;true&amp;quot; msdata:AutoIncrementSeed=&amp;quot;-1&amp;quot; msdata:AutoIncrementStep=&amp;quot;-1&amp;quot; type=&amp;quot;xs:int&amp;quot; /&amp;gt;_x000d__x000a_                &amp;lt;xs:element name=&amp;quot;MLDocsAnalysisID&amp;quot; type=&amp;quot;xs:int&amp;quot; /&amp;gt;_x000d__x000a_                &amp;lt;xs:element name=&amp;quot;FileID&amp;quot; type=&amp;quot;xs:string&amp;quot; /&amp;gt;_x000d__x000a_                &amp;lt;xs:element name=&amp;quot;DocumentID&amp;quot; type=&amp;quot;xs:int&amp;quot; /&amp;gt;_x000d__x000a_                &amp;lt;xs:element name=&amp;quot;PunishmentType&amp;quot; type=&amp;quot;xs:int&amp;quot; /&amp;gt;_x000d__x000a_                &amp;lt;xs:element name=&amp;quot;Result&amp;quot; type=&amp;quot;xs:string&amp;quot; minOccurs=&amp;quot;0&amp;quot; /&amp;gt;_x000d__x000a_              &amp;lt;/xs:sequence&amp;gt;_x000d__x000a_            &amp;lt;/xs:complexType&amp;gt;_x000d__x000a_          &amp;lt;/xs:element&amp;gt;_x000d__x000a_          &amp;lt;xs:element name=&amp;quot;dt_DocumentSummaryVersion&amp;quot;&amp;gt;_x000d__x000a_            &amp;lt;xs:complexType&amp;gt;_x000d__x000a_              &amp;lt;xs:sequence&amp;gt;_x000d__x000a_                &amp;lt;xs:element name=&amp;quot;DocumentID&amp;quot; type=&amp;quot;xs:int&amp;quot; minOccurs=&amp;quot;0&amp;quot; /&amp;gt;_x000d__x000a_                &amp;lt;xs:element name=&amp;quot;DocumentChangeDate&amp;quot; type=&amp;quot;xs:dateTime&amp;quot; minOccurs=&amp;quot;0&amp;quot; /&amp;gt;_x000d__x000a_                &amp;lt;xs:element name=&amp;quot;DocumentDesc&amp;quot; type=&amp;quot;xs:string&amp;quot; minOccurs=&amp;quot;0&amp;quot; /&amp;gt;_x000d__x000a_                &amp;lt;xs:element name=&amp;quot;IsCritical&amp;quot; type=&amp;quot;xs:boolean&amp;quot; minOccurs=&amp;quot;0&amp;quot; /&amp;gt;_x000d__x000a_                &amp;lt;xs:element name=&amp;quot;IsScanned&amp;quot; type=&amp;quot;xs:boolean&amp;quot; minOccurs=&amp;quot;0&amp;quot; /&amp;gt;_x000d__x000a_              &amp;lt;/xs:sequence&amp;gt;_x000d__x000a_            &amp;lt;/xs:complexType&amp;gt;_x000d__x000a_          &amp;lt;/xs:element&amp;gt;_x000d__x000a_        &amp;lt;/xs:choice&amp;gt;_x000d__x000a_      &amp;lt;/xs:complexType&amp;gt;_x000d__x000a_      &amp;lt;xs:unique name=&amp;quot;Constraint1&amp;quot; msdata:PrimaryKey=&amp;quot;true&amp;quot;&amp;gt;_x000d__x000a_        &amp;lt;xs:selector xpath=&amp;quot;.//mstns:dt_DocumentCase&amp;quot; /&amp;gt;_x000d__x000a_        &amp;lt;xs:field xpath=&amp;quot;mstns:CaseID&amp;quot; /&amp;gt;_x000d__x000a_        &amp;lt;xs:field xpath=&amp;quot;mstns:DocumentID&amp;quot; /&amp;gt;_x000d__x000a_      &amp;lt;/xs:unique&amp;gt;_x000d__x000a_      &amp;lt;xs:unique name=&amp;quot;dt_Bookmark_Constraint1&amp;quot; msdata:ConstraintName=&amp;quot;Constraint1&amp;quot; msdata:PrimaryKey=&amp;quot;true&amp;quot;&amp;gt;_x000d__x000a_        &amp;lt;xs:selector xpath=&amp;quot;.//mstns:dt_Bookmark&amp;quot; /&amp;gt;_x000d__x000a_        &amp;lt;xs:field xpath=&amp;quot;mstns:BookmarkID&amp;quot; /&amp;gt;_x000d__x000a_      &amp;lt;/xs:unique&amp;gt;_x000d__x000a_      &amp;lt;xs:unique name=&amp;quot;dt_Document_Constraint1&amp;quot; msdata:ConstraintName=&amp;quot;Constraint1&amp;quot; msdata:PrimaryKey=&amp;quot;true&amp;quot;&amp;gt;_x000d__x000a_        &amp;lt;xs:selector xpath=&amp;quot;.//mstns:dt_Document&amp;quot; /&amp;gt;_x000d__x000a_        &amp;lt;xs:field xpath=&amp;quot;mstns:DocumentID&amp;quot; /&amp;gt;_x000d__x000a_      &amp;lt;/xs:unique&amp;gt;_x000d__x000a_      &amp;lt;xs:unique name=&amp;quot;DocumentDSKey1&amp;quot; msdata:PrimaryKey=&amp;quot;true&amp;quot;&amp;gt;_x000d__x000a_        &amp;lt;xs:selector xpath=&amp;quot;.//mstns:dt_DocumentNote&amp;quot; /&amp;gt;_x000d__x000a_        &amp;lt;xs:field xpath=&amp;quot;mstns:DocumentNoteID&amp;quot; /&amp;gt;_x000d__x000a_      &amp;lt;/xs:unique&amp;gt;_x000d__x000a_      &amp;lt;xs:keyref name=&amp;quot;dt_Documentdt_DocumentNote&amp;quot; refer=&amp;quot;dt_Document_Constraint1&amp;quot;&amp;gt;_x000d__x000a_        &amp;lt;xs:selector xpath=&amp;quot;.//mstns:dt_DocumentNote&amp;quot; /&amp;gt;_x000d__x000a_        &amp;lt;xs:field xpath=&amp;quot;mstns:DocumentID&amp;quot; /&amp;gt;_x000d__x000a_      &amp;lt;/xs:keyref&amp;gt;_x000d__x000a_      &amp;lt;xs:keyref name=&amp;quot;dt_Documentdt_Bookmark&amp;quot; refer=&amp;quot;dt_Document_Constraint1&amp;quot;&amp;gt;_x000d__x000a_        &amp;lt;xs:selector xpath=&amp;quot;.//mstns:dt_Bookmark&amp;quot; /&amp;gt;_x000d__x000a_        &amp;lt;xs:field xpath=&amp;quot;mstns:DocumentID&amp;quot; /&amp;gt;_x000d__x000a_      &amp;lt;/xs:keyref&amp;gt;_x000d__x000a_      &amp;lt;xs:keyref name=&amp;quot;dt_Documentdt_DocumentCase&amp;quot; refer=&amp;quot;dt_Document_Constraint1&amp;quot;&amp;gt;_x000d__x000a_        &amp;lt;xs:selector xpath=&amp;quot;.//mstns:dt_DocumentCase&amp;quot; /&amp;gt;_x000d__x000a_        &amp;lt;xs:field xpath=&amp;quot;mstns:DocumentID&amp;quot; /&amp;gt;_x000d__x000a_      &amp;lt;/xs:keyref&amp;gt;_x000d__x000a_    &amp;lt;/xs:element&amp;gt;_x000d__x000a_    &amp;lt;xs:annotation&amp;gt;_x000d__x000a_      &amp;lt;xs:appinfo&amp;gt;_x000d__x000a_        &amp;lt;msdata:Relationship name=&amp;quot;dt_Document_dt_DocumentSummaryVersion&amp;quot; msdata:parent=&amp;quot;dt_Document&amp;quot; msdata:child=&amp;quot;dt_DocumentSummaryVersion&amp;quot; msdata:parentkey=&amp;quot;OriginalDocumentID&amp;quot; msdata:childkey=&amp;quot;DocumentID&amp;quot; /&amp;gt;_x000d__x000a_      &amp;lt;/xs:appinfo&amp;gt;_x000d__x000a_    &amp;lt;/xs:annotation&amp;gt;_x000d__x000a_  &amp;lt;/xs:schema&amp;gt;_x000d__x000a_  &amp;lt;diffgr:diffgram xmlns:msdata=&amp;quot;urn:schemas-microsoft-com:xml-msdata&amp;quot; xmlns:diffgr=&amp;quot;urn:schemas-microsoft-com:xml-diffgram-v1&amp;quot;&amp;gt;_x000d__x000a_    &amp;lt;DocumentDS xmlns=&amp;quot;http://www.tempuri.org/DocumentDS.xsd&amp;quot;&amp;gt;_x000d__x000a_      &amp;lt;dt_DocumentCase diffgr:id=&amp;quot;dt_DocumentCase1&amp;quot; msdata:rowOrder=&amp;quot;0&amp;quot;&amp;gt;_x000d__x000a_        &amp;lt;CaseID&amp;gt;77711755&amp;lt;/CaseID&amp;gt;_x000d__x000a_        &amp;lt;DocumentID&amp;gt;406370890&amp;lt;/DocumentID&amp;gt;_x000d__x000a_      &amp;lt;/dt_DocumentCase&amp;gt;_x000d__x000a_      &amp;lt;dt_Document diffgr:id=&amp;quot;dt_Document1&amp;quot; msdata:rowOrder=&amp;quot;0&amp;quot;&amp;gt;_x000d__x000a_        &amp;lt;DocumentID&amp;gt;406370890&amp;lt;/DocumentID&amp;gt;_x000d__x000a_        &amp;lt;DocumentMainID&amp;gt;0&amp;lt;/DocumentMainID&amp;gt;_x000d__x000a_        &amp;lt;CaseID&amp;gt;77711755&amp;lt;/CaseID&amp;gt;_x000d__x000a_        &amp;lt;DocumentIncludedDate&amp;gt;2023-03-21T11:13:44.053+02:00&amp;lt;/DocumentIncludedDate&amp;gt;_x000d__x000a_        &amp;lt;DocumentDesc&amp;gt;פסק דין  שניתנה ע&amp;quot;י  הילה גורביץ עובדיה&amp;lt;/DocumentDesc&amp;gt;_x000d__x000a_        &amp;lt;DocumentDirectionID&amp;gt;2&amp;lt;/DocumentDirectionID&amp;gt;_x000d__x000a_        &amp;lt;SourceID&amp;gt;1&amp;lt;/SourceID&amp;gt;_x000d__x000a_        &amp;lt;VersionNumber&amp;gt;1&amp;lt;/VersionNumber&amp;gt;_x000d__x000a_        &amp;lt;DocumentVersionTypeID&amp;gt;2&amp;lt;/DocumentVersionTypeID&amp;gt;_x000d__x000a_        &amp;lt;IsAttachment&amp;gt;false&amp;lt;/IsAttachment&amp;gt;_x000d__x000a_        &amp;lt;AttachmentOrdinalNumber&amp;gt;0&amp;lt;/AttachmentOrdinalNumber&amp;gt;_x000d__x000a_        &amp;lt;DocumentTypeID&amp;gt;73&amp;lt;/DocumentTypeID&amp;gt;_x000d__x000a_        &amp;lt;DocumentSavingDate&amp;gt;2023-03-21T11:13:44.053+02:00&amp;lt;/DocumentSavingDate&amp;gt;_x000d__x000a_        &amp;lt;DocumentChangeDate&amp;gt;2023-03-21T11:13:44.337+02:00&amp;lt;/DocumentChangeDate&amp;gt;_x000d__x000a_        &amp;lt;IsScanned&amp;gt;false&amp;lt;/IsScanned&amp;gt;_x000d__x000a_        &amp;lt;PageQuantity&amp;gt;0&amp;lt;/PageQuantity&amp;gt;_x000d__x000a_        &amp;lt;DocumentStatusID&amp;gt;2&amp;lt;/DocumentStatusID&amp;gt;_x000d__x000a_        &amp;lt;DocumentStatusChangeDate&amp;gt;2023-03-21T11:13:44.337+02:00&amp;lt;/DocumentStatusChangeDate&amp;gt;_x000d__x000a_        &amp;lt;TemplateVersionID&amp;gt;1&amp;lt;/TemplateVersionID&amp;gt;_x000d__x000a_        &amp;lt;DocumentChangeUserID&amp;gt;303910004@GOV.IL&amp;lt;/DocumentChangeUserID&amp;gt;_x000d__x000a_        &amp;lt;DocumentCreationUserID&amp;gt;303910004@GOV.IL&amp;lt;/DocumentCreationUserID&amp;gt;_x000d__x000a_        &amp;lt;OriginalDocumentID&amp;gt;405579092&amp;lt;/OriginalDocumentID&amp;gt;_x000d__x000a_        &amp;lt;PrivillegeID&amp;gt;2&amp;lt;/PrivillegeID&amp;gt;_x000d__x000a_        &amp;lt;FromPage&amp;gt;0&amp;lt;/FromPage&amp;gt;_x000d__x000a_        &amp;lt;ToPage&amp;gt;0&amp;lt;/ToPage&amp;gt;_x000d__x000a_        &amp;lt;FileID&amp;gt;dc21720387010000090037f6a61337e2&amp;lt;/FileID&amp;gt;_x000d__x000a_        &amp;lt;URL&amp;gt;\\CTLNFSV02\doc_repository\558\797\a4e89a64855344a9ad2244dedd4bd5e2_copy.docx&amp;lt;/URL&amp;gt;_x000d__x000a_        &amp;lt;OlivePriority&amp;gt;1&amp;lt;/OlivePriority&amp;gt;_x000d__x000a_        &amp;lt;MetaDataTypeID&amp;gt;1&amp;lt;/MetaDataTypeID&amp;gt;_x000d__x000a_        &amp;lt;MetaDataChangeDate&amp;gt;2023-03-21T11:13:44.337+02: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2&amp;amp;lt;/anyType&amp;amp;gt;_x000d__x000a_    &amp;amp;lt;anyType xsi:type=&amp;quot;xsd:string&amp;quot;&amp;amp;gt;1&amp;amp;lt;/anyType&amp;amp;gt;_x000d__x000a_    &amp;amp;lt;anyType xsi:type=&amp;quot;xsd:string&amp;quot;&amp;amp;gt;הילה גורביץ עובדיה&amp;amp;lt;/anyType&amp;amp;gt;_x000d__x000a_    &amp;amp;lt;anyType xsi:type=&amp;quot;xsd:dateTime&amp;quot;&amp;amp;gt;2023-03-13T15:47:09.207&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3-03-13T15:47:09.207+02:00&amp;lt;/PresentationDate&amp;gt;_x000d__x000a_      &amp;lt;/dt_Document&amp;gt;_x000d__x000a_    &amp;lt;/DocumentDS&amp;gt;_x000d__x000a_  &amp;lt;/diffgr:diffgram&amp;gt;_x000d__x000a_&amp;lt;/DocumentDS&amp;gt;"/>
    <w:docVar w:name="WordClientAssemblyName" w:val="NGCS.Decision.ClientWordBL"/>
    <w:docVar w:name="WordClientClassName" w:val="NGCS.Decision.ClientWordBL.VersionWordClient"/>
  </w:docVars>
  <w:rsids>
    <w:rsidRoot w:val="00694556"/>
    <w:rsid w:val="00005C8B"/>
    <w:rsid w:val="000146C2"/>
    <w:rsid w:val="00016C35"/>
    <w:rsid w:val="000258FD"/>
    <w:rsid w:val="00027E6D"/>
    <w:rsid w:val="0005124F"/>
    <w:rsid w:val="000564AB"/>
    <w:rsid w:val="000C6809"/>
    <w:rsid w:val="000D4A02"/>
    <w:rsid w:val="001072A9"/>
    <w:rsid w:val="00112EFF"/>
    <w:rsid w:val="00121F97"/>
    <w:rsid w:val="001277D7"/>
    <w:rsid w:val="00132017"/>
    <w:rsid w:val="0014234E"/>
    <w:rsid w:val="00145A87"/>
    <w:rsid w:val="001B4E47"/>
    <w:rsid w:val="001C4003"/>
    <w:rsid w:val="001F5474"/>
    <w:rsid w:val="002352F7"/>
    <w:rsid w:val="00261DD0"/>
    <w:rsid w:val="002714AD"/>
    <w:rsid w:val="00271861"/>
    <w:rsid w:val="0027277D"/>
    <w:rsid w:val="00381D3A"/>
    <w:rsid w:val="003823DA"/>
    <w:rsid w:val="003D303B"/>
    <w:rsid w:val="00427B27"/>
    <w:rsid w:val="0043595F"/>
    <w:rsid w:val="0047645A"/>
    <w:rsid w:val="004D49A3"/>
    <w:rsid w:val="004D50AC"/>
    <w:rsid w:val="004E6E3C"/>
    <w:rsid w:val="005124F1"/>
    <w:rsid w:val="00530BAD"/>
    <w:rsid w:val="00541598"/>
    <w:rsid w:val="00547DB7"/>
    <w:rsid w:val="00567324"/>
    <w:rsid w:val="005B0F49"/>
    <w:rsid w:val="005B5E70"/>
    <w:rsid w:val="005C7EC6"/>
    <w:rsid w:val="005D4BDB"/>
    <w:rsid w:val="00606799"/>
    <w:rsid w:val="00622BAA"/>
    <w:rsid w:val="00625C89"/>
    <w:rsid w:val="00633C4F"/>
    <w:rsid w:val="00671BD5"/>
    <w:rsid w:val="006805C1"/>
    <w:rsid w:val="006816EC"/>
    <w:rsid w:val="00694556"/>
    <w:rsid w:val="006E1A53"/>
    <w:rsid w:val="007056AA"/>
    <w:rsid w:val="00744F41"/>
    <w:rsid w:val="007A24FE"/>
    <w:rsid w:val="007A35AA"/>
    <w:rsid w:val="007F1048"/>
    <w:rsid w:val="007F79D5"/>
    <w:rsid w:val="00805C60"/>
    <w:rsid w:val="00820005"/>
    <w:rsid w:val="00846D27"/>
    <w:rsid w:val="008608B3"/>
    <w:rsid w:val="008610A7"/>
    <w:rsid w:val="008C36BE"/>
    <w:rsid w:val="008E1332"/>
    <w:rsid w:val="00903896"/>
    <w:rsid w:val="00916A3B"/>
    <w:rsid w:val="00927813"/>
    <w:rsid w:val="00944D13"/>
    <w:rsid w:val="00957C90"/>
    <w:rsid w:val="009B70F6"/>
    <w:rsid w:val="009C358E"/>
    <w:rsid w:val="009E0263"/>
    <w:rsid w:val="00A267CF"/>
    <w:rsid w:val="00A43458"/>
    <w:rsid w:val="00AA1236"/>
    <w:rsid w:val="00AC195F"/>
    <w:rsid w:val="00AC4E19"/>
    <w:rsid w:val="00AF1ED6"/>
    <w:rsid w:val="00B32C61"/>
    <w:rsid w:val="00B368FE"/>
    <w:rsid w:val="00B438CC"/>
    <w:rsid w:val="00B80CBD"/>
    <w:rsid w:val="00BC3369"/>
    <w:rsid w:val="00BF77EE"/>
    <w:rsid w:val="00C32E0F"/>
    <w:rsid w:val="00C42BF9"/>
    <w:rsid w:val="00C83E56"/>
    <w:rsid w:val="00CC63CE"/>
    <w:rsid w:val="00D26517"/>
    <w:rsid w:val="00D319B3"/>
    <w:rsid w:val="00D36A71"/>
    <w:rsid w:val="00D53924"/>
    <w:rsid w:val="00D60849"/>
    <w:rsid w:val="00D96D8C"/>
    <w:rsid w:val="00D9776D"/>
    <w:rsid w:val="00DA755B"/>
    <w:rsid w:val="00DC5DC7"/>
    <w:rsid w:val="00DD08FA"/>
    <w:rsid w:val="00DD337E"/>
    <w:rsid w:val="00E009FA"/>
    <w:rsid w:val="00E00B6F"/>
    <w:rsid w:val="00E44DDF"/>
    <w:rsid w:val="00E54642"/>
    <w:rsid w:val="00E72FA5"/>
    <w:rsid w:val="00E97908"/>
    <w:rsid w:val="00EA4334"/>
    <w:rsid w:val="00EF3ED0"/>
    <w:rsid w:val="00F17E56"/>
    <w:rsid w:val="00F267C6"/>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261DD0"/>
    <w:pPr>
      <w:spacing w:after="160" w:line="254"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3277251">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940419846FC4382B76BDEAAFB8DF758"/>
        <w:category>
          <w:name w:val="כללי"/>
          <w:gallery w:val="placeholder"/>
        </w:category>
        <w:types>
          <w:type w:val="bbPlcHdr"/>
        </w:types>
        <w:behaviors>
          <w:behavior w:val="content"/>
        </w:behaviors>
        <w:guid w:val="{DDB39EA3-CE00-4A6F-BD6F-A29BE62196A6}"/>
      </w:docPartPr>
      <w:docPartBody>
        <w:p w:rsidR="00F418E5" w:rsidRDefault="00702086" w:rsidP="00702086">
          <w:pPr>
            <w:pStyle w:val="B940419846FC4382B76BDEAAFB8DF758"/>
          </w:pPr>
          <w:r>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00BA6"/>
    <w:rsid w:val="00695771"/>
    <w:rsid w:val="00702086"/>
    <w:rsid w:val="00B40AEB"/>
    <w:rsid w:val="00B65812"/>
    <w:rsid w:val="00CC5512"/>
    <w:rsid w:val="00EA7F31"/>
    <w:rsid w:val="00F418E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02086"/>
  </w:style>
  <w:style w:type="paragraph" w:customStyle="1" w:styleId="5949AF95AEA74B59BE15EEF01C3D9584">
    <w:name w:val="5949AF95AEA74B59BE15EEF01C3D9584"/>
    <w:rsid w:val="00B40AEB"/>
    <w:pPr>
      <w:bidi/>
    </w:pPr>
  </w:style>
  <w:style w:type="paragraph" w:customStyle="1" w:styleId="F543BD6017094ECA8A197FD31D42F9F0">
    <w:name w:val="F543BD6017094ECA8A197FD31D42F9F0"/>
    <w:rsid w:val="00B40AEB"/>
    <w:pPr>
      <w:bidi/>
    </w:pPr>
  </w:style>
  <w:style w:type="paragraph" w:customStyle="1" w:styleId="43830518B23F43CE95EF1FDBFC3F7B6B">
    <w:name w:val="43830518B23F43CE95EF1FDBFC3F7B6B"/>
    <w:rsid w:val="00B40AEB"/>
    <w:pPr>
      <w:bidi/>
    </w:pPr>
  </w:style>
  <w:style w:type="paragraph" w:customStyle="1" w:styleId="D128F3650E61473296914EF9E15A250B">
    <w:name w:val="D128F3650E61473296914EF9E15A250B"/>
    <w:rsid w:val="00B40AEB"/>
    <w:pPr>
      <w:bidi/>
    </w:pPr>
  </w:style>
  <w:style w:type="paragraph" w:customStyle="1" w:styleId="F543BD6017094ECA8A197FD31D42F9F01">
    <w:name w:val="F543BD6017094ECA8A197FD31D42F9F01"/>
    <w:rsid w:val="00B65812"/>
    <w:pPr>
      <w:bidi/>
      <w:spacing w:after="0" w:line="240" w:lineRule="auto"/>
    </w:pPr>
    <w:rPr>
      <w:rFonts w:ascii="Times New Roman" w:eastAsia="Times New Roman" w:hAnsi="Times New Roman" w:cs="David"/>
      <w:noProof/>
      <w:sz w:val="24"/>
      <w:szCs w:val="24"/>
    </w:rPr>
  </w:style>
  <w:style w:type="paragraph" w:customStyle="1" w:styleId="43830518B23F43CE95EF1FDBFC3F7B6B1">
    <w:name w:val="43830518B23F43CE95EF1FDBFC3F7B6B1"/>
    <w:rsid w:val="00B65812"/>
    <w:pPr>
      <w:bidi/>
      <w:spacing w:after="0" w:line="240" w:lineRule="auto"/>
    </w:pPr>
    <w:rPr>
      <w:rFonts w:ascii="Times New Roman" w:eastAsia="Times New Roman" w:hAnsi="Times New Roman" w:cs="David"/>
      <w:noProof/>
      <w:sz w:val="24"/>
      <w:szCs w:val="24"/>
    </w:rPr>
  </w:style>
  <w:style w:type="paragraph" w:customStyle="1" w:styleId="D128F3650E61473296914EF9E15A250B1">
    <w:name w:val="D128F3650E61473296914EF9E15A250B1"/>
    <w:rsid w:val="00B65812"/>
    <w:pPr>
      <w:bidi/>
      <w:spacing w:after="0" w:line="240" w:lineRule="auto"/>
    </w:pPr>
    <w:rPr>
      <w:rFonts w:ascii="Times New Roman" w:eastAsia="Times New Roman" w:hAnsi="Times New Roman" w:cs="David"/>
      <w:noProof/>
      <w:sz w:val="24"/>
      <w:szCs w:val="24"/>
    </w:rPr>
  </w:style>
  <w:style w:type="paragraph" w:customStyle="1" w:styleId="D650C3ADC6E34C929EE3D2B6C6EAD8DA">
    <w:name w:val="D650C3ADC6E34C929EE3D2B6C6EAD8DA"/>
    <w:rsid w:val="00EA7F31"/>
    <w:pPr>
      <w:bidi/>
      <w:spacing w:after="0" w:line="240" w:lineRule="auto"/>
    </w:pPr>
    <w:rPr>
      <w:rFonts w:ascii="Times New Roman" w:eastAsia="Times New Roman" w:hAnsi="Times New Roman" w:cs="David"/>
      <w:noProof/>
      <w:sz w:val="24"/>
      <w:szCs w:val="24"/>
    </w:rPr>
  </w:style>
  <w:style w:type="paragraph" w:customStyle="1" w:styleId="0F98BC5BD65F4E3D9CB241A0552B3109">
    <w:name w:val="0F98BC5BD65F4E3D9CB241A0552B3109"/>
    <w:rsid w:val="00EA7F31"/>
    <w:pPr>
      <w:bidi/>
      <w:spacing w:after="0" w:line="240" w:lineRule="auto"/>
    </w:pPr>
    <w:rPr>
      <w:rFonts w:ascii="Times New Roman" w:eastAsia="Times New Roman" w:hAnsi="Times New Roman" w:cs="David"/>
      <w:noProof/>
      <w:sz w:val="24"/>
      <w:szCs w:val="24"/>
    </w:rPr>
  </w:style>
  <w:style w:type="paragraph" w:customStyle="1" w:styleId="188595C706B84060A65FC27D8AEC282C">
    <w:name w:val="188595C706B84060A65FC27D8AEC282C"/>
    <w:rsid w:val="00EA7F31"/>
    <w:pPr>
      <w:bidi/>
      <w:spacing w:after="0" w:line="240" w:lineRule="auto"/>
    </w:pPr>
    <w:rPr>
      <w:rFonts w:ascii="Times New Roman" w:eastAsia="Times New Roman" w:hAnsi="Times New Roman" w:cs="David"/>
      <w:noProof/>
      <w:sz w:val="24"/>
      <w:szCs w:val="24"/>
    </w:rPr>
  </w:style>
  <w:style w:type="paragraph" w:customStyle="1" w:styleId="4C0CD05467694806A8B4ED31ED85F270">
    <w:name w:val="4C0CD05467694806A8B4ED31ED85F270"/>
    <w:rsid w:val="00EA7F31"/>
    <w:pPr>
      <w:bidi/>
      <w:spacing w:after="0" w:line="240" w:lineRule="auto"/>
    </w:pPr>
    <w:rPr>
      <w:rFonts w:ascii="Times New Roman" w:eastAsia="Times New Roman" w:hAnsi="Times New Roman" w:cs="David"/>
      <w:noProof/>
      <w:sz w:val="24"/>
      <w:szCs w:val="24"/>
    </w:rPr>
  </w:style>
  <w:style w:type="paragraph" w:customStyle="1" w:styleId="F543BD6017094ECA8A197FD31D42F9F02">
    <w:name w:val="F543BD6017094ECA8A197FD31D42F9F02"/>
    <w:rsid w:val="00EA7F31"/>
    <w:pPr>
      <w:bidi/>
      <w:spacing w:after="0" w:line="240" w:lineRule="auto"/>
    </w:pPr>
    <w:rPr>
      <w:rFonts w:ascii="Times New Roman" w:eastAsia="Times New Roman" w:hAnsi="Times New Roman" w:cs="David"/>
      <w:noProof/>
      <w:sz w:val="24"/>
      <w:szCs w:val="24"/>
    </w:rPr>
  </w:style>
  <w:style w:type="paragraph" w:customStyle="1" w:styleId="43830518B23F43CE95EF1FDBFC3F7B6B2">
    <w:name w:val="43830518B23F43CE95EF1FDBFC3F7B6B2"/>
    <w:rsid w:val="00EA7F31"/>
    <w:pPr>
      <w:bidi/>
      <w:spacing w:after="0" w:line="240" w:lineRule="auto"/>
    </w:pPr>
    <w:rPr>
      <w:rFonts w:ascii="Times New Roman" w:eastAsia="Times New Roman" w:hAnsi="Times New Roman" w:cs="David"/>
      <w:noProof/>
      <w:sz w:val="24"/>
      <w:szCs w:val="24"/>
    </w:rPr>
  </w:style>
  <w:style w:type="paragraph" w:customStyle="1" w:styleId="D128F3650E61473296914EF9E15A250B2">
    <w:name w:val="D128F3650E61473296914EF9E15A250B2"/>
    <w:rsid w:val="00EA7F31"/>
    <w:pPr>
      <w:bidi/>
      <w:spacing w:after="0" w:line="240" w:lineRule="auto"/>
    </w:pPr>
    <w:rPr>
      <w:rFonts w:ascii="Times New Roman" w:eastAsia="Times New Roman" w:hAnsi="Times New Roman" w:cs="David"/>
      <w:noProof/>
      <w:sz w:val="24"/>
      <w:szCs w:val="24"/>
    </w:rPr>
  </w:style>
  <w:style w:type="paragraph" w:customStyle="1" w:styleId="D650C3ADC6E34C929EE3D2B6C6EAD8DA1">
    <w:name w:val="D650C3ADC6E34C929EE3D2B6C6EAD8DA1"/>
    <w:rsid w:val="00200BA6"/>
    <w:pPr>
      <w:bidi/>
      <w:spacing w:after="0" w:line="240" w:lineRule="auto"/>
    </w:pPr>
    <w:rPr>
      <w:rFonts w:ascii="Times New Roman" w:eastAsia="Times New Roman" w:hAnsi="Times New Roman" w:cs="David"/>
      <w:noProof/>
      <w:sz w:val="24"/>
      <w:szCs w:val="24"/>
    </w:rPr>
  </w:style>
  <w:style w:type="paragraph" w:customStyle="1" w:styleId="0F98BC5BD65F4E3D9CB241A0552B31091">
    <w:name w:val="0F98BC5BD65F4E3D9CB241A0552B31091"/>
    <w:rsid w:val="00200BA6"/>
    <w:pPr>
      <w:bidi/>
      <w:spacing w:after="0" w:line="240" w:lineRule="auto"/>
    </w:pPr>
    <w:rPr>
      <w:rFonts w:ascii="Times New Roman" w:eastAsia="Times New Roman" w:hAnsi="Times New Roman" w:cs="David"/>
      <w:noProof/>
      <w:sz w:val="24"/>
      <w:szCs w:val="24"/>
    </w:rPr>
  </w:style>
  <w:style w:type="paragraph" w:customStyle="1" w:styleId="188595C706B84060A65FC27D8AEC282C1">
    <w:name w:val="188595C706B84060A65FC27D8AEC282C1"/>
    <w:rsid w:val="00200BA6"/>
    <w:pPr>
      <w:bidi/>
      <w:spacing w:after="0" w:line="240" w:lineRule="auto"/>
    </w:pPr>
    <w:rPr>
      <w:rFonts w:ascii="Times New Roman" w:eastAsia="Times New Roman" w:hAnsi="Times New Roman" w:cs="David"/>
      <w:noProof/>
      <w:sz w:val="24"/>
      <w:szCs w:val="24"/>
    </w:rPr>
  </w:style>
  <w:style w:type="paragraph" w:customStyle="1" w:styleId="4C0CD05467694806A8B4ED31ED85F2701">
    <w:name w:val="4C0CD05467694806A8B4ED31ED85F2701"/>
    <w:rsid w:val="00200BA6"/>
    <w:pPr>
      <w:bidi/>
      <w:spacing w:after="0" w:line="240" w:lineRule="auto"/>
    </w:pPr>
    <w:rPr>
      <w:rFonts w:ascii="Times New Roman" w:eastAsia="Times New Roman" w:hAnsi="Times New Roman" w:cs="David"/>
      <w:noProof/>
      <w:sz w:val="24"/>
      <w:szCs w:val="24"/>
    </w:rPr>
  </w:style>
  <w:style w:type="paragraph" w:customStyle="1" w:styleId="F543BD6017094ECA8A197FD31D42F9F03">
    <w:name w:val="F543BD6017094ECA8A197FD31D42F9F03"/>
    <w:rsid w:val="00200BA6"/>
    <w:pPr>
      <w:bidi/>
      <w:spacing w:after="0" w:line="240" w:lineRule="auto"/>
    </w:pPr>
    <w:rPr>
      <w:rFonts w:ascii="Times New Roman" w:eastAsia="Times New Roman" w:hAnsi="Times New Roman" w:cs="David"/>
      <w:noProof/>
      <w:sz w:val="24"/>
      <w:szCs w:val="24"/>
    </w:rPr>
  </w:style>
  <w:style w:type="paragraph" w:customStyle="1" w:styleId="43830518B23F43CE95EF1FDBFC3F7B6B3">
    <w:name w:val="43830518B23F43CE95EF1FDBFC3F7B6B3"/>
    <w:rsid w:val="00200BA6"/>
    <w:pPr>
      <w:bidi/>
      <w:spacing w:after="0" w:line="240" w:lineRule="auto"/>
    </w:pPr>
    <w:rPr>
      <w:rFonts w:ascii="Times New Roman" w:eastAsia="Times New Roman" w:hAnsi="Times New Roman" w:cs="David"/>
      <w:noProof/>
      <w:sz w:val="24"/>
      <w:szCs w:val="24"/>
    </w:rPr>
  </w:style>
  <w:style w:type="paragraph" w:customStyle="1" w:styleId="D128F3650E61473296914EF9E15A250B3">
    <w:name w:val="D128F3650E61473296914EF9E15A250B3"/>
    <w:rsid w:val="00200BA6"/>
    <w:pPr>
      <w:bidi/>
      <w:spacing w:after="0" w:line="240" w:lineRule="auto"/>
    </w:pPr>
    <w:rPr>
      <w:rFonts w:ascii="Times New Roman" w:eastAsia="Times New Roman" w:hAnsi="Times New Roman" w:cs="David"/>
      <w:noProof/>
      <w:sz w:val="24"/>
      <w:szCs w:val="24"/>
    </w:rPr>
  </w:style>
  <w:style w:type="paragraph" w:customStyle="1" w:styleId="BCFD453411D946769FE9C5EB6E4677BD">
    <w:name w:val="BCFD453411D946769FE9C5EB6E4677BD"/>
    <w:rsid w:val="00702086"/>
    <w:pPr>
      <w:bidi/>
    </w:pPr>
  </w:style>
  <w:style w:type="paragraph" w:customStyle="1" w:styleId="9440C5C6550D47BFB15B242464331EB5">
    <w:name w:val="9440C5C6550D47BFB15B242464331EB5"/>
    <w:rsid w:val="00702086"/>
    <w:pPr>
      <w:bidi/>
    </w:pPr>
  </w:style>
  <w:style w:type="paragraph" w:customStyle="1" w:styleId="52F9ECC5CE1F44B38D1D7D64B7031A2D">
    <w:name w:val="52F9ECC5CE1F44B38D1D7D64B7031A2D"/>
    <w:rsid w:val="00702086"/>
    <w:pPr>
      <w:bidi/>
    </w:pPr>
  </w:style>
  <w:style w:type="paragraph" w:customStyle="1" w:styleId="AE1DD417D35B467FBC1B3B958A329866">
    <w:name w:val="AE1DD417D35B467FBC1B3B958A329866"/>
    <w:rsid w:val="00702086"/>
    <w:pPr>
      <w:bidi/>
    </w:pPr>
  </w:style>
  <w:style w:type="paragraph" w:customStyle="1" w:styleId="B940419846FC4382B76BDEAAFB8DF758">
    <w:name w:val="B940419846FC4382B76BDEAAFB8DF758"/>
    <w:rsid w:val="00702086"/>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3718</Words>
  <Characters>18594</Characters>
  <Application>Microsoft Office Word</Application>
  <DocSecurity>0</DocSecurity>
  <Lines>154</Lines>
  <Paragraphs>44</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טטרואשוילי</cp:lastModifiedBy>
  <cp:revision>2</cp:revision>
  <dcterms:created xsi:type="dcterms:W3CDTF">2023-03-26T13:18:00Z</dcterms:created>
  <dcterms:modified xsi:type="dcterms:W3CDTF">2023-03-26T13:18:00Z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C:\Program Files\NGCS\NGCS.Common.WordTemplate.vsto|a6b55e7c-583a-4154-845d-901f18a53e62|vstolocal</vt:lpwstr>
  </property>
  <property fmtid="{D5CDD505-2E9C-101B-9397-08002B2CF9AE}" pid="3" name="_AssemblyName">
    <vt:lpwstr>4E3C66D5-58D4-491E-A7D4-64AF99AF6E8B</vt:lpwstr>
  </property>
  <property fmtid="{D5CDD505-2E9C-101B-9397-08002B2CF9AE}" pid="4" name="GrammarlyDocumentId">
    <vt:lpwstr>2960eff62da7a04aa419a4779e2389a0c744d2080a118ba002c9823cc5cdd60c</vt:lpwstr>
  </property>
</Properties>
</file>