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c"/>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8A59EE" w:rsidRDefault="0094424E" w:rsidP="00D44968">
            <w:pPr>
              <w:suppressLineNumbers/>
              <w:jc w:val="both"/>
              <w:rPr>
                <w:rFonts w:ascii="Arial" w:hAnsi="Arial"/>
                <w:b/>
                <w:bCs/>
                <w:sz w:val="26"/>
                <w:szCs w:val="26"/>
                <w:rtl/>
              </w:rPr>
            </w:pPr>
            <w:r w:rsidRPr="008A59EE">
              <w:rPr>
                <w:rFonts w:ascii="Arial" w:hAnsi="Arial" w:hint="cs"/>
                <w:b/>
                <w:bCs/>
                <w:sz w:val="26"/>
                <w:szCs w:val="26"/>
                <w:rtl/>
              </w:rPr>
              <w:t>ב</w:t>
            </w:r>
            <w:r w:rsidRPr="008A59EE">
              <w:rPr>
                <w:rFonts w:ascii="Arial" w:hAnsi="Arial"/>
                <w:b/>
                <w:bCs/>
                <w:sz w:val="26"/>
                <w:szCs w:val="26"/>
                <w:rtl/>
              </w:rPr>
              <w:t xml:space="preserve">פני </w:t>
            </w:r>
          </w:p>
        </w:tc>
        <w:tc>
          <w:tcPr>
            <w:tcW w:w="8077" w:type="dxa"/>
            <w:gridSpan w:val="2"/>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אילן בן-דור</w:t>
                </w:r>
              </w:sdtContent>
            </w:sdt>
          </w:p>
          <w:p w:rsidR="00007DE0" w:rsidRPr="008A59EE" w:rsidRDefault="00007DE0" w:rsidP="00007DE0">
            <w:pPr>
              <w:suppressLineNumbers/>
              <w:rPr>
                <w:sz w:val="26"/>
                <w:szCs w:val="26"/>
              </w:rPr>
            </w:pPr>
          </w:p>
        </w:tc>
      </w:tr>
      <w:tr w:rsidR="0094424E" w:rsidTr="00465D36">
        <w:trPr>
          <w:jc w:val="center"/>
        </w:trPr>
        <w:tc>
          <w:tcPr>
            <w:tcW w:w="3249" w:type="dxa"/>
            <w:gridSpan w:val="2"/>
          </w:tcPr>
          <w:p w:rsidR="00FA7FD0" w:rsidRDefault="00FA7FD0" w:rsidP="00D44968">
            <w:pPr>
              <w:suppressLineNumbers/>
              <w:rPr>
                <w:rtl/>
              </w:rPr>
            </w:pPr>
          </w:p>
          <w:sdt>
            <w:sdtPr>
              <w:rPr>
                <w:rtl/>
              </w:rPr>
              <w:alias w:val="1180"/>
              <w:tag w:val="1180"/>
              <w:id w:val="637458750"/>
              <w:text w:multiLine="1"/>
            </w:sdtPr>
            <w:sdtEndPr/>
            <w:sdtContent>
              <w:p w:rsidR="00875A9B" w:rsidRDefault="006A0191">
                <w:pPr>
                  <w:suppressLineNumbers/>
                  <w:rPr>
                    <w:rFonts w:ascii="Arial" w:hAnsi="Arial"/>
                    <w:b/>
                    <w:bCs/>
                    <w:noProof w:val="0"/>
                    <w:sz w:val="26"/>
                    <w:szCs w:val="26"/>
                    <w:rtl/>
                  </w:rPr>
                </w:pPr>
                <w:r>
                  <w:rPr>
                    <w:rFonts w:ascii="Arial" w:hAnsi="Arial"/>
                    <w:b/>
                    <w:bCs/>
                    <w:noProof w:val="0"/>
                    <w:sz w:val="26"/>
                    <w:szCs w:val="26"/>
                    <w:rtl/>
                  </w:rPr>
                  <w:t>תובעים</w:t>
                </w:r>
              </w:p>
            </w:sdtContent>
          </w:sdt>
        </w:tc>
        <w:tc>
          <w:tcPr>
            <w:tcW w:w="5571" w:type="dxa"/>
          </w:tcPr>
          <w:p w:rsidR="00FA7FD0" w:rsidRDefault="00FA7FD0" w:rsidP="00D44968">
            <w:pPr>
              <w:suppressLineNumbers/>
              <w:rPr>
                <w:rtl/>
              </w:rPr>
            </w:pPr>
          </w:p>
          <w:p w:rsidR="0094424E" w:rsidRDefault="001B6263" w:rsidP="006435CF">
            <w:pPr>
              <w:suppressLineNumbers/>
              <w:rPr>
                <w:b/>
                <w:bCs/>
                <w:noProof w:val="0"/>
                <w:sz w:val="26"/>
                <w:szCs w:val="26"/>
              </w:rPr>
            </w:pPr>
            <w:sdt>
              <w:sdtPr>
                <w:rPr>
                  <w:rFonts w:ascii="Arial" w:hAnsi="Arial"/>
                  <w:b/>
                  <w:bCs/>
                  <w:noProof w:val="0"/>
                  <w:sz w:val="26"/>
                  <w:szCs w:val="26"/>
                  <w:rtl/>
                </w:rPr>
                <w:alias w:val="1462"/>
                <w:tag w:val="1462"/>
                <w:id w:val="-2139489462"/>
                <w:text w:multiLine="1"/>
              </w:sdtPr>
              <w:sdtEndPr/>
              <w:sdtContent>
                <w:r w:rsidR="000346CC">
                  <w:rPr>
                    <w:rFonts w:ascii="Arial" w:hAnsi="Arial"/>
                    <w:b/>
                    <w:bCs/>
                    <w:noProof w:val="0"/>
                    <w:sz w:val="26"/>
                    <w:szCs w:val="26"/>
                    <w:rtl/>
                  </w:rPr>
                  <w:t>1</w:t>
                </w:r>
              </w:sdtContent>
            </w:sdt>
            <w:r w:rsidR="0094424E" w:rsidRPr="00CD516B">
              <w:rPr>
                <w:rFonts w:ascii="Arial" w:hAnsi="Arial"/>
                <w:b/>
                <w:bCs/>
                <w:noProof w:val="0"/>
                <w:sz w:val="26"/>
                <w:szCs w:val="26"/>
                <w:rtl/>
              </w:rPr>
              <w:t>.</w:t>
            </w:r>
            <w:r w:rsidR="0094424E" w:rsidRPr="00CD516B">
              <w:rPr>
                <w:rFonts w:ascii="Arial" w:hAnsi="Arial" w:hint="cs"/>
                <w:b/>
                <w:bCs/>
                <w:noProof w:val="0"/>
                <w:sz w:val="26"/>
                <w:szCs w:val="26"/>
                <w:rtl/>
              </w:rPr>
              <w:t xml:space="preserve"> </w:t>
            </w:r>
            <w:sdt>
              <w:sdtPr>
                <w:rPr>
                  <w:rFonts w:ascii="Arial" w:hAnsi="Arial"/>
                  <w:b/>
                  <w:bCs/>
                  <w:noProof w:val="0"/>
                  <w:sz w:val="26"/>
                  <w:szCs w:val="26"/>
                  <w:rtl/>
                </w:rPr>
                <w:alias w:val="3151"/>
                <w:tag w:val="3151"/>
                <w:id w:val="1166218717"/>
                <w:placeholder>
                  <w:docPart w:val="1C8A38705F7143EA87FF3DEB2C34E7E5"/>
                </w:placeholder>
                <w:text w:multiLine="1"/>
              </w:sdtPr>
              <w:sdtEndPr/>
              <w:sdtContent>
                <w:r w:rsidR="000346CC">
                  <w:rPr>
                    <w:rFonts w:ascii="Arial" w:hAnsi="Arial"/>
                    <w:b/>
                    <w:bCs/>
                    <w:noProof w:val="0"/>
                    <w:sz w:val="26"/>
                    <w:szCs w:val="26"/>
                    <w:rtl/>
                  </w:rPr>
                  <w:t>א</w:t>
                </w:r>
                <w:r w:rsidR="006A0191">
                  <w:rPr>
                    <w:rFonts w:ascii="Arial" w:hAnsi="Arial" w:hint="cs"/>
                    <w:b/>
                    <w:bCs/>
                    <w:noProof w:val="0"/>
                    <w:sz w:val="26"/>
                    <w:szCs w:val="26"/>
                    <w:rtl/>
                  </w:rPr>
                  <w:t xml:space="preserve">. </w:t>
                </w:r>
                <w:r w:rsidR="000346CC">
                  <w:rPr>
                    <w:rFonts w:ascii="Arial" w:hAnsi="Arial"/>
                    <w:b/>
                    <w:bCs/>
                    <w:noProof w:val="0"/>
                    <w:sz w:val="26"/>
                    <w:szCs w:val="26"/>
                    <w:rtl/>
                  </w:rPr>
                  <w:t>י</w:t>
                </w:r>
                <w:r w:rsidR="006A0191">
                  <w:rPr>
                    <w:rFonts w:ascii="Arial" w:hAnsi="Arial" w:hint="cs"/>
                    <w:b/>
                    <w:bCs/>
                    <w:noProof w:val="0"/>
                    <w:sz w:val="26"/>
                    <w:szCs w:val="26"/>
                    <w:rtl/>
                  </w:rPr>
                  <w:t xml:space="preserve">. </w:t>
                </w:r>
                <w:r w:rsidR="000346CC">
                  <w:rPr>
                    <w:rFonts w:ascii="Arial" w:hAnsi="Arial"/>
                    <w:b/>
                    <w:bCs/>
                    <w:noProof w:val="0"/>
                    <w:sz w:val="26"/>
                    <w:szCs w:val="26"/>
                    <w:rtl/>
                  </w:rPr>
                  <w:t xml:space="preserve"> ד</w:t>
                </w:r>
                <w:r w:rsidR="006A0191">
                  <w:rPr>
                    <w:rFonts w:ascii="Arial" w:hAnsi="Arial" w:hint="cs"/>
                    <w:b/>
                    <w:bCs/>
                    <w:noProof w:val="0"/>
                    <w:sz w:val="26"/>
                    <w:szCs w:val="26"/>
                    <w:rtl/>
                  </w:rPr>
                  <w:t xml:space="preserve">. </w:t>
                </w:r>
              </w:sdtContent>
            </w:sdt>
            <w:r w:rsidR="000346CC">
              <w:rPr>
                <w:rFonts w:ascii="Arial" w:hAnsi="Arial" w:hint="cs"/>
                <w:b/>
                <w:bCs/>
                <w:noProof w:val="0"/>
                <w:sz w:val="26"/>
                <w:szCs w:val="26"/>
                <w:rtl/>
              </w:rPr>
              <w:t xml:space="preserve"> ע"י ב"כ עוה"ד</w:t>
            </w:r>
          </w:p>
          <w:p w:rsidR="0094424E" w:rsidRDefault="001B6263" w:rsidP="006A0191">
            <w:pPr>
              <w:suppressLineNumbers/>
              <w:rPr>
                <w:b/>
                <w:bCs/>
                <w:noProof w:val="0"/>
                <w:sz w:val="26"/>
                <w:szCs w:val="26"/>
              </w:rPr>
            </w:pPr>
            <w:sdt>
              <w:sdtPr>
                <w:rPr>
                  <w:rFonts w:ascii="Arial" w:hAnsi="Arial"/>
                  <w:b/>
                  <w:bCs/>
                  <w:noProof w:val="0"/>
                  <w:sz w:val="26"/>
                  <w:szCs w:val="26"/>
                  <w:rtl/>
                </w:rPr>
                <w:alias w:val="1462"/>
                <w:tag w:val="1462"/>
                <w:id w:val="942807710"/>
                <w:text w:multiLine="1"/>
              </w:sdtPr>
              <w:sdtEndPr/>
              <w:sdtContent>
                <w:r w:rsidR="000346CC">
                  <w:rPr>
                    <w:rFonts w:ascii="Arial" w:hAnsi="Arial"/>
                    <w:b/>
                    <w:bCs/>
                    <w:noProof w:val="0"/>
                    <w:sz w:val="26"/>
                    <w:szCs w:val="26"/>
                    <w:rtl/>
                  </w:rPr>
                  <w:t>2</w:t>
                </w:r>
              </w:sdtContent>
            </w:sdt>
            <w:r w:rsidR="0094424E" w:rsidRPr="00CD516B">
              <w:rPr>
                <w:rFonts w:ascii="Arial" w:hAnsi="Arial"/>
                <w:b/>
                <w:bCs/>
                <w:noProof w:val="0"/>
                <w:sz w:val="26"/>
                <w:szCs w:val="26"/>
                <w:rtl/>
              </w:rPr>
              <w:t>.</w:t>
            </w:r>
            <w:r w:rsidR="0094424E" w:rsidRPr="00CD516B">
              <w:rPr>
                <w:rFonts w:ascii="Arial" w:hAnsi="Arial" w:hint="cs"/>
                <w:b/>
                <w:bCs/>
                <w:noProof w:val="0"/>
                <w:sz w:val="26"/>
                <w:szCs w:val="26"/>
                <w:rtl/>
              </w:rPr>
              <w:t xml:space="preserve"> </w:t>
            </w:r>
            <w:sdt>
              <w:sdtPr>
                <w:rPr>
                  <w:rFonts w:ascii="Arial" w:hAnsi="Arial"/>
                  <w:b/>
                  <w:bCs/>
                  <w:noProof w:val="0"/>
                  <w:sz w:val="26"/>
                  <w:szCs w:val="26"/>
                  <w:rtl/>
                </w:rPr>
                <w:alias w:val="3151"/>
                <w:tag w:val="3151"/>
                <w:id w:val="1324702213"/>
                <w:placeholder>
                  <w:docPart w:val="1C8A38705F7143EA87FF3DEB2C34E7E5"/>
                </w:placeholder>
                <w:text w:multiLine="1"/>
              </w:sdtPr>
              <w:sdtEndPr/>
              <w:sdtContent>
                <w:r w:rsidR="000346CC">
                  <w:rPr>
                    <w:rFonts w:ascii="Arial" w:hAnsi="Arial"/>
                    <w:b/>
                    <w:bCs/>
                    <w:noProof w:val="0"/>
                    <w:sz w:val="26"/>
                    <w:szCs w:val="26"/>
                    <w:rtl/>
                  </w:rPr>
                  <w:t>ש</w:t>
                </w:r>
                <w:r w:rsidR="006A0191">
                  <w:rPr>
                    <w:rFonts w:ascii="Arial" w:hAnsi="Arial" w:hint="cs"/>
                    <w:b/>
                    <w:bCs/>
                    <w:noProof w:val="0"/>
                    <w:sz w:val="26"/>
                    <w:szCs w:val="26"/>
                    <w:rtl/>
                  </w:rPr>
                  <w:t xml:space="preserve">. </w:t>
                </w:r>
                <w:r w:rsidR="000346CC">
                  <w:rPr>
                    <w:rFonts w:ascii="Arial" w:hAnsi="Arial"/>
                    <w:b/>
                    <w:bCs/>
                    <w:noProof w:val="0"/>
                    <w:sz w:val="26"/>
                    <w:szCs w:val="26"/>
                    <w:rtl/>
                  </w:rPr>
                  <w:t xml:space="preserve"> ד</w:t>
                </w:r>
                <w:r w:rsidR="006A0191">
                  <w:rPr>
                    <w:rFonts w:ascii="Arial" w:hAnsi="Arial" w:hint="cs"/>
                    <w:b/>
                    <w:bCs/>
                    <w:noProof w:val="0"/>
                    <w:sz w:val="26"/>
                    <w:szCs w:val="26"/>
                    <w:rtl/>
                  </w:rPr>
                  <w:t xml:space="preserve">. </w:t>
                </w:r>
                <w:r w:rsidR="000346CC">
                  <w:rPr>
                    <w:rFonts w:ascii="Arial" w:hAnsi="Arial"/>
                    <w:b/>
                    <w:bCs/>
                    <w:noProof w:val="0"/>
                    <w:sz w:val="26"/>
                    <w:szCs w:val="26"/>
                    <w:rtl/>
                  </w:rPr>
                  <w:t xml:space="preserve"> (אפוטרופוס)</w:t>
                </w:r>
              </w:sdtContent>
            </w:sdt>
            <w:r w:rsidR="000346CC">
              <w:rPr>
                <w:rFonts w:ascii="Arial" w:hAnsi="Arial" w:hint="cs"/>
                <w:b/>
                <w:bCs/>
                <w:noProof w:val="0"/>
                <w:sz w:val="26"/>
                <w:szCs w:val="26"/>
                <w:rtl/>
              </w:rPr>
              <w:t xml:space="preserve"> ע"י ב"כ עוה"ד</w:t>
            </w:r>
          </w:p>
          <w:p w:rsidR="0094424E" w:rsidRDefault="001B6263" w:rsidP="006A0191">
            <w:pPr>
              <w:suppressLineNumbers/>
              <w:rPr>
                <w:b/>
                <w:bCs/>
                <w:noProof w:val="0"/>
                <w:sz w:val="26"/>
                <w:szCs w:val="26"/>
              </w:rPr>
            </w:pPr>
            <w:sdt>
              <w:sdtPr>
                <w:rPr>
                  <w:rFonts w:ascii="Arial" w:hAnsi="Arial"/>
                  <w:b/>
                  <w:bCs/>
                  <w:noProof w:val="0"/>
                  <w:sz w:val="26"/>
                  <w:szCs w:val="26"/>
                  <w:rtl/>
                </w:rPr>
                <w:alias w:val="1462"/>
                <w:tag w:val="1462"/>
                <w:id w:val="-689605365"/>
                <w:text w:multiLine="1"/>
              </w:sdtPr>
              <w:sdtEndPr/>
              <w:sdtContent>
                <w:r w:rsidR="000346CC">
                  <w:rPr>
                    <w:rFonts w:ascii="Arial" w:hAnsi="Arial"/>
                    <w:b/>
                    <w:bCs/>
                    <w:noProof w:val="0"/>
                    <w:sz w:val="26"/>
                    <w:szCs w:val="26"/>
                    <w:rtl/>
                  </w:rPr>
                  <w:t>3</w:t>
                </w:r>
              </w:sdtContent>
            </w:sdt>
            <w:r w:rsidR="0094424E" w:rsidRPr="00CD516B">
              <w:rPr>
                <w:rFonts w:ascii="Arial" w:hAnsi="Arial"/>
                <w:b/>
                <w:bCs/>
                <w:noProof w:val="0"/>
                <w:sz w:val="26"/>
                <w:szCs w:val="26"/>
                <w:rtl/>
              </w:rPr>
              <w:t>.</w:t>
            </w:r>
            <w:r w:rsidR="0094424E" w:rsidRPr="00CD516B">
              <w:rPr>
                <w:rFonts w:ascii="Arial" w:hAnsi="Arial" w:hint="cs"/>
                <w:b/>
                <w:bCs/>
                <w:noProof w:val="0"/>
                <w:sz w:val="26"/>
                <w:szCs w:val="26"/>
                <w:rtl/>
              </w:rPr>
              <w:t xml:space="preserve"> </w:t>
            </w:r>
            <w:sdt>
              <w:sdtPr>
                <w:rPr>
                  <w:rFonts w:ascii="Arial" w:hAnsi="Arial"/>
                  <w:b/>
                  <w:bCs/>
                  <w:noProof w:val="0"/>
                  <w:sz w:val="26"/>
                  <w:szCs w:val="26"/>
                  <w:rtl/>
                </w:rPr>
                <w:alias w:val="3151"/>
                <w:tag w:val="3151"/>
                <w:id w:val="-1688442114"/>
                <w:placeholder>
                  <w:docPart w:val="1C8A38705F7143EA87FF3DEB2C34E7E5"/>
                </w:placeholder>
                <w:text w:multiLine="1"/>
              </w:sdtPr>
              <w:sdtEndPr/>
              <w:sdtContent>
                <w:r w:rsidR="000346CC">
                  <w:rPr>
                    <w:rFonts w:ascii="Arial" w:hAnsi="Arial"/>
                    <w:b/>
                    <w:bCs/>
                    <w:noProof w:val="0"/>
                    <w:sz w:val="26"/>
                    <w:szCs w:val="26"/>
                    <w:rtl/>
                  </w:rPr>
                  <w:t>ר</w:t>
                </w:r>
                <w:r w:rsidR="006A0191">
                  <w:rPr>
                    <w:rFonts w:ascii="Arial" w:hAnsi="Arial" w:hint="cs"/>
                    <w:b/>
                    <w:bCs/>
                    <w:noProof w:val="0"/>
                    <w:sz w:val="26"/>
                    <w:szCs w:val="26"/>
                    <w:rtl/>
                  </w:rPr>
                  <w:t xml:space="preserve">. </w:t>
                </w:r>
                <w:r w:rsidR="000346CC">
                  <w:rPr>
                    <w:rFonts w:ascii="Arial" w:hAnsi="Arial"/>
                    <w:b/>
                    <w:bCs/>
                    <w:noProof w:val="0"/>
                    <w:sz w:val="26"/>
                    <w:szCs w:val="26"/>
                    <w:rtl/>
                  </w:rPr>
                  <w:t>ד (אפוטרופוס)</w:t>
                </w:r>
              </w:sdtContent>
            </w:sdt>
            <w:r w:rsidR="000346CC">
              <w:rPr>
                <w:rFonts w:ascii="Arial" w:hAnsi="Arial" w:hint="cs"/>
                <w:b/>
                <w:bCs/>
                <w:noProof w:val="0"/>
                <w:sz w:val="26"/>
                <w:szCs w:val="26"/>
                <w:rtl/>
              </w:rPr>
              <w:t xml:space="preserve"> ע"י ב"כ עוה"ד</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1B6263" w:rsidP="00D44968">
            <w:pPr>
              <w:suppressLineNumbers/>
              <w:rPr>
                <w:rFonts w:ascii="Arial" w:hAnsi="Arial"/>
                <w:b/>
                <w:bCs/>
                <w:noProof w:val="0"/>
                <w:sz w:val="26"/>
                <w:szCs w:val="26"/>
              </w:rPr>
            </w:pPr>
            <w:sdt>
              <w:sdtPr>
                <w:rPr>
                  <w:rtl/>
                </w:rPr>
                <w:alias w:val="1184"/>
                <w:tag w:val="1184"/>
                <w:id w:val="-340621022"/>
                <w:text w:multiLine="1"/>
              </w:sdtPr>
              <w:sdtEndPr/>
              <w:sdtContent>
                <w:r w:rsidR="000346CC">
                  <w:rPr>
                    <w:rFonts w:ascii="Arial" w:hAnsi="Arial"/>
                    <w:b/>
                    <w:bCs/>
                    <w:noProof w:val="0"/>
                    <w:sz w:val="26"/>
                    <w:szCs w:val="26"/>
                    <w:rtl/>
                  </w:rPr>
                  <w:t>נתבעים</w:t>
                </w:r>
              </w:sdtContent>
            </w:sdt>
          </w:p>
        </w:tc>
        <w:tc>
          <w:tcPr>
            <w:tcW w:w="5571" w:type="dxa"/>
          </w:tcPr>
          <w:p w:rsidR="00CF6BB7" w:rsidRPr="00CD516B" w:rsidRDefault="001B6263" w:rsidP="00CD516B">
            <w:pPr>
              <w:suppressLineNumbers/>
              <w:rPr>
                <w:rFonts w:ascii="Arial" w:hAnsi="Arial"/>
                <w:b/>
                <w:bCs/>
                <w:noProof w:val="0"/>
                <w:sz w:val="26"/>
                <w:szCs w:val="26"/>
                <w:rtl/>
              </w:rPr>
            </w:pPr>
            <w:sdt>
              <w:sdtPr>
                <w:rPr>
                  <w:rFonts w:ascii="Arial" w:hAnsi="Arial"/>
                  <w:b/>
                  <w:bCs/>
                  <w:noProof w:val="0"/>
                  <w:sz w:val="26"/>
                  <w:szCs w:val="26"/>
                  <w:rtl/>
                </w:rPr>
                <w:alias w:val="3152"/>
                <w:tag w:val="3152"/>
                <w:id w:val="-1346628691"/>
                <w:placeholder>
                  <w:docPart w:val="4DC45A2FD697422FAA3CD896A84FA7B4"/>
                </w:placeholder>
                <w:text w:multiLine="1"/>
              </w:sdtPr>
              <w:sdtEndPr/>
              <w:sdtContent>
                <w:r w:rsidR="000346CC">
                  <w:rPr>
                    <w:rFonts w:ascii="Arial" w:hAnsi="Arial"/>
                    <w:b/>
                    <w:bCs/>
                    <w:noProof w:val="0"/>
                    <w:sz w:val="26"/>
                    <w:szCs w:val="26"/>
                    <w:rtl/>
                  </w:rPr>
                  <w:t>הראל חברה לביטוח בע"מ</w:t>
                </w:r>
              </w:sdtContent>
            </w:sdt>
            <w:r w:rsidR="000346CC">
              <w:rPr>
                <w:rFonts w:ascii="Arial" w:hAnsi="Arial" w:hint="cs"/>
                <w:b/>
                <w:bCs/>
                <w:noProof w:val="0"/>
                <w:sz w:val="26"/>
                <w:szCs w:val="26"/>
                <w:rtl/>
              </w:rPr>
              <w:t xml:space="preserve"> ע"י ב"כ עוה"ד</w:t>
            </w:r>
          </w:p>
        </w:tc>
      </w:tr>
      <w:tr w:rsidR="00CF6BB7" w:rsidTr="00280865">
        <w:trPr>
          <w:jc w:val="center"/>
        </w:trPr>
        <w:tc>
          <w:tcPr>
            <w:tcW w:w="8820" w:type="dxa"/>
            <w:gridSpan w:val="3"/>
          </w:tcPr>
          <w:p w:rsidR="00CF6BB7" w:rsidRDefault="006A0191" w:rsidP="00D44968">
            <w:pPr>
              <w:suppressLineNumbers/>
              <w:rPr>
                <w:rtl/>
              </w:rPr>
            </w:pPr>
            <w:r>
              <w:rPr>
                <w:rFonts w:hint="cs"/>
                <w:rtl/>
              </w:rPr>
              <w:t xml:space="preserve"> </w:t>
            </w:r>
          </w:p>
        </w:tc>
      </w:tr>
      <w:tr w:rsidR="00694556" w:rsidRPr="00DE1E7D">
        <w:trPr>
          <w:jc w:val="center"/>
        </w:trPr>
        <w:tc>
          <w:tcPr>
            <w:tcW w:w="8820" w:type="dxa"/>
            <w:gridSpan w:val="3"/>
          </w:tcPr>
          <w:p w:rsidR="00694556" w:rsidRDefault="00180519">
            <w:pPr>
              <w:bidi w:val="0"/>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bookmarkStart w:id="0" w:name="NGCSBookmark" w:displacedByCustomXml="next"/>
    <w:bookmarkEnd w:id="0" w:displacedByCustomXml="next"/>
    <w:sdt>
      <w:sdtPr>
        <w:rPr>
          <w:rFonts w:ascii="David" w:eastAsiaTheme="minorHAnsi" w:hAnsi="David" w:cs="David"/>
          <w:noProof/>
          <w:color w:val="auto"/>
          <w:sz w:val="24"/>
          <w:szCs w:val="24"/>
          <w:rtl/>
          <w:lang w:val="he-IL"/>
        </w:rPr>
        <w:id w:val="307370090"/>
        <w:docPartObj>
          <w:docPartGallery w:val="Table of Contents"/>
          <w:docPartUnique/>
        </w:docPartObj>
      </w:sdtPr>
      <w:sdtEndPr>
        <w:rPr>
          <w:rFonts w:eastAsia="Times New Roman"/>
        </w:rPr>
      </w:sdtEndPr>
      <w:sdtContent>
        <w:p w:rsidR="006A0191" w:rsidRDefault="006A0191" w:rsidP="006A0191">
          <w:pPr>
            <w:pStyle w:val="af2"/>
            <w:rPr>
              <w:rFonts w:ascii="David" w:hAnsi="David" w:cs="David"/>
              <w:sz w:val="24"/>
              <w:szCs w:val="24"/>
              <w:rtl/>
            </w:rPr>
          </w:pPr>
          <w:r>
            <w:rPr>
              <w:rFonts w:ascii="David" w:hAnsi="David" w:cs="David"/>
              <w:sz w:val="24"/>
              <w:szCs w:val="24"/>
              <w:rtl/>
              <w:lang w:val="he-IL"/>
            </w:rPr>
            <w:t>תוכן</w:t>
          </w:r>
        </w:p>
        <w:p w:rsidR="006A0191" w:rsidRDefault="006A0191" w:rsidP="006A0191">
          <w:pPr>
            <w:pStyle w:val="TOC1"/>
            <w:spacing w:line="257" w:lineRule="auto"/>
            <w:rPr>
              <w:rFonts w:eastAsiaTheme="minorEastAsia"/>
              <w:noProof/>
            </w:rPr>
          </w:pPr>
          <w:r>
            <w:rPr>
              <w:rFonts w:ascii="David" w:hAnsi="David" w:cs="David"/>
              <w:sz w:val="24"/>
              <w:szCs w:val="24"/>
              <w:rtl/>
            </w:rPr>
            <w:fldChar w:fldCharType="begin"/>
          </w:r>
          <w:r>
            <w:rPr>
              <w:rFonts w:ascii="David" w:hAnsi="David" w:cs="David"/>
              <w:sz w:val="24"/>
              <w:szCs w:val="24"/>
            </w:rPr>
            <w:instrText xml:space="preserve"> TOC \o "1-3" \h \z \u </w:instrText>
          </w:r>
          <w:r>
            <w:rPr>
              <w:rFonts w:ascii="David" w:hAnsi="David" w:cs="David"/>
              <w:sz w:val="24"/>
              <w:szCs w:val="24"/>
              <w:rtl/>
            </w:rPr>
            <w:fldChar w:fldCharType="separate"/>
          </w:r>
          <w:hyperlink w:anchor="_Toc113804930" w:history="1">
            <w:r w:rsidRPr="007328C1">
              <w:rPr>
                <w:rStyle w:val="Hyperlink"/>
                <w:rFonts w:ascii="David" w:eastAsia="Times New Roman" w:hAnsi="David" w:cs="David"/>
                <w:noProof/>
                <w:rtl/>
              </w:rPr>
              <w:t>א.מבוא</w:t>
            </w:r>
            <w:r>
              <w:rPr>
                <w:noProof/>
                <w:webHidden/>
              </w:rPr>
              <w:tab/>
            </w:r>
            <w:r>
              <w:rPr>
                <w:rStyle w:val="Hyperlink"/>
                <w:noProof/>
                <w:rtl/>
              </w:rPr>
              <w:fldChar w:fldCharType="begin"/>
            </w:r>
            <w:r>
              <w:rPr>
                <w:noProof/>
                <w:webHidden/>
              </w:rPr>
              <w:instrText xml:space="preserve"> PAGEREF _Toc113804930 \h </w:instrText>
            </w:r>
            <w:r>
              <w:rPr>
                <w:rStyle w:val="Hyperlink"/>
                <w:noProof/>
                <w:rtl/>
              </w:rPr>
            </w:r>
            <w:r>
              <w:rPr>
                <w:rStyle w:val="Hyperlink"/>
                <w:noProof/>
                <w:rtl/>
              </w:rPr>
              <w:fldChar w:fldCharType="separate"/>
            </w:r>
            <w:r w:rsidR="006F5E81">
              <w:rPr>
                <w:noProof/>
                <w:webHidden/>
                <w:rtl/>
              </w:rPr>
              <w:t>2</w:t>
            </w:r>
            <w:r>
              <w:rPr>
                <w:rStyle w:val="Hyperlink"/>
                <w:noProof/>
                <w:rtl/>
              </w:rPr>
              <w:fldChar w:fldCharType="end"/>
            </w:r>
          </w:hyperlink>
        </w:p>
        <w:p w:rsidR="006A0191" w:rsidRDefault="001B6263" w:rsidP="006A0191">
          <w:pPr>
            <w:pStyle w:val="TOC1"/>
            <w:spacing w:line="257" w:lineRule="auto"/>
            <w:rPr>
              <w:rFonts w:eastAsiaTheme="minorEastAsia"/>
              <w:noProof/>
            </w:rPr>
          </w:pPr>
          <w:hyperlink w:anchor="_Toc113804931" w:history="1">
            <w:r w:rsidR="006A0191" w:rsidRPr="007328C1">
              <w:rPr>
                <w:rStyle w:val="Hyperlink"/>
                <w:rFonts w:ascii="David" w:eastAsia="Times New Roman" w:hAnsi="David" w:cs="David"/>
                <w:noProof/>
                <w:rtl/>
              </w:rPr>
              <w:t>ב. הרקע הכללי</w:t>
            </w:r>
            <w:r w:rsidR="006A0191">
              <w:rPr>
                <w:noProof/>
                <w:webHidden/>
              </w:rPr>
              <w:tab/>
            </w:r>
            <w:r w:rsidR="006A0191">
              <w:rPr>
                <w:rStyle w:val="Hyperlink"/>
                <w:noProof/>
                <w:rtl/>
              </w:rPr>
              <w:fldChar w:fldCharType="begin"/>
            </w:r>
            <w:r w:rsidR="006A0191">
              <w:rPr>
                <w:noProof/>
                <w:webHidden/>
              </w:rPr>
              <w:instrText xml:space="preserve"> PAGEREF _Toc113804931 \h </w:instrText>
            </w:r>
            <w:r w:rsidR="006A0191">
              <w:rPr>
                <w:rStyle w:val="Hyperlink"/>
                <w:noProof/>
                <w:rtl/>
              </w:rPr>
            </w:r>
            <w:r w:rsidR="006A0191">
              <w:rPr>
                <w:rStyle w:val="Hyperlink"/>
                <w:noProof/>
                <w:rtl/>
              </w:rPr>
              <w:fldChar w:fldCharType="separate"/>
            </w:r>
            <w:r w:rsidR="006F5E81">
              <w:rPr>
                <w:noProof/>
                <w:webHidden/>
                <w:rtl/>
              </w:rPr>
              <w:t>2</w:t>
            </w:r>
            <w:r w:rsidR="006A0191">
              <w:rPr>
                <w:rStyle w:val="Hyperlink"/>
                <w:noProof/>
                <w:rtl/>
              </w:rPr>
              <w:fldChar w:fldCharType="end"/>
            </w:r>
          </w:hyperlink>
        </w:p>
        <w:p w:rsidR="006A0191" w:rsidRDefault="001B6263" w:rsidP="006A0191">
          <w:pPr>
            <w:pStyle w:val="TOC1"/>
            <w:spacing w:line="257" w:lineRule="auto"/>
            <w:rPr>
              <w:rFonts w:eastAsiaTheme="minorEastAsia"/>
              <w:noProof/>
            </w:rPr>
          </w:pPr>
          <w:hyperlink w:anchor="_Toc113804932" w:history="1">
            <w:r w:rsidR="006A0191" w:rsidRPr="007328C1">
              <w:rPr>
                <w:rStyle w:val="Hyperlink"/>
                <w:rFonts w:ascii="David" w:eastAsia="Times New Roman" w:hAnsi="David" w:cs="David"/>
                <w:noProof/>
                <w:rtl/>
              </w:rPr>
              <w:t>ג. תמצית הטענות העיקריות הנוגעות לבקשה</w:t>
            </w:r>
            <w:r w:rsidR="006A0191">
              <w:rPr>
                <w:noProof/>
                <w:webHidden/>
              </w:rPr>
              <w:tab/>
            </w:r>
            <w:r w:rsidR="006A0191">
              <w:rPr>
                <w:rStyle w:val="Hyperlink"/>
                <w:noProof/>
                <w:rtl/>
              </w:rPr>
              <w:fldChar w:fldCharType="begin"/>
            </w:r>
            <w:r w:rsidR="006A0191">
              <w:rPr>
                <w:noProof/>
                <w:webHidden/>
              </w:rPr>
              <w:instrText xml:space="preserve"> PAGEREF _Toc113804932 \h </w:instrText>
            </w:r>
            <w:r w:rsidR="006A0191">
              <w:rPr>
                <w:rStyle w:val="Hyperlink"/>
                <w:noProof/>
                <w:rtl/>
              </w:rPr>
            </w:r>
            <w:r w:rsidR="006A0191">
              <w:rPr>
                <w:rStyle w:val="Hyperlink"/>
                <w:noProof/>
                <w:rtl/>
              </w:rPr>
              <w:fldChar w:fldCharType="separate"/>
            </w:r>
            <w:r w:rsidR="006F5E81">
              <w:rPr>
                <w:noProof/>
                <w:webHidden/>
                <w:rtl/>
              </w:rPr>
              <w:t>3</w:t>
            </w:r>
            <w:r w:rsidR="006A0191">
              <w:rPr>
                <w:rStyle w:val="Hyperlink"/>
                <w:noProof/>
                <w:rtl/>
              </w:rPr>
              <w:fldChar w:fldCharType="end"/>
            </w:r>
          </w:hyperlink>
        </w:p>
        <w:p w:rsidR="006A0191" w:rsidRDefault="001B6263" w:rsidP="006A0191">
          <w:pPr>
            <w:pStyle w:val="TOC1"/>
            <w:spacing w:line="257" w:lineRule="auto"/>
            <w:rPr>
              <w:rFonts w:eastAsiaTheme="minorEastAsia"/>
              <w:noProof/>
            </w:rPr>
          </w:pPr>
          <w:hyperlink w:anchor="_Toc113804933" w:history="1">
            <w:r w:rsidR="006A0191" w:rsidRPr="007328C1">
              <w:rPr>
                <w:rStyle w:val="Hyperlink"/>
                <w:rFonts w:ascii="David" w:eastAsia="Times New Roman" w:hAnsi="David" w:cs="David"/>
                <w:noProof/>
                <w:rtl/>
              </w:rPr>
              <w:t>ד. ההכרעה</w:t>
            </w:r>
            <w:r w:rsidR="006A0191">
              <w:rPr>
                <w:noProof/>
                <w:webHidden/>
              </w:rPr>
              <w:tab/>
            </w:r>
            <w:r w:rsidR="006A0191">
              <w:rPr>
                <w:rStyle w:val="Hyperlink"/>
                <w:noProof/>
                <w:rtl/>
              </w:rPr>
              <w:fldChar w:fldCharType="begin"/>
            </w:r>
            <w:r w:rsidR="006A0191">
              <w:rPr>
                <w:noProof/>
                <w:webHidden/>
              </w:rPr>
              <w:instrText xml:space="preserve"> PAGEREF _Toc113804933 \h </w:instrText>
            </w:r>
            <w:r w:rsidR="006A0191">
              <w:rPr>
                <w:rStyle w:val="Hyperlink"/>
                <w:noProof/>
                <w:rtl/>
              </w:rPr>
            </w:r>
            <w:r w:rsidR="006A0191">
              <w:rPr>
                <w:rStyle w:val="Hyperlink"/>
                <w:noProof/>
                <w:rtl/>
              </w:rPr>
              <w:fldChar w:fldCharType="separate"/>
            </w:r>
            <w:r w:rsidR="006F5E81">
              <w:rPr>
                <w:noProof/>
                <w:webHidden/>
                <w:rtl/>
              </w:rPr>
              <w:t>4</w:t>
            </w:r>
            <w:r w:rsidR="006A0191">
              <w:rPr>
                <w:rStyle w:val="Hyperlink"/>
                <w:noProof/>
                <w:rtl/>
              </w:rPr>
              <w:fldChar w:fldCharType="end"/>
            </w:r>
          </w:hyperlink>
        </w:p>
        <w:p w:rsidR="006A0191" w:rsidRDefault="001B6263" w:rsidP="006A0191">
          <w:pPr>
            <w:pStyle w:val="TOC1"/>
            <w:spacing w:line="257" w:lineRule="auto"/>
            <w:rPr>
              <w:rFonts w:eastAsiaTheme="minorEastAsia"/>
              <w:noProof/>
            </w:rPr>
          </w:pPr>
          <w:hyperlink w:anchor="_Toc113804934" w:history="1">
            <w:r w:rsidR="006A0191" w:rsidRPr="007328C1">
              <w:rPr>
                <w:rStyle w:val="Hyperlink"/>
                <w:rFonts w:ascii="David" w:eastAsia="Times New Roman" w:hAnsi="David" w:cs="David"/>
                <w:noProof/>
                <w:rtl/>
              </w:rPr>
              <w:t>ה.ההנמקה</w:t>
            </w:r>
            <w:r w:rsidR="006A0191">
              <w:rPr>
                <w:noProof/>
                <w:webHidden/>
              </w:rPr>
              <w:tab/>
            </w:r>
            <w:r w:rsidR="006A0191">
              <w:rPr>
                <w:rStyle w:val="Hyperlink"/>
                <w:noProof/>
                <w:rtl/>
              </w:rPr>
              <w:fldChar w:fldCharType="begin"/>
            </w:r>
            <w:r w:rsidR="006A0191">
              <w:rPr>
                <w:noProof/>
                <w:webHidden/>
              </w:rPr>
              <w:instrText xml:space="preserve"> PAGEREF _Toc113804934 \h </w:instrText>
            </w:r>
            <w:r w:rsidR="006A0191">
              <w:rPr>
                <w:rStyle w:val="Hyperlink"/>
                <w:noProof/>
                <w:rtl/>
              </w:rPr>
            </w:r>
            <w:r w:rsidR="006A0191">
              <w:rPr>
                <w:rStyle w:val="Hyperlink"/>
                <w:noProof/>
                <w:rtl/>
              </w:rPr>
              <w:fldChar w:fldCharType="separate"/>
            </w:r>
            <w:r w:rsidR="006F5E81">
              <w:rPr>
                <w:noProof/>
                <w:webHidden/>
                <w:rtl/>
              </w:rPr>
              <w:t>5</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35" w:history="1">
            <w:r w:rsidR="006A0191" w:rsidRPr="007328C1">
              <w:rPr>
                <w:rStyle w:val="Hyperlink"/>
                <w:rFonts w:ascii="David" w:eastAsia="Times New Roman" w:hAnsi="David" w:cs="David"/>
                <w:noProof/>
                <w:rtl/>
              </w:rPr>
              <w:t>ה(1) כללי</w:t>
            </w:r>
            <w:r w:rsidR="006A0191">
              <w:rPr>
                <w:noProof/>
                <w:webHidden/>
              </w:rPr>
              <w:tab/>
            </w:r>
            <w:r w:rsidR="006A0191">
              <w:rPr>
                <w:rStyle w:val="Hyperlink"/>
                <w:noProof/>
                <w:rtl/>
              </w:rPr>
              <w:fldChar w:fldCharType="begin"/>
            </w:r>
            <w:r w:rsidR="006A0191">
              <w:rPr>
                <w:noProof/>
                <w:webHidden/>
              </w:rPr>
              <w:instrText xml:space="preserve"> PAGEREF _Toc113804935 \h </w:instrText>
            </w:r>
            <w:r w:rsidR="006A0191">
              <w:rPr>
                <w:rStyle w:val="Hyperlink"/>
                <w:noProof/>
                <w:rtl/>
              </w:rPr>
            </w:r>
            <w:r w:rsidR="006A0191">
              <w:rPr>
                <w:rStyle w:val="Hyperlink"/>
                <w:noProof/>
                <w:rtl/>
              </w:rPr>
              <w:fldChar w:fldCharType="separate"/>
            </w:r>
            <w:r w:rsidR="006F5E81">
              <w:rPr>
                <w:noProof/>
                <w:webHidden/>
                <w:rtl/>
              </w:rPr>
              <w:t>5</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36" w:history="1">
            <w:r w:rsidR="006A0191" w:rsidRPr="007328C1">
              <w:rPr>
                <w:rStyle w:val="Hyperlink"/>
                <w:rFonts w:ascii="David" w:hAnsi="David"/>
                <w:noProof/>
                <w:rtl/>
              </w:rPr>
              <w:t>ה(2)</w:t>
            </w:r>
            <w:r w:rsidR="006A0191" w:rsidRPr="007328C1">
              <w:rPr>
                <w:rStyle w:val="Hyperlink"/>
                <w:rFonts w:ascii="David" w:hAnsi="David"/>
                <w:noProof/>
              </w:rPr>
              <w:t xml:space="preserve"> </w:t>
            </w:r>
            <w:r w:rsidR="006A0191" w:rsidRPr="007328C1">
              <w:rPr>
                <w:rStyle w:val="Hyperlink"/>
                <w:rFonts w:ascii="David" w:hAnsi="David"/>
                <w:noProof/>
                <w:rtl/>
              </w:rPr>
              <w:t>המסגרת הנורמטיבית</w:t>
            </w:r>
            <w:r w:rsidR="006A0191">
              <w:rPr>
                <w:noProof/>
                <w:webHidden/>
              </w:rPr>
              <w:tab/>
            </w:r>
            <w:r w:rsidR="006A0191">
              <w:rPr>
                <w:rStyle w:val="Hyperlink"/>
                <w:noProof/>
                <w:rtl/>
              </w:rPr>
              <w:fldChar w:fldCharType="begin"/>
            </w:r>
            <w:r w:rsidR="006A0191">
              <w:rPr>
                <w:noProof/>
                <w:webHidden/>
              </w:rPr>
              <w:instrText xml:space="preserve"> PAGEREF _Toc113804936 \h </w:instrText>
            </w:r>
            <w:r w:rsidR="006A0191">
              <w:rPr>
                <w:rStyle w:val="Hyperlink"/>
                <w:noProof/>
                <w:rtl/>
              </w:rPr>
            </w:r>
            <w:r w:rsidR="006A0191">
              <w:rPr>
                <w:rStyle w:val="Hyperlink"/>
                <w:noProof/>
                <w:rtl/>
              </w:rPr>
              <w:fldChar w:fldCharType="separate"/>
            </w:r>
            <w:r w:rsidR="006F5E81">
              <w:rPr>
                <w:noProof/>
                <w:webHidden/>
                <w:rtl/>
              </w:rPr>
              <w:t>5</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37" w:history="1">
            <w:r w:rsidR="006A0191" w:rsidRPr="007328C1">
              <w:rPr>
                <w:rStyle w:val="Hyperlink"/>
                <w:rFonts w:ascii="David" w:eastAsia="Times New Roman" w:hAnsi="David" w:cs="David"/>
                <w:noProof/>
                <w:rtl/>
              </w:rPr>
              <w:t>ה(2)(א)</w:t>
            </w:r>
            <w:r w:rsidR="006A0191" w:rsidRPr="007328C1">
              <w:rPr>
                <w:rStyle w:val="Hyperlink"/>
                <w:rFonts w:ascii="David" w:eastAsia="Times New Roman" w:hAnsi="David" w:cs="David"/>
                <w:noProof/>
              </w:rPr>
              <w:t xml:space="preserve"> </w:t>
            </w:r>
            <w:r w:rsidR="006A0191" w:rsidRPr="007328C1">
              <w:rPr>
                <w:rStyle w:val="Hyperlink"/>
                <w:rFonts w:ascii="David" w:eastAsia="Times New Roman" w:hAnsi="David" w:cs="David"/>
                <w:noProof/>
                <w:rtl/>
              </w:rPr>
              <w:t>ההוראות המרכזיות בתקנות  הדנות בחוות דעת הרפואיות של המומחים מטעם בעלי הדין בהן הדרישה לאפשר לצד שכנגד להכין חוות דעת מטעמו לאחר בדיקת נושא חוות הדעת</w:t>
            </w:r>
            <w:r w:rsidR="006A0191" w:rsidRPr="007328C1">
              <w:rPr>
                <w:rStyle w:val="Hyperlink"/>
                <w:rFonts w:ascii="David" w:eastAsia="Times New Roman" w:hAnsi="David" w:cs="David"/>
                <w:b/>
                <w:bCs/>
                <w:noProof/>
                <w:rtl/>
              </w:rPr>
              <w:t>.</w:t>
            </w:r>
            <w:r w:rsidR="006A0191">
              <w:rPr>
                <w:noProof/>
                <w:webHidden/>
              </w:rPr>
              <w:tab/>
            </w:r>
            <w:r w:rsidR="006A0191">
              <w:rPr>
                <w:rStyle w:val="Hyperlink"/>
                <w:noProof/>
                <w:rtl/>
              </w:rPr>
              <w:fldChar w:fldCharType="begin"/>
            </w:r>
            <w:r w:rsidR="006A0191">
              <w:rPr>
                <w:noProof/>
                <w:webHidden/>
              </w:rPr>
              <w:instrText xml:space="preserve"> PAGEREF _Toc113804937 \h </w:instrText>
            </w:r>
            <w:r w:rsidR="006A0191">
              <w:rPr>
                <w:rStyle w:val="Hyperlink"/>
                <w:noProof/>
                <w:rtl/>
              </w:rPr>
            </w:r>
            <w:r w:rsidR="006A0191">
              <w:rPr>
                <w:rStyle w:val="Hyperlink"/>
                <w:noProof/>
                <w:rtl/>
              </w:rPr>
              <w:fldChar w:fldCharType="separate"/>
            </w:r>
            <w:r w:rsidR="006F5E81">
              <w:rPr>
                <w:noProof/>
                <w:webHidden/>
                <w:rtl/>
              </w:rPr>
              <w:t>5</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38" w:history="1">
            <w:r w:rsidR="006A0191" w:rsidRPr="007328C1">
              <w:rPr>
                <w:rStyle w:val="Hyperlink"/>
                <w:rFonts w:ascii="David" w:eastAsia="Times New Roman" w:hAnsi="David" w:cs="David"/>
                <w:noProof/>
                <w:rtl/>
              </w:rPr>
              <w:t>ה(2)(ב)  הוראות נוספות בתקנות המסייעות להכנת חוות הדעת - בהן הדרישה לחתום על וס״ר שניסוחו רחב  לנוכח הכלל של "תבעת גילית."  לצד חיקוקים מרכזיים נוספים.</w:t>
            </w:r>
            <w:r w:rsidR="006A0191">
              <w:rPr>
                <w:noProof/>
                <w:webHidden/>
              </w:rPr>
              <w:tab/>
            </w:r>
            <w:r w:rsidR="006A0191">
              <w:rPr>
                <w:rStyle w:val="Hyperlink"/>
                <w:noProof/>
                <w:rtl/>
              </w:rPr>
              <w:fldChar w:fldCharType="begin"/>
            </w:r>
            <w:r w:rsidR="006A0191">
              <w:rPr>
                <w:noProof/>
                <w:webHidden/>
              </w:rPr>
              <w:instrText xml:space="preserve"> PAGEREF _Toc113804938 \h </w:instrText>
            </w:r>
            <w:r w:rsidR="006A0191">
              <w:rPr>
                <w:rStyle w:val="Hyperlink"/>
                <w:noProof/>
                <w:rtl/>
              </w:rPr>
            </w:r>
            <w:r w:rsidR="006A0191">
              <w:rPr>
                <w:rStyle w:val="Hyperlink"/>
                <w:noProof/>
                <w:rtl/>
              </w:rPr>
              <w:fldChar w:fldCharType="separate"/>
            </w:r>
            <w:r w:rsidR="006F5E81">
              <w:rPr>
                <w:noProof/>
                <w:webHidden/>
                <w:rtl/>
              </w:rPr>
              <w:t>6</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39" w:history="1">
            <w:r w:rsidR="006A0191" w:rsidRPr="007328C1">
              <w:rPr>
                <w:rStyle w:val="Hyperlink"/>
                <w:rFonts w:ascii="David" w:eastAsia="Times New Roman" w:hAnsi="David" w:cs="David"/>
                <w:noProof/>
                <w:rtl/>
              </w:rPr>
              <w:t>ההיקף הנרחב  של המידע שיש לגלות מכוח ברירת המחדל שבנוסח הוס"ר המצורף לתביעה.</w:t>
            </w:r>
            <w:r w:rsidR="006A0191">
              <w:rPr>
                <w:noProof/>
                <w:webHidden/>
              </w:rPr>
              <w:tab/>
            </w:r>
            <w:r w:rsidR="006A0191">
              <w:rPr>
                <w:rStyle w:val="Hyperlink"/>
                <w:noProof/>
                <w:rtl/>
              </w:rPr>
              <w:fldChar w:fldCharType="begin"/>
            </w:r>
            <w:r w:rsidR="006A0191">
              <w:rPr>
                <w:noProof/>
                <w:webHidden/>
              </w:rPr>
              <w:instrText xml:space="preserve"> PAGEREF _Toc113804939 \h </w:instrText>
            </w:r>
            <w:r w:rsidR="006A0191">
              <w:rPr>
                <w:rStyle w:val="Hyperlink"/>
                <w:noProof/>
                <w:rtl/>
              </w:rPr>
            </w:r>
            <w:r w:rsidR="006A0191">
              <w:rPr>
                <w:rStyle w:val="Hyperlink"/>
                <w:noProof/>
                <w:rtl/>
              </w:rPr>
              <w:fldChar w:fldCharType="separate"/>
            </w:r>
            <w:r w:rsidR="006F5E81">
              <w:rPr>
                <w:noProof/>
                <w:webHidden/>
                <w:rtl/>
              </w:rPr>
              <w:t>6</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0" w:history="1">
            <w:r w:rsidR="006A0191" w:rsidRPr="007328C1">
              <w:rPr>
                <w:rStyle w:val="Hyperlink"/>
                <w:rFonts w:ascii="David" w:eastAsia="Times New Roman" w:hAnsi="David" w:cs="David"/>
                <w:noProof/>
                <w:rtl/>
              </w:rPr>
              <w:t>האפשרות הקיימת לצמצום היקף הרחב של הוס״ר באופן אקטיבי ומפורש</w:t>
            </w:r>
            <w:r w:rsidR="006A0191">
              <w:rPr>
                <w:noProof/>
                <w:webHidden/>
              </w:rPr>
              <w:tab/>
            </w:r>
            <w:r w:rsidR="006A0191">
              <w:rPr>
                <w:rStyle w:val="Hyperlink"/>
                <w:noProof/>
                <w:rtl/>
              </w:rPr>
              <w:fldChar w:fldCharType="begin"/>
            </w:r>
            <w:r w:rsidR="006A0191">
              <w:rPr>
                <w:noProof/>
                <w:webHidden/>
              </w:rPr>
              <w:instrText xml:space="preserve"> PAGEREF _Toc113804940 \h </w:instrText>
            </w:r>
            <w:r w:rsidR="006A0191">
              <w:rPr>
                <w:rStyle w:val="Hyperlink"/>
                <w:noProof/>
                <w:rtl/>
              </w:rPr>
            </w:r>
            <w:r w:rsidR="006A0191">
              <w:rPr>
                <w:rStyle w:val="Hyperlink"/>
                <w:noProof/>
                <w:rtl/>
              </w:rPr>
              <w:fldChar w:fldCharType="separate"/>
            </w:r>
            <w:r w:rsidR="006F5E81">
              <w:rPr>
                <w:noProof/>
                <w:webHidden/>
                <w:rtl/>
              </w:rPr>
              <w:t>6</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1" w:history="1">
            <w:r w:rsidR="006A0191" w:rsidRPr="007328C1">
              <w:rPr>
                <w:rStyle w:val="Hyperlink"/>
                <w:rFonts w:ascii="David" w:hAnsi="David" w:cs="David"/>
                <w:noProof/>
                <w:rtl/>
              </w:rPr>
              <w:t>שאלת השימוש בנוסח הרחב של הוס״ר הכללי החדש  שמצורף לראשונה לתקנות סדר הדין האזרחי   לצורך קבלת המידע הגנטי מהבן או מהאם אם תסכים למסור אותו .</w:t>
            </w:r>
            <w:r w:rsidR="006A0191">
              <w:rPr>
                <w:noProof/>
                <w:webHidden/>
              </w:rPr>
              <w:tab/>
            </w:r>
            <w:r w:rsidR="006A0191">
              <w:rPr>
                <w:rStyle w:val="Hyperlink"/>
                <w:noProof/>
                <w:rtl/>
              </w:rPr>
              <w:fldChar w:fldCharType="begin"/>
            </w:r>
            <w:r w:rsidR="006A0191">
              <w:rPr>
                <w:noProof/>
                <w:webHidden/>
              </w:rPr>
              <w:instrText xml:space="preserve"> PAGEREF _Toc113804941 \h </w:instrText>
            </w:r>
            <w:r w:rsidR="006A0191">
              <w:rPr>
                <w:rStyle w:val="Hyperlink"/>
                <w:noProof/>
                <w:rtl/>
              </w:rPr>
            </w:r>
            <w:r w:rsidR="006A0191">
              <w:rPr>
                <w:rStyle w:val="Hyperlink"/>
                <w:noProof/>
                <w:rtl/>
              </w:rPr>
              <w:fldChar w:fldCharType="separate"/>
            </w:r>
            <w:r w:rsidR="006F5E81">
              <w:rPr>
                <w:noProof/>
                <w:webHidden/>
                <w:rtl/>
              </w:rPr>
              <w:t>7</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2" w:history="1">
            <w:r w:rsidR="006A0191" w:rsidRPr="007328C1">
              <w:rPr>
                <w:rStyle w:val="Hyperlink"/>
                <w:rFonts w:ascii="David" w:hAnsi="David" w:cs="David"/>
                <w:noProof/>
                <w:rtl/>
              </w:rPr>
              <w:t>הזכות לבקש  לצמצם את המידע הנמסר</w:t>
            </w:r>
            <w:r w:rsidR="006A0191">
              <w:rPr>
                <w:noProof/>
                <w:webHidden/>
              </w:rPr>
              <w:tab/>
            </w:r>
            <w:r w:rsidR="006A0191">
              <w:rPr>
                <w:rStyle w:val="Hyperlink"/>
                <w:noProof/>
                <w:rtl/>
              </w:rPr>
              <w:fldChar w:fldCharType="begin"/>
            </w:r>
            <w:r w:rsidR="006A0191">
              <w:rPr>
                <w:noProof/>
                <w:webHidden/>
              </w:rPr>
              <w:instrText xml:space="preserve"> PAGEREF _Toc113804942 \h </w:instrText>
            </w:r>
            <w:r w:rsidR="006A0191">
              <w:rPr>
                <w:rStyle w:val="Hyperlink"/>
                <w:noProof/>
                <w:rtl/>
              </w:rPr>
            </w:r>
            <w:r w:rsidR="006A0191">
              <w:rPr>
                <w:rStyle w:val="Hyperlink"/>
                <w:noProof/>
                <w:rtl/>
              </w:rPr>
              <w:fldChar w:fldCharType="separate"/>
            </w:r>
            <w:r w:rsidR="006F5E81">
              <w:rPr>
                <w:noProof/>
                <w:webHidden/>
                <w:rtl/>
              </w:rPr>
              <w:t>8</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3" w:history="1">
            <w:r w:rsidR="006A0191" w:rsidRPr="007328C1">
              <w:rPr>
                <w:rStyle w:val="Hyperlink"/>
                <w:rFonts w:ascii="David" w:eastAsia="Times New Roman" w:hAnsi="David" w:cs="David"/>
                <w:noProof/>
                <w:rtl/>
              </w:rPr>
              <w:t>לא די בוס״ר של התובע למסור מלוא המידע הנוגע לאם- ודי בכך לדחיית הבקשה הנוכחית של   הנתבעת</w:t>
            </w:r>
            <w:r w:rsidR="006A0191">
              <w:rPr>
                <w:noProof/>
                <w:webHidden/>
              </w:rPr>
              <w:tab/>
            </w:r>
            <w:r w:rsidR="006A0191">
              <w:rPr>
                <w:rStyle w:val="Hyperlink"/>
                <w:noProof/>
                <w:rtl/>
              </w:rPr>
              <w:fldChar w:fldCharType="begin"/>
            </w:r>
            <w:r w:rsidR="006A0191">
              <w:rPr>
                <w:noProof/>
                <w:webHidden/>
              </w:rPr>
              <w:instrText xml:space="preserve"> PAGEREF _Toc113804943 \h </w:instrText>
            </w:r>
            <w:r w:rsidR="006A0191">
              <w:rPr>
                <w:rStyle w:val="Hyperlink"/>
                <w:noProof/>
                <w:rtl/>
              </w:rPr>
            </w:r>
            <w:r w:rsidR="006A0191">
              <w:rPr>
                <w:rStyle w:val="Hyperlink"/>
                <w:noProof/>
                <w:rtl/>
              </w:rPr>
              <w:fldChar w:fldCharType="separate"/>
            </w:r>
            <w:r w:rsidR="006F5E81">
              <w:rPr>
                <w:noProof/>
                <w:webHidden/>
                <w:rtl/>
              </w:rPr>
              <w:t>8</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4" w:history="1">
            <w:r w:rsidR="006A0191" w:rsidRPr="007328C1">
              <w:rPr>
                <w:rStyle w:val="Hyperlink"/>
                <w:rFonts w:ascii="David" w:eastAsia="Times New Roman" w:hAnsi="David" w:cs="David"/>
                <w:noProof/>
                <w:rtl/>
              </w:rPr>
              <w:t>ה(3)</w:t>
            </w:r>
            <w:r w:rsidR="006A0191" w:rsidRPr="007328C1">
              <w:rPr>
                <w:rStyle w:val="Hyperlink"/>
                <w:rFonts w:ascii="David" w:eastAsia="Times New Roman" w:hAnsi="David" w:cs="David"/>
                <w:noProof/>
              </w:rPr>
              <w:t xml:space="preserve"> </w:t>
            </w:r>
            <w:r w:rsidR="006A0191" w:rsidRPr="007328C1">
              <w:rPr>
                <w:rStyle w:val="Hyperlink"/>
                <w:rFonts w:ascii="David" w:eastAsia="Times New Roman" w:hAnsi="David" w:cs="David"/>
                <w:noProof/>
                <w:rtl/>
              </w:rPr>
              <w:t xml:space="preserve"> מסירת המידע הגנטי מחייבת את הסרת החיסיון הסטטוטורי היחסי על עדות רופא</w:t>
            </w:r>
            <w:r w:rsidR="006A0191">
              <w:rPr>
                <w:noProof/>
                <w:webHidden/>
              </w:rPr>
              <w:tab/>
            </w:r>
            <w:r w:rsidR="006A0191">
              <w:rPr>
                <w:rStyle w:val="Hyperlink"/>
                <w:noProof/>
                <w:rtl/>
              </w:rPr>
              <w:fldChar w:fldCharType="begin"/>
            </w:r>
            <w:r w:rsidR="006A0191">
              <w:rPr>
                <w:noProof/>
                <w:webHidden/>
              </w:rPr>
              <w:instrText xml:space="preserve"> PAGEREF _Toc113804944 \h </w:instrText>
            </w:r>
            <w:r w:rsidR="006A0191">
              <w:rPr>
                <w:rStyle w:val="Hyperlink"/>
                <w:noProof/>
                <w:rtl/>
              </w:rPr>
            </w:r>
            <w:r w:rsidR="006A0191">
              <w:rPr>
                <w:rStyle w:val="Hyperlink"/>
                <w:noProof/>
                <w:rtl/>
              </w:rPr>
              <w:fldChar w:fldCharType="separate"/>
            </w:r>
            <w:r w:rsidR="006F5E81">
              <w:rPr>
                <w:noProof/>
                <w:webHidden/>
                <w:rtl/>
              </w:rPr>
              <w:t>8</w:t>
            </w:r>
            <w:r w:rsidR="006A0191">
              <w:rPr>
                <w:rStyle w:val="Hyperlink"/>
                <w:noProof/>
                <w:rtl/>
              </w:rPr>
              <w:fldChar w:fldCharType="end"/>
            </w:r>
          </w:hyperlink>
        </w:p>
        <w:p w:rsidR="006A0191" w:rsidRDefault="001B6263" w:rsidP="006A0191">
          <w:pPr>
            <w:pStyle w:val="TOC3"/>
            <w:spacing w:line="257" w:lineRule="auto"/>
            <w:rPr>
              <w:rFonts w:eastAsiaTheme="minorEastAsia"/>
              <w:noProof/>
            </w:rPr>
          </w:pPr>
          <w:hyperlink w:anchor="_Toc113804945" w:history="1">
            <w:r w:rsidR="006A0191" w:rsidRPr="007328C1">
              <w:rPr>
                <w:rStyle w:val="Hyperlink"/>
                <w:rFonts w:ascii="David" w:eastAsia="Times New Roman" w:hAnsi="David" w:cs="David"/>
                <w:noProof/>
                <w:rtl/>
              </w:rPr>
              <w:t>שלב ראשון- בחינת הרלוונטיות  לפני בחינת הסרת החיסיון מכוח סעיף 49</w:t>
            </w:r>
            <w:r w:rsidR="006A0191">
              <w:rPr>
                <w:noProof/>
                <w:webHidden/>
              </w:rPr>
              <w:tab/>
            </w:r>
            <w:r w:rsidR="006A0191">
              <w:rPr>
                <w:rStyle w:val="Hyperlink"/>
                <w:noProof/>
                <w:rtl/>
              </w:rPr>
              <w:fldChar w:fldCharType="begin"/>
            </w:r>
            <w:r w:rsidR="006A0191">
              <w:rPr>
                <w:noProof/>
                <w:webHidden/>
              </w:rPr>
              <w:instrText xml:space="preserve"> PAGEREF _Toc113804945 \h </w:instrText>
            </w:r>
            <w:r w:rsidR="006A0191">
              <w:rPr>
                <w:rStyle w:val="Hyperlink"/>
                <w:noProof/>
                <w:rtl/>
              </w:rPr>
            </w:r>
            <w:r w:rsidR="006A0191">
              <w:rPr>
                <w:rStyle w:val="Hyperlink"/>
                <w:noProof/>
                <w:rtl/>
              </w:rPr>
              <w:fldChar w:fldCharType="separate"/>
            </w:r>
            <w:r w:rsidR="006F5E81">
              <w:rPr>
                <w:noProof/>
                <w:webHidden/>
                <w:rtl/>
              </w:rPr>
              <w:t>10</w:t>
            </w:r>
            <w:r w:rsidR="006A0191">
              <w:rPr>
                <w:rStyle w:val="Hyperlink"/>
                <w:noProof/>
                <w:rtl/>
              </w:rPr>
              <w:fldChar w:fldCharType="end"/>
            </w:r>
          </w:hyperlink>
        </w:p>
        <w:p w:rsidR="006A0191" w:rsidRDefault="001B6263" w:rsidP="006A0191">
          <w:pPr>
            <w:pStyle w:val="TOC3"/>
            <w:spacing w:line="257" w:lineRule="auto"/>
            <w:rPr>
              <w:rFonts w:eastAsiaTheme="minorEastAsia"/>
              <w:noProof/>
            </w:rPr>
          </w:pPr>
          <w:hyperlink w:anchor="_Toc113804946" w:history="1">
            <w:r w:rsidR="006A0191" w:rsidRPr="007328C1">
              <w:rPr>
                <w:rStyle w:val="Hyperlink"/>
                <w:rFonts w:ascii="David" w:eastAsia="Times New Roman" w:hAnsi="David" w:cs="David"/>
                <w:noProof/>
                <w:rtl/>
              </w:rPr>
              <w:t xml:space="preserve">שלב שני -בגדר סעיף 49  בחינת הסרת החיסיון –האם  "   צורך לגלות את הראיה </w:t>
            </w:r>
            <w:r w:rsidR="006A0191" w:rsidRPr="007328C1">
              <w:rPr>
                <w:rStyle w:val="Hyperlink"/>
                <w:rFonts w:ascii="David" w:eastAsia="Times New Roman" w:hAnsi="David" w:cs="David"/>
                <w:b/>
                <w:bCs/>
                <w:noProof/>
                <w:rtl/>
              </w:rPr>
              <w:t>לשם עשיית צדק</w:t>
            </w:r>
            <w:r w:rsidR="006A0191" w:rsidRPr="007328C1">
              <w:rPr>
                <w:rStyle w:val="Hyperlink"/>
                <w:rFonts w:ascii="David" w:eastAsia="Times New Roman" w:hAnsi="David" w:cs="David"/>
                <w:noProof/>
                <w:rtl/>
              </w:rPr>
              <w:t xml:space="preserve"> עדיף מן הענין שיש לא לגלותה" הנעשית מתוך בחינה של נוסחת איזון בין זכויות ואינטרסים מתוך התחשבות גם בעוצמת הרלבנטיות  ומקבילית הכוחות</w:t>
            </w:r>
            <w:r w:rsidR="006A0191">
              <w:rPr>
                <w:noProof/>
                <w:webHidden/>
              </w:rPr>
              <w:tab/>
            </w:r>
            <w:r w:rsidR="006A0191">
              <w:rPr>
                <w:rStyle w:val="Hyperlink"/>
                <w:noProof/>
                <w:rtl/>
              </w:rPr>
              <w:fldChar w:fldCharType="begin"/>
            </w:r>
            <w:r w:rsidR="006A0191">
              <w:rPr>
                <w:noProof/>
                <w:webHidden/>
              </w:rPr>
              <w:instrText xml:space="preserve"> PAGEREF _Toc113804946 \h </w:instrText>
            </w:r>
            <w:r w:rsidR="006A0191">
              <w:rPr>
                <w:rStyle w:val="Hyperlink"/>
                <w:noProof/>
                <w:rtl/>
              </w:rPr>
            </w:r>
            <w:r w:rsidR="006A0191">
              <w:rPr>
                <w:rStyle w:val="Hyperlink"/>
                <w:noProof/>
                <w:rtl/>
              </w:rPr>
              <w:fldChar w:fldCharType="separate"/>
            </w:r>
            <w:r w:rsidR="006F5E81">
              <w:rPr>
                <w:noProof/>
                <w:webHidden/>
                <w:rtl/>
              </w:rPr>
              <w:t>10</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7" w:history="1">
            <w:r w:rsidR="006A0191" w:rsidRPr="007328C1">
              <w:rPr>
                <w:rStyle w:val="Hyperlink"/>
                <w:rFonts w:ascii="David" w:eastAsia="Times New Roman" w:hAnsi="David" w:cs="David"/>
                <w:noProof/>
                <w:rtl/>
              </w:rPr>
              <w:t>ה(4) גילוי מסמכים מבעל דין</w:t>
            </w:r>
            <w:r w:rsidR="006A0191">
              <w:rPr>
                <w:noProof/>
                <w:webHidden/>
              </w:rPr>
              <w:tab/>
            </w:r>
            <w:r w:rsidR="006A0191">
              <w:rPr>
                <w:rStyle w:val="Hyperlink"/>
                <w:noProof/>
                <w:rtl/>
              </w:rPr>
              <w:fldChar w:fldCharType="begin"/>
            </w:r>
            <w:r w:rsidR="006A0191">
              <w:rPr>
                <w:noProof/>
                <w:webHidden/>
              </w:rPr>
              <w:instrText xml:space="preserve"> PAGEREF _Toc113804947 \h </w:instrText>
            </w:r>
            <w:r w:rsidR="006A0191">
              <w:rPr>
                <w:rStyle w:val="Hyperlink"/>
                <w:noProof/>
                <w:rtl/>
              </w:rPr>
            </w:r>
            <w:r w:rsidR="006A0191">
              <w:rPr>
                <w:rStyle w:val="Hyperlink"/>
                <w:noProof/>
                <w:rtl/>
              </w:rPr>
              <w:fldChar w:fldCharType="separate"/>
            </w:r>
            <w:r w:rsidR="006F5E81">
              <w:rPr>
                <w:noProof/>
                <w:webHidden/>
                <w:rtl/>
              </w:rPr>
              <w:t>11</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8" w:history="1">
            <w:r w:rsidR="006A0191" w:rsidRPr="007328C1">
              <w:rPr>
                <w:rStyle w:val="Hyperlink"/>
                <w:rFonts w:ascii="David" w:eastAsia="Times New Roman" w:hAnsi="David" w:cs="David"/>
                <w:noProof/>
                <w:rtl/>
              </w:rPr>
              <w:t>ה(5)</w:t>
            </w:r>
            <w:r w:rsidR="006A0191" w:rsidRPr="007328C1">
              <w:rPr>
                <w:rStyle w:val="Hyperlink"/>
                <w:rFonts w:ascii="David" w:eastAsia="Times New Roman" w:hAnsi="David" w:cs="David"/>
                <w:noProof/>
              </w:rPr>
              <w:t xml:space="preserve"> </w:t>
            </w:r>
            <w:r w:rsidR="006A0191" w:rsidRPr="007328C1">
              <w:rPr>
                <w:rStyle w:val="Hyperlink"/>
                <w:rFonts w:ascii="David" w:eastAsia="Times New Roman" w:hAnsi="David" w:cs="David"/>
                <w:noProof/>
                <w:rtl/>
              </w:rPr>
              <w:t>הדרך הדיונית לקבלת מידע מצד שלישי ובעניינו – והאיזון הנדרש לצורך הסרת חיסיון למול זכות צד השלישי</w:t>
            </w:r>
            <w:r w:rsidR="006A0191">
              <w:rPr>
                <w:noProof/>
                <w:webHidden/>
              </w:rPr>
              <w:tab/>
            </w:r>
            <w:r w:rsidR="006A0191">
              <w:rPr>
                <w:rStyle w:val="Hyperlink"/>
                <w:noProof/>
                <w:rtl/>
              </w:rPr>
              <w:fldChar w:fldCharType="begin"/>
            </w:r>
            <w:r w:rsidR="006A0191">
              <w:rPr>
                <w:noProof/>
                <w:webHidden/>
              </w:rPr>
              <w:instrText xml:space="preserve"> PAGEREF _Toc113804948 \h </w:instrText>
            </w:r>
            <w:r w:rsidR="006A0191">
              <w:rPr>
                <w:rStyle w:val="Hyperlink"/>
                <w:noProof/>
                <w:rtl/>
              </w:rPr>
            </w:r>
            <w:r w:rsidR="006A0191">
              <w:rPr>
                <w:rStyle w:val="Hyperlink"/>
                <w:noProof/>
                <w:rtl/>
              </w:rPr>
              <w:fldChar w:fldCharType="separate"/>
            </w:r>
            <w:r w:rsidR="006F5E81">
              <w:rPr>
                <w:noProof/>
                <w:webHidden/>
                <w:rtl/>
              </w:rPr>
              <w:t>11</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49" w:history="1">
            <w:r w:rsidR="006A0191" w:rsidRPr="007328C1">
              <w:rPr>
                <w:rStyle w:val="Hyperlink"/>
                <w:rFonts w:ascii="David" w:eastAsia="Times New Roman" w:hAnsi="David" w:cs="David"/>
                <w:noProof/>
                <w:rtl/>
              </w:rPr>
              <w:t>ה(6) השלב הדיוני הראוי לשמיעת עמדת צד השלישי בנוגע לאיסוף חומר הרפואי לצורך חוות דעת הוא אף לפני הגשת כתב ההגנה</w:t>
            </w:r>
            <w:r w:rsidR="006A0191">
              <w:rPr>
                <w:noProof/>
                <w:webHidden/>
              </w:rPr>
              <w:tab/>
            </w:r>
            <w:r w:rsidR="006A0191">
              <w:rPr>
                <w:rStyle w:val="Hyperlink"/>
                <w:noProof/>
                <w:rtl/>
              </w:rPr>
              <w:fldChar w:fldCharType="begin"/>
            </w:r>
            <w:r w:rsidR="006A0191">
              <w:rPr>
                <w:noProof/>
                <w:webHidden/>
              </w:rPr>
              <w:instrText xml:space="preserve"> PAGEREF _Toc113804949 \h </w:instrText>
            </w:r>
            <w:r w:rsidR="006A0191">
              <w:rPr>
                <w:rStyle w:val="Hyperlink"/>
                <w:noProof/>
                <w:rtl/>
              </w:rPr>
            </w:r>
            <w:r w:rsidR="006A0191">
              <w:rPr>
                <w:rStyle w:val="Hyperlink"/>
                <w:noProof/>
                <w:rtl/>
              </w:rPr>
              <w:fldChar w:fldCharType="separate"/>
            </w:r>
            <w:r w:rsidR="006F5E81">
              <w:rPr>
                <w:noProof/>
                <w:webHidden/>
                <w:rtl/>
              </w:rPr>
              <w:t>12</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0" w:history="1">
            <w:r w:rsidR="006A0191" w:rsidRPr="007328C1">
              <w:rPr>
                <w:rStyle w:val="Hyperlink"/>
                <w:rFonts w:ascii="David" w:eastAsia="Times New Roman" w:hAnsi="David" w:cs="David"/>
                <w:noProof/>
                <w:rtl/>
              </w:rPr>
              <w:t>ו. מן הכלל אל הפרט –</w:t>
            </w:r>
            <w:r w:rsidR="006A0191">
              <w:rPr>
                <w:noProof/>
                <w:webHidden/>
              </w:rPr>
              <w:tab/>
            </w:r>
            <w:r w:rsidR="006A0191">
              <w:rPr>
                <w:rStyle w:val="Hyperlink"/>
                <w:noProof/>
                <w:rtl/>
              </w:rPr>
              <w:fldChar w:fldCharType="begin"/>
            </w:r>
            <w:r w:rsidR="006A0191">
              <w:rPr>
                <w:noProof/>
                <w:webHidden/>
              </w:rPr>
              <w:instrText xml:space="preserve"> PAGEREF _Toc113804950 \h </w:instrText>
            </w:r>
            <w:r w:rsidR="006A0191">
              <w:rPr>
                <w:rStyle w:val="Hyperlink"/>
                <w:noProof/>
                <w:rtl/>
              </w:rPr>
            </w:r>
            <w:r w:rsidR="006A0191">
              <w:rPr>
                <w:rStyle w:val="Hyperlink"/>
                <w:noProof/>
                <w:rtl/>
              </w:rPr>
              <w:fldChar w:fldCharType="separate"/>
            </w:r>
            <w:r w:rsidR="006F5E81">
              <w:rPr>
                <w:noProof/>
                <w:webHidden/>
                <w:rtl/>
              </w:rPr>
              <w:t>12</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1" w:history="1">
            <w:r w:rsidR="006A0191" w:rsidRPr="007328C1">
              <w:rPr>
                <w:rStyle w:val="Hyperlink"/>
                <w:rFonts w:ascii="David" w:eastAsia="Times New Roman" w:hAnsi="David" w:cs="David"/>
                <w:noProof/>
                <w:rtl/>
              </w:rPr>
              <w:t>ו(1) רלבנטיות</w:t>
            </w:r>
            <w:r w:rsidR="006A0191">
              <w:rPr>
                <w:noProof/>
                <w:webHidden/>
              </w:rPr>
              <w:tab/>
            </w:r>
            <w:r w:rsidR="006A0191">
              <w:rPr>
                <w:rStyle w:val="Hyperlink"/>
                <w:noProof/>
                <w:rtl/>
              </w:rPr>
              <w:fldChar w:fldCharType="begin"/>
            </w:r>
            <w:r w:rsidR="006A0191">
              <w:rPr>
                <w:noProof/>
                <w:webHidden/>
              </w:rPr>
              <w:instrText xml:space="preserve"> PAGEREF _Toc113804951 \h </w:instrText>
            </w:r>
            <w:r w:rsidR="006A0191">
              <w:rPr>
                <w:rStyle w:val="Hyperlink"/>
                <w:noProof/>
                <w:rtl/>
              </w:rPr>
            </w:r>
            <w:r w:rsidR="006A0191">
              <w:rPr>
                <w:rStyle w:val="Hyperlink"/>
                <w:noProof/>
                <w:rtl/>
              </w:rPr>
              <w:fldChar w:fldCharType="separate"/>
            </w:r>
            <w:r w:rsidR="006F5E81">
              <w:rPr>
                <w:noProof/>
                <w:webHidden/>
                <w:rtl/>
              </w:rPr>
              <w:t>12</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2" w:history="1">
            <w:r w:rsidR="006A0191" w:rsidRPr="007328C1">
              <w:rPr>
                <w:rStyle w:val="Hyperlink"/>
                <w:rFonts w:ascii="David" w:eastAsia="Times New Roman" w:hAnsi="David" w:cs="David"/>
                <w:noProof/>
                <w:rtl/>
              </w:rPr>
              <w:t>ו(2) איזון הזכויות לרקע המסגרת הנורמטיבית לעיל</w:t>
            </w:r>
            <w:r w:rsidR="006A0191">
              <w:rPr>
                <w:noProof/>
                <w:webHidden/>
              </w:rPr>
              <w:tab/>
            </w:r>
            <w:r w:rsidR="006A0191">
              <w:rPr>
                <w:rStyle w:val="Hyperlink"/>
                <w:noProof/>
                <w:rtl/>
              </w:rPr>
              <w:fldChar w:fldCharType="begin"/>
            </w:r>
            <w:r w:rsidR="006A0191">
              <w:rPr>
                <w:noProof/>
                <w:webHidden/>
              </w:rPr>
              <w:instrText xml:space="preserve"> PAGEREF _Toc113804952 \h </w:instrText>
            </w:r>
            <w:r w:rsidR="006A0191">
              <w:rPr>
                <w:rStyle w:val="Hyperlink"/>
                <w:noProof/>
                <w:rtl/>
              </w:rPr>
            </w:r>
            <w:r w:rsidR="006A0191">
              <w:rPr>
                <w:rStyle w:val="Hyperlink"/>
                <w:noProof/>
                <w:rtl/>
              </w:rPr>
              <w:fldChar w:fldCharType="separate"/>
            </w:r>
            <w:r w:rsidR="006F5E81">
              <w:rPr>
                <w:noProof/>
                <w:webHidden/>
                <w:rtl/>
              </w:rPr>
              <w:t>12</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3" w:history="1">
            <w:r w:rsidR="006A0191" w:rsidRPr="007328C1">
              <w:rPr>
                <w:rStyle w:val="Hyperlink"/>
                <w:rFonts w:ascii="David" w:eastAsia="Times New Roman" w:hAnsi="David" w:cs="David"/>
                <w:noProof/>
                <w:rtl/>
              </w:rPr>
              <w:t>ו(2)(א)</w:t>
            </w:r>
            <w:r w:rsidR="006A0191" w:rsidRPr="007328C1">
              <w:rPr>
                <w:rStyle w:val="Hyperlink"/>
                <w:rFonts w:ascii="David" w:eastAsia="Times New Roman" w:hAnsi="David" w:cs="David"/>
                <w:noProof/>
              </w:rPr>
              <w:t xml:space="preserve"> </w:t>
            </w:r>
            <w:r w:rsidR="006A0191" w:rsidRPr="007328C1">
              <w:rPr>
                <w:rStyle w:val="Hyperlink"/>
                <w:rFonts w:ascii="David" w:eastAsia="Times New Roman" w:hAnsi="David" w:cs="David"/>
                <w:noProof/>
                <w:rtl/>
              </w:rPr>
              <w:t>זכות הנתבעת –להתגונן</w:t>
            </w:r>
            <w:r w:rsidR="006A0191">
              <w:rPr>
                <w:noProof/>
                <w:webHidden/>
              </w:rPr>
              <w:tab/>
            </w:r>
            <w:r w:rsidR="006A0191">
              <w:rPr>
                <w:rStyle w:val="Hyperlink"/>
                <w:noProof/>
                <w:rtl/>
              </w:rPr>
              <w:fldChar w:fldCharType="begin"/>
            </w:r>
            <w:r w:rsidR="006A0191">
              <w:rPr>
                <w:noProof/>
                <w:webHidden/>
              </w:rPr>
              <w:instrText xml:space="preserve"> PAGEREF _Toc113804953 \h </w:instrText>
            </w:r>
            <w:r w:rsidR="006A0191">
              <w:rPr>
                <w:rStyle w:val="Hyperlink"/>
                <w:noProof/>
                <w:rtl/>
              </w:rPr>
            </w:r>
            <w:r w:rsidR="006A0191">
              <w:rPr>
                <w:rStyle w:val="Hyperlink"/>
                <w:noProof/>
                <w:rtl/>
              </w:rPr>
              <w:fldChar w:fldCharType="separate"/>
            </w:r>
            <w:r w:rsidR="006F5E81">
              <w:rPr>
                <w:noProof/>
                <w:webHidden/>
                <w:rtl/>
              </w:rPr>
              <w:t>13</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4" w:history="1">
            <w:r w:rsidR="006A0191" w:rsidRPr="007328C1">
              <w:rPr>
                <w:rStyle w:val="Hyperlink"/>
                <w:rFonts w:ascii="David" w:eastAsia="Times New Roman" w:hAnsi="David" w:cs="David"/>
                <w:noProof/>
                <w:rtl/>
              </w:rPr>
              <w:t>ו(2)((ב)</w:t>
            </w:r>
            <w:r w:rsidR="006A0191" w:rsidRPr="007328C1">
              <w:rPr>
                <w:rStyle w:val="Hyperlink"/>
                <w:rFonts w:ascii="David" w:eastAsia="Times New Roman" w:hAnsi="David" w:cs="David"/>
                <w:noProof/>
              </w:rPr>
              <w:t xml:space="preserve">  </w:t>
            </w:r>
            <w:r w:rsidR="006A0191" w:rsidRPr="007328C1">
              <w:rPr>
                <w:rStyle w:val="Hyperlink"/>
                <w:rFonts w:ascii="David" w:eastAsia="Times New Roman" w:hAnsi="David" w:cs="David"/>
                <w:noProof/>
                <w:rtl/>
              </w:rPr>
              <w:t>זכות התובע לבירור תביעה  לנוכח טענתו להגנת פרטיות האם שעל מידע לגביה הוא עצמו נסמך</w:t>
            </w:r>
            <w:r w:rsidR="006A0191">
              <w:rPr>
                <w:noProof/>
                <w:webHidden/>
              </w:rPr>
              <w:tab/>
            </w:r>
            <w:r w:rsidR="006A0191">
              <w:rPr>
                <w:rStyle w:val="Hyperlink"/>
                <w:noProof/>
                <w:rtl/>
              </w:rPr>
              <w:fldChar w:fldCharType="begin"/>
            </w:r>
            <w:r w:rsidR="006A0191">
              <w:rPr>
                <w:noProof/>
                <w:webHidden/>
              </w:rPr>
              <w:instrText xml:space="preserve"> PAGEREF _Toc113804954 \h </w:instrText>
            </w:r>
            <w:r w:rsidR="006A0191">
              <w:rPr>
                <w:rStyle w:val="Hyperlink"/>
                <w:noProof/>
                <w:rtl/>
              </w:rPr>
            </w:r>
            <w:r w:rsidR="006A0191">
              <w:rPr>
                <w:rStyle w:val="Hyperlink"/>
                <w:noProof/>
                <w:rtl/>
              </w:rPr>
              <w:fldChar w:fldCharType="separate"/>
            </w:r>
            <w:r w:rsidR="006F5E81">
              <w:rPr>
                <w:noProof/>
                <w:webHidden/>
                <w:rtl/>
              </w:rPr>
              <w:t>13</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5" w:history="1">
            <w:r w:rsidR="006A0191" w:rsidRPr="007328C1">
              <w:rPr>
                <w:rStyle w:val="Hyperlink"/>
                <w:rFonts w:ascii="David" w:eastAsia="Times New Roman" w:hAnsi="David" w:cs="David"/>
                <w:noProof/>
                <w:rtl/>
              </w:rPr>
              <w:t>ו(2)(ג)</w:t>
            </w:r>
            <w:r w:rsidR="006A0191" w:rsidRPr="007328C1">
              <w:rPr>
                <w:rStyle w:val="Hyperlink"/>
                <w:rFonts w:ascii="David" w:eastAsia="Times New Roman" w:hAnsi="David" w:cs="David"/>
                <w:noProof/>
              </w:rPr>
              <w:t xml:space="preserve">  </w:t>
            </w:r>
            <w:r w:rsidR="006A0191" w:rsidRPr="007328C1">
              <w:rPr>
                <w:rStyle w:val="Hyperlink"/>
                <w:rFonts w:ascii="David" w:eastAsia="Times New Roman" w:hAnsi="David" w:cs="David"/>
                <w:noProof/>
                <w:rtl/>
              </w:rPr>
              <w:t>זכות האם לפרטיות -והצורך לשמוע עמדתה.</w:t>
            </w:r>
            <w:r w:rsidR="006A0191">
              <w:rPr>
                <w:noProof/>
                <w:webHidden/>
              </w:rPr>
              <w:tab/>
            </w:r>
            <w:r w:rsidR="006A0191">
              <w:rPr>
                <w:rStyle w:val="Hyperlink"/>
                <w:noProof/>
                <w:rtl/>
              </w:rPr>
              <w:fldChar w:fldCharType="begin"/>
            </w:r>
            <w:r w:rsidR="006A0191">
              <w:rPr>
                <w:noProof/>
                <w:webHidden/>
              </w:rPr>
              <w:instrText xml:space="preserve"> PAGEREF _Toc113804955 \h </w:instrText>
            </w:r>
            <w:r w:rsidR="006A0191">
              <w:rPr>
                <w:rStyle w:val="Hyperlink"/>
                <w:noProof/>
                <w:rtl/>
              </w:rPr>
            </w:r>
            <w:r w:rsidR="006A0191">
              <w:rPr>
                <w:rStyle w:val="Hyperlink"/>
                <w:noProof/>
                <w:rtl/>
              </w:rPr>
              <w:fldChar w:fldCharType="separate"/>
            </w:r>
            <w:r w:rsidR="006F5E81">
              <w:rPr>
                <w:noProof/>
                <w:webHidden/>
                <w:rtl/>
              </w:rPr>
              <w:t>14</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6" w:history="1">
            <w:r w:rsidR="006A0191" w:rsidRPr="007328C1">
              <w:rPr>
                <w:rStyle w:val="Hyperlink"/>
                <w:rFonts w:ascii="David" w:eastAsia="Times New Roman" w:hAnsi="David" w:cs="David"/>
                <w:noProof/>
                <w:rtl/>
              </w:rPr>
              <w:t>ו(3) תחרות אפשרית בין זכות  אפוטרופוס לזכות חסוי</w:t>
            </w:r>
            <w:r w:rsidR="006A0191">
              <w:rPr>
                <w:noProof/>
                <w:webHidden/>
              </w:rPr>
              <w:tab/>
            </w:r>
            <w:r w:rsidR="006A0191">
              <w:rPr>
                <w:rStyle w:val="Hyperlink"/>
                <w:noProof/>
                <w:rtl/>
              </w:rPr>
              <w:fldChar w:fldCharType="begin"/>
            </w:r>
            <w:r w:rsidR="006A0191">
              <w:rPr>
                <w:noProof/>
                <w:webHidden/>
              </w:rPr>
              <w:instrText xml:space="preserve"> PAGEREF _Toc113804956 \h </w:instrText>
            </w:r>
            <w:r w:rsidR="006A0191">
              <w:rPr>
                <w:rStyle w:val="Hyperlink"/>
                <w:noProof/>
                <w:rtl/>
              </w:rPr>
            </w:r>
            <w:r w:rsidR="006A0191">
              <w:rPr>
                <w:rStyle w:val="Hyperlink"/>
                <w:noProof/>
                <w:rtl/>
              </w:rPr>
              <w:fldChar w:fldCharType="separate"/>
            </w:r>
            <w:r w:rsidR="006F5E81">
              <w:rPr>
                <w:noProof/>
                <w:webHidden/>
                <w:rtl/>
              </w:rPr>
              <w:t>14</w:t>
            </w:r>
            <w:r w:rsidR="006A0191">
              <w:rPr>
                <w:rStyle w:val="Hyperlink"/>
                <w:noProof/>
                <w:rtl/>
              </w:rPr>
              <w:fldChar w:fldCharType="end"/>
            </w:r>
          </w:hyperlink>
        </w:p>
        <w:p w:rsidR="006A0191" w:rsidRDefault="001B6263" w:rsidP="006A0191">
          <w:pPr>
            <w:pStyle w:val="TOC2"/>
            <w:spacing w:line="257" w:lineRule="auto"/>
            <w:rPr>
              <w:rFonts w:eastAsiaTheme="minorEastAsia"/>
              <w:noProof/>
            </w:rPr>
          </w:pPr>
          <w:hyperlink w:anchor="_Toc113804957" w:history="1">
            <w:r w:rsidR="006A0191" w:rsidRPr="007328C1">
              <w:rPr>
                <w:rStyle w:val="Hyperlink"/>
                <w:rFonts w:ascii="David" w:eastAsia="Times New Roman" w:hAnsi="David" w:cs="David"/>
                <w:noProof/>
                <w:rtl/>
              </w:rPr>
              <w:t>ו(4)</w:t>
            </w:r>
            <w:r w:rsidR="006A0191" w:rsidRPr="007328C1">
              <w:rPr>
                <w:rStyle w:val="Hyperlink"/>
                <w:rFonts w:ascii="David" w:eastAsia="Times New Roman" w:hAnsi="David" w:cs="David"/>
                <w:noProof/>
              </w:rPr>
              <w:t xml:space="preserve"> </w:t>
            </w:r>
            <w:r w:rsidR="006A0191" w:rsidRPr="007328C1">
              <w:rPr>
                <w:rStyle w:val="Hyperlink"/>
                <w:rFonts w:ascii="David" w:eastAsia="Times New Roman" w:hAnsi="David" w:cs="David"/>
                <w:noProof/>
                <w:rtl/>
              </w:rPr>
              <w:t>קיים קושי במסירת המידע לאחד בלא למסור את המידע לאחר</w:t>
            </w:r>
            <w:r w:rsidR="006A0191">
              <w:rPr>
                <w:noProof/>
                <w:webHidden/>
              </w:rPr>
              <w:tab/>
            </w:r>
            <w:r w:rsidR="006A0191">
              <w:rPr>
                <w:rStyle w:val="Hyperlink"/>
                <w:noProof/>
                <w:rtl/>
              </w:rPr>
              <w:fldChar w:fldCharType="begin"/>
            </w:r>
            <w:r w:rsidR="006A0191">
              <w:rPr>
                <w:noProof/>
                <w:webHidden/>
              </w:rPr>
              <w:instrText xml:space="preserve"> PAGEREF _Toc113804957 \h </w:instrText>
            </w:r>
            <w:r w:rsidR="006A0191">
              <w:rPr>
                <w:rStyle w:val="Hyperlink"/>
                <w:noProof/>
                <w:rtl/>
              </w:rPr>
            </w:r>
            <w:r w:rsidR="006A0191">
              <w:rPr>
                <w:rStyle w:val="Hyperlink"/>
                <w:noProof/>
                <w:rtl/>
              </w:rPr>
              <w:fldChar w:fldCharType="separate"/>
            </w:r>
            <w:r w:rsidR="006F5E81">
              <w:rPr>
                <w:noProof/>
                <w:webHidden/>
                <w:rtl/>
              </w:rPr>
              <w:t>14</w:t>
            </w:r>
            <w:r w:rsidR="006A0191">
              <w:rPr>
                <w:rStyle w:val="Hyperlink"/>
                <w:noProof/>
                <w:rtl/>
              </w:rPr>
              <w:fldChar w:fldCharType="end"/>
            </w:r>
          </w:hyperlink>
        </w:p>
        <w:p w:rsidR="006A0191" w:rsidRDefault="001B6263" w:rsidP="006A0191">
          <w:pPr>
            <w:pStyle w:val="TOC1"/>
            <w:spacing w:line="257" w:lineRule="auto"/>
            <w:rPr>
              <w:rFonts w:eastAsiaTheme="minorEastAsia"/>
              <w:noProof/>
            </w:rPr>
          </w:pPr>
          <w:hyperlink w:anchor="_Toc113804958" w:history="1">
            <w:r w:rsidR="006A0191" w:rsidRPr="007328C1">
              <w:rPr>
                <w:rStyle w:val="Hyperlink"/>
                <w:rFonts w:ascii="David" w:eastAsia="Times New Roman" w:hAnsi="David" w:cs="David"/>
                <w:noProof/>
                <w:rtl/>
              </w:rPr>
              <w:t>ז.סוף דבר</w:t>
            </w:r>
            <w:r w:rsidR="006A0191">
              <w:rPr>
                <w:noProof/>
                <w:webHidden/>
              </w:rPr>
              <w:tab/>
            </w:r>
            <w:r w:rsidR="006A0191">
              <w:rPr>
                <w:rStyle w:val="Hyperlink"/>
                <w:noProof/>
                <w:rtl/>
              </w:rPr>
              <w:fldChar w:fldCharType="begin"/>
            </w:r>
            <w:r w:rsidR="006A0191">
              <w:rPr>
                <w:noProof/>
                <w:webHidden/>
              </w:rPr>
              <w:instrText xml:space="preserve"> PAGEREF _Toc113804958 \h </w:instrText>
            </w:r>
            <w:r w:rsidR="006A0191">
              <w:rPr>
                <w:rStyle w:val="Hyperlink"/>
                <w:noProof/>
                <w:rtl/>
              </w:rPr>
            </w:r>
            <w:r w:rsidR="006A0191">
              <w:rPr>
                <w:rStyle w:val="Hyperlink"/>
                <w:noProof/>
                <w:rtl/>
              </w:rPr>
              <w:fldChar w:fldCharType="separate"/>
            </w:r>
            <w:r w:rsidR="006F5E81">
              <w:rPr>
                <w:noProof/>
                <w:webHidden/>
                <w:rtl/>
              </w:rPr>
              <w:t>14</w:t>
            </w:r>
            <w:r w:rsidR="006A0191">
              <w:rPr>
                <w:rStyle w:val="Hyperlink"/>
                <w:noProof/>
                <w:rtl/>
              </w:rPr>
              <w:fldChar w:fldCharType="end"/>
            </w:r>
          </w:hyperlink>
        </w:p>
        <w:p w:rsidR="006A0191" w:rsidRDefault="006A0191" w:rsidP="006A0191">
          <w:pPr>
            <w:rPr>
              <w:rFonts w:ascii="David" w:hAnsi="David"/>
              <w:b/>
              <w:bCs/>
              <w:noProof w:val="0"/>
              <w:color w:val="4F81BD" w:themeColor="accent1"/>
              <w:u w:val="single"/>
              <w:rtl/>
            </w:rPr>
          </w:pPr>
          <w:r>
            <w:rPr>
              <w:rFonts w:ascii="David" w:hAnsi="David"/>
              <w:b/>
              <w:bCs/>
              <w:rtl/>
              <w:lang w:val="he-IL"/>
            </w:rPr>
            <w:fldChar w:fldCharType="end"/>
          </w:r>
        </w:p>
      </w:sdtContent>
    </w:sdt>
    <w:p w:rsidR="006A0191" w:rsidRDefault="006A0191" w:rsidP="006A0191">
      <w:pPr>
        <w:pStyle w:val="1"/>
        <w:spacing w:line="240" w:lineRule="auto"/>
        <w:rPr>
          <w:rFonts w:ascii="David" w:eastAsia="Times New Roman" w:hAnsi="David" w:cs="David"/>
        </w:rPr>
      </w:pPr>
      <w:bookmarkStart w:id="1" w:name="_Toc112170765"/>
      <w:bookmarkStart w:id="2" w:name="_Toc113804930"/>
      <w:r>
        <w:rPr>
          <w:rFonts w:ascii="David" w:eastAsia="Times New Roman" w:hAnsi="David" w:cs="David"/>
          <w:rtl/>
        </w:rPr>
        <w:t>א.מבוא</w:t>
      </w:r>
      <w:bookmarkEnd w:id="1"/>
      <w:bookmarkEnd w:id="2"/>
      <w:r>
        <w:rPr>
          <w:rFonts w:ascii="David" w:eastAsia="Times New Roman" w:hAnsi="David" w:cs="David"/>
          <w:rtl/>
        </w:rPr>
        <w:t xml:space="preserve"> </w:t>
      </w:r>
    </w:p>
    <w:p w:rsidR="006A0191" w:rsidRDefault="006A0191" w:rsidP="006A0191">
      <w:pPr>
        <w:numPr>
          <w:ilvl w:val="0"/>
          <w:numId w:val="3"/>
        </w:numPr>
        <w:contextualSpacing/>
        <w:rPr>
          <w:rFonts w:ascii="David" w:hAnsi="David"/>
          <w:rtl/>
        </w:rPr>
      </w:pPr>
      <w:r>
        <w:rPr>
          <w:rFonts w:ascii="David" w:hAnsi="David"/>
          <w:rtl/>
        </w:rPr>
        <w:t>הבקשה שלפני מעוררת, בהקשר המיוחד של  גילוי מידע גנטי את הסוגיות העיקריות הבאות:</w:t>
      </w:r>
    </w:p>
    <w:p w:rsidR="006A0191" w:rsidRDefault="006A0191" w:rsidP="006A0191">
      <w:pPr>
        <w:numPr>
          <w:ilvl w:val="1"/>
          <w:numId w:val="3"/>
        </w:numPr>
        <w:contextualSpacing/>
        <w:rPr>
          <w:rFonts w:ascii="David" w:hAnsi="David"/>
        </w:rPr>
      </w:pPr>
      <w:r>
        <w:rPr>
          <w:rFonts w:ascii="David" w:hAnsi="David"/>
          <w:rtl/>
        </w:rPr>
        <w:t>האם להאריך את המועד להגשת חוות דעת הרפואית הנגדית ואת המועד להגשת כתב הגנה מתוקן ?</w:t>
      </w:r>
    </w:p>
    <w:p w:rsidR="006A0191" w:rsidRDefault="006A0191" w:rsidP="006A0191">
      <w:pPr>
        <w:numPr>
          <w:ilvl w:val="1"/>
          <w:numId w:val="3"/>
        </w:numPr>
        <w:contextualSpacing/>
        <w:rPr>
          <w:rFonts w:ascii="David" w:hAnsi="David"/>
        </w:rPr>
      </w:pPr>
      <w:r>
        <w:rPr>
          <w:rFonts w:ascii="David" w:hAnsi="David"/>
          <w:rtl/>
        </w:rPr>
        <w:t xml:space="preserve">האם ניתן לצוות על בן למסור לנתבעת וס"ר חתום ע"י אימו לצורך איסוף התיק הרפואי שלה מחמת טענות הנוגעות למחלה עקב הורשה מהאם?.   </w:t>
      </w:r>
    </w:p>
    <w:p w:rsidR="006A0191" w:rsidRDefault="006A0191" w:rsidP="00A040D5">
      <w:pPr>
        <w:numPr>
          <w:ilvl w:val="1"/>
          <w:numId w:val="3"/>
        </w:numPr>
        <w:contextualSpacing/>
        <w:rPr>
          <w:rFonts w:ascii="David" w:hAnsi="David"/>
        </w:rPr>
      </w:pPr>
      <w:r>
        <w:rPr>
          <w:rFonts w:ascii="David" w:hAnsi="David"/>
          <w:rtl/>
        </w:rPr>
        <w:t xml:space="preserve">על איזה וס"ר נדרש לחתום לצורך קבלת מידע גנטי </w:t>
      </w:r>
      <w:r w:rsidR="00A040D5">
        <w:rPr>
          <w:rFonts w:ascii="David" w:hAnsi="David" w:hint="cs"/>
          <w:rtl/>
        </w:rPr>
        <w:t>.ה</w:t>
      </w:r>
      <w:r>
        <w:rPr>
          <w:rFonts w:ascii="David" w:hAnsi="David"/>
          <w:rtl/>
        </w:rPr>
        <w:t>אם די בנוסח הוס"ר הכללי המצורף לראשונה לתקנות?</w:t>
      </w:r>
    </w:p>
    <w:p w:rsidR="006A0191" w:rsidRDefault="006A0191" w:rsidP="006A0191">
      <w:pPr>
        <w:numPr>
          <w:ilvl w:val="1"/>
          <w:numId w:val="3"/>
        </w:numPr>
        <w:contextualSpacing/>
        <w:rPr>
          <w:rFonts w:ascii="David" w:hAnsi="David"/>
        </w:rPr>
      </w:pPr>
      <w:r>
        <w:rPr>
          <w:rFonts w:ascii="David" w:hAnsi="David"/>
          <w:rtl/>
        </w:rPr>
        <w:t xml:space="preserve">האם  ובאיזו מידה  לחייב את האם עצמה למסור לנתבעת תיק רפואי לנוכח סוגיות הכרוכות במידע הגנטי בתביעת נזקי הגוף שהגיש בנה ושנדרש לטענת המומחה מטעמה לחוות דעת נגדית לנוכח טענות שברפואה בתביעת בנה  והנסיבות המיוחדות של התיק . </w:t>
      </w:r>
    </w:p>
    <w:p w:rsidR="006A0191" w:rsidRDefault="006A0191" w:rsidP="006A0191">
      <w:pPr>
        <w:numPr>
          <w:ilvl w:val="0"/>
          <w:numId w:val="3"/>
        </w:numPr>
        <w:contextualSpacing/>
        <w:rPr>
          <w:rFonts w:ascii="David" w:hAnsi="David"/>
        </w:rPr>
      </w:pPr>
      <w:r>
        <w:rPr>
          <w:rFonts w:ascii="David" w:hAnsi="David"/>
          <w:rtl/>
        </w:rPr>
        <w:t>המדובר בתביעה על יסוד פוליסת ביטוח, שבה המומחה הרפואי מטעם התובע התייחס במפורש למידע  גנטי שנוגע לאם התובע שחתמה לכאורה גם בשמו על הצעת הביטוח.</w:t>
      </w:r>
    </w:p>
    <w:p w:rsidR="006A0191" w:rsidRDefault="006A0191" w:rsidP="006A0191">
      <w:pPr>
        <w:pStyle w:val="1"/>
        <w:spacing w:line="240" w:lineRule="auto"/>
        <w:rPr>
          <w:rFonts w:ascii="David" w:eastAsia="Times New Roman" w:hAnsi="David" w:cs="David"/>
        </w:rPr>
      </w:pPr>
      <w:bookmarkStart w:id="3" w:name="_Toc112170766"/>
      <w:bookmarkStart w:id="4" w:name="_Toc113804931"/>
      <w:r>
        <w:rPr>
          <w:rFonts w:ascii="David" w:eastAsia="Times New Roman" w:hAnsi="David" w:cs="David"/>
          <w:rtl/>
        </w:rPr>
        <w:t>ב. הרקע הכללי</w:t>
      </w:r>
      <w:bookmarkEnd w:id="3"/>
      <w:bookmarkEnd w:id="4"/>
    </w:p>
    <w:p w:rsidR="006A0191" w:rsidRDefault="006A0191" w:rsidP="006A0191">
      <w:pPr>
        <w:pStyle w:val="af1"/>
        <w:spacing w:after="0" w:line="240" w:lineRule="auto"/>
        <w:rPr>
          <w:rFonts w:ascii="David" w:eastAsia="Times New Roman" w:hAnsi="David" w:cs="David"/>
          <w:sz w:val="24"/>
          <w:szCs w:val="24"/>
        </w:rPr>
      </w:pPr>
    </w:p>
    <w:p w:rsidR="006A0191" w:rsidRDefault="006A0191" w:rsidP="006A0191">
      <w:pPr>
        <w:numPr>
          <w:ilvl w:val="0"/>
          <w:numId w:val="3"/>
        </w:numPr>
        <w:contextualSpacing/>
        <w:jc w:val="both"/>
        <w:rPr>
          <w:rFonts w:ascii="David" w:hAnsi="David"/>
        </w:rPr>
      </w:pPr>
      <w:r>
        <w:rPr>
          <w:rFonts w:ascii="David" w:hAnsi="David"/>
          <w:rtl/>
        </w:rPr>
        <w:lastRenderedPageBreak/>
        <w:t>השאלות הנ"ל,  מתעוררות לנוכח בקשת הנתבעת לקבל ארכה להגשת כתב הגנה מתוקן, וארכה להגשת חוות דעת הרפואיות מטעמה  כי להכנתן , הכרחי לטענתה, להורות לתובע להמציא וס"ר החתום ע"י אימו שאליה מתייחסת חוות דעת רפואית מטעמו.</w:t>
      </w:r>
    </w:p>
    <w:p w:rsidR="006A0191" w:rsidRDefault="006A0191" w:rsidP="006A0191">
      <w:pPr>
        <w:numPr>
          <w:ilvl w:val="0"/>
          <w:numId w:val="3"/>
        </w:numPr>
        <w:contextualSpacing/>
        <w:jc w:val="both"/>
        <w:rPr>
          <w:rFonts w:ascii="David" w:hAnsi="David"/>
        </w:rPr>
      </w:pPr>
      <w:r>
        <w:rPr>
          <w:rFonts w:ascii="David" w:hAnsi="David"/>
          <w:rtl/>
        </w:rPr>
        <w:t>הבקשה, הוגשה בגדר תביעה לתגמולי ביטוח בסך של 1,046,784 ₪ על יסוד פוליסה לביטוח בריאות ובהסתמך על טענה שברפואה, שלפיה קיים לתובע צורך רפואי בטיפול תרופתי מסוים, ויש לתובע זכות למימון הטיפול לפי הפוליסה שרכש ( סעיפים 8-9 ו-2). לתובע, מחלת ניוון שרירים המכונה דושן (סעיף 1).</w:t>
      </w:r>
    </w:p>
    <w:p w:rsidR="006A0191" w:rsidRDefault="006A0191" w:rsidP="006A0191">
      <w:pPr>
        <w:pStyle w:val="af1"/>
        <w:spacing w:line="240" w:lineRule="auto"/>
        <w:jc w:val="both"/>
        <w:rPr>
          <w:rFonts w:ascii="David" w:eastAsia="Times New Roman" w:hAnsi="David" w:cs="David"/>
          <w:sz w:val="24"/>
          <w:szCs w:val="24"/>
        </w:rPr>
      </w:pPr>
    </w:p>
    <w:p w:rsidR="006A0191" w:rsidRDefault="006A0191" w:rsidP="006A0191">
      <w:pPr>
        <w:pStyle w:val="af1"/>
        <w:numPr>
          <w:ilvl w:val="0"/>
          <w:numId w:val="3"/>
        </w:numPr>
        <w:spacing w:after="0" w:line="240" w:lineRule="auto"/>
        <w:jc w:val="both"/>
        <w:rPr>
          <w:rFonts w:ascii="David" w:eastAsia="Times New Roman" w:hAnsi="David" w:cs="David"/>
          <w:sz w:val="24"/>
          <w:szCs w:val="24"/>
          <w:rtl/>
        </w:rPr>
      </w:pPr>
      <w:r>
        <w:rPr>
          <w:rFonts w:ascii="David" w:eastAsia="Times New Roman" w:hAnsi="David" w:cs="David"/>
          <w:sz w:val="24"/>
          <w:szCs w:val="24"/>
          <w:rtl/>
        </w:rPr>
        <w:t>אפרט להלן את ההשתלשלות  הדיונית העיקרית  :</w:t>
      </w:r>
    </w:p>
    <w:p w:rsidR="006A0191" w:rsidRDefault="006A0191" w:rsidP="006A0191">
      <w:pPr>
        <w:pStyle w:val="af1"/>
        <w:spacing w:line="240" w:lineRule="auto"/>
        <w:rPr>
          <w:rFonts w:ascii="David" w:eastAsia="Times New Roman" w:hAnsi="David" w:cs="David"/>
          <w:sz w:val="24"/>
          <w:szCs w:val="24"/>
        </w:rPr>
      </w:pPr>
    </w:p>
    <w:p w:rsidR="006A0191" w:rsidRDefault="006A0191" w:rsidP="006A0191">
      <w:pPr>
        <w:pStyle w:val="af1"/>
        <w:numPr>
          <w:ilvl w:val="1"/>
          <w:numId w:val="3"/>
        </w:numPr>
        <w:spacing w:after="0" w:line="240" w:lineRule="auto"/>
        <w:jc w:val="both"/>
        <w:rPr>
          <w:rFonts w:ascii="David" w:eastAsia="Times New Roman" w:hAnsi="David" w:cs="David"/>
          <w:sz w:val="24"/>
          <w:szCs w:val="24"/>
          <w:rtl/>
        </w:rPr>
      </w:pPr>
      <w:r>
        <w:rPr>
          <w:rFonts w:ascii="David" w:eastAsia="Times New Roman" w:hAnsi="David" w:cs="David"/>
          <w:sz w:val="24"/>
          <w:szCs w:val="24"/>
          <w:u w:val="single"/>
          <w:rtl/>
        </w:rPr>
        <w:t>כתב התביעה המקורי</w:t>
      </w:r>
      <w:r>
        <w:rPr>
          <w:rFonts w:ascii="David" w:eastAsia="Times New Roman" w:hAnsi="David" w:cs="David"/>
          <w:sz w:val="24"/>
          <w:szCs w:val="24"/>
          <w:rtl/>
        </w:rPr>
        <w:t xml:space="preserve"> ,הוגש בסדמ"ק באמצעות אימו ואביו של התובע  בלא שצורפה לו חוות דעת רפואית כדין.  התביעה הוגשה גם באמצעות האם, בהיותה אחד משני האפוטרופוסים למרות היות התובע </w:t>
      </w:r>
      <w:r>
        <w:rPr>
          <w:rFonts w:ascii="David" w:eastAsia="Times New Roman" w:hAnsi="David" w:cs="David"/>
          <w:b/>
          <w:bCs/>
          <w:sz w:val="24"/>
          <w:szCs w:val="24"/>
          <w:rtl/>
        </w:rPr>
        <w:t xml:space="preserve">בגיר </w:t>
      </w:r>
      <w:r>
        <w:rPr>
          <w:rFonts w:ascii="David" w:eastAsia="Times New Roman" w:hAnsi="David" w:cs="David"/>
          <w:sz w:val="24"/>
          <w:szCs w:val="24"/>
          <w:rtl/>
        </w:rPr>
        <w:t xml:space="preserve">הואיל ונולד ביום  26.9.00 .בהמשך, הוצג כתב מינוי של ההורים ,כאפוטרופוסים הזמניים מכוח </w:t>
      </w:r>
      <w:r>
        <w:rPr>
          <w:rFonts w:ascii="David" w:eastAsia="Times New Roman" w:hAnsi="David" w:cs="David"/>
          <w:b/>
          <w:bCs/>
          <w:sz w:val="24"/>
          <w:szCs w:val="24"/>
          <w:rtl/>
        </w:rPr>
        <w:t>חוק הכשרות המשפטית והאפוטרופסות,</w:t>
      </w:r>
      <w:r>
        <w:rPr>
          <w:rFonts w:ascii="David" w:eastAsia="Times New Roman" w:hAnsi="David" w:cs="David"/>
          <w:sz w:val="24"/>
          <w:szCs w:val="24"/>
          <w:rtl/>
        </w:rPr>
        <w:t xml:space="preserve"> תשכ"ב-1962; .אולם , תוקף כתב המינוי הזמני היה מיום 24.7.19</w:t>
      </w:r>
    </w:p>
    <w:p w:rsidR="006A0191" w:rsidRDefault="006A0191" w:rsidP="006A0191">
      <w:pPr>
        <w:pStyle w:val="af1"/>
        <w:spacing w:after="0" w:line="240" w:lineRule="auto"/>
        <w:ind w:left="144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ולמשך 6 חודשים ( ראו בהחלטה  מיום 16.3.21 שהתייחסה למספר תקלות דיוניות.)  </w:t>
      </w:r>
    </w:p>
    <w:p w:rsidR="006A0191" w:rsidRDefault="006A0191" w:rsidP="006A0191">
      <w:pPr>
        <w:pStyle w:val="af1"/>
        <w:spacing w:line="240" w:lineRule="auto"/>
        <w:jc w:val="both"/>
        <w:rPr>
          <w:rFonts w:ascii="David" w:eastAsia="Times New Roman" w:hAnsi="David" w:cs="David"/>
          <w:sz w:val="24"/>
          <w:szCs w:val="24"/>
        </w:rPr>
      </w:pPr>
    </w:p>
    <w:p w:rsidR="006A0191" w:rsidRDefault="006A0191" w:rsidP="006A0191">
      <w:pPr>
        <w:pStyle w:val="af1"/>
        <w:numPr>
          <w:ilvl w:val="1"/>
          <w:numId w:val="3"/>
        </w:numPr>
        <w:spacing w:after="0" w:line="240" w:lineRule="auto"/>
        <w:jc w:val="both"/>
        <w:rPr>
          <w:rFonts w:ascii="David" w:eastAsia="Times New Roman" w:hAnsi="David" w:cs="David"/>
          <w:sz w:val="24"/>
          <w:szCs w:val="24"/>
          <w:rtl/>
        </w:rPr>
      </w:pPr>
      <w:r>
        <w:rPr>
          <w:rFonts w:ascii="David" w:eastAsia="Times New Roman" w:hAnsi="David" w:cs="David"/>
          <w:sz w:val="24"/>
          <w:szCs w:val="24"/>
          <w:u w:val="single"/>
          <w:rtl/>
        </w:rPr>
        <w:t>ביום 7.3.19 ניתנה למבטחת, הרשות להתגונן, על יסוד התצהיר שצורף לבר"ל</w:t>
      </w:r>
      <w:r>
        <w:rPr>
          <w:rFonts w:ascii="David" w:eastAsia="Times New Roman" w:hAnsi="David" w:cs="David"/>
          <w:sz w:val="24"/>
          <w:szCs w:val="24"/>
          <w:rtl/>
        </w:rPr>
        <w:t xml:space="preserve"> ואשר כלל, בין היתר,טענה שבפוליסה אין כיסוי ביטוחי לתובע כי הוא סובל ממחלה מולדת הנובעת מגן שירש מהאם . באופן קונקרטי, דובר במחלת  ניוון שרירים המכונה "דושן" שתוארה  כמחלה גנטית הנובעת משינוי בגן של חלבון מסוים  ( של חלבון הסיטרויפין ) החיוני לתפקוד השרירים  ומועבר על כרומוזום  ה-</w:t>
      </w:r>
      <w:r>
        <w:rPr>
          <w:rFonts w:ascii="David" w:eastAsia="Times New Roman" w:hAnsi="David" w:cs="David"/>
          <w:sz w:val="24"/>
          <w:szCs w:val="24"/>
        </w:rPr>
        <w:t>X</w:t>
      </w:r>
      <w:r>
        <w:rPr>
          <w:rFonts w:ascii="David" w:eastAsia="Times New Roman" w:hAnsi="David" w:cs="David"/>
          <w:sz w:val="24"/>
          <w:szCs w:val="24"/>
          <w:rtl/>
        </w:rPr>
        <w:t xml:space="preserve"> של האם. בתצהירה, הנתבעת  הפנתה גם לדו"ח שנטען שמכון הגנטי ערך לבקשת האם.</w:t>
      </w:r>
    </w:p>
    <w:p w:rsidR="006A0191" w:rsidRDefault="006A0191" w:rsidP="006A0191">
      <w:pPr>
        <w:pStyle w:val="af1"/>
        <w:numPr>
          <w:ilvl w:val="1"/>
          <w:numId w:val="3"/>
        </w:numPr>
        <w:spacing w:after="0" w:line="240" w:lineRule="auto"/>
        <w:jc w:val="both"/>
        <w:rPr>
          <w:rFonts w:ascii="David" w:eastAsia="Times New Roman" w:hAnsi="David" w:cs="David"/>
          <w:b/>
          <w:bCs/>
          <w:sz w:val="24"/>
          <w:szCs w:val="24"/>
        </w:rPr>
      </w:pPr>
      <w:r>
        <w:rPr>
          <w:rFonts w:ascii="David" w:eastAsia="Times New Roman" w:hAnsi="David" w:cs="David"/>
          <w:sz w:val="24"/>
          <w:szCs w:val="24"/>
          <w:rtl/>
        </w:rPr>
        <w:t xml:space="preserve">הדו"ח הגנטי, שהציגה הנתבעת במצורף לתצהיר, נערך כבר ביום 5.8.01 . </w:t>
      </w:r>
      <w:r>
        <w:rPr>
          <w:rFonts w:ascii="David" w:eastAsia="Times New Roman" w:hAnsi="David" w:cs="David"/>
          <w:sz w:val="24"/>
          <w:szCs w:val="24"/>
          <w:u w:val="single"/>
          <w:rtl/>
        </w:rPr>
        <w:t>כלומר, למעלה ,משנתיים</w:t>
      </w:r>
      <w:r>
        <w:rPr>
          <w:rFonts w:ascii="David" w:eastAsia="Times New Roman" w:hAnsi="David" w:cs="David"/>
          <w:sz w:val="24"/>
          <w:szCs w:val="24"/>
          <w:rtl/>
        </w:rPr>
        <w:t xml:space="preserve"> לפני שהוריו ביקשו להצטרף לפוליסה, ולפיו לטענתה המבוטח </w:t>
      </w:r>
      <w:r>
        <w:rPr>
          <w:rFonts w:ascii="David" w:eastAsia="Times New Roman" w:hAnsi="David" w:cs="David"/>
          <w:b/>
          <w:bCs/>
          <w:sz w:val="24"/>
          <w:szCs w:val="24"/>
          <w:rtl/>
        </w:rPr>
        <w:t xml:space="preserve">ירש מאימו עותק של הגן בו חל שחלוף </w:t>
      </w:r>
      <w:r>
        <w:rPr>
          <w:rFonts w:ascii="David" w:eastAsia="Times New Roman" w:hAnsi="David" w:cs="David"/>
          <w:b/>
          <w:bCs/>
          <w:sz w:val="24"/>
          <w:szCs w:val="24"/>
        </w:rPr>
        <w:t>M1/M2</w:t>
      </w:r>
      <w:r>
        <w:rPr>
          <w:rFonts w:ascii="David" w:eastAsia="Times New Roman" w:hAnsi="David" w:cs="David"/>
          <w:b/>
          <w:bCs/>
          <w:sz w:val="24"/>
          <w:szCs w:val="24"/>
          <w:rtl/>
        </w:rPr>
        <w:t xml:space="preserve"> באזור החסר ירש עותק </w:t>
      </w:r>
      <w:r>
        <w:rPr>
          <w:rFonts w:ascii="David" w:eastAsia="Times New Roman" w:hAnsi="David" w:cs="David"/>
          <w:b/>
          <w:bCs/>
          <w:sz w:val="24"/>
          <w:szCs w:val="24"/>
        </w:rPr>
        <w:t>M1</w:t>
      </w:r>
      <w:r>
        <w:rPr>
          <w:rFonts w:ascii="David" w:eastAsia="Times New Roman" w:hAnsi="David" w:cs="David"/>
          <w:b/>
          <w:bCs/>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הדגשה במקור א.ב.)</w:t>
      </w:r>
      <w:r>
        <w:rPr>
          <w:rFonts w:ascii="David" w:eastAsia="Times New Roman" w:hAnsi="David" w:cs="David"/>
          <w:sz w:val="24"/>
          <w:szCs w:val="24"/>
        </w:rPr>
        <w:t xml:space="preserve"> </w:t>
      </w:r>
      <w:r>
        <w:rPr>
          <w:rFonts w:ascii="David" w:eastAsia="Times New Roman" w:hAnsi="David" w:cs="David"/>
          <w:b/>
          <w:bCs/>
          <w:sz w:val="24"/>
          <w:szCs w:val="24"/>
          <w:rtl/>
        </w:rPr>
        <w:t>.</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בכתב ההגנה, הנתבעת טענה, בין היתר, להיעדר כיסוי ביטוחי משתי סיבות : א. הסיבה הראשונה היא מסמכי הצטרפות שנחתמו ביום 18.11.03 ( ראו בס' 5+ 11(ג) לבקשתה )ב. הסיבה שניה  שנטענה להיעדר הכיסוי היא ההחריגים לפוליסה שסעיף 4 לפרק א' .(ראו  בס' 11(ו)לבקשה ) .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בכתב הגנה נכתב גם  כי :  "הפוליסה שוכללה לכדי חוזה מחייב </w:t>
      </w:r>
      <w:r>
        <w:rPr>
          <w:rFonts w:ascii="David" w:eastAsia="Times New Roman" w:hAnsi="David" w:cs="David"/>
          <w:sz w:val="24"/>
          <w:szCs w:val="24"/>
          <w:u w:val="single"/>
          <w:rtl/>
        </w:rPr>
        <w:t xml:space="preserve">על בסיס הצהרות התובעים </w:t>
      </w:r>
      <w:r>
        <w:rPr>
          <w:rFonts w:ascii="David" w:eastAsia="Times New Roman" w:hAnsi="David" w:cs="David"/>
          <w:sz w:val="24"/>
          <w:szCs w:val="24"/>
          <w:rtl/>
        </w:rPr>
        <w:t>במסגרת מסמכי הצטרפות לביטוח" סעיף 11 (ד)(</w:t>
      </w:r>
      <w:r>
        <w:rPr>
          <w:rFonts w:ascii="David" w:eastAsia="Times New Roman" w:hAnsi="David" w:cs="David"/>
          <w:sz w:val="24"/>
          <w:szCs w:val="24"/>
        </w:rPr>
        <w:t xml:space="preserve"> </w:t>
      </w:r>
      <w:r>
        <w:rPr>
          <w:rFonts w:ascii="David" w:eastAsia="Times New Roman" w:hAnsi="David" w:cs="David"/>
          <w:sz w:val="24"/>
          <w:szCs w:val="24"/>
          <w:rtl/>
        </w:rPr>
        <w:t xml:space="preserve">הדגשה לא במקור א.ב.)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כלומר, לפי  הכתוב בכתב ההגנה האם של התובע ,  חתמה  בעצמה,  על  "טופס הצעה לביטוח חיים חדשים" על הטופס מופיע גם שם  תובע שהיה אז כבן 3.  הטופס, כלל את הצהרת בריאות שבסעיף 4, ואין כיסוי לכל אירוע או תביעה הנובעים ממצב בריאותי לקוי מתופעה או מחלה או מום מלידה שהיו קיימים אצל המבוטח לפני מועד תחילת הביטוח .</w:t>
      </w:r>
    </w:p>
    <w:p w:rsidR="006A0191" w:rsidRDefault="006A0191" w:rsidP="006A0191">
      <w:pPr>
        <w:pStyle w:val="af1"/>
        <w:spacing w:after="0" w:line="240" w:lineRule="auto"/>
        <w:rPr>
          <w:rFonts w:ascii="David" w:eastAsia="Times New Roman" w:hAnsi="David" w:cs="David"/>
          <w:sz w:val="24"/>
          <w:szCs w:val="24"/>
        </w:rPr>
      </w:pPr>
      <w:r>
        <w:rPr>
          <w:rFonts w:ascii="David" w:eastAsia="Times New Roman" w:hAnsi="David" w:cs="David"/>
          <w:sz w:val="24"/>
          <w:szCs w:val="24"/>
          <w:u w:val="single"/>
          <w:rtl/>
        </w:rPr>
        <w:t xml:space="preserve">תיקון התביעה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lastRenderedPageBreak/>
        <w:t xml:space="preserve">לאחר שהתצהיר, הוכר ככתב ההגנה, הותר לתובע , לתקן את התביעה,  לצורך צירוף חוות דעת רפואית שתאפשר לתמוך בטענות שבחזית המחלוקת וזאת ביום 3.7.21 . גם לנתבעת, הותר להגיש כתב הגנה ביחס להיבטים שבזיקה לכתב התביעה המתוקן ולהגיש את חוות הדעת מטעמה בחלוף 60 יום לאחר הגשת כתב התביעה המתוקן.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כשביום  2.8.21 התובע הגיש כתב התביעה המתוקן, המומחה מטעמו כתב בתעודה רפואית שצורפה לראשונה כי "התובע ירש מהאם עותק של הגן </w:t>
      </w:r>
      <w:r>
        <w:rPr>
          <w:rFonts w:ascii="David" w:eastAsia="Times New Roman" w:hAnsi="David" w:cs="David"/>
          <w:sz w:val="24"/>
          <w:szCs w:val="24"/>
        </w:rPr>
        <w:t>M1</w:t>
      </w:r>
      <w:r>
        <w:rPr>
          <w:rFonts w:ascii="David" w:eastAsia="Times New Roman" w:hAnsi="David" w:cs="David"/>
          <w:sz w:val="24"/>
          <w:szCs w:val="24"/>
          <w:rtl/>
        </w:rPr>
        <w:t xml:space="preserve"> אולם </w:t>
      </w:r>
      <w:r>
        <w:rPr>
          <w:rFonts w:ascii="David" w:eastAsia="Times New Roman" w:hAnsi="David" w:cs="David"/>
          <w:sz w:val="24"/>
          <w:szCs w:val="24"/>
          <w:u w:val="single"/>
          <w:rtl/>
        </w:rPr>
        <w:t>האם אינה נשאית של מוטציית החסר</w:t>
      </w:r>
      <w:r>
        <w:rPr>
          <w:rFonts w:ascii="David" w:eastAsia="Times New Roman" w:hAnsi="David" w:cs="David"/>
          <w:sz w:val="24"/>
          <w:szCs w:val="24"/>
          <w:rtl/>
        </w:rPr>
        <w:t xml:space="preserve"> שבבסיס מחלתו ". עוד נכתב כי " נפגע עקב מוטציה </w:t>
      </w:r>
      <w:r>
        <w:rPr>
          <w:rFonts w:ascii="David" w:eastAsia="Times New Roman" w:hAnsi="David" w:cs="David"/>
          <w:sz w:val="24"/>
          <w:szCs w:val="24"/>
          <w:u w:val="single"/>
          <w:rtl/>
        </w:rPr>
        <w:t>חדשה</w:t>
      </w:r>
      <w:r>
        <w:rPr>
          <w:rFonts w:ascii="David" w:eastAsia="Times New Roman" w:hAnsi="David" w:cs="David"/>
          <w:sz w:val="24"/>
          <w:szCs w:val="24"/>
          <w:rtl/>
        </w:rPr>
        <w:t xml:space="preserve"> של הגן שארעה בביצית ממנה נוצר .התורשה כאן מוגדרת </w:t>
      </w:r>
      <w:r>
        <w:rPr>
          <w:rFonts w:ascii="David" w:eastAsia="Times New Roman" w:hAnsi="David" w:cs="David"/>
          <w:sz w:val="24"/>
          <w:szCs w:val="24"/>
        </w:rPr>
        <w:t>Gonadal mosaaicisim</w:t>
      </w:r>
      <w:r>
        <w:rPr>
          <w:rFonts w:ascii="David" w:eastAsia="Times New Roman" w:hAnsi="David" w:cs="David"/>
          <w:sz w:val="24"/>
          <w:szCs w:val="24"/>
          <w:rtl/>
        </w:rPr>
        <w:t>" (</w:t>
      </w:r>
      <w:r>
        <w:rPr>
          <w:rFonts w:ascii="David" w:eastAsia="Times New Roman" w:hAnsi="David" w:cs="David"/>
          <w:sz w:val="24"/>
          <w:szCs w:val="24"/>
        </w:rPr>
        <w:t xml:space="preserve"> </w:t>
      </w:r>
      <w:r>
        <w:rPr>
          <w:rFonts w:ascii="David" w:eastAsia="Times New Roman" w:hAnsi="David" w:cs="David"/>
          <w:sz w:val="24"/>
          <w:szCs w:val="24"/>
          <w:rtl/>
        </w:rPr>
        <w:t xml:space="preserve">הדגשות במקור א.ב.)   צוין שלאחיו  הבריאים עותק של </w:t>
      </w:r>
      <w:r>
        <w:rPr>
          <w:rFonts w:ascii="David" w:eastAsia="Times New Roman" w:hAnsi="David" w:cs="David"/>
          <w:sz w:val="24"/>
          <w:szCs w:val="24"/>
        </w:rPr>
        <w:t>M2</w:t>
      </w:r>
      <w:r>
        <w:rPr>
          <w:rFonts w:ascii="David" w:eastAsia="Times New Roman" w:hAnsi="David" w:cs="David"/>
          <w:sz w:val="24"/>
          <w:szCs w:val="24"/>
          <w:rtl/>
        </w:rPr>
        <w:t xml:space="preserve"> של הגן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הנתבעת צינה שהחלה  להכין  חוו"ד נגדית אך המומחה הרפואי הבהיר שנחוץ לו  התיק רפואי "לעניין הבירור הגנטי שנעשה בעניינה " של האם  אך לא היה כל מענה לבקשתה לקבלתו. </w:t>
      </w:r>
    </w:p>
    <w:p w:rsidR="006A0191" w:rsidRDefault="006A0191" w:rsidP="006A0191">
      <w:pPr>
        <w:pStyle w:val="af1"/>
        <w:numPr>
          <w:ilvl w:val="0"/>
          <w:numId w:val="3"/>
        </w:numPr>
        <w:spacing w:after="0" w:line="240" w:lineRule="auto"/>
        <w:rPr>
          <w:rFonts w:ascii="David" w:eastAsia="Times New Roman" w:hAnsi="David" w:cs="David"/>
          <w:sz w:val="24"/>
          <w:szCs w:val="24"/>
        </w:rPr>
      </w:pPr>
      <w:r>
        <w:rPr>
          <w:rFonts w:ascii="David" w:eastAsia="Times New Roman" w:hAnsi="David" w:cs="David"/>
          <w:sz w:val="24"/>
          <w:szCs w:val="24"/>
          <w:rtl/>
        </w:rPr>
        <w:t xml:space="preserve">הצדדים לא הגיעו  להסכמה ומשכך נדרשת ההכרעה . </w:t>
      </w:r>
    </w:p>
    <w:p w:rsidR="006A0191" w:rsidRDefault="006A0191" w:rsidP="006A0191">
      <w:pPr>
        <w:pStyle w:val="af1"/>
        <w:keepNext/>
        <w:keepLines/>
        <w:spacing w:before="200" w:after="0" w:line="240" w:lineRule="auto"/>
        <w:ind w:left="360"/>
        <w:outlineLvl w:val="1"/>
        <w:rPr>
          <w:rFonts w:ascii="David" w:eastAsia="Times New Roman" w:hAnsi="David" w:cs="David"/>
          <w:b/>
          <w:bCs/>
          <w:color w:val="4F81BD" w:themeColor="accent1"/>
          <w:sz w:val="24"/>
          <w:szCs w:val="24"/>
          <w:u w:val="single"/>
        </w:rPr>
      </w:pPr>
      <w:bookmarkStart w:id="5" w:name="_Toc112170767"/>
      <w:r>
        <w:rPr>
          <w:rFonts w:ascii="David" w:eastAsia="Times New Roman" w:hAnsi="David" w:cs="David"/>
          <w:sz w:val="24"/>
          <w:szCs w:val="24"/>
          <w:rtl/>
        </w:rPr>
        <w:t xml:space="preserve"> </w:t>
      </w:r>
    </w:p>
    <w:p w:rsidR="006A0191" w:rsidRDefault="006A0191" w:rsidP="006A0191">
      <w:pPr>
        <w:pStyle w:val="1"/>
        <w:spacing w:line="240" w:lineRule="auto"/>
        <w:rPr>
          <w:rFonts w:ascii="David" w:eastAsia="Times New Roman" w:hAnsi="David" w:cs="David"/>
          <w:rtl/>
        </w:rPr>
      </w:pPr>
      <w:bookmarkStart w:id="6" w:name="_Toc113804932"/>
      <w:r>
        <w:rPr>
          <w:rFonts w:ascii="David" w:eastAsia="Times New Roman" w:hAnsi="David" w:cs="David"/>
          <w:rtl/>
        </w:rPr>
        <w:t>ג. תמצית הטענות העיקריות</w:t>
      </w:r>
      <w:bookmarkEnd w:id="5"/>
      <w:r>
        <w:rPr>
          <w:rFonts w:ascii="David" w:eastAsia="Times New Roman" w:hAnsi="David" w:cs="David"/>
          <w:rtl/>
        </w:rPr>
        <w:t xml:space="preserve"> הנוגעות לבקשה</w:t>
      </w:r>
      <w:bookmarkEnd w:id="6"/>
      <w:r>
        <w:rPr>
          <w:rFonts w:ascii="David" w:eastAsia="Times New Roman" w:hAnsi="David" w:cs="David"/>
          <w:rtl/>
        </w:rPr>
        <w:t xml:space="preserve"> </w:t>
      </w:r>
    </w:p>
    <w:p w:rsidR="006A0191" w:rsidRDefault="006A0191" w:rsidP="006A0191">
      <w:pPr>
        <w:rPr>
          <w:rFonts w:ascii="David" w:hAnsi="David"/>
        </w:rPr>
      </w:pPr>
    </w:p>
    <w:p w:rsidR="006A0191" w:rsidRDefault="006A0191" w:rsidP="006A0191">
      <w:pPr>
        <w:pStyle w:val="af1"/>
        <w:numPr>
          <w:ilvl w:val="0"/>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b/>
          <w:bCs/>
          <w:sz w:val="24"/>
          <w:szCs w:val="24"/>
          <w:u w:val="single"/>
          <w:rtl/>
        </w:rPr>
        <w:t xml:space="preserve">הנתבעת טוענת שיש </w:t>
      </w:r>
      <w:r>
        <w:rPr>
          <w:rFonts w:ascii="David" w:eastAsia="Times New Roman" w:hAnsi="David" w:cs="David" w:hint="cs"/>
          <w:sz w:val="24"/>
          <w:szCs w:val="24"/>
          <w:rtl/>
        </w:rPr>
        <w:t>להורות לתובע להמציא לידיה  וס״ר החתום ע"י אימו מהסיבות העיקריות הבאות :</w:t>
      </w:r>
    </w:p>
    <w:p w:rsidR="006A0191" w:rsidRDefault="006A0191" w:rsidP="00A040D5">
      <w:pPr>
        <w:pStyle w:val="af1"/>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 א. מתיעוד שכבר נמסר לה עולה שמדובר במחלה שירש מהאם: זאת כי </w:t>
      </w:r>
      <w:r>
        <w:rPr>
          <w:rFonts w:ascii="David" w:eastAsia="Times New Roman" w:hAnsi="David" w:cs="David"/>
          <w:sz w:val="24"/>
          <w:szCs w:val="24"/>
        </w:rPr>
        <w:t xml:space="preserve"> </w:t>
      </w:r>
      <w:r>
        <w:rPr>
          <w:rFonts w:ascii="David" w:eastAsia="Times New Roman" w:hAnsi="David" w:cs="David"/>
          <w:sz w:val="24"/>
          <w:szCs w:val="24"/>
          <w:rtl/>
        </w:rPr>
        <w:t>במסמך של המעבדה לגנטיקה מולקולרית מיום 23.7.17 ניתן הסבר לפיו לתובע מחלה מולדת ותורשתית (</w:t>
      </w:r>
      <w:r>
        <w:rPr>
          <w:rFonts w:ascii="David" w:eastAsia="Times New Roman" w:hAnsi="David" w:cs="David"/>
          <w:sz w:val="24"/>
          <w:szCs w:val="24"/>
        </w:rPr>
        <w:t xml:space="preserve"> </w:t>
      </w:r>
      <w:r>
        <w:rPr>
          <w:rFonts w:ascii="David" w:eastAsia="Times New Roman" w:hAnsi="David" w:cs="David"/>
          <w:sz w:val="24"/>
          <w:szCs w:val="24"/>
          <w:rtl/>
        </w:rPr>
        <w:t>ס'  2 לבקשה), ובמסמך  של המכון הגנטי צויין שב2/3 מהמקרים המוטציה עוברת בתורשה מהאם  הנשאית.  ב. לתובע שלא צירף חוות דעת רפואית הותר   לתקן את התביעה בצירוף חוות הדעת שבה לראשונה כתב המומחה מטעמו כי  "א. ירש מאימו עותק של הגן (</w:t>
      </w:r>
      <w:r>
        <w:rPr>
          <w:rFonts w:ascii="David" w:eastAsia="Times New Roman" w:hAnsi="David" w:cs="David"/>
          <w:sz w:val="24"/>
          <w:szCs w:val="24"/>
        </w:rPr>
        <w:t>M</w:t>
      </w:r>
      <w:r>
        <w:rPr>
          <w:rFonts w:ascii="David" w:eastAsia="Times New Roman" w:hAnsi="David" w:cs="David"/>
          <w:sz w:val="24"/>
          <w:szCs w:val="24"/>
          <w:rtl/>
        </w:rPr>
        <w:t xml:space="preserve">1) אולם האם ר. אינה נשאית של מוטציית החסר שבבסיס מחלתו.. " </w:t>
      </w:r>
      <w:r w:rsidR="00A040D5">
        <w:rPr>
          <w:rFonts w:ascii="David" w:eastAsia="Times New Roman" w:hAnsi="David" w:cs="David" w:hint="cs"/>
          <w:sz w:val="24"/>
          <w:szCs w:val="24"/>
          <w:rtl/>
        </w:rPr>
        <w:t>ג</w:t>
      </w:r>
      <w:r>
        <w:rPr>
          <w:rFonts w:ascii="David" w:eastAsia="Times New Roman" w:hAnsi="David" w:cs="David"/>
          <w:sz w:val="24"/>
          <w:szCs w:val="24"/>
          <w:rtl/>
        </w:rPr>
        <w:t>.  הנתבעת מציינת כאמור, שכאשר היא  פנתה לקבלת חווה"ד נגדית, המומחה מטעמה הבהיר לה "</w:t>
      </w:r>
      <w:r>
        <w:rPr>
          <w:rFonts w:ascii="David" w:eastAsia="Times New Roman" w:hAnsi="David" w:cs="David"/>
          <w:b/>
          <w:bCs/>
          <w:sz w:val="24"/>
          <w:szCs w:val="24"/>
          <w:rtl/>
        </w:rPr>
        <w:t xml:space="preserve">שנדרש </w:t>
      </w:r>
      <w:r>
        <w:rPr>
          <w:rFonts w:ascii="David" w:eastAsia="Times New Roman" w:hAnsi="David" w:cs="David"/>
          <w:sz w:val="24"/>
          <w:szCs w:val="24"/>
          <w:rtl/>
        </w:rPr>
        <w:t xml:space="preserve">מלוא תיקה הרפואי של אימו של התובע ... לעניין הבירור הגנטי שנעשה בעניינה, להבדיל מהבירור הגנטי שנעשה בעניינו של התובע " ( ס' 8) . </w:t>
      </w:r>
      <w:r w:rsidR="00A040D5">
        <w:rPr>
          <w:rFonts w:ascii="David" w:eastAsia="Times New Roman" w:hAnsi="David" w:cs="David" w:hint="cs"/>
          <w:sz w:val="24"/>
          <w:szCs w:val="24"/>
          <w:rtl/>
        </w:rPr>
        <w:t>ד</w:t>
      </w:r>
      <w:r>
        <w:rPr>
          <w:rFonts w:ascii="David" w:eastAsia="Times New Roman" w:hAnsi="David" w:cs="David"/>
          <w:sz w:val="24"/>
          <w:szCs w:val="24"/>
          <w:rtl/>
        </w:rPr>
        <w:t xml:space="preserve">. הוס"ר בחתימת האם נחוץ כי בלעדיו, לא יימסר התיעוד בתיק הרפואי על שמה כי לא ניתן להשתמש  בוס"ר שעליו התובע בעצמו. לפיכך "בלית ברירה" היא פונה לבית המשפט לצורך מתן צו לתובע המורה על המצאת וס"ר של האם   ( ס'  11- 12) . </w:t>
      </w:r>
      <w:r w:rsidR="00A040D5">
        <w:rPr>
          <w:rFonts w:ascii="David" w:eastAsia="Times New Roman" w:hAnsi="David" w:cs="David" w:hint="cs"/>
          <w:sz w:val="24"/>
          <w:szCs w:val="24"/>
          <w:rtl/>
        </w:rPr>
        <w:t>ה</w:t>
      </w:r>
      <w:r>
        <w:rPr>
          <w:rFonts w:ascii="David" w:eastAsia="Times New Roman" w:hAnsi="David" w:cs="David"/>
          <w:sz w:val="24"/>
          <w:szCs w:val="24"/>
          <w:rtl/>
        </w:rPr>
        <w:t xml:space="preserve">. המידע הרפואי הנדון רלוונטי והכרחי לעשיית צדק ולבירור האמת. </w:t>
      </w:r>
      <w:r w:rsidR="00A040D5">
        <w:rPr>
          <w:rFonts w:ascii="David" w:eastAsia="Times New Roman" w:hAnsi="David" w:cs="David" w:hint="cs"/>
          <w:sz w:val="24"/>
          <w:szCs w:val="24"/>
          <w:rtl/>
        </w:rPr>
        <w:t>ו</w:t>
      </w:r>
      <w:r>
        <w:rPr>
          <w:rFonts w:ascii="David" w:eastAsia="Times New Roman" w:hAnsi="David" w:cs="David"/>
          <w:sz w:val="24"/>
          <w:szCs w:val="24"/>
          <w:rtl/>
        </w:rPr>
        <w:t>. מהפן המשפטי יש לחייב  למסור אותו לאור הגשמת המטרות שבס' 1 לתקנות סדר הדין האזרחי התשע"ט -2018.  הנתבעת מציינת  בין היתר שעובר לפניתה לבית המשפט פנתה פעם אחר פעם לתובע שהתעלם ממנה ושהגישה בקשתה במועד שנקבע להגשת חוות הדעת מטעמה</w:t>
      </w:r>
      <w:r>
        <w:rPr>
          <w:rFonts w:ascii="David" w:eastAsia="Times New Roman" w:hAnsi="David" w:cs="David"/>
          <w:sz w:val="24"/>
          <w:szCs w:val="24"/>
        </w:rPr>
        <w:t xml:space="preserve"> </w:t>
      </w:r>
      <w:r>
        <w:rPr>
          <w:rFonts w:ascii="David" w:eastAsia="Times New Roman" w:hAnsi="David" w:cs="David"/>
          <w:sz w:val="24"/>
          <w:szCs w:val="24"/>
          <w:rtl/>
        </w:rPr>
        <w:t xml:space="preserve">. </w:t>
      </w:r>
    </w:p>
    <w:p w:rsidR="006A0191" w:rsidRDefault="006A0191" w:rsidP="006A0191">
      <w:pPr>
        <w:pStyle w:val="af1"/>
        <w:numPr>
          <w:ilvl w:val="0"/>
          <w:numId w:val="3"/>
        </w:numPr>
        <w:spacing w:after="0" w:line="240" w:lineRule="auto"/>
        <w:jc w:val="both"/>
        <w:rPr>
          <w:rFonts w:ascii="David" w:eastAsia="Times New Roman" w:hAnsi="David" w:cs="David"/>
          <w:b/>
          <w:bCs/>
          <w:sz w:val="24"/>
          <w:szCs w:val="24"/>
          <w:u w:val="single"/>
        </w:rPr>
      </w:pPr>
      <w:r>
        <w:rPr>
          <w:rFonts w:ascii="David" w:eastAsia="Times New Roman" w:hAnsi="David" w:cs="David"/>
          <w:b/>
          <w:bCs/>
          <w:sz w:val="24"/>
          <w:szCs w:val="24"/>
          <w:u w:val="single"/>
          <w:rtl/>
        </w:rPr>
        <w:t xml:space="preserve">התובע התנגד בנחרצות  </w:t>
      </w:r>
      <w:r>
        <w:rPr>
          <w:rFonts w:ascii="David" w:eastAsia="Times New Roman" w:hAnsi="David" w:cs="David"/>
          <w:sz w:val="24"/>
          <w:szCs w:val="24"/>
          <w:rtl/>
        </w:rPr>
        <w:t xml:space="preserve"> לבקשת הנתבעת למסירת וס״ר חתום ע"י אימו לעניין הבירור הגנטי שנעשה בעניינה  ( ס'  1 לתגובתו )  ובד בבד עמד על הטענה שאימו אינה נשאית של המוטציה ( ס'  2(ה)) וגם לא חזר מהסתמכותו על חוות הדעת מטעמו. </w:t>
      </w:r>
    </w:p>
    <w:p w:rsidR="006A0191" w:rsidRDefault="006A0191" w:rsidP="006A0191">
      <w:pPr>
        <w:pStyle w:val="af1"/>
        <w:numPr>
          <w:ilvl w:val="0"/>
          <w:numId w:val="3"/>
        </w:numPr>
        <w:spacing w:after="0" w:line="240" w:lineRule="auto"/>
        <w:jc w:val="both"/>
        <w:rPr>
          <w:rFonts w:ascii="David" w:eastAsia="Times New Roman" w:hAnsi="David" w:cs="David"/>
          <w:b/>
          <w:bCs/>
          <w:sz w:val="24"/>
          <w:szCs w:val="24"/>
          <w:u w:val="single"/>
        </w:rPr>
      </w:pPr>
      <w:r>
        <w:rPr>
          <w:rFonts w:ascii="David" w:eastAsia="Times New Roman" w:hAnsi="David" w:cs="David"/>
          <w:sz w:val="24"/>
          <w:szCs w:val="24"/>
          <w:rtl/>
        </w:rPr>
        <w:t xml:space="preserve"> לטענת התובע, אין לחייבו למסור וס"ר לנתבעת לצורך בחינת  טענותיו שברפואה ואת הממצא הנטען בחוות הדעת  מטעמו מהסיבות  העיקריות הבאות שדומה נוגעות למעשה לזכות האם: א. לטענת התובע, בקשת הנתבעת  מנוגדת לזכות  לפרטיות של האם  (סעיף 7+ 15), כי</w:t>
      </w:r>
      <w:r>
        <w:rPr>
          <w:rFonts w:ascii="David" w:eastAsia="Times New Roman" w:hAnsi="David" w:cs="David"/>
          <w:sz w:val="24"/>
          <w:szCs w:val="24"/>
        </w:rPr>
        <w:t xml:space="preserve"> </w:t>
      </w:r>
      <w:r>
        <w:rPr>
          <w:rFonts w:ascii="David" w:eastAsia="Times New Roman" w:hAnsi="David" w:cs="David"/>
          <w:sz w:val="24"/>
          <w:szCs w:val="24"/>
          <w:rtl/>
        </w:rPr>
        <w:t xml:space="preserve">  אינה רלבנטית, (</w:t>
      </w:r>
      <w:r>
        <w:rPr>
          <w:rFonts w:ascii="David" w:eastAsia="Times New Roman" w:hAnsi="David" w:cs="David"/>
          <w:sz w:val="24"/>
          <w:szCs w:val="24"/>
        </w:rPr>
        <w:t xml:space="preserve"> </w:t>
      </w:r>
      <w:r>
        <w:rPr>
          <w:rFonts w:ascii="David" w:eastAsia="Times New Roman" w:hAnsi="David" w:cs="David"/>
          <w:sz w:val="24"/>
          <w:szCs w:val="24"/>
          <w:rtl/>
        </w:rPr>
        <w:t xml:space="preserve">סעיף </w:t>
      </w:r>
      <w:r>
        <w:rPr>
          <w:rFonts w:ascii="David" w:eastAsia="Times New Roman" w:hAnsi="David" w:cs="David"/>
          <w:sz w:val="24"/>
          <w:szCs w:val="24"/>
          <w:rtl/>
        </w:rPr>
        <w:lastRenderedPageBreak/>
        <w:t>13)</w:t>
      </w:r>
      <w:r>
        <w:rPr>
          <w:rFonts w:ascii="David" w:eastAsia="Times New Roman" w:hAnsi="David" w:cs="David"/>
          <w:sz w:val="24"/>
          <w:szCs w:val="24"/>
        </w:rPr>
        <w:t xml:space="preserve"> </w:t>
      </w:r>
      <w:r>
        <w:rPr>
          <w:rFonts w:ascii="David" w:eastAsia="Times New Roman" w:hAnsi="David" w:cs="David"/>
          <w:sz w:val="24"/>
          <w:szCs w:val="24"/>
          <w:rtl/>
        </w:rPr>
        <w:t>ומנוגדת לחיסיון שחל על תיקיה הרפואיים של האם שאינה צד לתיק (</w:t>
      </w:r>
      <w:r>
        <w:rPr>
          <w:rFonts w:ascii="David" w:eastAsia="Times New Roman" w:hAnsi="David" w:cs="David"/>
          <w:sz w:val="24"/>
          <w:szCs w:val="24"/>
        </w:rPr>
        <w:t xml:space="preserve"> </w:t>
      </w:r>
      <w:r>
        <w:rPr>
          <w:rFonts w:ascii="David" w:eastAsia="Times New Roman" w:hAnsi="David" w:cs="David"/>
          <w:sz w:val="24"/>
          <w:szCs w:val="24"/>
          <w:rtl/>
        </w:rPr>
        <w:t>סעיף 8)   .  לשיטתו גם אין הצדקה להסרת החיסיון לחשיפת המידע</w:t>
      </w:r>
      <w:r>
        <w:rPr>
          <w:rFonts w:ascii="David" w:eastAsia="Times New Roman" w:hAnsi="David" w:cs="David"/>
          <w:sz w:val="24"/>
          <w:szCs w:val="24"/>
        </w:rPr>
        <w:t xml:space="preserve"> </w:t>
      </w:r>
      <w:r>
        <w:rPr>
          <w:rFonts w:ascii="David" w:eastAsia="Times New Roman" w:hAnsi="David" w:cs="David"/>
          <w:sz w:val="24"/>
          <w:szCs w:val="24"/>
          <w:rtl/>
        </w:rPr>
        <w:t xml:space="preserve"> (</w:t>
      </w:r>
      <w:r>
        <w:rPr>
          <w:rFonts w:ascii="David" w:eastAsia="Times New Roman" w:hAnsi="David" w:cs="David"/>
          <w:sz w:val="24"/>
          <w:szCs w:val="24"/>
        </w:rPr>
        <w:t xml:space="preserve"> </w:t>
      </w:r>
      <w:r>
        <w:rPr>
          <w:rFonts w:ascii="David" w:eastAsia="Times New Roman" w:hAnsi="David" w:cs="David"/>
          <w:sz w:val="24"/>
          <w:szCs w:val="24"/>
          <w:rtl/>
        </w:rPr>
        <w:t xml:space="preserve">סעיפים 9-12)   ב. התובע טען שבקשת הנתבעת מנוגדת לס'  22 לחוק מידע גנטי , תשס"א-2000 (  להלן : </w:t>
      </w:r>
      <w:r>
        <w:rPr>
          <w:rFonts w:ascii="David" w:eastAsia="Times New Roman" w:hAnsi="David" w:cs="David"/>
          <w:b/>
          <w:bCs/>
          <w:sz w:val="24"/>
          <w:szCs w:val="24"/>
          <w:rtl/>
        </w:rPr>
        <w:t>חוק מידע גנטי</w:t>
      </w:r>
      <w:r>
        <w:rPr>
          <w:rFonts w:ascii="David" w:eastAsia="Times New Roman" w:hAnsi="David" w:cs="David"/>
          <w:sz w:val="24"/>
          <w:szCs w:val="24"/>
          <w:rtl/>
        </w:rPr>
        <w:t xml:space="preserve"> )</w:t>
      </w:r>
      <w:r>
        <w:rPr>
          <w:rFonts w:ascii="David" w:eastAsia="Times New Roman" w:hAnsi="David" w:cs="David"/>
          <w:b/>
          <w:bCs/>
          <w:sz w:val="24"/>
          <w:szCs w:val="24"/>
          <w:u w:val="single"/>
          <w:rtl/>
        </w:rPr>
        <w:t xml:space="preserve"> המחייב </w:t>
      </w:r>
      <w:r>
        <w:rPr>
          <w:rFonts w:ascii="David" w:eastAsia="Times New Roman" w:hAnsi="David" w:cs="David"/>
          <w:sz w:val="24"/>
          <w:szCs w:val="24"/>
          <w:rtl/>
        </w:rPr>
        <w:t xml:space="preserve"> שהסכמת האם למסירת מידע גנטי תיעשה במפורש ובכתב. ג. התובע טען שבקשת הנתבעת מנוגדת לחוק זכויות החולה (סעיפים 18-19)  ד. התובע טען שהדרישה לא  רלבנטית כי לטענתו האם אינה נשאית של המוטציה  (סעיף 20)</w:t>
      </w:r>
      <w:r>
        <w:rPr>
          <w:rFonts w:ascii="David" w:eastAsia="Times New Roman" w:hAnsi="David" w:cs="David"/>
          <w:sz w:val="24"/>
          <w:szCs w:val="24"/>
        </w:rPr>
        <w:t xml:space="preserve"> </w:t>
      </w:r>
      <w:r>
        <w:rPr>
          <w:rFonts w:ascii="David" w:eastAsia="Times New Roman" w:hAnsi="David" w:cs="David"/>
          <w:sz w:val="24"/>
          <w:szCs w:val="24"/>
          <w:rtl/>
        </w:rPr>
        <w:t xml:space="preserve">.לשיטתו די להסיק ממצא זה ממסמך שממילא בידי הנתבעת  כי צרפה אותו </w:t>
      </w:r>
      <w:r>
        <w:rPr>
          <w:rFonts w:ascii="David" w:eastAsia="Times New Roman" w:hAnsi="David" w:cs="David"/>
          <w:sz w:val="24"/>
          <w:szCs w:val="24"/>
        </w:rPr>
        <w:t xml:space="preserve"> </w:t>
      </w:r>
      <w:r>
        <w:rPr>
          <w:rFonts w:ascii="David" w:eastAsia="Times New Roman" w:hAnsi="David" w:cs="David"/>
          <w:sz w:val="24"/>
          <w:szCs w:val="24"/>
          <w:rtl/>
        </w:rPr>
        <w:t>ומדבריו משתמע שיש לסמוך על עמדת המומחה מטעמו שלפיה לאם אין חסר ומכאן ש"אינה נשאית של מוטציית החסר"  .התובע  טען גם שאין לבקשה יסוד בחזית שיצרו כתבי הטענות  (</w:t>
      </w:r>
      <w:r>
        <w:rPr>
          <w:rFonts w:ascii="David" w:eastAsia="Times New Roman" w:hAnsi="David" w:cs="David"/>
          <w:sz w:val="24"/>
          <w:szCs w:val="24"/>
        </w:rPr>
        <w:t xml:space="preserve"> </w:t>
      </w:r>
      <w:r>
        <w:rPr>
          <w:rFonts w:ascii="David" w:eastAsia="Times New Roman" w:hAnsi="David" w:cs="David"/>
          <w:sz w:val="24"/>
          <w:szCs w:val="24"/>
          <w:rtl/>
        </w:rPr>
        <w:t>סעיף 23)</w:t>
      </w:r>
      <w:r>
        <w:rPr>
          <w:rFonts w:ascii="David" w:eastAsia="Times New Roman" w:hAnsi="David" w:cs="David"/>
          <w:b/>
          <w:bCs/>
          <w:sz w:val="24"/>
          <w:szCs w:val="24"/>
          <w:u w:val="single"/>
          <w:rtl/>
        </w:rPr>
        <w:t xml:space="preserve">. </w:t>
      </w:r>
    </w:p>
    <w:p w:rsidR="00375984" w:rsidRDefault="00375984" w:rsidP="00375984">
      <w:pPr>
        <w:pStyle w:val="af1"/>
        <w:numPr>
          <w:ilvl w:val="0"/>
          <w:numId w:val="3"/>
        </w:numPr>
        <w:spacing w:after="0" w:line="240" w:lineRule="auto"/>
        <w:rPr>
          <w:rFonts w:ascii="David" w:eastAsia="Times New Roman" w:hAnsi="David" w:cs="David"/>
          <w:sz w:val="24"/>
          <w:szCs w:val="24"/>
        </w:rPr>
      </w:pPr>
      <w:r>
        <w:rPr>
          <w:rFonts w:ascii="David" w:eastAsia="Times New Roman" w:hAnsi="David" w:cs="David"/>
          <w:b/>
          <w:bCs/>
          <w:sz w:val="24"/>
          <w:szCs w:val="24"/>
          <w:rtl/>
        </w:rPr>
        <w:t xml:space="preserve">לדיון  היום  התייצבו ב"כ הצדדים וכל צד עמד על עמדתו . </w:t>
      </w:r>
    </w:p>
    <w:p w:rsidR="00375984" w:rsidRDefault="00375984" w:rsidP="00550747">
      <w:pPr>
        <w:pStyle w:val="af1"/>
        <w:numPr>
          <w:ilvl w:val="1"/>
          <w:numId w:val="3"/>
        </w:numPr>
        <w:spacing w:after="0" w:line="240" w:lineRule="auto"/>
        <w:rPr>
          <w:rFonts w:ascii="David" w:eastAsia="Times New Roman" w:hAnsi="David" w:cs="David"/>
          <w:sz w:val="24"/>
          <w:szCs w:val="24"/>
        </w:rPr>
      </w:pPr>
      <w:r>
        <w:rPr>
          <w:rFonts w:ascii="David" w:eastAsia="Times New Roman" w:hAnsi="David" w:cs="David"/>
          <w:sz w:val="24"/>
          <w:szCs w:val="24"/>
          <w:rtl/>
        </w:rPr>
        <w:t xml:space="preserve">הנתבעת </w:t>
      </w:r>
      <w:r>
        <w:rPr>
          <w:rFonts w:ascii="David" w:eastAsia="Times New Roman" w:hAnsi="David" w:cs="David" w:hint="cs"/>
          <w:sz w:val="24"/>
          <w:szCs w:val="24"/>
          <w:rtl/>
        </w:rPr>
        <w:t>,</w:t>
      </w:r>
      <w:r>
        <w:rPr>
          <w:rFonts w:ascii="David" w:eastAsia="Times New Roman" w:hAnsi="David" w:cs="David"/>
          <w:sz w:val="24"/>
          <w:szCs w:val="24"/>
          <w:rtl/>
        </w:rPr>
        <w:t xml:space="preserve"> עמדה  על בקשה לוס"ר שלטענתה הכרחי להשלמת חוות דעת המומחה  מטעמה . בנוסף  לראשונה היום</w:t>
      </w:r>
      <w:r>
        <w:rPr>
          <w:rFonts w:ascii="David" w:eastAsia="Times New Roman" w:hAnsi="David" w:cs="David" w:hint="cs"/>
          <w:sz w:val="24"/>
          <w:szCs w:val="24"/>
          <w:rtl/>
        </w:rPr>
        <w:t>,</w:t>
      </w:r>
      <w:r>
        <w:rPr>
          <w:rFonts w:ascii="David" w:eastAsia="Times New Roman" w:hAnsi="David" w:cs="David"/>
          <w:sz w:val="24"/>
          <w:szCs w:val="24"/>
          <w:rtl/>
        </w:rPr>
        <w:t xml:space="preserve">  </w:t>
      </w:r>
      <w:r>
        <w:rPr>
          <w:rFonts w:ascii="David" w:eastAsia="Times New Roman" w:hAnsi="David" w:cs="David" w:hint="cs"/>
          <w:sz w:val="24"/>
          <w:szCs w:val="24"/>
          <w:rtl/>
        </w:rPr>
        <w:t>ה</w:t>
      </w:r>
      <w:r>
        <w:rPr>
          <w:rFonts w:ascii="David" w:eastAsia="Times New Roman" w:hAnsi="David" w:cs="David"/>
          <w:sz w:val="24"/>
          <w:szCs w:val="24"/>
          <w:rtl/>
        </w:rPr>
        <w:t xml:space="preserve">פנתה למכתב  שכתב המומחה </w:t>
      </w:r>
      <w:r>
        <w:rPr>
          <w:rFonts w:ascii="David" w:eastAsia="Times New Roman" w:hAnsi="David" w:cs="David" w:hint="cs"/>
          <w:sz w:val="24"/>
          <w:szCs w:val="24"/>
          <w:rtl/>
        </w:rPr>
        <w:t xml:space="preserve">מטעמה </w:t>
      </w:r>
      <w:r>
        <w:rPr>
          <w:rFonts w:ascii="David" w:eastAsia="Times New Roman" w:hAnsi="David" w:cs="David"/>
          <w:sz w:val="24"/>
          <w:szCs w:val="24"/>
          <w:rtl/>
        </w:rPr>
        <w:t xml:space="preserve">ביום 1.8.22  שבו </w:t>
      </w:r>
      <w:r>
        <w:rPr>
          <w:rFonts w:ascii="David" w:eastAsia="Times New Roman" w:hAnsi="David" w:cs="David" w:hint="cs"/>
          <w:sz w:val="24"/>
          <w:szCs w:val="24"/>
          <w:rtl/>
        </w:rPr>
        <w:t xml:space="preserve">התייחס לראשונה </w:t>
      </w:r>
      <w:r>
        <w:rPr>
          <w:rFonts w:ascii="David" w:eastAsia="Times New Roman" w:hAnsi="David" w:cs="David"/>
          <w:sz w:val="24"/>
          <w:szCs w:val="24"/>
          <w:rtl/>
        </w:rPr>
        <w:t xml:space="preserve">לכך שהמומחה מטעם התובע השתמש במושג שמשמעותו לשיטת המומחה מטעם הנתבעת כי חלק מהביציות אצל האם נשאיות של הגן הפגוע . לשיטתו על מנת להשלים חוות דעת בכל הקשור לצורך ההורשה של המחלה במקרה זה  עליו לקבל את "ממצאי הבירור הגנטי המלא שנעשה לאם  ואשר ככל הנראה עמדו בפני פר ..בעת כתיבת חוות דעתו" .    לטענתו  מהמסמכים עולה המוטציה נושא התביעה הועברה מהאם לילד   </w:t>
      </w:r>
      <w:r w:rsidR="00550747">
        <w:rPr>
          <w:rFonts w:ascii="David" w:eastAsia="Times New Roman" w:hAnsi="David" w:cs="David" w:hint="cs"/>
          <w:sz w:val="24"/>
          <w:szCs w:val="24"/>
          <w:rtl/>
        </w:rPr>
        <w:t xml:space="preserve">. </w:t>
      </w:r>
    </w:p>
    <w:p w:rsidR="00375984" w:rsidRDefault="00375984" w:rsidP="00375984">
      <w:pPr>
        <w:pStyle w:val="af1"/>
        <w:numPr>
          <w:ilvl w:val="1"/>
          <w:numId w:val="3"/>
        </w:numPr>
        <w:spacing w:after="0" w:line="240" w:lineRule="auto"/>
        <w:rPr>
          <w:rFonts w:ascii="David" w:eastAsia="Times New Roman" w:hAnsi="David" w:cs="David"/>
          <w:sz w:val="24"/>
          <w:szCs w:val="24"/>
        </w:rPr>
      </w:pPr>
      <w:r>
        <w:rPr>
          <w:rFonts w:ascii="David" w:eastAsia="Times New Roman" w:hAnsi="David" w:cs="David"/>
          <w:sz w:val="24"/>
          <w:szCs w:val="24"/>
          <w:rtl/>
        </w:rPr>
        <w:t xml:space="preserve">ראיתי לציין שהואיל ונקבע זה מכבר דיון להיום לבירור נקודה מסוימת מדוע במהלך החודשים שחלפו לא ניתן היה לפעול באופן בו לא יוצג המסמך לראשונה עתה . אף אם אין בו כדי לשנות את תוצאת ההחלטה </w:t>
      </w:r>
    </w:p>
    <w:p w:rsidR="00375984" w:rsidRDefault="00375984" w:rsidP="00375984">
      <w:pPr>
        <w:pStyle w:val="af1"/>
        <w:numPr>
          <w:ilvl w:val="1"/>
          <w:numId w:val="3"/>
        </w:numPr>
        <w:spacing w:after="0" w:line="240" w:lineRule="auto"/>
        <w:rPr>
          <w:rFonts w:ascii="David" w:eastAsia="Times New Roman" w:hAnsi="David" w:cs="David"/>
          <w:sz w:val="24"/>
          <w:szCs w:val="24"/>
        </w:rPr>
      </w:pPr>
      <w:r>
        <w:rPr>
          <w:rFonts w:ascii="David" w:eastAsia="Times New Roman" w:hAnsi="David" w:cs="David"/>
          <w:sz w:val="24"/>
          <w:szCs w:val="24"/>
          <w:rtl/>
        </w:rPr>
        <w:t xml:space="preserve">התובע מתנגד לב"כ הנתבעת  כי הבן לא רוצה למסור וס"ר של האם מעבר לכך לטענתה בפני המומחה מטעמה היה אותו חומר שבפני המומחה מטעם הנתבעת.  </w:t>
      </w:r>
    </w:p>
    <w:p w:rsidR="00375984" w:rsidRPr="00375984" w:rsidRDefault="00375984" w:rsidP="00375984">
      <w:pPr>
        <w:jc w:val="both"/>
        <w:rPr>
          <w:rFonts w:ascii="David" w:hAnsi="David"/>
          <w:b/>
          <w:bCs/>
          <w:u w:val="single"/>
        </w:rPr>
      </w:pPr>
    </w:p>
    <w:p w:rsidR="006A0191" w:rsidRDefault="006A0191" w:rsidP="00375984">
      <w:pPr>
        <w:pStyle w:val="1"/>
        <w:spacing w:line="240" w:lineRule="auto"/>
        <w:jc w:val="both"/>
        <w:rPr>
          <w:rFonts w:ascii="David" w:eastAsia="Times New Roman" w:hAnsi="David" w:cs="David"/>
        </w:rPr>
      </w:pPr>
      <w:r>
        <w:rPr>
          <w:rFonts w:ascii="David" w:eastAsia="Times New Roman" w:hAnsi="David" w:cs="David"/>
          <w:sz w:val="24"/>
          <w:szCs w:val="24"/>
          <w:rtl/>
        </w:rPr>
        <w:t> </w:t>
      </w:r>
      <w:bookmarkStart w:id="7" w:name="_Toc113804933"/>
      <w:r>
        <w:rPr>
          <w:rFonts w:ascii="David" w:eastAsia="Times New Roman" w:hAnsi="David" w:cs="David"/>
          <w:rtl/>
        </w:rPr>
        <w:t>ד. ההכרעה</w:t>
      </w:r>
      <w:bookmarkEnd w:id="7"/>
    </w:p>
    <w:p w:rsidR="006A0191" w:rsidRDefault="006A0191" w:rsidP="006A0191">
      <w:pPr>
        <w:pStyle w:val="af1"/>
        <w:spacing w:after="0" w:line="240" w:lineRule="auto"/>
        <w:ind w:left="-30"/>
        <w:jc w:val="both"/>
        <w:rPr>
          <w:rFonts w:ascii="David" w:eastAsia="Times New Roman" w:hAnsi="David" w:cs="David"/>
          <w:b/>
          <w:bCs/>
          <w:color w:val="4F81BD" w:themeColor="accent1"/>
          <w:sz w:val="24"/>
          <w:szCs w:val="24"/>
          <w:u w:val="single"/>
        </w:rPr>
      </w:pPr>
    </w:p>
    <w:p w:rsidR="006A0191" w:rsidRDefault="006A0191" w:rsidP="006A0191">
      <w:pPr>
        <w:pStyle w:val="af1"/>
        <w:numPr>
          <w:ilvl w:val="0"/>
          <w:numId w:val="3"/>
        </w:numPr>
        <w:spacing w:after="0" w:line="240" w:lineRule="auto"/>
        <w:jc w:val="both"/>
        <w:rPr>
          <w:rFonts w:ascii="David" w:eastAsia="Times New Roman" w:hAnsi="David" w:cs="David"/>
          <w:sz w:val="24"/>
          <w:szCs w:val="24"/>
          <w:rtl/>
        </w:rPr>
      </w:pPr>
      <w:r>
        <w:rPr>
          <w:rFonts w:ascii="David" w:eastAsia="Times New Roman" w:hAnsi="David" w:cs="David"/>
          <w:sz w:val="24"/>
          <w:szCs w:val="24"/>
          <w:rtl/>
        </w:rPr>
        <w:t xml:space="preserve">לאחר עיון במסמכים שהגישו  הצדדים,  אקדים את המאוחר ואציין שדין הבקשה להאריך מועד להגשת חוות דעת  להתקבל . אולם,  דין הבקשה לאכוף בצו על תובע להביא וס"ר של האם להידחות . עם זאת, יש לשמוע את עמדתה וניתנת לה בזאת ההזדמנות להגישה בתוך עד 50 יום.   </w:t>
      </w:r>
    </w:p>
    <w:p w:rsidR="006A0191" w:rsidRDefault="006A0191" w:rsidP="006A0191">
      <w:pPr>
        <w:pStyle w:val="af1"/>
        <w:numPr>
          <w:ilvl w:val="0"/>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בתמצית אבהיר ואורה כדלהלן:</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ראשית, הדיון הנוגע למידע  החסוי ייערך בדלתיים סגורות ותחת איסור פרסום השמות והפרטים מזהים.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שנית, לגוף הדברים, מצאתי לקבל את הבקשה לארכה להגשת חוות הדעת, כדי לתת את ההזדמנות  להשלמת הבירור הנוגע לאיסוף החומר הרפואי, הנחוץ לתשתית העובדתית לחוות הדעת מטעם הנתבעת  ולבחינת הממצאים להם טען  המומחה מטעם התובע בהיבט הרפואי גנטי .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עם זאת, מצאתי לדחות  את בקשת המבטחת , להורות לתובע ליתן וס"ר  חתום ע"י אימו. לא ראיתי מכוח מה  ניתן להורות לבן לאכוף על אימו למסור מידע לצד שכנגד אם היא לא מעוניינת </w:t>
      </w:r>
      <w:r>
        <w:rPr>
          <w:rFonts w:ascii="David" w:eastAsia="Times New Roman" w:hAnsi="David" w:cs="David"/>
          <w:sz w:val="24"/>
          <w:szCs w:val="24"/>
          <w:rtl/>
        </w:rPr>
        <w:lastRenderedPageBreak/>
        <w:t xml:space="preserve">בכך. לא  הופניתי לאף מקור סמכות ליתן צו המאפשר לאדם אחד לאכוף על אדם אחר למסור מידע  רפואי  ו/או מידע  גנטי המצוי רק אצל אחר ובבחינת קל וחומר מידע הנוגע לו . </w:t>
      </w:r>
      <w:r>
        <w:rPr>
          <w:rFonts w:ascii="David" w:eastAsia="Times New Roman" w:hAnsi="David" w:cs="David"/>
          <w:sz w:val="24"/>
          <w:szCs w:val="24"/>
        </w:rPr>
        <w:t xml:space="preserve"> </w:t>
      </w:r>
      <w:r>
        <w:rPr>
          <w:rFonts w:ascii="David" w:eastAsia="Times New Roman" w:hAnsi="David" w:cs="David"/>
          <w:sz w:val="24"/>
          <w:szCs w:val="24"/>
          <w:rtl/>
        </w:rPr>
        <w:t xml:space="preserve">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ער אני לטענה לפגיעה באינטרס בירור האמת ועשיית צדק ,שהוא ערך בעל מעמד נורמטיבי גבוה.</w:t>
      </w:r>
      <w:r>
        <w:rPr>
          <w:rFonts w:ascii="David" w:eastAsia="Times New Roman" w:hAnsi="David" w:cs="David"/>
          <w:sz w:val="24"/>
          <w:szCs w:val="24"/>
        </w:rPr>
        <w:t xml:space="preserve">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אולם, לאם הזכות להשמיע עמדתה בעצמה,  בצורה מסודרת ביחס  לנכונותה למסור את מידע הגנטי  לגביה משום כבודה כאדם, ומשום  זכותה היסודית  לפרטיות וזאת בפני הערכאה המוסמכת. המידע הגנטי מוגן גם בחיסיון שבס' 49 לפקודת הראיות ויש ליתן לה הזדמנות נאותה להשמיע דבריה.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לדעתי, השלב הדיוני  הנכון לשמיעת עמדת צד שלישי  לגבי חשיפת חומר רפואי מצידה הוא בשלב הדיוני של הכנת  כתב הטענות שבמצורף לו אמורים להגיש את חוות הדעת הרפואית ואין צורך להמתין לשלב ההוכחות, כדי לזמנה לעדות או הצגת מסמכים.</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במקרה הספציפי , האם מודעת  היטב לכתב התביעה המקורי שהוגש באמצעותה ותוכל למסור את עמדתה במישרין ובמסמך כתוב  כדי לחסוך לאם עצמה את הטרחה הגלומה בהתייצבות לעדות.</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רק אם תבחר אימו של התובע להתנגד, להצגת החומר מצידה, או שלא לשתף פעולה הרי שיהיה מקום לבירור וליבון שאלת הצדקת מתן הצו כלפיה ורק לאחר שמיעת עמדתה . במקרה כזה, רשאים  כמובן </w:t>
      </w:r>
      <w:r>
        <w:rPr>
          <w:rFonts w:ascii="David" w:eastAsia="Times New Roman" w:hAnsi="David" w:cs="David"/>
          <w:sz w:val="24"/>
          <w:szCs w:val="24"/>
        </w:rPr>
        <w:t xml:space="preserve"> </w:t>
      </w:r>
      <w:r>
        <w:rPr>
          <w:rFonts w:ascii="David" w:eastAsia="Times New Roman" w:hAnsi="David" w:cs="David"/>
          <w:sz w:val="24"/>
          <w:szCs w:val="24"/>
          <w:rtl/>
        </w:rPr>
        <w:t xml:space="preserve">הנתבעת ואף התובע לפנות בדרך הדיונית  לצורך בקשת לזימון להתייצבות  לעדות ו/או להצגת מסמכים בהתאם </w:t>
      </w:r>
      <w:r>
        <w:rPr>
          <w:rFonts w:ascii="David" w:eastAsia="Times New Roman" w:hAnsi="David" w:cs="David"/>
          <w:b/>
          <w:bCs/>
          <w:sz w:val="24"/>
          <w:szCs w:val="24"/>
          <w:rtl/>
        </w:rPr>
        <w:t>לתקנה 83 לתקנות הנוכחיות</w:t>
      </w:r>
      <w:r>
        <w:rPr>
          <w:rFonts w:ascii="David" w:eastAsia="Times New Roman" w:hAnsi="David" w:cs="David"/>
          <w:sz w:val="24"/>
          <w:szCs w:val="24"/>
          <w:rtl/>
        </w:rPr>
        <w:t xml:space="preserve"> ולתקנה</w:t>
      </w:r>
      <w:r>
        <w:rPr>
          <w:rFonts w:ascii="David" w:eastAsia="Times New Roman" w:hAnsi="David" w:cs="David"/>
          <w:b/>
          <w:bCs/>
          <w:sz w:val="24"/>
          <w:szCs w:val="24"/>
          <w:rtl/>
        </w:rPr>
        <w:t xml:space="preserve"> 178(א) לתקנות הקודמות</w:t>
      </w:r>
      <w:r>
        <w:rPr>
          <w:rFonts w:ascii="David" w:eastAsia="Times New Roman" w:hAnsi="David" w:cs="David"/>
          <w:sz w:val="24"/>
          <w:szCs w:val="24"/>
          <w:rtl/>
        </w:rPr>
        <w:t xml:space="preserve">. או אז יבחן האם הצורך לגלות את הראיה לשם עשיית צדק עדיף מן העניין שיש לא לגלותה  על יסוד  איזון הזכויות והאינטרסים המעורבים לפי נוסחת האיזון שתפורט להלן ומתוך התייחסות למקבילית הכוחות הקונקרטית </w:t>
      </w:r>
      <w:r>
        <w:rPr>
          <w:rFonts w:ascii="David" w:eastAsia="Times New Roman" w:hAnsi="David" w:cs="David"/>
          <w:sz w:val="24"/>
          <w:szCs w:val="24"/>
        </w:rPr>
        <w:t xml:space="preserve"> </w:t>
      </w:r>
      <w:r>
        <w:rPr>
          <w:rFonts w:ascii="David" w:eastAsia="Times New Roman" w:hAnsi="David" w:cs="David"/>
          <w:sz w:val="24"/>
          <w:szCs w:val="24"/>
          <w:rtl/>
        </w:rPr>
        <w:t xml:space="preserve">. </w:t>
      </w:r>
    </w:p>
    <w:p w:rsidR="006A0191" w:rsidRDefault="006A0191" w:rsidP="006A0191">
      <w:pPr>
        <w:pStyle w:val="af1"/>
        <w:numPr>
          <w:ilvl w:val="1"/>
          <w:numId w:val="3"/>
        </w:numPr>
        <w:spacing w:after="0" w:line="240" w:lineRule="auto"/>
        <w:rPr>
          <w:rFonts w:ascii="David" w:eastAsia="Times New Roman" w:hAnsi="David" w:cs="David"/>
          <w:sz w:val="24"/>
          <w:szCs w:val="24"/>
        </w:rPr>
      </w:pPr>
      <w:r>
        <w:rPr>
          <w:rFonts w:ascii="David" w:eastAsia="Times New Roman" w:hAnsi="David" w:cs="David"/>
          <w:sz w:val="24"/>
          <w:szCs w:val="24"/>
          <w:rtl/>
        </w:rPr>
        <w:t>אציין שהתנגדות לחשיפת חומר הנדרש לחוות דעת נגדית ,  עלול</w:t>
      </w:r>
      <w:r w:rsidR="007B2753">
        <w:rPr>
          <w:rFonts w:ascii="David" w:eastAsia="Times New Roman" w:hAnsi="David" w:cs="David" w:hint="cs"/>
          <w:sz w:val="24"/>
          <w:szCs w:val="24"/>
          <w:rtl/>
        </w:rPr>
        <w:t>ה</w:t>
      </w:r>
      <w:r>
        <w:rPr>
          <w:rFonts w:ascii="David" w:eastAsia="Times New Roman" w:hAnsi="David" w:cs="David"/>
          <w:sz w:val="24"/>
          <w:szCs w:val="24"/>
          <w:rtl/>
        </w:rPr>
        <w:t xml:space="preserve"> בנסיבות מסוימות אף לפגוע בתובע  . אזכיר גם את  סעיף 93 (א) לתקנות. </w:t>
      </w:r>
    </w:p>
    <w:p w:rsidR="006A0191" w:rsidRDefault="006A0191" w:rsidP="006A0191">
      <w:pPr>
        <w:pStyle w:val="af1"/>
        <w:numPr>
          <w:ilvl w:val="1"/>
          <w:numId w:val="3"/>
        </w:numPr>
        <w:spacing w:after="0" w:line="240" w:lineRule="auto"/>
        <w:rPr>
          <w:rFonts w:ascii="David" w:eastAsia="Times New Roman" w:hAnsi="David" w:cs="David"/>
          <w:sz w:val="24"/>
          <w:szCs w:val="24"/>
        </w:rPr>
      </w:pPr>
      <w:r>
        <w:rPr>
          <w:rFonts w:ascii="David" w:eastAsia="Times New Roman" w:hAnsi="David" w:cs="David"/>
          <w:sz w:val="24"/>
          <w:szCs w:val="24"/>
          <w:rtl/>
        </w:rPr>
        <w:t xml:space="preserve">ככל שיש שמחלוקת בין בני המשפחה, </w:t>
      </w:r>
      <w:r>
        <w:rPr>
          <w:rFonts w:ascii="David" w:eastAsia="Times New Roman" w:hAnsi="David" w:cs="David"/>
          <w:sz w:val="24"/>
          <w:szCs w:val="24"/>
        </w:rPr>
        <w:t xml:space="preserve"> </w:t>
      </w:r>
      <w:r>
        <w:rPr>
          <w:rFonts w:ascii="David" w:eastAsia="Times New Roman" w:hAnsi="David" w:cs="David"/>
          <w:sz w:val="24"/>
          <w:szCs w:val="24"/>
          <w:rtl/>
        </w:rPr>
        <w:t>השאלה הנפרדת היא האם אין</w:t>
      </w:r>
      <w:r>
        <w:rPr>
          <w:rFonts w:ascii="David" w:eastAsia="Times New Roman" w:hAnsi="David" w:cs="David"/>
          <w:sz w:val="24"/>
          <w:szCs w:val="24"/>
        </w:rPr>
        <w:t xml:space="preserve"> </w:t>
      </w:r>
      <w:r>
        <w:rPr>
          <w:rFonts w:ascii="David" w:eastAsia="Times New Roman" w:hAnsi="David" w:cs="David"/>
          <w:sz w:val="24"/>
          <w:szCs w:val="24"/>
          <w:rtl/>
        </w:rPr>
        <w:t xml:space="preserve">לבררה בבית המשפט לענייני משפחה שלנוכח המצוי בפניו מינה את האם בצו זמני כאפוטרופסית לבן הבגיר .  כתב התביעה המקורי הוגש  באמצעותה </w:t>
      </w:r>
      <w:r>
        <w:rPr>
          <w:rFonts w:ascii="David" w:eastAsia="Times New Roman" w:hAnsi="David" w:cs="David"/>
          <w:sz w:val="24"/>
          <w:szCs w:val="24"/>
        </w:rPr>
        <w:t xml:space="preserve"> </w:t>
      </w:r>
      <w:r>
        <w:rPr>
          <w:rFonts w:ascii="David" w:eastAsia="Times New Roman" w:hAnsi="David" w:cs="David"/>
          <w:sz w:val="24"/>
          <w:szCs w:val="24"/>
          <w:rtl/>
        </w:rPr>
        <w:t xml:space="preserve">כאפוטרופסית של </w:t>
      </w:r>
      <w:r>
        <w:rPr>
          <w:rFonts w:ascii="David" w:eastAsia="Times New Roman" w:hAnsi="David" w:cs="David"/>
          <w:b/>
          <w:bCs/>
          <w:sz w:val="24"/>
          <w:szCs w:val="24"/>
          <w:rtl/>
        </w:rPr>
        <w:t>בנה חרף היותו בגיר</w:t>
      </w:r>
      <w:r>
        <w:rPr>
          <w:rFonts w:ascii="David" w:eastAsia="Times New Roman" w:hAnsi="David" w:cs="David"/>
          <w:sz w:val="24"/>
          <w:szCs w:val="24"/>
          <w:rtl/>
        </w:rPr>
        <w:t xml:space="preserve">  . המידע הנוגע למינוי האם כאפוטרופסית לבגיר אינו פרוש בפני .</w:t>
      </w:r>
    </w:p>
    <w:p w:rsidR="006A0191" w:rsidRDefault="006A0191" w:rsidP="00550747">
      <w:pPr>
        <w:numPr>
          <w:ilvl w:val="0"/>
          <w:numId w:val="3"/>
        </w:numPr>
        <w:contextualSpacing/>
        <w:rPr>
          <w:rFonts w:ascii="David" w:hAnsi="David"/>
        </w:rPr>
      </w:pPr>
      <w:r>
        <w:rPr>
          <w:rFonts w:ascii="David" w:hAnsi="David"/>
          <w:rtl/>
        </w:rPr>
        <w:t xml:space="preserve"> </w:t>
      </w:r>
      <w:r>
        <w:rPr>
          <w:rFonts w:ascii="David" w:hAnsi="David" w:hint="cs"/>
          <w:rtl/>
        </w:rPr>
        <w:t>התוצאה לעיל  נגזרת מאיזון הזכויות בשלב זה,  לרקע המסגרת הנורמטיבית שתבואר להלן וזכות האם להישמע .</w:t>
      </w:r>
      <w:r w:rsidR="00550747">
        <w:rPr>
          <w:rFonts w:ascii="David" w:hAnsi="David" w:hint="cs"/>
          <w:rtl/>
        </w:rPr>
        <w:t>כמובן שלמען הסדר הטוב ולפני כן יש לסרוק למערכת את המכתב שהוצג אגב הטיעון.</w:t>
      </w:r>
    </w:p>
    <w:p w:rsidR="006A0191" w:rsidRDefault="006A0191" w:rsidP="006A0191">
      <w:pPr>
        <w:pStyle w:val="1"/>
        <w:spacing w:line="240" w:lineRule="auto"/>
        <w:rPr>
          <w:rFonts w:ascii="David" w:eastAsia="Times New Roman" w:hAnsi="David" w:cs="David"/>
        </w:rPr>
      </w:pPr>
      <w:bookmarkStart w:id="8" w:name="_Toc113804934"/>
      <w:bookmarkStart w:id="9" w:name="_Toc112170768"/>
      <w:r>
        <w:rPr>
          <w:rFonts w:ascii="David" w:eastAsia="Times New Roman" w:hAnsi="David" w:cs="David"/>
          <w:rtl/>
        </w:rPr>
        <w:t>ה.ההנמקה</w:t>
      </w:r>
      <w:bookmarkEnd w:id="8"/>
    </w:p>
    <w:p w:rsidR="006A0191" w:rsidRDefault="006A0191" w:rsidP="006A0191">
      <w:pPr>
        <w:pStyle w:val="2"/>
        <w:spacing w:line="240" w:lineRule="auto"/>
        <w:rPr>
          <w:rFonts w:ascii="David" w:eastAsia="Times New Roman" w:hAnsi="David" w:cs="David"/>
          <w:u w:val="single"/>
          <w:rtl/>
        </w:rPr>
      </w:pPr>
      <w:bookmarkStart w:id="10" w:name="_Toc113804935"/>
      <w:r>
        <w:rPr>
          <w:rFonts w:ascii="David" w:eastAsia="Times New Roman" w:hAnsi="David" w:cs="David"/>
          <w:u w:val="single"/>
          <w:rtl/>
        </w:rPr>
        <w:t>ה(1) כללי</w:t>
      </w:r>
      <w:bookmarkEnd w:id="10"/>
    </w:p>
    <w:p w:rsidR="009C5EB6" w:rsidRDefault="009C5EB6" w:rsidP="009C5EB6">
      <w:pPr>
        <w:contextualSpacing/>
        <w:jc w:val="both"/>
        <w:rPr>
          <w:rFonts w:ascii="David" w:hAnsi="David"/>
          <w:rtl/>
        </w:rPr>
      </w:pPr>
    </w:p>
    <w:p w:rsidR="009C5EB6" w:rsidRDefault="009C5EB6" w:rsidP="009C5EB6">
      <w:pPr>
        <w:numPr>
          <w:ilvl w:val="0"/>
          <w:numId w:val="3"/>
        </w:numPr>
        <w:jc w:val="both"/>
        <w:rPr>
          <w:rFonts w:ascii="David" w:hAnsi="David"/>
        </w:rPr>
      </w:pPr>
      <w:r>
        <w:rPr>
          <w:rFonts w:ascii="David" w:hAnsi="David"/>
          <w:u w:val="single"/>
          <w:rtl/>
        </w:rPr>
        <w:t>ראשית</w:t>
      </w:r>
      <w:r>
        <w:rPr>
          <w:rFonts w:ascii="David" w:hAnsi="David"/>
          <w:rtl/>
        </w:rPr>
        <w:t xml:space="preserve"> – </w:t>
      </w:r>
      <w:r>
        <w:rPr>
          <w:rFonts w:ascii="David" w:hAnsi="David"/>
        </w:rPr>
        <w:t xml:space="preserve"> </w:t>
      </w:r>
      <w:r>
        <w:rPr>
          <w:rFonts w:ascii="David" w:hAnsi="David"/>
          <w:rtl/>
        </w:rPr>
        <w:t xml:space="preserve"> חשוב שבעל דין ישיב  לפנייה מקדמית מרעהו גם בטרם  פניה לבית המשפט אולם חשוב גם שגם אם לפי הנאמר הייתה תקלה בהגשת מסמך למערכת בית המשפט המסמך זה ימסר לבעל הדין שכנגד מבעוד מועד  .  שיח מקדמי   עשוי לייתר ולמצער לייעל  הליכים. השוו לרציונל  תוספת </w:t>
      </w:r>
      <w:r>
        <w:rPr>
          <w:rFonts w:ascii="David" w:hAnsi="David"/>
          <w:b/>
          <w:bCs/>
          <w:rtl/>
        </w:rPr>
        <w:t xml:space="preserve">פרק ד לתקנות החדשות  </w:t>
      </w:r>
      <w:r>
        <w:rPr>
          <w:rFonts w:ascii="David" w:hAnsi="David"/>
          <w:rtl/>
        </w:rPr>
        <w:t xml:space="preserve">המתייחס לשלב שלאחר כתב הטענות ולדרישה לצרף את  עמדת הצד </w:t>
      </w:r>
      <w:r>
        <w:rPr>
          <w:rFonts w:ascii="David" w:hAnsi="David"/>
          <w:rtl/>
        </w:rPr>
        <w:lastRenderedPageBreak/>
        <w:t xml:space="preserve">שכנגד לפניה בעניינים טכניים </w:t>
      </w:r>
      <w:r>
        <w:rPr>
          <w:rFonts w:ascii="David" w:hAnsi="David"/>
          <w:b/>
          <w:bCs/>
          <w:rtl/>
        </w:rPr>
        <w:t>שבסעיף 55 לתקנות</w:t>
      </w:r>
      <w:r>
        <w:rPr>
          <w:rFonts w:ascii="David" w:hAnsi="David"/>
          <w:rtl/>
        </w:rPr>
        <w:t xml:space="preserve">. עם זאת בנסיבות שלפני </w:t>
      </w:r>
      <w:r>
        <w:rPr>
          <w:rFonts w:ascii="David" w:hAnsi="David" w:hint="cs"/>
          <w:rtl/>
        </w:rPr>
        <w:t xml:space="preserve"> לאחר שהוצג המסמך כמפורט בפרוטוקול </w:t>
      </w:r>
      <w:r>
        <w:rPr>
          <w:rFonts w:ascii="David" w:hAnsi="David"/>
          <w:rtl/>
        </w:rPr>
        <w:t xml:space="preserve">חשבתי שאין בכך כדי לשנות התוצאה לעיל </w:t>
      </w:r>
      <w:r>
        <w:rPr>
          <w:rFonts w:ascii="David" w:hAnsi="David" w:hint="cs"/>
          <w:rtl/>
        </w:rPr>
        <w:t>.</w:t>
      </w:r>
    </w:p>
    <w:p w:rsidR="009C5EB6" w:rsidRPr="009C5EB6" w:rsidRDefault="009C5EB6" w:rsidP="009C5EB6">
      <w:pPr>
        <w:contextualSpacing/>
        <w:jc w:val="both"/>
        <w:rPr>
          <w:rFonts w:ascii="David" w:hAnsi="David"/>
        </w:rPr>
      </w:pPr>
    </w:p>
    <w:p w:rsidR="006A0191" w:rsidRDefault="006A0191" w:rsidP="00A040D5">
      <w:pPr>
        <w:numPr>
          <w:ilvl w:val="0"/>
          <w:numId w:val="3"/>
        </w:numPr>
        <w:contextualSpacing/>
        <w:jc w:val="both"/>
        <w:rPr>
          <w:rFonts w:ascii="David" w:hAnsi="David"/>
        </w:rPr>
      </w:pPr>
      <w:r>
        <w:rPr>
          <w:rFonts w:ascii="David" w:hAnsi="David"/>
          <w:u w:val="single"/>
          <w:rtl/>
        </w:rPr>
        <w:t xml:space="preserve">שנית- </w:t>
      </w:r>
      <w:r>
        <w:rPr>
          <w:rFonts w:ascii="David" w:hAnsi="David"/>
          <w:rtl/>
        </w:rPr>
        <w:t xml:space="preserve">לגוף הדברים להבהרת החלטתי דלעיל אפרוש </w:t>
      </w:r>
      <w:r w:rsidR="00A040D5">
        <w:rPr>
          <w:rFonts w:ascii="David" w:hAnsi="David" w:hint="cs"/>
          <w:rtl/>
        </w:rPr>
        <w:t xml:space="preserve">את </w:t>
      </w:r>
      <w:r>
        <w:rPr>
          <w:rFonts w:ascii="David" w:hAnsi="David"/>
          <w:rtl/>
        </w:rPr>
        <w:t xml:space="preserve"> המסגרת הנורמטיבית החלה :  </w:t>
      </w:r>
    </w:p>
    <w:p w:rsidR="006A0191" w:rsidRDefault="006A0191" w:rsidP="006A0191">
      <w:pPr>
        <w:numPr>
          <w:ilvl w:val="1"/>
          <w:numId w:val="3"/>
        </w:numPr>
        <w:contextualSpacing/>
        <w:jc w:val="both"/>
        <w:rPr>
          <w:rFonts w:ascii="David" w:hAnsi="David"/>
        </w:rPr>
      </w:pPr>
      <w:r>
        <w:rPr>
          <w:rFonts w:ascii="David" w:hAnsi="David"/>
          <w:rtl/>
        </w:rPr>
        <w:t xml:space="preserve"> בשלב הראשון -אפנה להוראות המרכזיות החלות על עדות המומחים מטעם בעלי הדין שבתקנה 87 בפרק יד' </w:t>
      </w:r>
      <w:r>
        <w:rPr>
          <w:rFonts w:ascii="David" w:hAnsi="David"/>
          <w:b/>
          <w:bCs/>
          <w:rtl/>
        </w:rPr>
        <w:t>לתקנות סדר הדין האזרחי, התשע"ט-2018</w:t>
      </w:r>
      <w:r>
        <w:rPr>
          <w:rFonts w:ascii="David" w:hAnsi="David"/>
          <w:rtl/>
        </w:rPr>
        <w:t xml:space="preserve"> ( להלן:"</w:t>
      </w:r>
      <w:r>
        <w:rPr>
          <w:rFonts w:ascii="David" w:hAnsi="David"/>
          <w:b/>
          <w:bCs/>
          <w:rtl/>
        </w:rPr>
        <w:t xml:space="preserve">התקנות </w:t>
      </w:r>
      <w:r>
        <w:rPr>
          <w:rFonts w:ascii="David" w:hAnsi="David"/>
          <w:rtl/>
        </w:rPr>
        <w:t xml:space="preserve">") . </w:t>
      </w:r>
    </w:p>
    <w:p w:rsidR="006A0191" w:rsidRDefault="006A0191" w:rsidP="006A0191">
      <w:pPr>
        <w:numPr>
          <w:ilvl w:val="1"/>
          <w:numId w:val="3"/>
        </w:numPr>
        <w:contextualSpacing/>
        <w:jc w:val="both"/>
        <w:rPr>
          <w:rFonts w:ascii="David" w:hAnsi="David"/>
        </w:rPr>
      </w:pPr>
      <w:r>
        <w:rPr>
          <w:rFonts w:ascii="David" w:hAnsi="David"/>
          <w:rtl/>
        </w:rPr>
        <w:t>בשלב השני – אפנה להוראות ה"מסייעות" בתקנות אחרות הנוגעות לעניינו ובחיקוקים הנוספים הנוגעים לזכויות המתחרות ולטיב המידע שבו התבקש לעיין לנוכח טופס הוס"ר החדש שצורף לראשונה לתקנות.</w:t>
      </w:r>
    </w:p>
    <w:p w:rsidR="006A0191" w:rsidRDefault="006A0191" w:rsidP="006A0191">
      <w:pPr>
        <w:numPr>
          <w:ilvl w:val="1"/>
          <w:numId w:val="3"/>
        </w:numPr>
        <w:contextualSpacing/>
        <w:jc w:val="both"/>
        <w:rPr>
          <w:rFonts w:ascii="David" w:hAnsi="David"/>
        </w:rPr>
      </w:pPr>
      <w:r>
        <w:rPr>
          <w:rFonts w:ascii="David" w:hAnsi="David"/>
          <w:rtl/>
        </w:rPr>
        <w:t xml:space="preserve">בגדר השלב השני – אתייחס גם  לנוסחת האיזון הנגזרת לטעמי לחיסיון היחסי בסעיף 49 </w:t>
      </w:r>
      <w:r>
        <w:rPr>
          <w:rFonts w:ascii="David" w:hAnsi="David"/>
          <w:b/>
          <w:bCs/>
          <w:rtl/>
        </w:rPr>
        <w:t>לפקודת הראיות ו</w:t>
      </w:r>
      <w:r>
        <w:rPr>
          <w:rFonts w:ascii="David" w:hAnsi="David"/>
          <w:rtl/>
        </w:rPr>
        <w:t>לאופן יישומה העקרוני במאזן שבין בעלי דין ובמאזן שלמול הצד השלישי בשים לב למיהותו.</w:t>
      </w:r>
    </w:p>
    <w:p w:rsidR="006A0191" w:rsidRPr="00A040D5" w:rsidRDefault="006A0191" w:rsidP="006A0191">
      <w:pPr>
        <w:numPr>
          <w:ilvl w:val="0"/>
          <w:numId w:val="3"/>
        </w:numPr>
        <w:contextualSpacing/>
        <w:jc w:val="both"/>
        <w:rPr>
          <w:rFonts w:ascii="David" w:hAnsi="David"/>
        </w:rPr>
      </w:pPr>
      <w:r>
        <w:rPr>
          <w:rFonts w:ascii="David" w:hAnsi="David"/>
          <w:u w:val="single"/>
          <w:rtl/>
        </w:rPr>
        <w:t xml:space="preserve">שלישית </w:t>
      </w:r>
      <w:r>
        <w:rPr>
          <w:rFonts w:ascii="David" w:hAnsi="David"/>
          <w:rtl/>
        </w:rPr>
        <w:t xml:space="preserve"> - איישם את המסגרת הנורמטיבית דלעיל על הזכויות המתחרות במקרה הספציפי  שלאור נקודת האיזון </w:t>
      </w:r>
      <w:r w:rsidRPr="00A040D5">
        <w:rPr>
          <w:rFonts w:ascii="David" w:hAnsi="David"/>
          <w:rtl/>
        </w:rPr>
        <w:t xml:space="preserve">מהן נגזרת התוצאה לעיל שמחייבת בראש וראשונה לשמוע את עמדת האם.  </w:t>
      </w:r>
    </w:p>
    <w:p w:rsidR="006A0191" w:rsidRDefault="006A0191" w:rsidP="006A0191">
      <w:pPr>
        <w:keepNext/>
        <w:keepLines/>
        <w:spacing w:before="200"/>
        <w:outlineLvl w:val="1"/>
        <w:rPr>
          <w:rFonts w:ascii="David" w:hAnsi="David"/>
          <w:b/>
          <w:bCs/>
          <w:color w:val="4F81BD" w:themeColor="accent1"/>
          <w:u w:val="single"/>
        </w:rPr>
      </w:pPr>
      <w:bookmarkStart w:id="11" w:name="_Toc113804936"/>
      <w:r>
        <w:rPr>
          <w:rFonts w:ascii="David" w:hAnsi="David"/>
          <w:u w:val="single"/>
          <w:rtl/>
        </w:rPr>
        <w:t>ה(2)</w:t>
      </w:r>
      <w:r>
        <w:rPr>
          <w:rFonts w:ascii="David" w:hAnsi="David"/>
          <w:u w:val="single"/>
        </w:rPr>
        <w:t xml:space="preserve"> </w:t>
      </w:r>
      <w:r>
        <w:rPr>
          <w:rFonts w:ascii="David" w:hAnsi="David"/>
          <w:color w:val="365F91" w:themeColor="accent1" w:themeShade="BF"/>
          <w:sz w:val="26"/>
          <w:szCs w:val="26"/>
          <w:u w:val="single"/>
          <w:rtl/>
        </w:rPr>
        <w:t>המסגרת הנורמטיבית</w:t>
      </w:r>
      <w:bookmarkEnd w:id="9"/>
      <w:bookmarkEnd w:id="11"/>
    </w:p>
    <w:p w:rsidR="006A0191" w:rsidRDefault="006A0191" w:rsidP="006A0191">
      <w:pPr>
        <w:pStyle w:val="2"/>
        <w:spacing w:line="240" w:lineRule="auto"/>
        <w:rPr>
          <w:rFonts w:ascii="David" w:eastAsia="Times New Roman" w:hAnsi="David" w:cs="David"/>
          <w:sz w:val="24"/>
          <w:szCs w:val="24"/>
          <w:rtl/>
        </w:rPr>
      </w:pPr>
      <w:bookmarkStart w:id="12" w:name="_Toc112170769"/>
      <w:bookmarkStart w:id="13" w:name="_Toc113804937"/>
      <w:r>
        <w:rPr>
          <w:rFonts w:ascii="David" w:eastAsia="Times New Roman" w:hAnsi="David" w:cs="David"/>
          <w:sz w:val="24"/>
          <w:szCs w:val="24"/>
          <w:rtl/>
        </w:rPr>
        <w:t>ה(2)(א)</w:t>
      </w:r>
      <w:r>
        <w:rPr>
          <w:rFonts w:ascii="David" w:eastAsia="Times New Roman" w:hAnsi="David" w:cs="David"/>
          <w:sz w:val="24"/>
          <w:szCs w:val="24"/>
        </w:rPr>
        <w:t xml:space="preserve"> </w:t>
      </w:r>
      <w:r>
        <w:rPr>
          <w:rFonts w:ascii="David" w:eastAsia="Times New Roman" w:hAnsi="David" w:cs="David"/>
          <w:sz w:val="24"/>
          <w:szCs w:val="24"/>
          <w:rtl/>
        </w:rPr>
        <w:t>ההוראות המרכזיות בתקנות  הדנות בחוות דעת הרפואיות של המומחים מטעם בעלי הדין בהן הדרישה לאפשר לצד שכנגד להכין חוות דעת מטעמו לאחר בדיקת נושא חוות הדעת</w:t>
      </w:r>
      <w:bookmarkEnd w:id="12"/>
      <w:r>
        <w:rPr>
          <w:rFonts w:ascii="David" w:eastAsia="Times New Roman" w:hAnsi="David" w:cs="David"/>
          <w:b/>
          <w:bCs/>
          <w:sz w:val="24"/>
          <w:szCs w:val="24"/>
          <w:u w:val="single"/>
          <w:rtl/>
        </w:rPr>
        <w:t>.</w:t>
      </w:r>
      <w:bookmarkEnd w:id="13"/>
      <w:r>
        <w:rPr>
          <w:rFonts w:ascii="David" w:eastAsia="Times New Roman" w:hAnsi="David" w:cs="David"/>
          <w:b/>
          <w:bCs/>
          <w:sz w:val="24"/>
          <w:szCs w:val="24"/>
          <w:u w:val="single"/>
          <w:rtl/>
        </w:rPr>
        <w:br/>
      </w:r>
      <w:r>
        <w:rPr>
          <w:rFonts w:ascii="David" w:eastAsia="Times New Roman" w:hAnsi="David" w:cs="David"/>
          <w:sz w:val="24"/>
          <w:szCs w:val="24"/>
          <w:u w:val="single"/>
          <w:rtl/>
        </w:rPr>
        <w:t xml:space="preserve"> </w:t>
      </w:r>
    </w:p>
    <w:p w:rsidR="006A0191" w:rsidRDefault="006A0191" w:rsidP="006A0191">
      <w:pPr>
        <w:pStyle w:val="af1"/>
        <w:numPr>
          <w:ilvl w:val="0"/>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ב</w:t>
      </w:r>
      <w:r>
        <w:rPr>
          <w:rFonts w:ascii="David" w:eastAsia="Times New Roman" w:hAnsi="David" w:cs="David"/>
          <w:sz w:val="24"/>
          <w:szCs w:val="24"/>
          <w:u w:val="single"/>
          <w:rtl/>
        </w:rPr>
        <w:t xml:space="preserve">שלב  הראשון – </w:t>
      </w:r>
      <w:r>
        <w:rPr>
          <w:rFonts w:ascii="David" w:eastAsia="Times New Roman" w:hAnsi="David" w:cs="David"/>
          <w:sz w:val="24"/>
          <w:szCs w:val="24"/>
          <w:rtl/>
        </w:rPr>
        <w:t>אדון,  כאמור, בהוראות המרכזיות החלות על</w:t>
      </w:r>
      <w:r>
        <w:rPr>
          <w:rFonts w:ascii="David" w:eastAsia="Times New Roman" w:hAnsi="David" w:cs="David"/>
          <w:sz w:val="24"/>
          <w:szCs w:val="24"/>
        </w:rPr>
        <w:t xml:space="preserve"> </w:t>
      </w:r>
      <w:r>
        <w:rPr>
          <w:rFonts w:ascii="David" w:eastAsia="Times New Roman" w:hAnsi="David" w:cs="David"/>
          <w:sz w:val="24"/>
          <w:szCs w:val="24"/>
          <w:rtl/>
        </w:rPr>
        <w:t xml:space="preserve">עדות המומחים: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תקנה 87(א), קובעת שעל בעל דין המבקש להוכיח "עניין שברפואה" לצרף לכתב טענותיו, חוות דעת מומחה בתחום מומחיותו . המונח ״בעל דין״ משתרע, הן על  התובע, והן על הנתבע. גם על נתבע לצרף חוות דעת כדי להוכיח טענתו הרפואית.   תקנה 87(א)</w:t>
      </w:r>
      <w:r>
        <w:rPr>
          <w:rFonts w:ascii="David" w:eastAsia="Times New Roman" w:hAnsi="David" w:cs="David"/>
          <w:sz w:val="24"/>
          <w:szCs w:val="24"/>
        </w:rPr>
        <w:t xml:space="preserve"> </w:t>
      </w:r>
      <w:r>
        <w:rPr>
          <w:rFonts w:ascii="David" w:eastAsia="Times New Roman" w:hAnsi="David" w:cs="David"/>
          <w:sz w:val="24"/>
          <w:szCs w:val="24"/>
          <w:rtl/>
        </w:rPr>
        <w:t xml:space="preserve">מחילה הסדר דומה להסדר שחל בעבר  מכוח תקנה   127 </w:t>
      </w:r>
      <w:r>
        <w:rPr>
          <w:rFonts w:ascii="David" w:eastAsia="Times New Roman" w:hAnsi="David" w:cs="David"/>
          <w:b/>
          <w:bCs/>
          <w:sz w:val="24"/>
          <w:szCs w:val="24"/>
          <w:rtl/>
        </w:rPr>
        <w:t>לתקנות סדר הדין האזרחי התשמ"ד -19</w:t>
      </w:r>
      <w:r>
        <w:rPr>
          <w:rFonts w:ascii="David" w:eastAsia="Times New Roman" w:hAnsi="David" w:cs="David"/>
          <w:sz w:val="24"/>
          <w:szCs w:val="24"/>
          <w:rtl/>
        </w:rPr>
        <w:t>84 ( להלן "</w:t>
      </w:r>
      <w:r>
        <w:rPr>
          <w:rFonts w:ascii="David" w:eastAsia="Times New Roman" w:hAnsi="David" w:cs="David"/>
          <w:b/>
          <w:bCs/>
          <w:sz w:val="24"/>
          <w:szCs w:val="24"/>
          <w:rtl/>
        </w:rPr>
        <w:t xml:space="preserve">התקנות הקודמות" ) </w:t>
      </w:r>
      <w:r>
        <w:rPr>
          <w:rFonts w:ascii="David" w:eastAsia="Times New Roman" w:hAnsi="David" w:cs="David"/>
          <w:sz w:val="24"/>
          <w:szCs w:val="24"/>
          <w:rtl/>
        </w:rPr>
        <w:t xml:space="preserve">שהייתה בתוקף כשהוגש כתב התביעה המקורי.  חוות הדעת, היא כידוע מסמך חשוב במיוחד ורלבנטית כבר לשלב הטיעון.היא אף  תוארה כחלק מכתבי הטענות. ראו כב' הש'  ש. לוין ברע"א 5252/90 </w:t>
      </w:r>
      <w:r>
        <w:rPr>
          <w:rFonts w:ascii="David" w:eastAsia="Times New Roman" w:hAnsi="David" w:cs="David"/>
          <w:b/>
          <w:bCs/>
          <w:sz w:val="24"/>
          <w:szCs w:val="24"/>
          <w:rtl/>
        </w:rPr>
        <w:t>קופת חולים של ההסתדרות הכללית נ' שלום חממי</w:t>
      </w:r>
      <w:r>
        <w:rPr>
          <w:rFonts w:ascii="David" w:eastAsia="Times New Roman" w:hAnsi="David" w:cs="David"/>
          <w:sz w:val="24"/>
          <w:szCs w:val="24"/>
          <w:rtl/>
        </w:rPr>
        <w:t xml:space="preserve"> (פורסם בנבו, 04.02.1991).  כב' השופט אור ברע"א 6098/92 </w:t>
      </w:r>
      <w:r>
        <w:rPr>
          <w:rFonts w:ascii="David" w:eastAsia="Times New Roman" w:hAnsi="David" w:cs="David"/>
          <w:b/>
          <w:bCs/>
          <w:sz w:val="24"/>
          <w:szCs w:val="24"/>
          <w:rtl/>
        </w:rPr>
        <w:t>נטלי זכאי, קטינה על-ידי הוריה ואפוטרופסיה הטבעיים נ' מדינת ישראל, משרד הבריאות</w:t>
      </w:r>
      <w:r>
        <w:rPr>
          <w:rFonts w:ascii="David" w:eastAsia="Times New Roman" w:hAnsi="David" w:cs="David"/>
          <w:sz w:val="24"/>
          <w:szCs w:val="24"/>
          <w:rtl/>
        </w:rPr>
        <w:t xml:space="preserve"> פ"ד מז (3) 651, 655-652 (1993)</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תקנה 87(ב) מתייחסת במפורש לזכות הנתבע  להגיש חוות דעת רפואית נגדית, ומציידת את הנתבע בכלים מסויימים להכנתה  במילים הבאות: "הגיש תובע חוות דעת בעניין שברפואה, רשאי נתבע לשלוח </w:t>
      </w:r>
      <w:r>
        <w:rPr>
          <w:rFonts w:ascii="David" w:eastAsia="Times New Roman" w:hAnsi="David" w:cs="David"/>
          <w:b/>
          <w:bCs/>
          <w:sz w:val="24"/>
          <w:szCs w:val="24"/>
          <w:rtl/>
        </w:rPr>
        <w:t>לו דרישה בכתב להעמיד את נושא חוות הדעת לבדיקה בידי מומחה מטעמו; נדרש תובע כאמור, ייעתר לדרישה בלא דיחוי</w:t>
      </w:r>
      <w:r>
        <w:rPr>
          <w:rFonts w:ascii="David" w:eastAsia="Times New Roman" w:hAnsi="David" w:cs="David"/>
          <w:sz w:val="24"/>
          <w:szCs w:val="24"/>
          <w:rtl/>
        </w:rPr>
        <w:t xml:space="preserve">, </w:t>
      </w:r>
      <w:r>
        <w:rPr>
          <w:rFonts w:ascii="David" w:eastAsia="Times New Roman" w:hAnsi="David" w:cs="David"/>
          <w:b/>
          <w:bCs/>
          <w:sz w:val="24"/>
          <w:szCs w:val="24"/>
          <w:rtl/>
        </w:rPr>
        <w:t>זולת אם קיימת הצדקה לסירוב.</w:t>
      </w:r>
      <w:r>
        <w:rPr>
          <w:rFonts w:ascii="David" w:eastAsia="Times New Roman" w:hAnsi="David" w:cs="David"/>
          <w:sz w:val="24"/>
          <w:szCs w:val="24"/>
          <w:rtl/>
        </w:rPr>
        <w:t xml:space="preserve">..".( השוו לס'  128(א ) </w:t>
      </w:r>
      <w:r>
        <w:rPr>
          <w:rFonts w:ascii="David" w:eastAsia="Times New Roman" w:hAnsi="David" w:cs="David"/>
          <w:b/>
          <w:bCs/>
          <w:sz w:val="24"/>
          <w:szCs w:val="24"/>
          <w:rtl/>
        </w:rPr>
        <w:t>לתקנות הקודמות)</w:t>
      </w:r>
      <w:r>
        <w:rPr>
          <w:rFonts w:ascii="David" w:eastAsia="Times New Roman" w:hAnsi="David" w:cs="David"/>
          <w:sz w:val="24"/>
          <w:szCs w:val="24"/>
          <w:rtl/>
        </w:rPr>
        <w:t>. אזכיר, כי במקרה שלפני  אחד הנושאים שבמסמך שערך המומחה מטעם התובע  מתייחס למצב הגנטי של אימו של התובע . כעולה משילוב</w:t>
      </w:r>
    </w:p>
    <w:p w:rsidR="006A0191" w:rsidRDefault="006A0191" w:rsidP="006A0191">
      <w:pPr>
        <w:pStyle w:val="af1"/>
        <w:spacing w:after="0" w:line="240" w:lineRule="auto"/>
        <w:ind w:left="1440"/>
        <w:jc w:val="both"/>
        <w:rPr>
          <w:rFonts w:ascii="David" w:eastAsia="Times New Roman" w:hAnsi="David" w:cs="David"/>
          <w:sz w:val="24"/>
          <w:szCs w:val="24"/>
        </w:rPr>
      </w:pPr>
      <w:r>
        <w:rPr>
          <w:rFonts w:ascii="David" w:eastAsia="Times New Roman" w:hAnsi="David" w:cs="David"/>
          <w:sz w:val="24"/>
          <w:szCs w:val="24"/>
          <w:rtl/>
        </w:rPr>
        <w:t xml:space="preserve"> הסעיפים 87(א) ו87(ב)</w:t>
      </w:r>
      <w:r>
        <w:rPr>
          <w:rFonts w:ascii="David" w:eastAsia="Times New Roman" w:hAnsi="David" w:cs="David"/>
          <w:sz w:val="24"/>
          <w:szCs w:val="24"/>
        </w:rPr>
        <w:t xml:space="preserve"> </w:t>
      </w:r>
      <w:r>
        <w:rPr>
          <w:rFonts w:ascii="David" w:eastAsia="Times New Roman" w:hAnsi="David" w:cs="David"/>
          <w:sz w:val="24"/>
          <w:szCs w:val="24"/>
          <w:rtl/>
        </w:rPr>
        <w:t>בלעדי חוות דעת רפואית מטעמו, לנתבע צפוי מכשול, בפני טיעון והוכחה של עניין שברפואה.</w:t>
      </w:r>
    </w:p>
    <w:p w:rsidR="006A0191" w:rsidRDefault="006A0191" w:rsidP="006A0191">
      <w:pPr>
        <w:pStyle w:val="af1"/>
        <w:numPr>
          <w:ilvl w:val="0"/>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נקודת המוצא ,היא שעל בעל דין להיענות ל"דרישה" לפי הפרק הדן במומחים או ל"הוראה שיפוטית" ו"במידה מספקת" זאת ותקנה 93(ב) קובעת סנקציה משנאמר בה  כי </w:t>
      </w:r>
      <w:r>
        <w:rPr>
          <w:rFonts w:ascii="David" w:eastAsia="Times New Roman" w:hAnsi="David" w:cs="David" w:hint="cs"/>
          <w:b/>
          <w:bCs/>
          <w:sz w:val="24"/>
          <w:szCs w:val="24"/>
          <w:rtl/>
        </w:rPr>
        <w:t xml:space="preserve">"...בעל דין שלא נענה </w:t>
      </w:r>
      <w:r>
        <w:rPr>
          <w:rFonts w:ascii="David" w:eastAsia="Times New Roman" w:hAnsi="David" w:cs="David" w:hint="cs"/>
          <w:b/>
          <w:bCs/>
          <w:sz w:val="24"/>
          <w:szCs w:val="24"/>
          <w:rtl/>
        </w:rPr>
        <w:lastRenderedPageBreak/>
        <w:t>לדרישה או הוראה של בית המשפט לפי פרק זה או שלא נענה במידה מספקת, ואי-ההיענות היתה בלא הצדק סביר, לא ייזקק בית המשפט להוכחה של עניין שבמומחיות מטעמו לעניין הנדון" (</w:t>
      </w:r>
      <w:r>
        <w:rPr>
          <w:rFonts w:ascii="David" w:eastAsia="Times New Roman" w:hAnsi="David" w:cs="David" w:hint="cs"/>
          <w:sz w:val="24"/>
          <w:szCs w:val="24"/>
          <w:rtl/>
        </w:rPr>
        <w:t xml:space="preserve">והשוו לתקנות 128(א) ו-137(ב) </w:t>
      </w:r>
      <w:r>
        <w:rPr>
          <w:rFonts w:ascii="David" w:eastAsia="Times New Roman" w:hAnsi="David" w:cs="David" w:hint="cs"/>
          <w:b/>
          <w:bCs/>
          <w:sz w:val="24"/>
          <w:szCs w:val="24"/>
          <w:rtl/>
        </w:rPr>
        <w:t xml:space="preserve">לתקנות הקודמות </w:t>
      </w:r>
      <w:r>
        <w:rPr>
          <w:rFonts w:ascii="David" w:eastAsia="Times New Roman" w:hAnsi="David" w:cs="David" w:hint="cs"/>
          <w:sz w:val="24"/>
          <w:szCs w:val="24"/>
          <w:rtl/>
        </w:rPr>
        <w:t xml:space="preserve">.בלא למצות, על מבחן ה"הצדק הסביר" שמעוגן בתקנות  השוו באסמכתאות הבאות: א. כב' השופט פינקלמן בר"ע (מחוזי חיפה) 277/96 </w:t>
      </w:r>
      <w:r>
        <w:rPr>
          <w:rFonts w:ascii="David" w:eastAsia="Times New Roman" w:hAnsi="David" w:cs="David" w:hint="cs"/>
          <w:b/>
          <w:bCs/>
          <w:sz w:val="24"/>
          <w:szCs w:val="24"/>
          <w:rtl/>
        </w:rPr>
        <w:t>לב נ' דשנים וחומרים כימיים בע"מ</w:t>
      </w:r>
      <w:r>
        <w:rPr>
          <w:rFonts w:ascii="David" w:eastAsia="Times New Roman" w:hAnsi="David" w:cs="David" w:hint="cs"/>
          <w:sz w:val="24"/>
          <w:szCs w:val="24"/>
          <w:rtl/>
        </w:rPr>
        <w:t xml:space="preserve">, תשנ"ו(3) 167 (1996)‏‏ (פסקה 9); ב. כב' השופט ויצמן ברע"א (מחוזי מרכז) 52615-12-16 </w:t>
      </w:r>
      <w:r>
        <w:rPr>
          <w:rFonts w:ascii="David" w:eastAsia="Times New Roman" w:hAnsi="David" w:cs="David" w:hint="cs"/>
          <w:b/>
          <w:bCs/>
          <w:sz w:val="24"/>
          <w:szCs w:val="24"/>
          <w:rtl/>
        </w:rPr>
        <w:t>פלוני נ' תיא 2011 בע"מ</w:t>
      </w:r>
      <w:r>
        <w:rPr>
          <w:rFonts w:ascii="David" w:eastAsia="Times New Roman" w:hAnsi="David" w:cs="David" w:hint="cs"/>
          <w:sz w:val="24"/>
          <w:szCs w:val="24"/>
          <w:rtl/>
        </w:rPr>
        <w:t xml:space="preserve"> [פורסם בנבו] (24.01.2017);שלא מצא הצדק סביר לעצם הסירוב.לבדיקת  </w:t>
      </w:r>
      <w:r>
        <w:rPr>
          <w:rFonts w:ascii="David" w:eastAsia="Times New Roman" w:hAnsi="David" w:cs="David"/>
          <w:sz w:val="24"/>
          <w:szCs w:val="24"/>
        </w:rPr>
        <w:t>EMG</w:t>
      </w:r>
      <w:r>
        <w:rPr>
          <w:rFonts w:ascii="David" w:eastAsia="Times New Roman" w:hAnsi="David" w:cs="David"/>
          <w:sz w:val="24"/>
          <w:szCs w:val="24"/>
          <w:rtl/>
        </w:rPr>
        <w:t xml:space="preserve">;ג. וכן בתא"מ (שלום ראשל"צ) 32450-12-19 </w:t>
      </w:r>
      <w:r>
        <w:rPr>
          <w:rFonts w:ascii="David" w:eastAsia="Times New Roman" w:hAnsi="David" w:cs="David"/>
          <w:b/>
          <w:bCs/>
          <w:sz w:val="24"/>
          <w:szCs w:val="24"/>
          <w:rtl/>
        </w:rPr>
        <w:t>י. ח נ' מנורה מבטחים ביטוח בע"מ (נבו</w:t>
      </w:r>
      <w:r>
        <w:rPr>
          <w:rFonts w:ascii="David" w:eastAsia="Times New Roman" w:hAnsi="David" w:cs="David"/>
          <w:sz w:val="24"/>
          <w:szCs w:val="24"/>
          <w:rtl/>
        </w:rPr>
        <w:t xml:space="preserve"> 29.08.2021) ;</w:t>
      </w:r>
    </w:p>
    <w:p w:rsidR="006A0191" w:rsidRDefault="006A0191" w:rsidP="006A0191">
      <w:pPr>
        <w:pStyle w:val="af1"/>
        <w:numPr>
          <w:ilvl w:val="0"/>
          <w:numId w:val="3"/>
        </w:numPr>
        <w:spacing w:after="0" w:line="240" w:lineRule="auto"/>
        <w:jc w:val="both"/>
        <w:rPr>
          <w:rFonts w:ascii="David" w:eastAsia="Times New Roman" w:hAnsi="David" w:cs="David"/>
          <w:sz w:val="24"/>
          <w:szCs w:val="24"/>
          <w:rtl/>
        </w:rPr>
      </w:pPr>
      <w:r>
        <w:rPr>
          <w:rFonts w:ascii="David" w:eastAsia="Times New Roman" w:hAnsi="David" w:cs="David"/>
          <w:sz w:val="24"/>
          <w:szCs w:val="24"/>
          <w:rtl/>
        </w:rPr>
        <w:t xml:space="preserve"> הבדיקה, ומסירת המידע הרפואי המזוהה, פוגעות  בזכות </w:t>
      </w:r>
      <w:r>
        <w:rPr>
          <w:rFonts w:ascii="David" w:eastAsia="Times New Roman" w:hAnsi="David" w:cs="David"/>
          <w:sz w:val="24"/>
          <w:szCs w:val="24"/>
        </w:rPr>
        <w:t xml:space="preserve"> </w:t>
      </w:r>
      <w:r>
        <w:rPr>
          <w:rFonts w:ascii="David" w:eastAsia="Times New Roman" w:hAnsi="David" w:cs="David"/>
          <w:sz w:val="24"/>
          <w:szCs w:val="24"/>
          <w:rtl/>
        </w:rPr>
        <w:t xml:space="preserve">לפרטיות  המוגנת בראש וראשונה </w:t>
      </w:r>
      <w:r>
        <w:rPr>
          <w:rFonts w:ascii="David" w:eastAsia="Times New Roman" w:hAnsi="David" w:cs="David"/>
          <w:b/>
          <w:bCs/>
          <w:sz w:val="24"/>
          <w:szCs w:val="24"/>
          <w:rtl/>
        </w:rPr>
        <w:t>בחוק הגנת הפרטיות, ה</w:t>
      </w:r>
      <w:r>
        <w:rPr>
          <w:rFonts w:ascii="David" w:eastAsia="Times New Roman" w:hAnsi="David" w:cs="David"/>
          <w:sz w:val="24"/>
          <w:szCs w:val="24"/>
          <w:rtl/>
        </w:rPr>
        <w:t>תשמ"א-1981( לעיל ולהלן :״</w:t>
      </w:r>
      <w:r>
        <w:rPr>
          <w:rFonts w:ascii="David" w:eastAsia="Times New Roman" w:hAnsi="David" w:cs="David"/>
          <w:b/>
          <w:bCs/>
          <w:sz w:val="24"/>
          <w:szCs w:val="24"/>
          <w:rtl/>
        </w:rPr>
        <w:t xml:space="preserve">חוק הגנת הפרטיות </w:t>
      </w:r>
      <w:r>
        <w:rPr>
          <w:rFonts w:ascii="David" w:eastAsia="Times New Roman" w:hAnsi="David" w:cs="David"/>
          <w:sz w:val="24"/>
          <w:szCs w:val="24"/>
          <w:rtl/>
        </w:rPr>
        <w:t xml:space="preserve">״) ובסעיף 7(א) לחוק יסוד: </w:t>
      </w:r>
      <w:r>
        <w:rPr>
          <w:rFonts w:ascii="David" w:eastAsia="Times New Roman" w:hAnsi="David" w:cs="David"/>
          <w:b/>
          <w:bCs/>
          <w:sz w:val="24"/>
          <w:szCs w:val="24"/>
          <w:rtl/>
        </w:rPr>
        <w:t xml:space="preserve">כבוד האדם וחירותו </w:t>
      </w:r>
      <w:r>
        <w:rPr>
          <w:rFonts w:ascii="David" w:eastAsia="Times New Roman" w:hAnsi="David" w:cs="David"/>
          <w:sz w:val="24"/>
          <w:szCs w:val="24"/>
          <w:rtl/>
        </w:rPr>
        <w:t xml:space="preserve">. הזכות לפרטיות זוכה גם להגנה המפוזרת בחקיקה נוספת וגם בחוק זכויות החולה שאליו התייחס התובע . </w:t>
      </w:r>
    </w:p>
    <w:p w:rsidR="006A0191" w:rsidRDefault="006A0191" w:rsidP="006A0191">
      <w:pPr>
        <w:pStyle w:val="2"/>
        <w:spacing w:line="240" w:lineRule="auto"/>
        <w:rPr>
          <w:rFonts w:ascii="David" w:eastAsia="Times New Roman" w:hAnsi="David" w:cs="David"/>
          <w:sz w:val="24"/>
          <w:szCs w:val="24"/>
        </w:rPr>
      </w:pPr>
    </w:p>
    <w:p w:rsidR="006A0191" w:rsidRDefault="006A0191" w:rsidP="006A0191">
      <w:pPr>
        <w:pStyle w:val="2"/>
        <w:spacing w:line="240" w:lineRule="auto"/>
        <w:rPr>
          <w:rFonts w:ascii="David" w:eastAsia="Times New Roman" w:hAnsi="David" w:cs="David"/>
          <w:sz w:val="24"/>
          <w:szCs w:val="24"/>
          <w:rtl/>
        </w:rPr>
      </w:pPr>
      <w:bookmarkStart w:id="14" w:name="_Toc112170770"/>
      <w:bookmarkStart w:id="15" w:name="_Toc113804938"/>
      <w:r>
        <w:rPr>
          <w:rFonts w:ascii="David" w:eastAsia="Times New Roman" w:hAnsi="David" w:cs="David"/>
          <w:sz w:val="24"/>
          <w:szCs w:val="24"/>
          <w:rtl/>
        </w:rPr>
        <w:t>ה(2)(ב)  הוראות נוספות בתקנות המסייעות להכנת חוות הדעת - בהן הדרישה לחתום על וס״ר שניסוחו רחב  לנוכח הכלל של "תבעת גילית."</w:t>
      </w:r>
      <w:bookmarkEnd w:id="14"/>
      <w:r>
        <w:rPr>
          <w:rFonts w:ascii="David" w:eastAsia="Times New Roman" w:hAnsi="David" w:cs="David"/>
          <w:sz w:val="24"/>
          <w:szCs w:val="24"/>
          <w:rtl/>
        </w:rPr>
        <w:t xml:space="preserve">  לצד חיקוקים מרכזיים נוספים.</w:t>
      </w:r>
      <w:bookmarkEnd w:id="15"/>
      <w:r>
        <w:rPr>
          <w:rFonts w:ascii="David" w:eastAsia="Times New Roman" w:hAnsi="David" w:cs="David"/>
          <w:sz w:val="24"/>
          <w:szCs w:val="24"/>
          <w:rtl/>
        </w:rPr>
        <w:t xml:space="preserve">  </w:t>
      </w:r>
      <w:r>
        <w:rPr>
          <w:rFonts w:ascii="David" w:eastAsia="Times New Roman" w:hAnsi="David" w:cs="David"/>
          <w:sz w:val="24"/>
          <w:szCs w:val="24"/>
          <w:rtl/>
        </w:rPr>
        <w:br/>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u w:val="single"/>
          <w:rtl/>
        </w:rPr>
        <w:t>בשלב השני-</w:t>
      </w:r>
      <w:r>
        <w:rPr>
          <w:rFonts w:ascii="David" w:eastAsia="Times New Roman" w:hAnsi="David" w:cs="David"/>
          <w:sz w:val="24"/>
          <w:szCs w:val="24"/>
          <w:rtl/>
        </w:rPr>
        <w:t xml:space="preserve">  אציין כאמור שלצד הוראות המרכזיות הנוגעות למומחים מטעם בעלי הדין,  קיימות "הוראות מסייעות" להכנת חוות הדעת הנשענת, בראש וראשונה, על תשתית עובדתית רפואית שנדרש לאתר ולבסס ובהן ההוראות החשובות  הבאות להלן:</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b/>
          <w:bCs/>
          <w:sz w:val="24"/>
          <w:szCs w:val="24"/>
          <w:rtl/>
        </w:rPr>
        <w:t>סעיף  15 (א)(3)</w:t>
      </w:r>
      <w:r>
        <w:rPr>
          <w:rFonts w:ascii="David" w:eastAsia="Times New Roman" w:hAnsi="David" w:cs="David"/>
          <w:sz w:val="24"/>
          <w:szCs w:val="24"/>
          <w:rtl/>
        </w:rPr>
        <w:t xml:space="preserve"> </w:t>
      </w:r>
      <w:r>
        <w:rPr>
          <w:rFonts w:ascii="David" w:eastAsia="Times New Roman" w:hAnsi="David" w:cs="David"/>
          <w:b/>
          <w:bCs/>
          <w:sz w:val="24"/>
          <w:szCs w:val="24"/>
          <w:rtl/>
        </w:rPr>
        <w:t xml:space="preserve">לתקנות. </w:t>
      </w:r>
      <w:r>
        <w:rPr>
          <w:rFonts w:ascii="David" w:eastAsia="Times New Roman" w:hAnsi="David" w:cs="David"/>
          <w:sz w:val="24"/>
          <w:szCs w:val="24"/>
          <w:rtl/>
        </w:rPr>
        <w:t xml:space="preserve">מחייב כיום במפורש, את התובע בתובענה לפיצויים בשל נזק גוף, כהגדרת </w:t>
      </w:r>
      <w:r>
        <w:rPr>
          <w:rFonts w:ascii="David" w:eastAsia="Times New Roman" w:hAnsi="David" w:cs="David"/>
          <w:b/>
          <w:bCs/>
          <w:sz w:val="24"/>
          <w:szCs w:val="24"/>
          <w:rtl/>
        </w:rPr>
        <w:t xml:space="preserve"> תקנה 6,</w:t>
      </w:r>
      <w:r>
        <w:rPr>
          <w:rFonts w:ascii="David" w:eastAsia="Times New Roman" w:hAnsi="David" w:cs="David"/>
          <w:sz w:val="24"/>
          <w:szCs w:val="24"/>
          <w:rtl/>
        </w:rPr>
        <w:t xml:space="preserve"> לפעול עם הגשת תביעה באופן שיאפשר לנתבע את איסוף המידע הרפואי ההכרחי להכנתה התשתית העובדתית לחוות הדעת הנגדית בכך שהיא מורה כדלהלן :" (3) בתובענה לפיצויים בשל נזק גוף יצרף התובע לכתב </w:t>
      </w:r>
      <w:r>
        <w:rPr>
          <w:rFonts w:ascii="David" w:eastAsia="Times New Roman" w:hAnsi="David" w:cs="David"/>
          <w:b/>
          <w:bCs/>
          <w:sz w:val="24"/>
          <w:szCs w:val="24"/>
          <w:rtl/>
        </w:rPr>
        <w:t>התביעה כתב ויתור על סודיות רפואית, ערוך לפי נוסח טופס 1 שבתוספת הראשונה</w:t>
      </w:r>
      <w:r>
        <w:rPr>
          <w:rFonts w:ascii="David" w:eastAsia="Times New Roman" w:hAnsi="David" w:cs="David"/>
          <w:sz w:val="24"/>
          <w:szCs w:val="24"/>
          <w:rtl/>
        </w:rPr>
        <w:t xml:space="preserve"> " ( הדגשה לא במקור א.ב.  כתב זה מכונה לעיל ולהלן:"</w:t>
      </w:r>
      <w:r>
        <w:rPr>
          <w:rFonts w:ascii="David" w:eastAsia="Times New Roman" w:hAnsi="David" w:cs="David"/>
          <w:b/>
          <w:bCs/>
          <w:sz w:val="24"/>
          <w:szCs w:val="24"/>
          <w:rtl/>
        </w:rPr>
        <w:t>וס"ר</w:t>
      </w:r>
      <w:r>
        <w:rPr>
          <w:rFonts w:ascii="David" w:eastAsia="Times New Roman" w:hAnsi="David" w:cs="David"/>
          <w:sz w:val="24"/>
          <w:szCs w:val="24"/>
          <w:rtl/>
        </w:rPr>
        <w:t xml:space="preserve">") .עד לתקנות משנת 2018 החובה מפורשת מכוח התקנות לצרף וס״ר עם הגשת תביעה חלה רק בהליך המיוחד של תביעה עקב תאונת דרכים מכוח </w:t>
      </w:r>
      <w:r>
        <w:rPr>
          <w:rFonts w:ascii="David" w:eastAsia="Times New Roman" w:hAnsi="David" w:cs="David"/>
          <w:b/>
          <w:bCs/>
          <w:sz w:val="24"/>
          <w:szCs w:val="24"/>
          <w:rtl/>
        </w:rPr>
        <w:t xml:space="preserve">תקנות פיצויים לנפגעי תאונות דרכים (מומחים), תשמ"ז-1986 </w:t>
      </w:r>
      <w:r>
        <w:rPr>
          <w:rFonts w:ascii="David" w:eastAsia="Times New Roman" w:hAnsi="David" w:cs="David"/>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 xml:space="preserve">להלן:" </w:t>
      </w:r>
      <w:r>
        <w:rPr>
          <w:rFonts w:ascii="David" w:eastAsia="Times New Roman" w:hAnsi="David" w:cs="David"/>
          <w:b/>
          <w:bCs/>
          <w:sz w:val="24"/>
          <w:szCs w:val="24"/>
          <w:rtl/>
        </w:rPr>
        <w:t>תקנות המומחים</w:t>
      </w:r>
      <w:r>
        <w:rPr>
          <w:rFonts w:ascii="David" w:eastAsia="Times New Roman" w:hAnsi="David" w:cs="David"/>
          <w:sz w:val="24"/>
          <w:szCs w:val="24"/>
          <w:rtl/>
        </w:rPr>
        <w:t xml:space="preserve">") בגדרן נכלל נוסח וס"ר  מתומצת ומצומצם. אולם גם בתביעות נזיקין שאינן בגין תאונת דרכים  דרשה הפסיקה לצרף  ו.ס"ר . גם כאן, ההנחה סבירה היא שנמסר בעבר וס"ר   לנתבעת . אגב, "תובענה לפיצויים בשל נזק גוף" כוללת כיום במפורש בהגדרת ריבוי  :" לרבות תביעה חוזית לקבלת תגמולי ביטוח לפי פוליסת ביטוח בשל נזק גוף"  הוס״ר הכללי החדש שבטופס 1 </w:t>
      </w:r>
      <w:r>
        <w:rPr>
          <w:rFonts w:ascii="David" w:eastAsia="Times New Roman" w:hAnsi="David" w:cs="David"/>
          <w:b/>
          <w:bCs/>
          <w:sz w:val="24"/>
          <w:szCs w:val="24"/>
          <w:rtl/>
        </w:rPr>
        <w:t xml:space="preserve"> לתקנות,  </w:t>
      </w:r>
      <w:r>
        <w:rPr>
          <w:rFonts w:ascii="David" w:eastAsia="Times New Roman" w:hAnsi="David" w:cs="David"/>
          <w:sz w:val="24"/>
          <w:szCs w:val="24"/>
          <w:rtl/>
        </w:rPr>
        <w:t xml:space="preserve">  רחב מהנוסח </w:t>
      </w:r>
      <w:r>
        <w:rPr>
          <w:rFonts w:ascii="David" w:eastAsia="Times New Roman" w:hAnsi="David" w:cs="David"/>
          <w:b/>
          <w:bCs/>
          <w:sz w:val="24"/>
          <w:szCs w:val="24"/>
          <w:rtl/>
        </w:rPr>
        <w:t>בטופס 3 לתקנות המומחים</w:t>
      </w:r>
      <w:r>
        <w:rPr>
          <w:rFonts w:ascii="David" w:eastAsia="Times New Roman" w:hAnsi="David" w:cs="David"/>
          <w:sz w:val="24"/>
          <w:szCs w:val="24"/>
          <w:rtl/>
        </w:rPr>
        <w:t xml:space="preserve">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הכנת חוות דעת רפואית מקצועית שלמה ואמינה, מחייבת  להעביר למומחה את מלוא המידע הדרוש לו  כמובן  לפני שיגבש חוות הדעת כדי  לבסס את התשתית העובדתית שביסוד חוות הדעת.השוו לס'  8 לפסק דינה של כב' הש' וילנר ברע"א 1941/</w:t>
      </w:r>
      <w:r>
        <w:rPr>
          <w:rFonts w:ascii="David" w:eastAsia="Times New Roman" w:hAnsi="David" w:cs="David"/>
          <w:b/>
          <w:bCs/>
          <w:sz w:val="24"/>
          <w:szCs w:val="24"/>
          <w:rtl/>
        </w:rPr>
        <w:t>19 אסותא - מרכזים רפואיים נ' פלוני</w:t>
      </w:r>
      <w:r>
        <w:rPr>
          <w:rFonts w:ascii="David" w:eastAsia="Times New Roman" w:hAnsi="David" w:cs="David"/>
          <w:sz w:val="24"/>
          <w:szCs w:val="24"/>
          <w:rtl/>
        </w:rPr>
        <w:t>, 25.06.2019)‏‏ (להלן:"</w:t>
      </w:r>
      <w:r>
        <w:rPr>
          <w:rFonts w:ascii="David" w:eastAsia="Times New Roman" w:hAnsi="David" w:cs="David"/>
          <w:b/>
          <w:bCs/>
          <w:sz w:val="24"/>
          <w:szCs w:val="24"/>
          <w:rtl/>
        </w:rPr>
        <w:t>עניין אסותא</w:t>
      </w:r>
      <w:r>
        <w:rPr>
          <w:rFonts w:ascii="David" w:eastAsia="Times New Roman" w:hAnsi="David" w:cs="David"/>
          <w:sz w:val="24"/>
          <w:szCs w:val="24"/>
          <w:rtl/>
        </w:rPr>
        <w:t>")</w:t>
      </w:r>
    </w:p>
    <w:p w:rsidR="006A0191" w:rsidRDefault="006A0191" w:rsidP="006A0191">
      <w:pPr>
        <w:pStyle w:val="2"/>
        <w:spacing w:line="240" w:lineRule="auto"/>
        <w:rPr>
          <w:rFonts w:ascii="David" w:eastAsia="Times New Roman" w:hAnsi="David" w:cs="David"/>
          <w:sz w:val="24"/>
          <w:szCs w:val="24"/>
        </w:rPr>
      </w:pPr>
      <w:bookmarkStart w:id="16" w:name="_Toc112170771"/>
      <w:bookmarkStart w:id="17" w:name="_Toc113804939"/>
      <w:r>
        <w:rPr>
          <w:rFonts w:ascii="David" w:eastAsia="Times New Roman" w:hAnsi="David" w:cs="David"/>
          <w:sz w:val="24"/>
          <w:szCs w:val="24"/>
          <w:rtl/>
        </w:rPr>
        <w:t>ההיקף הנרחב  של המידע שיש לגלות מכוח ברירת המחדל שבנוסח הוס"ר המצורף לתביעה</w:t>
      </w:r>
      <w:bookmarkEnd w:id="16"/>
      <w:r>
        <w:rPr>
          <w:rFonts w:ascii="David" w:eastAsia="Times New Roman" w:hAnsi="David" w:cs="David"/>
          <w:sz w:val="24"/>
          <w:szCs w:val="24"/>
          <w:rtl/>
        </w:rPr>
        <w:t>.</w:t>
      </w:r>
      <w:bookmarkEnd w:id="17"/>
    </w:p>
    <w:p w:rsidR="006A0191" w:rsidRDefault="006A0191" w:rsidP="006A0191">
      <w:pPr>
        <w:pStyle w:val="3"/>
        <w:spacing w:line="240" w:lineRule="auto"/>
        <w:rPr>
          <w:rFonts w:ascii="David" w:eastAsia="Times New Roman" w:hAnsi="David" w:cs="David"/>
          <w:rtl/>
        </w:rPr>
      </w:pPr>
      <w:r>
        <w:rPr>
          <w:rFonts w:ascii="David" w:eastAsia="Times New Roman" w:hAnsi="David" w:cs="David"/>
          <w:rtl/>
        </w:rPr>
        <w:t xml:space="preserve">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מכוח טופס וס"ר עליו חותם תובע  ניתן למסור רק  את החומר הנוגע לתובע החתום על וס"ר  וכמובן לא ניתן לעיין בתיקי  האם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lastRenderedPageBreak/>
        <w:t xml:space="preserve">היקף החומר  שנמסר מכוח וס"ר  הוא ככלל נרחב. זאת, מחמת הנוסח  הרחב שכתוב  כ"ברירת המחדל" בטופס החדש של הוס"ר הכללי שצורף לראשונה לתקנות, ושאותו יש לצרף לתביעה. אציין שהנוסח מפורט ורחב מהבחינות הבאות :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הוס"ר החדש  מתיר למסור לנתבע, או למי מטעמו "</w:t>
      </w:r>
      <w:r>
        <w:rPr>
          <w:rFonts w:ascii="David" w:eastAsia="Times New Roman" w:hAnsi="David" w:cs="David"/>
          <w:sz w:val="24"/>
          <w:szCs w:val="24"/>
          <w:u w:val="single"/>
          <w:rtl/>
        </w:rPr>
        <w:t xml:space="preserve">את כל הפרטים </w:t>
      </w:r>
      <w:r>
        <w:rPr>
          <w:rFonts w:ascii="David" w:eastAsia="Times New Roman" w:hAnsi="David" w:cs="David"/>
          <w:sz w:val="24"/>
          <w:szCs w:val="24"/>
          <w:rtl/>
        </w:rPr>
        <w:t xml:space="preserve">המצויים בידי נותני השירותים </w:t>
      </w:r>
      <w:r>
        <w:rPr>
          <w:rFonts w:ascii="David" w:eastAsia="Times New Roman" w:hAnsi="David" w:cs="David"/>
          <w:sz w:val="24"/>
          <w:szCs w:val="24"/>
          <w:u w:val="single"/>
          <w:rtl/>
        </w:rPr>
        <w:t>בלא  יוצא מן הכלל״</w:t>
      </w:r>
      <w:r>
        <w:rPr>
          <w:rFonts w:ascii="David" w:eastAsia="Times New Roman" w:hAnsi="David" w:cs="David"/>
          <w:sz w:val="24"/>
          <w:szCs w:val="24"/>
          <w:rtl/>
        </w:rPr>
        <w:t xml:space="preserve"> על : מצב בריאותי סיעודי שיקומי </w:t>
      </w:r>
      <w:r>
        <w:rPr>
          <w:rFonts w:ascii="David" w:eastAsia="Times New Roman" w:hAnsi="David" w:cs="David"/>
          <w:b/>
          <w:bCs/>
          <w:sz w:val="24"/>
          <w:szCs w:val="24"/>
          <w:rtl/>
        </w:rPr>
        <w:t>ואפילו  הפסיכיאטרי</w:t>
      </w:r>
      <w:r>
        <w:rPr>
          <w:rFonts w:ascii="David" w:eastAsia="Times New Roman" w:hAnsi="David" w:cs="David"/>
          <w:sz w:val="24"/>
          <w:szCs w:val="24"/>
          <w:rtl/>
        </w:rPr>
        <w:t xml:space="preserve"> . יתירה מכך , הנוסח הרחב  מתיר למסור לנתבע את כל ״</w:t>
      </w:r>
      <w:r>
        <w:rPr>
          <w:rFonts w:ascii="David" w:eastAsia="Times New Roman" w:hAnsi="David" w:cs="David"/>
          <w:sz w:val="24"/>
          <w:szCs w:val="24"/>
          <w:u w:val="single"/>
          <w:rtl/>
        </w:rPr>
        <w:t>את כל הפרטים</w:t>
      </w:r>
      <w:r>
        <w:rPr>
          <w:rFonts w:ascii="David" w:eastAsia="Times New Roman" w:hAnsi="David" w:cs="David"/>
          <w:sz w:val="24"/>
          <w:szCs w:val="24"/>
          <w:rtl/>
        </w:rPr>
        <w:t xml:space="preserve"> המצויים בידי נותני השירותים </w:t>
      </w:r>
      <w:r>
        <w:rPr>
          <w:rFonts w:ascii="David" w:eastAsia="Times New Roman" w:hAnsi="David" w:cs="David"/>
          <w:sz w:val="24"/>
          <w:szCs w:val="24"/>
          <w:u w:val="single"/>
          <w:rtl/>
        </w:rPr>
        <w:t xml:space="preserve">בלא  יוצא מן הכלל </w:t>
      </w:r>
      <w:r>
        <w:rPr>
          <w:rFonts w:ascii="David" w:eastAsia="Times New Roman" w:hAnsi="David" w:cs="David"/>
          <w:sz w:val="24"/>
          <w:szCs w:val="24"/>
          <w:rtl/>
        </w:rPr>
        <w:t>" גם אודות ״</w:t>
      </w:r>
      <w:r>
        <w:rPr>
          <w:rFonts w:ascii="David" w:eastAsia="Times New Roman" w:hAnsi="David" w:cs="David"/>
          <w:sz w:val="24"/>
          <w:szCs w:val="24"/>
          <w:u w:val="single"/>
          <w:rtl/>
        </w:rPr>
        <w:t>כל מחלה שחלה בה בעבר או שחולה בה כעת"</w:t>
      </w:r>
      <w:r>
        <w:rPr>
          <w:rFonts w:ascii="David" w:eastAsia="Times New Roman" w:hAnsi="David" w:cs="David"/>
          <w:sz w:val="24"/>
          <w:szCs w:val="24"/>
          <w:rtl/>
        </w:rPr>
        <w:t xml:space="preserve"> בכפוף לדרישת הרלבנטיות, המגולמת במילים:״</w:t>
      </w:r>
      <w:r>
        <w:rPr>
          <w:rFonts w:ascii="David" w:eastAsia="Times New Roman" w:hAnsi="David" w:cs="David"/>
          <w:sz w:val="24"/>
          <w:szCs w:val="24"/>
          <w:u w:val="single"/>
          <w:rtl/>
        </w:rPr>
        <w:t xml:space="preserve">והכול לעניין תביעתי </w:t>
      </w:r>
      <w:r>
        <w:rPr>
          <w:rFonts w:ascii="David" w:eastAsia="Times New Roman" w:hAnsi="David" w:cs="David"/>
          <w:sz w:val="24"/>
          <w:szCs w:val="24"/>
          <w:rtl/>
        </w:rPr>
        <w:t xml:space="preserve">כנגד  בשל אירועים מיום או בחודש/חודשים״ .  </w:t>
      </w:r>
      <w:r>
        <w:rPr>
          <w:rFonts w:ascii="David" w:hAnsi="David" w:cs="David"/>
          <w:sz w:val="24"/>
          <w:szCs w:val="24"/>
          <w:rtl/>
        </w:rPr>
        <w:t> </w:t>
      </w:r>
      <w:r>
        <w:rPr>
          <w:rFonts w:ascii="David" w:hAnsi="David" w:cs="David"/>
          <w:sz w:val="24"/>
          <w:szCs w:val="24"/>
          <w:rtl/>
        </w:rPr>
        <w:t> </w:t>
      </w:r>
      <w:r>
        <w:rPr>
          <w:rFonts w:ascii="David" w:hAnsi="David" w:cs="David"/>
          <w:sz w:val="24"/>
          <w:szCs w:val="24"/>
          <w:rtl/>
        </w:rPr>
        <w:t> </w:t>
      </w:r>
      <w:r>
        <w:rPr>
          <w:rFonts w:ascii="David" w:hAnsi="David" w:cs="David"/>
          <w:sz w:val="24"/>
          <w:szCs w:val="24"/>
          <w:rtl/>
        </w:rPr>
        <w:t> </w:t>
      </w:r>
      <w:r>
        <w:rPr>
          <w:rFonts w:ascii="David" w:hAnsi="David" w:cs="David"/>
          <w:sz w:val="24"/>
          <w:szCs w:val="24"/>
          <w:rtl/>
        </w:rPr>
        <w:t>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Pr>
        <w:t xml:space="preserve"> </w:t>
      </w:r>
      <w:r>
        <w:rPr>
          <w:rFonts w:ascii="David" w:eastAsia="Times New Roman" w:hAnsi="David" w:cs="David"/>
          <w:sz w:val="24"/>
          <w:szCs w:val="24"/>
          <w:rtl/>
        </w:rPr>
        <w:t xml:space="preserve">בוס״ר הכללי החדש שבתוספת לתקנות גם נכתב : ״בקשתי זו יפה גם לפי חוק הגנת הפרטיות, התשמ"א-1981, והיא חלה על כל מידע רפואי </w:t>
      </w:r>
      <w:r>
        <w:rPr>
          <w:rFonts w:ascii="David" w:eastAsia="Times New Roman" w:hAnsi="David" w:cs="David"/>
          <w:sz w:val="24"/>
          <w:szCs w:val="24"/>
          <w:u w:val="single"/>
          <w:rtl/>
        </w:rPr>
        <w:t>או אחר</w:t>
      </w:r>
      <w:r>
        <w:rPr>
          <w:rFonts w:ascii="David" w:eastAsia="Times New Roman" w:hAnsi="David" w:cs="David"/>
          <w:sz w:val="24"/>
          <w:szCs w:val="24"/>
          <w:rtl/>
        </w:rPr>
        <w:t xml:space="preserve"> המצוי במאגרי המידע של כל המוסדות, לרבות קופות החולים, או רופאיהם או עובדיהם או מי מטעמם או נותני השירותים שפורטו לעיל.״  .</w:t>
      </w:r>
    </w:p>
    <w:p w:rsidR="006A0191" w:rsidRDefault="006A0191" w:rsidP="006A0191">
      <w:pPr>
        <w:pStyle w:val="af1"/>
        <w:spacing w:after="0" w:line="240" w:lineRule="auto"/>
        <w:ind w:left="1440"/>
        <w:jc w:val="both"/>
        <w:rPr>
          <w:rFonts w:ascii="David" w:eastAsia="Times New Roman" w:hAnsi="David" w:cs="David"/>
          <w:sz w:val="24"/>
          <w:szCs w:val="24"/>
        </w:rPr>
      </w:pPr>
      <w:r>
        <w:rPr>
          <w:rFonts w:ascii="David" w:eastAsia="Times New Roman" w:hAnsi="David" w:cs="David"/>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 xml:space="preserve">ההדגשות שאינן במקור נועדו להמחיש עד כמה הנוסח מרחיב </w:t>
      </w:r>
      <w:r>
        <w:rPr>
          <w:rFonts w:ascii="David" w:eastAsia="Times New Roman" w:hAnsi="David" w:cs="David"/>
          <w:b/>
          <w:bCs/>
          <w:sz w:val="24"/>
          <w:szCs w:val="24"/>
          <w:rtl/>
        </w:rPr>
        <w:t>א.ב.</w:t>
      </w:r>
      <w:r>
        <w:rPr>
          <w:rFonts w:ascii="David" w:eastAsia="Times New Roman" w:hAnsi="David" w:cs="David"/>
          <w:sz w:val="24"/>
          <w:szCs w:val="24"/>
          <w:rtl/>
        </w:rPr>
        <w:t xml:space="preserve"> ) .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כעולה מהנוסח בקשה לפי וס״ר מתייחסת לא ״ רק״  ל ״כל </w:t>
      </w:r>
      <w:r>
        <w:rPr>
          <w:rFonts w:ascii="David" w:eastAsia="Times New Roman" w:hAnsi="David" w:cs="David"/>
          <w:sz w:val="24"/>
          <w:szCs w:val="24"/>
          <w:u w:val="single"/>
          <w:rtl/>
        </w:rPr>
        <w:t>מידע רפואי ״</w:t>
      </w:r>
      <w:r>
        <w:rPr>
          <w:rFonts w:ascii="David" w:eastAsia="Times New Roman" w:hAnsi="David" w:cs="David"/>
          <w:sz w:val="24"/>
          <w:szCs w:val="24"/>
          <w:rtl/>
        </w:rPr>
        <w:t xml:space="preserve"> שהגדרתו פתוחה אלא גם לכל </w:t>
      </w:r>
      <w:r>
        <w:rPr>
          <w:rFonts w:ascii="David" w:eastAsia="Times New Roman" w:hAnsi="David" w:cs="David"/>
          <w:sz w:val="24"/>
          <w:szCs w:val="24"/>
          <w:u w:val="single"/>
          <w:rtl/>
        </w:rPr>
        <w:t xml:space="preserve">מידע </w:t>
      </w:r>
      <w:r>
        <w:rPr>
          <w:rFonts w:ascii="David" w:eastAsia="Times New Roman" w:hAnsi="David" w:cs="David"/>
          <w:b/>
          <w:bCs/>
          <w:sz w:val="24"/>
          <w:szCs w:val="24"/>
          <w:u w:val="single"/>
          <w:rtl/>
        </w:rPr>
        <w:t>״אחר״</w:t>
      </w:r>
      <w:r>
        <w:rPr>
          <w:rFonts w:ascii="David" w:eastAsia="Times New Roman" w:hAnsi="David" w:cs="David"/>
          <w:b/>
          <w:bCs/>
          <w:sz w:val="24"/>
          <w:szCs w:val="24"/>
          <w:rtl/>
        </w:rPr>
        <w:t xml:space="preserve"> ,</w:t>
      </w:r>
      <w:r>
        <w:rPr>
          <w:rFonts w:ascii="David" w:eastAsia="Times New Roman" w:hAnsi="David" w:cs="David"/>
          <w:sz w:val="24"/>
          <w:szCs w:val="24"/>
          <w:rtl/>
        </w:rPr>
        <w:t xml:space="preserve"> העומד במבחן הרלבנטיות , וזאת לנוכח הביטוי המרחיב ״ כל מידע רפואי או אחר״  ובכך מוגברת השקיפות.</w:t>
      </w:r>
    </w:p>
    <w:p w:rsidR="006A0191" w:rsidRDefault="006A0191" w:rsidP="006A0191">
      <w:pPr>
        <w:pStyle w:val="2"/>
        <w:spacing w:line="240" w:lineRule="auto"/>
        <w:rPr>
          <w:rFonts w:ascii="David" w:eastAsia="Times New Roman" w:hAnsi="David" w:cs="David"/>
          <w:sz w:val="24"/>
          <w:szCs w:val="24"/>
        </w:rPr>
      </w:pPr>
      <w:bookmarkStart w:id="18" w:name="_Toc112170772"/>
      <w:bookmarkStart w:id="19" w:name="_Toc113804940"/>
      <w:r>
        <w:rPr>
          <w:rFonts w:ascii="David" w:eastAsia="Times New Roman" w:hAnsi="David" w:cs="David"/>
          <w:sz w:val="24"/>
          <w:szCs w:val="24"/>
          <w:rtl/>
        </w:rPr>
        <w:t>האפשרות הקיימת לצמצום היקף הרחב של הוס״ר באופן אקטיבי ומפורש</w:t>
      </w:r>
      <w:bookmarkEnd w:id="18"/>
      <w:bookmarkEnd w:id="19"/>
      <w:r>
        <w:rPr>
          <w:rFonts w:ascii="David" w:eastAsia="Times New Roman" w:hAnsi="David" w:cs="David"/>
          <w:sz w:val="24"/>
          <w:szCs w:val="24"/>
          <w:rtl/>
        </w:rPr>
        <w:br/>
      </w:r>
    </w:p>
    <w:p w:rsidR="006A0191" w:rsidRDefault="006A0191" w:rsidP="006A0191">
      <w:pPr>
        <w:pStyle w:val="af1"/>
        <w:numPr>
          <w:ilvl w:val="0"/>
          <w:numId w:val="3"/>
        </w:numPr>
        <w:spacing w:after="0" w:line="240" w:lineRule="auto"/>
        <w:ind w:left="360"/>
        <w:rPr>
          <w:rFonts w:ascii="David" w:eastAsia="Times New Roman" w:hAnsi="David" w:cs="David"/>
          <w:sz w:val="24"/>
          <w:szCs w:val="24"/>
          <w:rtl/>
        </w:rPr>
      </w:pPr>
      <w:r>
        <w:rPr>
          <w:rFonts w:ascii="David" w:eastAsia="Times New Roman" w:hAnsi="David" w:cs="David"/>
          <w:sz w:val="24"/>
          <w:szCs w:val="24"/>
          <w:rtl/>
        </w:rPr>
        <w:t xml:space="preserve">הוס״ר כולל במפורש, אפשרות </w:t>
      </w:r>
      <w:r>
        <w:rPr>
          <w:rFonts w:ascii="David" w:eastAsia="Times New Roman" w:hAnsi="David" w:cs="David"/>
          <w:sz w:val="24"/>
          <w:szCs w:val="24"/>
        </w:rPr>
        <w:t xml:space="preserve"> </w:t>
      </w:r>
      <w:r>
        <w:rPr>
          <w:rFonts w:ascii="David" w:eastAsia="Times New Roman" w:hAnsi="David" w:cs="David"/>
          <w:sz w:val="24"/>
          <w:szCs w:val="24"/>
          <w:u w:val="single"/>
          <w:rtl/>
        </w:rPr>
        <w:t xml:space="preserve">לצמצום  </w:t>
      </w:r>
      <w:r>
        <w:rPr>
          <w:rFonts w:ascii="David" w:eastAsia="Times New Roman" w:hAnsi="David" w:cs="David"/>
          <w:sz w:val="24"/>
          <w:szCs w:val="24"/>
          <w:rtl/>
        </w:rPr>
        <w:t>היקף המידע הרחב שצפוי להימסר לפיו .וזאת,</w:t>
      </w:r>
      <w:r>
        <w:rPr>
          <w:rFonts w:ascii="David" w:eastAsia="Times New Roman" w:hAnsi="David" w:cs="David"/>
          <w:sz w:val="24"/>
          <w:szCs w:val="24"/>
        </w:rPr>
        <w:t xml:space="preserve"> </w:t>
      </w:r>
      <w:r>
        <w:rPr>
          <w:rFonts w:ascii="David" w:eastAsia="Times New Roman" w:hAnsi="David" w:cs="David"/>
          <w:sz w:val="24"/>
          <w:szCs w:val="24"/>
          <w:rtl/>
        </w:rPr>
        <w:t xml:space="preserve">בשתי הדרכים הבאות: </w:t>
      </w:r>
    </w:p>
    <w:p w:rsidR="006A0191" w:rsidRDefault="006A0191" w:rsidP="006A0191">
      <w:pPr>
        <w:pStyle w:val="af1"/>
        <w:numPr>
          <w:ilvl w:val="1"/>
          <w:numId w:val="3"/>
        </w:numPr>
        <w:spacing w:after="0" w:line="240" w:lineRule="auto"/>
        <w:rPr>
          <w:rFonts w:ascii="David" w:eastAsia="Times New Roman" w:hAnsi="David" w:cs="David"/>
          <w:sz w:val="24"/>
          <w:szCs w:val="24"/>
        </w:rPr>
      </w:pPr>
      <w:r>
        <w:rPr>
          <w:rFonts w:ascii="David" w:eastAsia="Times New Roman" w:hAnsi="David" w:cs="David"/>
          <w:sz w:val="24"/>
          <w:szCs w:val="24"/>
          <w:rtl/>
        </w:rPr>
        <w:t>הדרך הראשונה לצמצום היקף  המידע הנמסר מכוח הוס"ר היא בצמצום המוסדות  שיימסרו  מידע.</w:t>
      </w:r>
    </w:p>
    <w:p w:rsidR="006A0191" w:rsidRDefault="006A0191" w:rsidP="006A0191">
      <w:pPr>
        <w:pStyle w:val="af1"/>
        <w:numPr>
          <w:ilvl w:val="1"/>
          <w:numId w:val="3"/>
        </w:numPr>
        <w:spacing w:after="0" w:line="240" w:lineRule="auto"/>
        <w:rPr>
          <w:rFonts w:ascii="David" w:eastAsia="Times New Roman" w:hAnsi="David" w:cs="David"/>
          <w:sz w:val="24"/>
          <w:szCs w:val="24"/>
        </w:rPr>
      </w:pPr>
      <w:r>
        <w:rPr>
          <w:rFonts w:ascii="David" w:eastAsia="Times New Roman" w:hAnsi="David" w:cs="David"/>
          <w:sz w:val="24"/>
          <w:szCs w:val="24"/>
          <w:rtl/>
        </w:rPr>
        <w:t xml:space="preserve">הדרך השנייה לצמצום היקף  המידע הנמסר מכוח הוס"ר היא  בצמצום  היקף המידע שמתירים למסור.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צמצום הוס״ר ,מותנה בכך שהחותם  כתב זאת במפורש. שאלמלא, כן חלה ברירת מחדל רחבה שדומה שמתיישבת עם  השקפה כללית  לכך  שבמישור מול התובע החותם על הוס"ר נקודת הפתיחה במסגרת איזון האינטרסים קרובה יותר לאינטרס של גילוי האמת מאשר לחיסיון  ובאופן קרוב יותר לעקרון של </w:t>
      </w:r>
      <w:r>
        <w:rPr>
          <w:rFonts w:ascii="David" w:eastAsia="Times New Roman" w:hAnsi="David" w:cs="David"/>
          <w:sz w:val="24"/>
          <w:szCs w:val="24"/>
        </w:rPr>
        <w:t xml:space="preserve"> </w:t>
      </w:r>
      <w:r>
        <w:rPr>
          <w:rFonts w:ascii="David" w:eastAsia="Times New Roman" w:hAnsi="David" w:cs="David"/>
          <w:sz w:val="24"/>
          <w:szCs w:val="24"/>
          <w:rtl/>
        </w:rPr>
        <w:t>״תבעת - גילית ״. צמצום החומר עשוי לעורר מחלוקת, שתוכרע על ידי בית המשפט .</w:t>
      </w:r>
    </w:p>
    <w:p w:rsidR="006A0191" w:rsidRDefault="006A0191" w:rsidP="006A0191">
      <w:pPr>
        <w:pStyle w:val="2"/>
        <w:spacing w:line="240" w:lineRule="auto"/>
        <w:rPr>
          <w:rFonts w:ascii="David" w:eastAsia="Times New Roman" w:hAnsi="David" w:cs="David"/>
          <w:sz w:val="24"/>
          <w:szCs w:val="24"/>
        </w:rPr>
      </w:pPr>
      <w:bookmarkStart w:id="20" w:name="_Toc112170773"/>
      <w:bookmarkStart w:id="21" w:name="_Toc113804941"/>
      <w:r>
        <w:rPr>
          <w:rStyle w:val="30"/>
          <w:rFonts w:ascii="David" w:hAnsi="David" w:cs="David"/>
          <w:u w:val="single"/>
          <w:rtl/>
        </w:rPr>
        <w:t>שאלת השימוש בנוסח הרחב של הוס״ר הכללי החדש  שמצורף לראשונה לתקנות סדר הדין האזרחי   לצורך קבלת המידע הגנטי</w:t>
      </w:r>
      <w:bookmarkEnd w:id="20"/>
      <w:r>
        <w:rPr>
          <w:rStyle w:val="30"/>
          <w:rFonts w:ascii="David" w:hAnsi="David" w:cs="David"/>
          <w:u w:val="single"/>
          <w:rtl/>
        </w:rPr>
        <w:t xml:space="preserve"> מהבן או מהאם אם תסכים למסור אותו .</w:t>
      </w:r>
      <w:bookmarkEnd w:id="21"/>
      <w:r>
        <w:rPr>
          <w:rStyle w:val="30"/>
          <w:rFonts w:ascii="David" w:hAnsi="David" w:cs="David"/>
          <w:u w:val="single"/>
          <w:rtl/>
        </w:rPr>
        <w:t xml:space="preserve"> </w:t>
      </w:r>
      <w:r>
        <w:rPr>
          <w:rStyle w:val="30"/>
          <w:rFonts w:ascii="David" w:hAnsi="David" w:cs="David"/>
          <w:u w:val="single"/>
          <w:rtl/>
        </w:rPr>
        <w:br/>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אגב,בנוסח הוס"ר הכללי   שבתוספת לתקנות לא  נכתב פירוט לפיו : ״בקשתי זו יפה גם לפי..."  חוק אחר בנוסף לחוק </w:t>
      </w:r>
      <w:r>
        <w:rPr>
          <w:rFonts w:ascii="David" w:eastAsia="Times New Roman" w:hAnsi="David" w:cs="David" w:hint="cs"/>
          <w:b/>
          <w:bCs/>
          <w:sz w:val="24"/>
          <w:szCs w:val="24"/>
          <w:rtl/>
        </w:rPr>
        <w:t>הגנת הפרטיות,</w:t>
      </w:r>
      <w:r>
        <w:rPr>
          <w:rFonts w:ascii="David" w:eastAsia="Times New Roman" w:hAnsi="David" w:cs="David" w:hint="cs"/>
          <w:sz w:val="24"/>
          <w:szCs w:val="24"/>
          <w:rtl/>
        </w:rPr>
        <w:t xml:space="preserve">  שנזכר בנוסח במפורש . שאלה היא אם די בויתור לפיו כבקשה לצורך החוקים האחרים.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למשל, לא נכתב במפורש  שהבקשה יפה לפי </w:t>
      </w:r>
      <w:r>
        <w:rPr>
          <w:rFonts w:ascii="David" w:eastAsia="Times New Roman" w:hAnsi="David" w:cs="David"/>
          <w:b/>
          <w:bCs/>
          <w:sz w:val="24"/>
          <w:szCs w:val="24"/>
          <w:rtl/>
        </w:rPr>
        <w:t xml:space="preserve">חוק זכויות החולה תשנ"ו -1996 </w:t>
      </w:r>
      <w:r>
        <w:rPr>
          <w:rFonts w:ascii="David" w:eastAsia="Times New Roman" w:hAnsi="David" w:cs="David"/>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 xml:space="preserve">להלן:" </w:t>
      </w:r>
      <w:r>
        <w:rPr>
          <w:rFonts w:ascii="David" w:eastAsia="Times New Roman" w:hAnsi="David" w:cs="David"/>
          <w:b/>
          <w:bCs/>
          <w:sz w:val="24"/>
          <w:szCs w:val="24"/>
          <w:rtl/>
        </w:rPr>
        <w:t>חוק זכויות החולה")</w:t>
      </w:r>
      <w:r>
        <w:rPr>
          <w:rFonts w:ascii="David" w:eastAsia="Times New Roman" w:hAnsi="David" w:cs="David"/>
          <w:sz w:val="24"/>
          <w:szCs w:val="24"/>
          <w:rtl/>
        </w:rPr>
        <w:t xml:space="preserve"> שאליו התייחס התובע.   סעיף </w:t>
      </w:r>
      <w:r>
        <w:rPr>
          <w:rFonts w:ascii="David" w:eastAsia="Times New Roman" w:hAnsi="David" w:cs="David"/>
          <w:b/>
          <w:bCs/>
          <w:sz w:val="24"/>
          <w:szCs w:val="24"/>
          <w:rtl/>
        </w:rPr>
        <w:t>20  לחוק זכויות החולה</w:t>
      </w:r>
      <w:r>
        <w:rPr>
          <w:rFonts w:ascii="David" w:eastAsia="Times New Roman" w:hAnsi="David" w:cs="David"/>
          <w:sz w:val="24"/>
          <w:szCs w:val="24"/>
          <w:rtl/>
        </w:rPr>
        <w:t xml:space="preserve">  קובע רשימת מקרים שבהם יהיו </w:t>
      </w:r>
      <w:r>
        <w:rPr>
          <w:rFonts w:ascii="David" w:eastAsia="Times New Roman" w:hAnsi="David" w:cs="David"/>
          <w:sz w:val="24"/>
          <w:szCs w:val="24"/>
          <w:rtl/>
        </w:rPr>
        <w:lastRenderedPageBreak/>
        <w:t xml:space="preserve">רשאים מטפל או מוסד רפואי למסור מידע חרף הוראת  שמירת הסודיות הרפואית שבסעיף 19 לחוק זכויות החולה. רשימה זאת אכן לא כוללת בקשה של בן מאימו .  </w:t>
      </w:r>
      <w:r>
        <w:rPr>
          <w:rFonts w:ascii="David" w:eastAsia="Times New Roman" w:hAnsi="David" w:cs="David"/>
          <w:sz w:val="24"/>
          <w:szCs w:val="24"/>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לדעתי, הוס"ר החדש  מספיק כנקודת מוצא גם למסירת מידע רפואי המוגן בחקיקה  אחרת המגנה על  זכות הפרטיות   כמו </w:t>
      </w:r>
      <w:r>
        <w:rPr>
          <w:rFonts w:ascii="David" w:eastAsia="Times New Roman" w:hAnsi="David" w:cs="David"/>
          <w:b/>
          <w:bCs/>
          <w:sz w:val="24"/>
          <w:szCs w:val="24"/>
          <w:rtl/>
        </w:rPr>
        <w:t>חוק זכויות החולה</w:t>
      </w:r>
      <w:r>
        <w:rPr>
          <w:rFonts w:ascii="David" w:eastAsia="Times New Roman" w:hAnsi="David" w:cs="David"/>
          <w:sz w:val="24"/>
          <w:szCs w:val="24"/>
          <w:rtl/>
        </w:rPr>
        <w:t xml:space="preserve">  מהסיבות העיקריות הבאות :א.  הוראות הסודיות כשלעצמן,  לא מספיקות למניעת החשיפה. זאת,    והשוו לדברי כב' השופט עמית ב</w:t>
      </w:r>
      <w:hyperlink w:history="1">
        <w:r>
          <w:rPr>
            <w:rFonts w:ascii="David" w:eastAsia="Times New Roman" w:hAnsi="David" w:cs="David"/>
            <w:sz w:val="24"/>
            <w:szCs w:val="24"/>
            <w:rtl/>
          </w:rPr>
          <w:t>רע"א 8943/06 גיא יוחנן נ' סלקום ישראל בע"מ</w:t>
        </w:r>
        <w:r>
          <w:rPr>
            <w:rFonts w:ascii="David" w:eastAsia="Times New Roman" w:hAnsi="David" w:cs="David"/>
            <w:b/>
            <w:bCs/>
            <w:sz w:val="24"/>
            <w:szCs w:val="24"/>
          </w:rPr>
          <w:t>,</w:t>
        </w:r>
        <w:r>
          <w:rPr>
            <w:rFonts w:ascii="David" w:eastAsia="Times New Roman" w:hAnsi="David" w:cs="David"/>
            <w:sz w:val="24"/>
            <w:szCs w:val="24"/>
          </w:rPr>
          <w:t xml:space="preserve"> </w:t>
        </w:r>
        <w:r>
          <w:rPr>
            <w:rFonts w:ascii="David" w:eastAsia="Times New Roman" w:hAnsi="David" w:cs="David"/>
            <w:sz w:val="24"/>
            <w:szCs w:val="24"/>
            <w:rtl/>
          </w:rPr>
          <w:t>סג(3) 88 (2009)‏</w:t>
        </w:r>
      </w:hyperlink>
      <w:r>
        <w:rPr>
          <w:rFonts w:ascii="David" w:eastAsia="Times New Roman" w:hAnsi="David" w:cs="David"/>
          <w:sz w:val="24"/>
          <w:szCs w:val="24"/>
          <w:rtl/>
        </w:rPr>
        <w:t>‏ (</w:t>
      </w:r>
      <w:r>
        <w:rPr>
          <w:rFonts w:ascii="David" w:eastAsia="Times New Roman" w:hAnsi="David" w:cs="David"/>
          <w:sz w:val="24"/>
          <w:szCs w:val="24"/>
        </w:rPr>
        <w:t xml:space="preserve"> </w:t>
      </w:r>
      <w:r>
        <w:rPr>
          <w:rFonts w:ascii="David" w:eastAsia="Times New Roman" w:hAnsi="David" w:cs="David"/>
          <w:sz w:val="24"/>
          <w:szCs w:val="24"/>
          <w:rtl/>
        </w:rPr>
        <w:t>פסקה 26) (</w:t>
      </w:r>
      <w:r>
        <w:rPr>
          <w:rFonts w:ascii="David" w:eastAsia="Times New Roman" w:hAnsi="David" w:cs="David"/>
          <w:sz w:val="24"/>
          <w:szCs w:val="24"/>
        </w:rPr>
        <w:t xml:space="preserve"> </w:t>
      </w:r>
      <w:r>
        <w:rPr>
          <w:rFonts w:ascii="David" w:eastAsia="Times New Roman" w:hAnsi="David" w:cs="David"/>
          <w:sz w:val="24"/>
          <w:szCs w:val="24"/>
          <w:rtl/>
        </w:rPr>
        <w:t>להלן:"</w:t>
      </w:r>
      <w:r>
        <w:rPr>
          <w:rFonts w:ascii="David" w:eastAsia="Times New Roman" w:hAnsi="David" w:cs="David"/>
          <w:b/>
          <w:bCs/>
          <w:sz w:val="24"/>
          <w:szCs w:val="24"/>
          <w:rtl/>
        </w:rPr>
        <w:t>עניין יוחנן</w:t>
      </w:r>
      <w:r>
        <w:rPr>
          <w:rFonts w:ascii="David" w:eastAsia="Times New Roman" w:hAnsi="David" w:cs="David"/>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 xml:space="preserve"> </w:t>
      </w:r>
      <w:r>
        <w:rPr>
          <w:rFonts w:hint="cs"/>
          <w:color w:val="000000"/>
          <w:sz w:val="27"/>
          <w:szCs w:val="27"/>
        </w:rPr>
        <w:t xml:space="preserve"> </w:t>
      </w:r>
      <w:r>
        <w:rPr>
          <w:rFonts w:ascii="David" w:eastAsia="Times New Roman" w:hAnsi="David" w:cs="David"/>
          <w:sz w:val="24"/>
          <w:szCs w:val="24"/>
          <w:rtl/>
        </w:rPr>
        <w:t>ב. כבר לפני הוס"ר החדש די היה  בוס"ר  קצר ומתומצת יותר  שנהג בתביעות  לפיצויים מכוח תאונות דרכים אשר  לא התייחס במפורש  גם לחוק הגנת הפרטיות וראו בטופס 3</w:t>
      </w:r>
      <w:r>
        <w:rPr>
          <w:rFonts w:ascii="David" w:eastAsia="Times New Roman" w:hAnsi="David" w:cs="David"/>
          <w:b/>
          <w:bCs/>
          <w:sz w:val="24"/>
          <w:szCs w:val="24"/>
          <w:rtl/>
        </w:rPr>
        <w:t xml:space="preserve"> לתקנות המומחים </w:t>
      </w:r>
      <w:r>
        <w:rPr>
          <w:rFonts w:ascii="David" w:eastAsia="Times New Roman" w:hAnsi="David" w:cs="David"/>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 xml:space="preserve">לא סברתי שיש בשינוי הטופס לצמצם ג. מעצם ההתייחסות לחוק הגנת הפרטיות, משתמע היתר לחשיפת מידע החוסה תחת  הגנת פרטיות גם אם הוא מפוזר בחקיקה אחרת.  </w:t>
      </w:r>
      <w:r>
        <w:rPr>
          <w:rFonts w:ascii="David" w:eastAsia="Times New Roman" w:hAnsi="David" w:cs="David"/>
          <w:sz w:val="24"/>
          <w:szCs w:val="24"/>
        </w:rPr>
        <w:t xml:space="preserve"> </w:t>
      </w:r>
      <w:r>
        <w:rPr>
          <w:rFonts w:ascii="David" w:eastAsia="Times New Roman" w:hAnsi="David" w:cs="David"/>
          <w:sz w:val="24"/>
          <w:szCs w:val="24"/>
          <w:rtl/>
        </w:rPr>
        <w:t xml:space="preserve">על הפיזור ראו </w:t>
      </w:r>
      <w:r>
        <w:rPr>
          <w:rFonts w:ascii="David" w:eastAsia="Times New Roman" w:hAnsi="David" w:cs="David"/>
          <w:sz w:val="24"/>
          <w:szCs w:val="24"/>
        </w:rPr>
        <w:t xml:space="preserve"> </w:t>
      </w:r>
      <w:r>
        <w:rPr>
          <w:rFonts w:ascii="David" w:eastAsia="Times New Roman" w:hAnsi="David" w:cs="David"/>
          <w:sz w:val="24"/>
          <w:szCs w:val="24"/>
          <w:rtl/>
        </w:rPr>
        <w:t xml:space="preserve"> יצחק </w:t>
      </w:r>
      <w:r>
        <w:rPr>
          <w:rFonts w:ascii="David" w:eastAsia="Times New Roman" w:hAnsi="David" w:cs="David"/>
          <w:b/>
          <w:bCs/>
          <w:sz w:val="24"/>
          <w:szCs w:val="24"/>
          <w:rtl/>
        </w:rPr>
        <w:t>עמית חסיונות ואינטרסים מוגנים</w:t>
      </w:r>
      <w:r>
        <w:rPr>
          <w:rFonts w:ascii="David" w:eastAsia="Times New Roman" w:hAnsi="David" w:cs="David"/>
          <w:sz w:val="24"/>
          <w:szCs w:val="24"/>
          <w:rtl/>
        </w:rPr>
        <w:t xml:space="preserve"> פרק מה פרטיות כערך מוגן . בעמוד 1130 ). די בוס"ר גם להוראות האחרות </w:t>
      </w:r>
      <w:r>
        <w:rPr>
          <w:rFonts w:ascii="David" w:eastAsia="Times New Roman" w:hAnsi="David" w:cs="David"/>
          <w:sz w:val="24"/>
          <w:szCs w:val="24"/>
        </w:rPr>
        <w:t xml:space="preserve"> </w:t>
      </w:r>
      <w:r>
        <w:rPr>
          <w:rFonts w:ascii="David" w:eastAsia="Times New Roman" w:hAnsi="David" w:cs="David"/>
          <w:sz w:val="24"/>
          <w:szCs w:val="24"/>
          <w:rtl/>
        </w:rPr>
        <w:t xml:space="preserve">המגנות על המידע הרפואי הפרטי  . דומה שמנסחי הוס"ר לא ראו  צורך  בהתייחסות בנפרד לכל  חיקוק נפרד שבו מעוגנת ומפוזרת ההגנה על הפרטיות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אולם,  מידע גנטי   מצדיק לטעמי התייחסות מיוחדת . בוס"ר  לא נכתב במפורש שהבקשה יפה </w:t>
      </w:r>
      <w:r>
        <w:rPr>
          <w:rFonts w:ascii="David" w:eastAsia="Times New Roman" w:hAnsi="David" w:cs="David"/>
          <w:sz w:val="24"/>
          <w:szCs w:val="24"/>
        </w:rPr>
        <w:t xml:space="preserve"> </w:t>
      </w:r>
      <w:r>
        <w:rPr>
          <w:rFonts w:ascii="David" w:eastAsia="Times New Roman" w:hAnsi="David" w:cs="David"/>
          <w:sz w:val="24"/>
          <w:szCs w:val="24"/>
          <w:rtl/>
        </w:rPr>
        <w:t xml:space="preserve">גם לפי  חוק מידע גנטי ולגבי המידע הגנטי מתחדדת השאלה אם </w:t>
      </w:r>
      <w:r>
        <w:rPr>
          <w:rFonts w:ascii="David" w:eastAsia="Times New Roman" w:hAnsi="David" w:cs="David"/>
          <w:sz w:val="24"/>
          <w:szCs w:val="24"/>
        </w:rPr>
        <w:t xml:space="preserve"> </w:t>
      </w:r>
      <w:r>
        <w:rPr>
          <w:rFonts w:ascii="David" w:eastAsia="Times New Roman" w:hAnsi="David" w:cs="David"/>
          <w:sz w:val="24"/>
          <w:szCs w:val="24"/>
          <w:rtl/>
        </w:rPr>
        <w:t xml:space="preserve">די בבקשה </w:t>
      </w:r>
      <w:r>
        <w:rPr>
          <w:rFonts w:ascii="David" w:eastAsia="Times New Roman" w:hAnsi="David" w:cs="David"/>
          <w:sz w:val="24"/>
          <w:szCs w:val="24"/>
        </w:rPr>
        <w:t xml:space="preserve"> </w:t>
      </w:r>
      <w:r>
        <w:rPr>
          <w:rFonts w:ascii="David" w:eastAsia="Times New Roman" w:hAnsi="David" w:cs="David"/>
          <w:sz w:val="24"/>
          <w:szCs w:val="24"/>
          <w:rtl/>
        </w:rPr>
        <w:t xml:space="preserve"> ל״מידע אחר״  כלשהו הרלבנטי לאירוע או למחלה כדי להוות אותה הסכמה כתובה מפורשת ״לגבי מידע גנטי ״  לצורך קיום  סעיף 22</w:t>
      </w:r>
      <w:r>
        <w:rPr>
          <w:rFonts w:ascii="David" w:eastAsia="Times New Roman" w:hAnsi="David" w:cs="David"/>
          <w:b/>
          <w:bCs/>
          <w:sz w:val="24"/>
          <w:szCs w:val="24"/>
          <w:rtl/>
        </w:rPr>
        <w:t xml:space="preserve"> לחוק מידע גנטי </w:t>
      </w:r>
      <w:r>
        <w:rPr>
          <w:rFonts w:ascii="David" w:eastAsia="Times New Roman" w:hAnsi="David" w:cs="David"/>
          <w:sz w:val="24"/>
          <w:szCs w:val="24"/>
          <w:rtl/>
        </w:rPr>
        <w:t xml:space="preserve">הקובע כי : ״ויתור על סודיות22. (א) לא יראו ויתור על סודיות רפואית לגבי רשומה רפואית או מידע רפואי כהסכמה למסירת מידע גנטי מזוהה. ב) הסכמה למסירת מידע גנטי תיעשה </w:t>
      </w:r>
      <w:r>
        <w:rPr>
          <w:rFonts w:ascii="David" w:eastAsia="Times New Roman" w:hAnsi="David" w:cs="David"/>
          <w:b/>
          <w:bCs/>
          <w:sz w:val="24"/>
          <w:szCs w:val="24"/>
          <w:rtl/>
        </w:rPr>
        <w:t>במפורש ובכתב</w:t>
      </w:r>
      <w:r>
        <w:rPr>
          <w:rFonts w:ascii="David" w:eastAsia="Times New Roman" w:hAnsi="David" w:cs="David"/>
          <w:sz w:val="24"/>
          <w:szCs w:val="24"/>
          <w:rtl/>
        </w:rPr>
        <w:t>.״  (</w:t>
      </w:r>
      <w:r>
        <w:rPr>
          <w:rFonts w:ascii="David" w:eastAsia="Times New Roman" w:hAnsi="David" w:cs="David"/>
          <w:sz w:val="24"/>
          <w:szCs w:val="24"/>
        </w:rPr>
        <w:t xml:space="preserve"> </w:t>
      </w:r>
      <w:r>
        <w:rPr>
          <w:rFonts w:ascii="David" w:eastAsia="Times New Roman" w:hAnsi="David" w:cs="David"/>
          <w:sz w:val="24"/>
          <w:szCs w:val="24"/>
          <w:rtl/>
        </w:rPr>
        <w:t>הדגשה לא במקור א.ב.)</w:t>
      </w:r>
      <w:r>
        <w:rPr>
          <w:rFonts w:ascii="David" w:eastAsia="Times New Roman" w:hAnsi="David" w:cs="David"/>
          <w:sz w:val="24"/>
          <w:szCs w:val="24"/>
        </w:rPr>
        <w:t xml:space="preserve"> </w:t>
      </w:r>
      <w:r>
        <w:rPr>
          <w:rFonts w:ascii="David" w:eastAsia="Times New Roman" w:hAnsi="David" w:cs="David"/>
          <w:sz w:val="24"/>
          <w:szCs w:val="24"/>
          <w:rtl/>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סעיף 1</w:t>
      </w:r>
      <w:r>
        <w:rPr>
          <w:rFonts w:ascii="David" w:eastAsia="Times New Roman" w:hAnsi="David" w:cs="David"/>
          <w:b/>
          <w:bCs/>
          <w:sz w:val="24"/>
          <w:szCs w:val="24"/>
          <w:rtl/>
        </w:rPr>
        <w:t xml:space="preserve"> לחוק מידע גנטי</w:t>
      </w:r>
      <w:r>
        <w:rPr>
          <w:rFonts w:ascii="David" w:eastAsia="Times New Roman" w:hAnsi="David" w:cs="David"/>
          <w:sz w:val="24"/>
          <w:szCs w:val="24"/>
          <w:rtl/>
        </w:rPr>
        <w:t xml:space="preserve"> הגדיר :״ "מידע גנטי מזוהה" - כל מידע גנטי הנוגע לנבדק מסוים שמופיע עליו פרט מזהה;״מידע גנטי" - מידע הנובע מבדיקה גנטית;״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ספק בעיני ,האם ניתן לפרש את נוסח הוס״ר הכללי החדש שלפי התקנות כמספיק גם לצורך מילוי הדרישה שבחוק מידע גנטי . לטעמי התשובה הראויה היא שלילית. בחוק מידע גנטי יש הסדר מיוחד  לפי הצעת חוק מידע גנטי  הכוונה הסובייקטיבית המפורשת של המחוקק הייתה   לקבוע כי:" כתב ויתור כללי על סודיות רפואית לא יהווה הרשאה מספיקה למסירת מידע גנטי מזהה" יוער כי דומה שאלמלא הוראה זאת הרי שיתכן היה להכיר גם לצורך חיסיון מקצועי שבין רופא למטופל כחיסון שויתור עליו יכול להיעשות גם במשתמע </w:t>
      </w:r>
      <w:r>
        <w:rPr>
          <w:rFonts w:ascii="David" w:eastAsia="Times New Roman" w:hAnsi="David" w:cs="David"/>
          <w:sz w:val="24"/>
          <w:szCs w:val="24"/>
        </w:rPr>
        <w:t xml:space="preserve"> </w:t>
      </w:r>
      <w:r>
        <w:rPr>
          <w:rFonts w:ascii="David" w:eastAsia="Times New Roman" w:hAnsi="David" w:cs="David"/>
          <w:sz w:val="24"/>
          <w:szCs w:val="24"/>
          <w:rtl/>
        </w:rPr>
        <w:t xml:space="preserve">השוו . לענין ויתר משתמע השוו  כב' השופט עמית ברע"א 6171/17 </w:t>
      </w:r>
      <w:r>
        <w:rPr>
          <w:rFonts w:ascii="David" w:eastAsia="Times New Roman" w:hAnsi="David" w:cs="David"/>
          <w:b/>
          <w:bCs/>
          <w:sz w:val="24"/>
          <w:szCs w:val="24"/>
          <w:rtl/>
        </w:rPr>
        <w:t>פלוני נ' קופת חולים מאוחדת</w:t>
      </w:r>
      <w:r>
        <w:rPr>
          <w:rFonts w:ascii="David" w:eastAsia="Times New Roman" w:hAnsi="David" w:cs="David"/>
          <w:sz w:val="24"/>
          <w:szCs w:val="24"/>
          <w:rtl/>
        </w:rPr>
        <w:t xml:space="preserve"> (נבו 04.09.2017)‏‏ "(</w:t>
      </w:r>
      <w:r>
        <w:rPr>
          <w:rFonts w:ascii="David" w:eastAsia="Times New Roman" w:hAnsi="David" w:cs="David"/>
          <w:sz w:val="24"/>
          <w:szCs w:val="24"/>
        </w:rPr>
        <w:t xml:space="preserve"> </w:t>
      </w:r>
      <w:r>
        <w:rPr>
          <w:rFonts w:ascii="David" w:eastAsia="Times New Roman" w:hAnsi="David" w:cs="David"/>
          <w:sz w:val="24"/>
          <w:szCs w:val="24"/>
          <w:rtl/>
        </w:rPr>
        <w:t>פסקה 10 )</w:t>
      </w:r>
      <w:r>
        <w:rPr>
          <w:rFonts w:ascii="David" w:eastAsia="Times New Roman" w:hAnsi="David" w:cs="David"/>
          <w:sz w:val="24"/>
          <w:szCs w:val="24"/>
        </w:rPr>
        <w:t xml:space="preserve"> </w:t>
      </w:r>
      <w:r>
        <w:rPr>
          <w:rFonts w:ascii="David" w:eastAsia="Times New Roman" w:hAnsi="David" w:cs="David"/>
          <w:sz w:val="24"/>
          <w:szCs w:val="24"/>
          <w:rtl/>
        </w:rPr>
        <w:t xml:space="preserve">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יחד עם זאת ,לטעמי כאשר תובע מגיש תביעה שבמרכזה נושא הגנטי נקודת המוצא היא שעליו לגלות את המידע הגנטי לטובת בירור האמת .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מהפסיקה והספרות  עולה כי </w:t>
      </w:r>
      <w:r>
        <w:rPr>
          <w:rFonts w:ascii="David" w:eastAsia="Times New Roman" w:hAnsi="David" w:cs="David"/>
          <w:b/>
          <w:bCs/>
          <w:sz w:val="24"/>
          <w:szCs w:val="24"/>
          <w:rtl/>
        </w:rPr>
        <w:t>כאשר בתובע עסקינן,</w:t>
      </w:r>
      <w:r>
        <w:rPr>
          <w:rFonts w:ascii="David" w:eastAsia="Times New Roman" w:hAnsi="David" w:cs="David"/>
          <w:sz w:val="24"/>
          <w:szCs w:val="24"/>
          <w:rtl/>
        </w:rPr>
        <w:t xml:space="preserve"> </w:t>
      </w:r>
      <w:r>
        <w:rPr>
          <w:rFonts w:ascii="David" w:eastAsia="Times New Roman" w:hAnsi="David" w:cs="David"/>
          <w:b/>
          <w:bCs/>
          <w:sz w:val="24"/>
          <w:szCs w:val="24"/>
          <w:rtl/>
        </w:rPr>
        <w:t xml:space="preserve">נקודת האיזון, שבין האינטרסים הנוגדים של גילוי האמת לבין החיסיון והפגיעה בפרטיות, קרובה מאוד לאינטרס של גילוי האמת, וידו של אינטרס זה תהא על פי רוב על העליונה. </w:t>
      </w:r>
      <w:r>
        <w:rPr>
          <w:rFonts w:ascii="David" w:eastAsia="Times New Roman" w:hAnsi="David" w:cs="David"/>
          <w:sz w:val="24"/>
          <w:szCs w:val="24"/>
          <w:rtl/>
        </w:rPr>
        <w:t xml:space="preserve">ראו עמית שם ובין היתר בעמוד  1141.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נקודת האיזון בוס״ר -מבטאת הכרה בכך שלצורך בירור תביעה אכן,  נפגעת זכות הפרטיות . אולם הפגיעה בזכות היא לתכלית ראויה וצריכה להיות מידתית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על אף חשיבותה של הזכות לפרטיות בכלל, ושל הסודיות הרפואית בפרט,  יש לאזנה מול זכויות יסוד אחרות, וגם מול אינטרס  עשיית הצדק בהליכים משפטיים.   כפי שנפסק</w:t>
      </w:r>
      <w:r>
        <w:rPr>
          <w:rFonts w:ascii="David" w:eastAsia="Times New Roman" w:hAnsi="David" w:cs="David"/>
          <w:b/>
          <w:bCs/>
          <w:sz w:val="24"/>
          <w:szCs w:val="24"/>
          <w:rtl/>
        </w:rPr>
        <w:t xml:space="preserve"> בענין פלונית ע</w:t>
      </w:r>
      <w:r>
        <w:rPr>
          <w:rFonts w:ascii="David" w:eastAsia="Times New Roman" w:hAnsi="David" w:cs="David"/>
          <w:sz w:val="24"/>
          <w:szCs w:val="24"/>
          <w:rtl/>
        </w:rPr>
        <w:t xml:space="preserve">ל בסיס ענין לוין: </w:t>
      </w:r>
      <w:r>
        <w:rPr>
          <w:rFonts w:ascii="David" w:eastAsia="Times New Roman" w:hAnsi="David" w:cs="David"/>
          <w:b/>
          <w:bCs/>
          <w:sz w:val="24"/>
          <w:szCs w:val="24"/>
          <w:rtl/>
        </w:rPr>
        <w:t>" ... כי תובע אינו יכול להישמע בטענה לפיה זכותו לפרטיות גוברת על חובתו לחשוף לפני הנתבע ראיות שהן רלוונטיות לביסוס הגנתו   ... "</w:t>
      </w:r>
      <w:r>
        <w:rPr>
          <w:rFonts w:ascii="David" w:eastAsia="Times New Roman" w:hAnsi="David" w:cs="David"/>
          <w:sz w:val="24"/>
          <w:szCs w:val="24"/>
          <w:rtl/>
        </w:rPr>
        <w:t xml:space="preserve"> (פסקה 23), וכי "</w:t>
      </w:r>
      <w:r>
        <w:rPr>
          <w:rFonts w:ascii="David" w:eastAsia="Times New Roman" w:hAnsi="David" w:cs="David"/>
          <w:b/>
          <w:bCs/>
          <w:sz w:val="24"/>
          <w:szCs w:val="24"/>
          <w:rtl/>
        </w:rPr>
        <w:t xml:space="preserve">במאזן בין זכות הפרטיות של תובע ובין זכותו של </w:t>
      </w:r>
      <w:r>
        <w:rPr>
          <w:rFonts w:ascii="David" w:eastAsia="Times New Roman" w:hAnsi="David" w:cs="David"/>
          <w:b/>
          <w:bCs/>
          <w:sz w:val="24"/>
          <w:szCs w:val="24"/>
          <w:rtl/>
        </w:rPr>
        <w:lastRenderedPageBreak/>
        <w:t xml:space="preserve">נתבע לנהל הגנתו והאינטרס החברתי בעשיית צדק, תגבר דרך כלל זכותו של האחרון" </w:t>
      </w:r>
      <w:r>
        <w:rPr>
          <w:rFonts w:ascii="David" w:eastAsia="Times New Roman" w:hAnsi="David" w:cs="David"/>
          <w:sz w:val="24"/>
          <w:szCs w:val="24"/>
          <w:rtl/>
        </w:rPr>
        <w:t xml:space="preserve">(פסקה 24)וראו </w:t>
      </w:r>
      <w:r w:rsidRPr="00A71B63">
        <w:rPr>
          <w:rFonts w:ascii="David" w:eastAsia="Times New Roman" w:hAnsi="David" w:cs="David"/>
          <w:sz w:val="24"/>
          <w:szCs w:val="24"/>
          <w:rtl/>
        </w:rPr>
        <w:t xml:space="preserve">יששכר </w:t>
      </w:r>
      <w:r w:rsidRPr="00A71B63">
        <w:rPr>
          <w:rFonts w:eastAsia="Times New Roman"/>
          <w:rtl/>
        </w:rPr>
        <w:t>רוזן</w:t>
      </w:r>
      <w:r w:rsidRPr="00A71B63">
        <w:rPr>
          <w:rFonts w:ascii="David" w:eastAsia="Times New Roman" w:hAnsi="David" w:cs="David"/>
          <w:sz w:val="24"/>
          <w:szCs w:val="24"/>
          <w:rtl/>
        </w:rPr>
        <w:t>-צבי</w:t>
      </w:r>
      <w:r w:rsidRPr="00D634FF">
        <w:rPr>
          <w:rFonts w:ascii="David" w:eastAsia="Times New Roman" w:hAnsi="David" w:cs="David"/>
          <w:sz w:val="24"/>
          <w:szCs w:val="24"/>
          <w:rtl/>
        </w:rPr>
        <w:t xml:space="preserve"> </w:t>
      </w:r>
      <w:r w:rsidRPr="00D634FF">
        <w:rPr>
          <w:rFonts w:ascii="David" w:eastAsia="Times New Roman" w:hAnsi="David" w:cs="David"/>
          <w:b/>
          <w:bCs/>
          <w:sz w:val="24"/>
          <w:szCs w:val="24"/>
          <w:rtl/>
        </w:rPr>
        <w:t>הרפורמה</w:t>
      </w:r>
      <w:r>
        <w:rPr>
          <w:rFonts w:ascii="David" w:eastAsia="Times New Roman" w:hAnsi="David" w:cs="David"/>
          <w:b/>
          <w:bCs/>
          <w:sz w:val="24"/>
          <w:szCs w:val="24"/>
          <w:rtl/>
        </w:rPr>
        <w:t xml:space="preserve"> בסדר הדין האזרחי</w:t>
      </w:r>
      <w:r>
        <w:rPr>
          <w:rFonts w:ascii="David" w:hAnsi="David" w:cs="David"/>
          <w:color w:val="0000FF"/>
          <w:sz w:val="24"/>
          <w:szCs w:val="24"/>
          <w:u w:val="single"/>
          <w:rtl/>
        </w:rPr>
        <w:t>:</w:t>
      </w:r>
      <w:r>
        <w:rPr>
          <w:rFonts w:ascii="David" w:hAnsi="David" w:cs="David"/>
          <w:b/>
          <w:bCs/>
          <w:sz w:val="24"/>
          <w:szCs w:val="24"/>
          <w:rtl/>
        </w:rPr>
        <w:t xml:space="preserve"> מורה נבוכים</w:t>
      </w:r>
      <w:r>
        <w:rPr>
          <w:rFonts w:ascii="David" w:hAnsi="David" w:cs="David"/>
          <w:sz w:val="24"/>
          <w:szCs w:val="24"/>
          <w:rtl/>
        </w:rPr>
        <w:t xml:space="preserve"> (2021</w:t>
      </w:r>
      <w:r>
        <w:rPr>
          <w:rFonts w:ascii="David" w:hAnsi="David" w:cs="David"/>
          <w:sz w:val="24"/>
          <w:szCs w:val="24"/>
        </w:rPr>
        <w:t xml:space="preserve">114-116 </w:t>
      </w:r>
      <w:r>
        <w:rPr>
          <w:rFonts w:ascii="David" w:hAnsi="David" w:cs="David"/>
          <w:sz w:val="24"/>
          <w:szCs w:val="24"/>
          <w:rtl/>
        </w:rPr>
        <w:t>) (</w:t>
      </w:r>
      <w:r>
        <w:rPr>
          <w:rFonts w:ascii="David" w:eastAsia="Times New Roman" w:hAnsi="David" w:cs="David"/>
          <w:sz w:val="24"/>
          <w:szCs w:val="24"/>
          <w:rtl/>
        </w:rPr>
        <w:t>כי :״ במקרים יוצאי הדופן שבהם התובע מסרב, הנתבע פונה בבקשה לבית המשפט שיחייב את התובע לספק לו כתב וס"ר,</w:t>
      </w:r>
      <w:r>
        <w:rPr>
          <w:rFonts w:ascii="David" w:eastAsia="Times New Roman" w:hAnsi="David" w:cs="David"/>
          <w:b/>
          <w:bCs/>
          <w:sz w:val="24"/>
          <w:szCs w:val="24"/>
          <w:rtl/>
        </w:rPr>
        <w:t xml:space="preserve"> ובמרבית המקרים בית המשפט מקבל את הבקשה מכיוון שללא וס"ר אין ביכולתו של הנתבע להתגונן כראוי.</w:t>
      </w:r>
      <w:r>
        <w:rPr>
          <w:rFonts w:ascii="David" w:eastAsia="Times New Roman" w:hAnsi="David" w:cs="David"/>
          <w:sz w:val="24"/>
          <w:szCs w:val="24"/>
          <w:rtl/>
        </w:rPr>
        <w:t xml:space="preserve"> התקנות החדשות מייעלות את ההליכים ודורשות כי כתב וס"ר יצורף כבר לכתב התביעה וזאת על מנת לייעל את ההליכים ולדלג על שלב לא נחוץ. הוס"ר הקבוע בטופס ״(</w:t>
      </w:r>
      <w:r>
        <w:rPr>
          <w:rFonts w:ascii="David" w:eastAsia="Times New Roman" w:hAnsi="David" w:cs="David"/>
          <w:sz w:val="24"/>
          <w:szCs w:val="24"/>
        </w:rPr>
        <w:t xml:space="preserve"> </w:t>
      </w:r>
      <w:r>
        <w:rPr>
          <w:rFonts w:ascii="David" w:eastAsia="Times New Roman" w:hAnsi="David" w:cs="David"/>
          <w:sz w:val="24"/>
          <w:szCs w:val="24"/>
          <w:rtl/>
        </w:rPr>
        <w:t xml:space="preserve">הדגשה לא במקור א.ב.)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אציין  שבמקום בו נמסר חומר רפואי  לאחר וס"ר </w:t>
      </w:r>
      <w:r>
        <w:rPr>
          <w:rFonts w:ascii="David" w:eastAsia="Times New Roman" w:hAnsi="David" w:cs="David"/>
          <w:sz w:val="24"/>
          <w:szCs w:val="24"/>
        </w:rPr>
        <w:t xml:space="preserve"> </w:t>
      </w:r>
      <w:r>
        <w:rPr>
          <w:rFonts w:ascii="David" w:eastAsia="Times New Roman" w:hAnsi="David" w:cs="David"/>
          <w:sz w:val="24"/>
          <w:szCs w:val="24"/>
          <w:rtl/>
        </w:rPr>
        <w:t>על מקבל המידע עדיין חלה</w:t>
      </w:r>
      <w:r>
        <w:rPr>
          <w:rFonts w:ascii="David" w:eastAsia="Times New Roman" w:hAnsi="David" w:cs="David"/>
          <w:sz w:val="24"/>
          <w:szCs w:val="24"/>
          <w:u w:val="single"/>
          <w:rtl/>
        </w:rPr>
        <w:t xml:space="preserve"> חובה לשמירת סודיות</w:t>
      </w:r>
      <w:r>
        <w:rPr>
          <w:rFonts w:ascii="David" w:eastAsia="Times New Roman" w:hAnsi="David" w:cs="David"/>
          <w:sz w:val="24"/>
          <w:szCs w:val="24"/>
          <w:rtl/>
        </w:rPr>
        <w:t xml:space="preserve">. הוא  אינו  רשאי  לגלות או להפיץ מידע רפואי שאסף מכוחו, לעניין התביעה ספציפית, לגורם אחר ואין רשות להשתמש במידע מכוח הוס"ר לעניין אחר החורג מהתביעה שלשמה נמסר  .נקבע כי הסודיות חלה  על מקבל המידע  מכוח וס"ר  ואף  כי </w:t>
      </w:r>
      <w:r>
        <w:rPr>
          <w:rFonts w:ascii="David" w:eastAsia="Times New Roman" w:hAnsi="David" w:cs="David"/>
          <w:b/>
          <w:bCs/>
          <w:sz w:val="24"/>
          <w:szCs w:val="24"/>
          <w:rtl/>
        </w:rPr>
        <w:t>"יודגש, כי כל מי שיקבל לידיו חומר רפואי הנוגע למבקשת מתוקף טופס הוס"ר שיינתן לו, מחויב בעצמו לסודיות חומר זה וככל שיפר חובה זו, ניתן יהיה לנקוט כלפיו באמצעים מתאימים"</w:t>
      </w:r>
      <w:r>
        <w:rPr>
          <w:rFonts w:ascii="David" w:eastAsia="Times New Roman" w:hAnsi="David" w:cs="David"/>
          <w:sz w:val="24"/>
          <w:szCs w:val="24"/>
          <w:rtl/>
        </w:rPr>
        <w:t xml:space="preserve"> כב' השופט זילברטל בע"א 4436/14 </w:t>
      </w:r>
      <w:r>
        <w:rPr>
          <w:rFonts w:ascii="David" w:eastAsia="Times New Roman" w:hAnsi="David" w:cs="David"/>
          <w:b/>
          <w:bCs/>
          <w:sz w:val="24"/>
          <w:szCs w:val="24"/>
          <w:rtl/>
        </w:rPr>
        <w:t>פלונית נ' מדינת ישראל משרד הבריאות</w:t>
      </w:r>
      <w:r>
        <w:rPr>
          <w:rFonts w:ascii="David" w:eastAsia="Times New Roman" w:hAnsi="David" w:cs="David"/>
          <w:sz w:val="24"/>
          <w:szCs w:val="24"/>
          <w:rtl/>
        </w:rPr>
        <w:t xml:space="preserve">, פס' 9 )פורסם בנבו, 28.9.2014 .והשוו  והשוו </w:t>
      </w:r>
      <w:r>
        <w:rPr>
          <w:rFonts w:ascii="David" w:eastAsia="Times New Roman" w:hAnsi="David" w:cs="David"/>
          <w:b/>
          <w:bCs/>
          <w:sz w:val="24"/>
          <w:szCs w:val="24"/>
          <w:rtl/>
        </w:rPr>
        <w:t>יצחק עמית חסיונות ואינטרסים מוגנים</w:t>
      </w:r>
      <w:r>
        <w:rPr>
          <w:rFonts w:ascii="David" w:eastAsia="Times New Roman" w:hAnsi="David" w:cs="David"/>
          <w:sz w:val="24"/>
          <w:szCs w:val="24"/>
          <w:rtl/>
        </w:rPr>
        <w:t xml:space="preserve"> 658  וכן וכן</w:t>
      </w:r>
      <w:r>
        <w:rPr>
          <w:rFonts w:ascii="David" w:eastAsia="Times New Roman" w:hAnsi="David" w:cs="David"/>
          <w:b/>
          <w:bCs/>
          <w:sz w:val="24"/>
          <w:szCs w:val="24"/>
          <w:rtl/>
        </w:rPr>
        <w:t xml:space="preserve"> קדמי עמוד 1119 פסקה 7 </w:t>
      </w:r>
      <w:r>
        <w:rPr>
          <w:rFonts w:ascii="David" w:eastAsia="Times New Roman" w:hAnsi="David" w:cs="David"/>
          <w:sz w:val="24"/>
          <w:szCs w:val="24"/>
          <w:rtl/>
        </w:rPr>
        <w:t xml:space="preserve">  לפיו:" מקום  שנאשם מוותר בהליך מסוים על זכותו לחסיון רפואי בקשר לתעודה וזו מוגשת כראיה, אין התעודה מפסיקה להיות כפופה לזכותו של הנאשם לחסיונה לצרכים אחרים. מבקש לעיין בתעודה מי שלא היה צד להליך שבמסגרתו הוגשה - יחליט בית־ המשפט בבקשה על־פי אותם שיקול ים שהיה שוקל אילו נתבקשה הצגת התעודה כראיה בהליך האחר¡ והנאשם, כבעל זכות החסיון, היה </w:t>
      </w:r>
      <w:r>
        <w:rPr>
          <w:rFonts w:ascii="David" w:eastAsia="Times New Roman" w:hAnsi="David" w:cs="David"/>
          <w:sz w:val="24"/>
          <w:szCs w:val="24"/>
        </w:rPr>
        <w:t xml:space="preserve"> </w:t>
      </w:r>
      <w:r>
        <w:rPr>
          <w:rFonts w:ascii="David" w:eastAsia="Times New Roman" w:hAnsi="David" w:cs="David"/>
          <w:sz w:val="24"/>
          <w:szCs w:val="24"/>
          <w:rtl/>
        </w:rPr>
        <w:t>מתנגד לכך"</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מעבר לעצם החובה לשמירת הסודיות,  יש להדגיש את  </w:t>
      </w:r>
      <w:r>
        <w:rPr>
          <w:rFonts w:ascii="David" w:eastAsia="Times New Roman" w:hAnsi="David" w:cs="David" w:hint="cs"/>
          <w:sz w:val="24"/>
          <w:szCs w:val="24"/>
          <w:u w:val="single"/>
          <w:rtl/>
        </w:rPr>
        <w:t xml:space="preserve">חובת </w:t>
      </w:r>
      <w:r w:rsidR="002823AF">
        <w:rPr>
          <w:rFonts w:ascii="David" w:eastAsia="Times New Roman" w:hAnsi="David" w:cs="David" w:hint="cs"/>
          <w:sz w:val="24"/>
          <w:szCs w:val="24"/>
          <w:u w:val="single"/>
          <w:rtl/>
        </w:rPr>
        <w:t>ה</w:t>
      </w:r>
      <w:r>
        <w:rPr>
          <w:rFonts w:ascii="David" w:eastAsia="Times New Roman" w:hAnsi="David" w:cs="David" w:hint="cs"/>
          <w:sz w:val="24"/>
          <w:szCs w:val="24"/>
          <w:u w:val="single"/>
          <w:rtl/>
        </w:rPr>
        <w:t>זהירות</w:t>
      </w:r>
      <w:r>
        <w:rPr>
          <w:rFonts w:ascii="David" w:eastAsia="Times New Roman" w:hAnsi="David" w:cs="David" w:hint="cs"/>
          <w:b/>
          <w:bCs/>
          <w:sz w:val="24"/>
          <w:szCs w:val="24"/>
          <w:rtl/>
        </w:rPr>
        <w:t xml:space="preserve"> </w:t>
      </w:r>
      <w:r>
        <w:rPr>
          <w:rFonts w:ascii="David" w:eastAsia="Times New Roman" w:hAnsi="David" w:cs="David" w:hint="cs"/>
          <w:sz w:val="24"/>
          <w:szCs w:val="24"/>
          <w:rtl/>
        </w:rPr>
        <w:t xml:space="preserve">לשמירת המידע כשלעצמו  באמצעים קפדניים, כראוי  לטיבו של המידע הגנטי וכדי למנוע כל סכנת דליפה שלו  שלא לצרכים להם ניתן.   אקדים ואומר כי סודיות זאת חלה על המקבל חומר רפואי סודי גם אם קיבל אותו לצורך התביעה מכוח צו שיפוטי בגדר סעיף 49 לפק"ר. </w:t>
      </w:r>
    </w:p>
    <w:p w:rsidR="006A0191" w:rsidRDefault="006A0191" w:rsidP="006A0191">
      <w:pPr>
        <w:pStyle w:val="af1"/>
        <w:spacing w:after="0" w:line="240" w:lineRule="auto"/>
        <w:ind w:left="360"/>
        <w:rPr>
          <w:rStyle w:val="30"/>
          <w:rFonts w:ascii="David" w:hAnsi="David" w:cs="David"/>
        </w:rPr>
      </w:pPr>
      <w:r>
        <w:rPr>
          <w:rFonts w:ascii="David" w:eastAsia="Times New Roman" w:hAnsi="David" w:cs="David"/>
          <w:sz w:val="24"/>
          <w:szCs w:val="24"/>
          <w:rtl/>
        </w:rPr>
        <w:t xml:space="preserve"> לטעמי, בפרט בהקשר של מידע גנטי, חשוב להדגיש  את ייחוד הוס״ר לנתבע מסוים בקשר לתביעה מסוימת ,לנוכח חשיבות הפרטיות מקבל המידע אינו רשאי להשתמש בו לעניין החורג מתביעה זאת ללא היתר ספציפי ועליו לשמור אותו באמצעים הנדרשים  .</w:t>
      </w:r>
      <w:r>
        <w:rPr>
          <w:rFonts w:ascii="David" w:eastAsia="Times New Roman" w:hAnsi="David" w:cs="David"/>
          <w:sz w:val="24"/>
          <w:szCs w:val="24"/>
          <w:rtl/>
        </w:rPr>
        <w:br/>
      </w:r>
    </w:p>
    <w:p w:rsidR="006A0191" w:rsidRDefault="006A0191" w:rsidP="006A0191">
      <w:pPr>
        <w:pStyle w:val="2"/>
        <w:spacing w:line="240" w:lineRule="auto"/>
        <w:rPr>
          <w:rStyle w:val="30"/>
          <w:rFonts w:ascii="David" w:hAnsi="David" w:cs="David"/>
          <w:u w:val="single"/>
        </w:rPr>
      </w:pPr>
      <w:bookmarkStart w:id="22" w:name="_Toc112170774"/>
      <w:r>
        <w:rPr>
          <w:rStyle w:val="30"/>
          <w:rFonts w:ascii="David" w:hAnsi="David" w:cs="David"/>
          <w:u w:val="single"/>
          <w:rtl/>
        </w:rPr>
        <w:t xml:space="preserve"> </w:t>
      </w:r>
      <w:bookmarkStart w:id="23" w:name="_Toc113804942"/>
      <w:r>
        <w:rPr>
          <w:rStyle w:val="30"/>
          <w:rFonts w:ascii="David" w:hAnsi="David" w:cs="David"/>
          <w:u w:val="single"/>
          <w:rtl/>
        </w:rPr>
        <w:t>הזכות לבקש  לצמצם את המידע הנמסר</w:t>
      </w:r>
      <w:bookmarkEnd w:id="22"/>
      <w:bookmarkEnd w:id="23"/>
      <w:r>
        <w:rPr>
          <w:rStyle w:val="30"/>
          <w:rFonts w:ascii="David" w:hAnsi="David" w:cs="David"/>
          <w:u w:val="single"/>
          <w:rtl/>
        </w:rPr>
        <w:t xml:space="preserve">  </w:t>
      </w:r>
    </w:p>
    <w:p w:rsidR="006A0191" w:rsidRDefault="006A0191" w:rsidP="006A0191">
      <w:pPr>
        <w:pStyle w:val="af1"/>
        <w:spacing w:after="0" w:line="240" w:lineRule="auto"/>
        <w:ind w:left="360"/>
        <w:rPr>
          <w:rFonts w:eastAsia="Times New Roman"/>
        </w:rPr>
      </w:pP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נקודת המוצא בנוסח הוס"ר היא  כאמור של גילוי נרחב ושקיפות אולם, ניתן לצמצם  את ברירת המחדל בטופס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אם קיימת במקרה מסויים כוונה לחרוג מהנוסח הכללי ולצמצם וס״ר מובן שנכון לעשות זאת מראש ,על גוף הטופס גם מטעמי יעילות אך גם אם נמסר טופס עם הנוסח בברירת מחדל או ללא הצמצום שלאחר מכן מתבקש  ניתן במקרים מתאימים יתכן צמצום מאוחר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בדברי ההסבר לתקנות נכתב  כי "הוספת הדרישה לצירוף כתב ויתור על סודיות רפואית לכתב התביעה בתביעות לפיצויים בשל נזקי גוף, אינה מכוונת לשנות מהפסיקה החלה בענין הרשות להגיש בקשה לצמצום כתב ויתור כאמור במקרים מתאימים, למשל כאשר נטען שהמידע אינו רלוונטי להליך המשפטי". </w:t>
      </w:r>
    </w:p>
    <w:p w:rsidR="006A0191" w:rsidRDefault="006A0191" w:rsidP="006A0191">
      <w:pPr>
        <w:pStyle w:val="2"/>
        <w:spacing w:line="240" w:lineRule="auto"/>
        <w:rPr>
          <w:rFonts w:ascii="David" w:eastAsia="Times New Roman" w:hAnsi="David" w:cs="David"/>
          <w:sz w:val="24"/>
          <w:szCs w:val="24"/>
        </w:rPr>
      </w:pPr>
      <w:bookmarkStart w:id="24" w:name="_Toc112170775"/>
    </w:p>
    <w:p w:rsidR="006A0191" w:rsidRDefault="006A0191" w:rsidP="006A0191">
      <w:pPr>
        <w:pStyle w:val="2"/>
        <w:spacing w:line="240" w:lineRule="auto"/>
        <w:rPr>
          <w:rFonts w:ascii="David" w:eastAsia="Times New Roman" w:hAnsi="David" w:cs="David"/>
          <w:sz w:val="24"/>
          <w:szCs w:val="24"/>
          <w:u w:val="single"/>
          <w:rtl/>
        </w:rPr>
      </w:pPr>
      <w:bookmarkStart w:id="25" w:name="_Toc113804943"/>
      <w:r>
        <w:rPr>
          <w:rFonts w:ascii="David" w:eastAsia="Times New Roman" w:hAnsi="David" w:cs="David"/>
          <w:sz w:val="24"/>
          <w:szCs w:val="24"/>
          <w:u w:val="single"/>
          <w:rtl/>
        </w:rPr>
        <w:t>לא די בוס״ר של התובע למסור מלוא המידע הנוגע לאם</w:t>
      </w:r>
      <w:bookmarkEnd w:id="24"/>
      <w:r>
        <w:rPr>
          <w:rFonts w:ascii="David" w:eastAsia="Times New Roman" w:hAnsi="David" w:cs="David"/>
          <w:sz w:val="24"/>
          <w:szCs w:val="24"/>
          <w:u w:val="single"/>
          <w:rtl/>
        </w:rPr>
        <w:t>- ודי בכך לדחיית הבקשה הנוכחית של   הנתבעת</w:t>
      </w:r>
      <w:bookmarkEnd w:id="25"/>
      <w:r>
        <w:rPr>
          <w:rFonts w:ascii="David" w:eastAsia="Times New Roman" w:hAnsi="David" w:cs="David"/>
          <w:sz w:val="24"/>
          <w:szCs w:val="24"/>
          <w:u w:val="single"/>
          <w:rtl/>
        </w:rPr>
        <w:t xml:space="preserve"> </w:t>
      </w:r>
    </w:p>
    <w:p w:rsidR="006A0191" w:rsidRDefault="006A0191" w:rsidP="006A0191">
      <w:pPr>
        <w:pStyle w:val="af1"/>
        <w:spacing w:after="0" w:line="240" w:lineRule="auto"/>
        <w:ind w:left="360"/>
        <w:jc w:val="both"/>
        <w:rPr>
          <w:rFonts w:ascii="David" w:eastAsia="Times New Roman" w:hAnsi="David" w:cs="David"/>
          <w:sz w:val="24"/>
          <w:szCs w:val="24"/>
        </w:rPr>
      </w:pP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לצורך  ההחלטה שלפני, לא נזקקתי להכריע בשאלה הנ״ל אם נוסח הוס"ר הכללי מספיק לקבלת מידע גנטי מלא הנוגע לבן . לא נזקקתי להכריע בכך כי במקרה שלפני, הבקשה היא למידע גנטי מזוהה בעניין אדם אחר ,ולא של האדם שחתם על וס״ר.  </w:t>
      </w:r>
    </w:p>
    <w:p w:rsidR="006A0191" w:rsidRDefault="006A0191" w:rsidP="00A040D5">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הנני נוטה לדעה שלפיה  נדרש ויתור ספציפי כתוב ומפורש לצורך מידע גנטי. ניתן לכאורה לעשות כן ולמען הסר ספק ככל שקיים כזה בתוספת מפורשת לוס"ר הכללי המתייחסת לחוק מידע גנטי  או</w:t>
      </w:r>
      <w:r>
        <w:rPr>
          <w:rFonts w:ascii="David" w:eastAsia="Times New Roman" w:hAnsi="David" w:cs="David"/>
          <w:sz w:val="24"/>
          <w:szCs w:val="24"/>
        </w:rPr>
        <w:t xml:space="preserve"> </w:t>
      </w:r>
      <w:r>
        <w:rPr>
          <w:rFonts w:ascii="David" w:eastAsia="Times New Roman" w:hAnsi="David" w:cs="David"/>
          <w:sz w:val="24"/>
          <w:szCs w:val="24"/>
          <w:rtl/>
        </w:rPr>
        <w:t>בתוספת וס"ר ספציפי נפרד .</w:t>
      </w:r>
      <w:r w:rsidR="00A040D5">
        <w:rPr>
          <w:rFonts w:ascii="David" w:eastAsia="Times New Roman" w:hAnsi="David" w:cs="David" w:hint="cs"/>
          <w:sz w:val="24"/>
          <w:szCs w:val="24"/>
          <w:rtl/>
        </w:rPr>
        <w:t xml:space="preserve"> אם האם של התובע תבחר לחתום על וס"ר יש להתייחס במפורש לויתור על המידע הגנטי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למעלה מהצורך אציין שבמקום  שבו מובעת  התנגדות למסירת מידע או חלקו </w:t>
      </w:r>
      <w:r>
        <w:rPr>
          <w:rFonts w:ascii="David" w:eastAsia="Times New Roman" w:hAnsi="David" w:cs="David"/>
          <w:sz w:val="24"/>
          <w:szCs w:val="24"/>
        </w:rPr>
        <w:t xml:space="preserve"> </w:t>
      </w:r>
      <w:r>
        <w:rPr>
          <w:rFonts w:ascii="David" w:eastAsia="Times New Roman" w:hAnsi="David" w:cs="David"/>
          <w:sz w:val="24"/>
          <w:szCs w:val="24"/>
          <w:rtl/>
        </w:rPr>
        <w:t xml:space="preserve">היא תיבחן לפי  העמדה הנוהגת בענין הגילוי  וגם לנוכח נוסחת האיזון שבגדר  סעיף 49 לפקודת הראיות  לא אחת  ניתן יהיה לחייבו לחתום על וס"ר מתאים  שגם לגביו ניתן לצמצם את המידע הגנטי שאכן נדרש בשים לב לדרישת המידתיות בפגיעה בפרטיות   . </w:t>
      </w:r>
    </w:p>
    <w:p w:rsidR="006A0191" w:rsidRDefault="006A0191" w:rsidP="006A0191">
      <w:pPr>
        <w:pStyle w:val="af1"/>
        <w:spacing w:after="0" w:line="240" w:lineRule="auto"/>
        <w:ind w:left="360"/>
        <w:rPr>
          <w:rStyle w:val="20"/>
          <w:rFonts w:ascii="David" w:hAnsi="David" w:cs="David"/>
          <w:rtl/>
        </w:rPr>
      </w:pPr>
    </w:p>
    <w:p w:rsidR="006A0191" w:rsidRDefault="006A0191" w:rsidP="006A0191">
      <w:pPr>
        <w:pStyle w:val="2"/>
        <w:spacing w:line="240" w:lineRule="auto"/>
        <w:jc w:val="both"/>
        <w:rPr>
          <w:rFonts w:eastAsia="Times New Roman"/>
          <w:b/>
          <w:bCs/>
          <w:sz w:val="24"/>
          <w:szCs w:val="24"/>
          <w:u w:val="single"/>
          <w:rtl/>
        </w:rPr>
      </w:pPr>
      <w:bookmarkStart w:id="26" w:name="_Toc112170776"/>
      <w:bookmarkStart w:id="27" w:name="_Toc113804944"/>
      <w:r>
        <w:rPr>
          <w:rFonts w:ascii="David" w:eastAsia="Times New Roman" w:hAnsi="David" w:cs="David"/>
          <w:sz w:val="24"/>
          <w:szCs w:val="24"/>
          <w:u w:val="single"/>
          <w:rtl/>
        </w:rPr>
        <w:t>ה(3)</w:t>
      </w:r>
      <w:r>
        <w:rPr>
          <w:rFonts w:ascii="David" w:eastAsia="Times New Roman" w:hAnsi="David" w:cs="David"/>
          <w:sz w:val="24"/>
          <w:szCs w:val="24"/>
          <w:u w:val="single"/>
        </w:rPr>
        <w:t xml:space="preserve"> </w:t>
      </w:r>
      <w:r>
        <w:rPr>
          <w:rFonts w:ascii="David" w:eastAsia="Times New Roman" w:hAnsi="David" w:cs="David"/>
          <w:sz w:val="24"/>
          <w:szCs w:val="24"/>
          <w:u w:val="single"/>
          <w:rtl/>
        </w:rPr>
        <w:t xml:space="preserve"> מסירת המידע הגנטי מחייבת את הסרת החיסיון הסטטוטורי היחסי על עדות רופא</w:t>
      </w:r>
      <w:bookmarkEnd w:id="26"/>
      <w:bookmarkEnd w:id="27"/>
      <w:r>
        <w:rPr>
          <w:rFonts w:ascii="David" w:eastAsia="Times New Roman" w:hAnsi="David" w:cs="David"/>
          <w:b/>
          <w:bCs/>
          <w:sz w:val="24"/>
          <w:szCs w:val="24"/>
          <w:u w:val="single"/>
          <w:rtl/>
        </w:rPr>
        <w:t xml:space="preserve"> </w:t>
      </w:r>
    </w:p>
    <w:p w:rsidR="006A0191" w:rsidRDefault="006A0191" w:rsidP="006A0191">
      <w:pPr>
        <w:pStyle w:val="2"/>
        <w:spacing w:line="240" w:lineRule="auto"/>
        <w:jc w:val="both"/>
        <w:rPr>
          <w:rFonts w:ascii="David" w:eastAsia="Times New Roman" w:hAnsi="David" w:cs="David"/>
          <w:b/>
          <w:bCs/>
          <w:sz w:val="24"/>
          <w:szCs w:val="24"/>
          <w:u w:val="single"/>
          <w:rtl/>
        </w:rPr>
      </w:pP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הנתבעת מבקשת שהבן ימציא וס"ר חתום על ידי האם .החתימה, על וס"ר  נדרשת וחשובה , כי החותם עליו  מוותר מכוחו על חיסיון הרפואי שמקים לטובתו  סעיף 49 ל</w:t>
      </w:r>
      <w:r>
        <w:rPr>
          <w:rFonts w:ascii="David" w:eastAsia="Times New Roman" w:hAnsi="David" w:cs="David" w:hint="cs"/>
          <w:b/>
          <w:bCs/>
          <w:sz w:val="24"/>
          <w:szCs w:val="24"/>
          <w:rtl/>
        </w:rPr>
        <w:t>פקודת הראיות [נוסח חדש], התשל"ה-:</w:t>
      </w:r>
      <w:r>
        <w:rPr>
          <w:rFonts w:ascii="David" w:eastAsia="Times New Roman" w:hAnsi="David" w:cs="David" w:hint="cs"/>
          <w:sz w:val="24"/>
          <w:szCs w:val="24"/>
          <w:rtl/>
        </w:rPr>
        <w:t xml:space="preserve"> 1971 ( לעיל להלן :"</w:t>
      </w:r>
      <w:r>
        <w:rPr>
          <w:rFonts w:ascii="David" w:eastAsia="Times New Roman" w:hAnsi="David" w:cs="David" w:hint="cs"/>
          <w:b/>
          <w:bCs/>
          <w:sz w:val="24"/>
          <w:szCs w:val="24"/>
          <w:rtl/>
        </w:rPr>
        <w:t xml:space="preserve">פקודת הראיות") </w:t>
      </w:r>
      <w:r>
        <w:rPr>
          <w:rFonts w:ascii="David" w:eastAsia="Times New Roman" w:hAnsi="David" w:cs="David" w:hint="cs"/>
          <w:sz w:val="24"/>
          <w:szCs w:val="24"/>
          <w:rtl/>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אזכיר שסעיף 49 מורה כדלהלן:</w:t>
      </w:r>
    </w:p>
    <w:p w:rsidR="006A0191" w:rsidRDefault="006A0191" w:rsidP="006A0191">
      <w:pPr>
        <w:pStyle w:val="af1"/>
        <w:spacing w:after="0" w:line="240" w:lineRule="auto"/>
        <w:jc w:val="both"/>
        <w:rPr>
          <w:rFonts w:ascii="David" w:eastAsia="Times New Roman" w:hAnsi="David" w:cs="David"/>
          <w:b/>
          <w:bCs/>
          <w:sz w:val="24"/>
          <w:szCs w:val="24"/>
        </w:rPr>
      </w:pPr>
      <w:r>
        <w:rPr>
          <w:rFonts w:ascii="David" w:eastAsia="Times New Roman" w:hAnsi="David" w:cs="David"/>
          <w:sz w:val="24"/>
          <w:szCs w:val="24"/>
          <w:rtl/>
        </w:rPr>
        <w:t>"</w:t>
      </w:r>
      <w:r>
        <w:rPr>
          <w:rFonts w:ascii="David" w:eastAsia="Times New Roman" w:hAnsi="David" w:cs="David"/>
          <w:b/>
          <w:bCs/>
          <w:sz w:val="24"/>
          <w:szCs w:val="24"/>
          <w:rtl/>
        </w:rPr>
        <w:t>עדות רופא  49 א) רופא אינו חייב למסור ראיה על דבר הנוגע לאדם שנזקק לשירותו והדבר הגיע אליו תוך עבודתו כרופא והוא מן הדברים שלפי טיבם נמסרים לרופא בדרך כלל מתוך אמון שישמרם בסוד, אלא אם ויתר האדם על החסיון או שמצא בית המשפט כי הצורך לגלות את הראיה לשם עשיית צדק עדיף מן הענין שיש לא לגלותה; והוא הדין באדם שאגב עבודתו בשירות הרופא או בשירותו של מוסד רפואי או בצוות המקצועי העובד עם הרופא, תוך טיפול בחולים, הגיע אליו דבר שנמסר לרופא.</w:t>
      </w:r>
    </w:p>
    <w:p w:rsidR="006A0191" w:rsidRDefault="006A0191" w:rsidP="006A0191">
      <w:pPr>
        <w:pStyle w:val="af1"/>
        <w:spacing w:after="0" w:line="240" w:lineRule="auto"/>
        <w:jc w:val="both"/>
        <w:rPr>
          <w:rFonts w:ascii="David" w:eastAsia="Times New Roman" w:hAnsi="David" w:cs="David"/>
          <w:b/>
          <w:bCs/>
          <w:sz w:val="24"/>
          <w:szCs w:val="24"/>
          <w:rtl/>
        </w:rPr>
      </w:pPr>
      <w:r>
        <w:rPr>
          <w:rFonts w:ascii="David" w:eastAsia="Times New Roman" w:hAnsi="David" w:cs="David"/>
          <w:b/>
          <w:bCs/>
          <w:sz w:val="24"/>
          <w:szCs w:val="24"/>
          <w:rtl/>
        </w:rPr>
        <w:t>(ב) הוראות סעיף קטן (א) יחולו גם לאחר שחדל העד להיות רופא או לעבוד כאמור בסיפה לסעיף קטן (א).</w:t>
      </w:r>
    </w:p>
    <w:p w:rsidR="006A0191" w:rsidRDefault="006A0191" w:rsidP="006A0191">
      <w:pPr>
        <w:pStyle w:val="af1"/>
        <w:spacing w:after="0" w:line="240" w:lineRule="auto"/>
        <w:jc w:val="both"/>
        <w:rPr>
          <w:rFonts w:ascii="David" w:eastAsia="Times New Roman" w:hAnsi="David" w:cs="David"/>
          <w:sz w:val="24"/>
          <w:szCs w:val="24"/>
          <w:rtl/>
        </w:rPr>
      </w:pPr>
      <w:r>
        <w:rPr>
          <w:rFonts w:ascii="David" w:eastAsia="Times New Roman" w:hAnsi="David" w:cs="David"/>
          <w:b/>
          <w:bCs/>
          <w:sz w:val="24"/>
          <w:szCs w:val="24"/>
          <w:rtl/>
        </w:rPr>
        <w:t>(ג) נטען חסיון לפי סעיף זה, יהיה הדיון בטענה בדלתיים סגורות; החליט בית המשפט לשמוע את העדות, רשאי הוא לשמעה בדלתיים סגורות."</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rtl/>
        </w:rPr>
        <w:t xml:space="preserve"> כעולה מלשון סעיף  49 (א)</w:t>
      </w:r>
      <w:r>
        <w:rPr>
          <w:rFonts w:ascii="David" w:eastAsia="Times New Roman" w:hAnsi="David" w:cs="David"/>
          <w:sz w:val="24"/>
          <w:szCs w:val="24"/>
        </w:rPr>
        <w:t xml:space="preserve">  </w:t>
      </w:r>
      <w:r>
        <w:rPr>
          <w:rFonts w:ascii="David" w:eastAsia="Times New Roman" w:hAnsi="David" w:cs="David"/>
          <w:sz w:val="24"/>
          <w:szCs w:val="24"/>
          <w:rtl/>
        </w:rPr>
        <w:t xml:space="preserve">המדובר בחיסיון סטטוטורי  יחסי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מכוח  החיסיון ניתן בבית המשפט לרופא או לנותן שרות אחר שנזכר בסעיף הפטור  מלגלות  המידע  הנוגע למטופל כמתואר בסעיף.  עם בעל המקצוע הזה  משוחח המטופל בחופשיות לפרקים באינטימיות ומידע רב מגיע לידיעתו . בלעדי החיסיון,  מסתבר שלא היה די בהוראות הסודיות </w:t>
      </w:r>
      <w:r>
        <w:rPr>
          <w:rFonts w:ascii="David" w:eastAsia="Times New Roman" w:hAnsi="David" w:cs="David" w:hint="cs"/>
          <w:b/>
          <w:bCs/>
          <w:sz w:val="24"/>
          <w:szCs w:val="24"/>
          <w:rtl/>
        </w:rPr>
        <w:t>שבחוק זכויות החולה</w:t>
      </w:r>
      <w:r>
        <w:rPr>
          <w:rFonts w:ascii="David" w:eastAsia="Times New Roman" w:hAnsi="David" w:cs="David" w:hint="cs"/>
          <w:sz w:val="24"/>
          <w:szCs w:val="24"/>
          <w:rtl/>
        </w:rPr>
        <w:t xml:space="preserve"> . זאת, כי תכלית הוראות הסודיות , היא למנוע את חשיפת המידע הסודי לציבור או לצדדים שלישיים עד לנקודת הזמן שבה קיים דין המבטלן שבגדרו הוראות הגילוי והעיון בתקנות ובס'  1 לפקודת הראיות. על כך ראו  כב' השופט עמית </w:t>
      </w:r>
      <w:r>
        <w:rPr>
          <w:rFonts w:ascii="David" w:eastAsia="Times New Roman" w:hAnsi="David" w:cs="David" w:hint="cs"/>
          <w:b/>
          <w:bCs/>
          <w:sz w:val="24"/>
          <w:szCs w:val="24"/>
          <w:rtl/>
        </w:rPr>
        <w:t xml:space="preserve">בענין יוחנן </w:t>
      </w:r>
      <w:r>
        <w:rPr>
          <w:rFonts w:ascii="David" w:eastAsia="Times New Roman" w:hAnsi="David" w:cs="David" w:hint="cs"/>
          <w:sz w:val="24"/>
          <w:szCs w:val="24"/>
          <w:rtl/>
        </w:rPr>
        <w:t xml:space="preserve"> וכן השוו ב</w:t>
      </w:r>
      <w:r>
        <w:rPr>
          <w:rFonts w:ascii="David" w:eastAsia="Times New Roman" w:hAnsi="David" w:cs="David" w:hint="cs"/>
          <w:b/>
          <w:bCs/>
          <w:sz w:val="24"/>
          <w:szCs w:val="24"/>
          <w:rtl/>
        </w:rPr>
        <w:t xml:space="preserve">יצחק עמית חסיונות ואינטרסים </w:t>
      </w:r>
      <w:r>
        <w:rPr>
          <w:rFonts w:ascii="David" w:eastAsia="Times New Roman" w:hAnsi="David" w:cs="David" w:hint="cs"/>
          <w:sz w:val="24"/>
          <w:szCs w:val="24"/>
          <w:rtl/>
        </w:rPr>
        <w:t xml:space="preserve">  408-409 </w:t>
      </w:r>
      <w:r>
        <w:rPr>
          <w:rFonts w:ascii="David" w:eastAsia="Times New Roman" w:hAnsi="David" w:cs="David" w:hint="cs"/>
          <w:b/>
          <w:bCs/>
          <w:sz w:val="24"/>
          <w:szCs w:val="24"/>
          <w:rtl/>
        </w:rPr>
        <w:t xml:space="preserve">:״ בשורה התחתונה: חובת סודיות המוטלת על אדם אם מכוח הדין, מכוח כללי אתיקה או מכוח –הסכמה חוזית </w:t>
      </w:r>
      <w:r>
        <w:rPr>
          <w:rFonts w:ascii="David" w:eastAsia="Times New Roman" w:hAnsi="David" w:cs="David" w:hint="cs"/>
          <w:b/>
          <w:bCs/>
          <w:sz w:val="24"/>
          <w:szCs w:val="24"/>
          <w:rtl/>
        </w:rPr>
        <w:lastRenderedPageBreak/>
        <w:t xml:space="preserve">אינה עומדת בפני דרישה חוקית למסור עדות או מסמכים במהלך הליך שיפוטי. לכן, –בהליכי גילוי ועיון במסגרת הליך אזרחי או פלילי עשוי בית המשפט לכפות מסירת מסמך או מידע".   </w:t>
      </w:r>
      <w:r>
        <w:rPr>
          <w:rFonts w:ascii="David" w:eastAsia="Times New Roman" w:hAnsi="David" w:cs="David" w:hint="cs"/>
          <w:sz w:val="24"/>
          <w:szCs w:val="24"/>
          <w:rtl/>
        </w:rPr>
        <w:t xml:space="preserve"> </w:t>
      </w:r>
    </w:p>
    <w:p w:rsidR="006A0191" w:rsidRDefault="006A0191" w:rsidP="006A0191">
      <w:pPr>
        <w:autoSpaceDE w:val="0"/>
        <w:autoSpaceDN w:val="0"/>
        <w:bidi w:val="0"/>
        <w:adjustRightInd w:val="0"/>
        <w:rPr>
          <w:rFonts w:ascii="David" w:hAnsi="David"/>
        </w:rPr>
      </w:pPr>
      <w:r>
        <w:rPr>
          <w:rFonts w:ascii="David" w:hAnsi="David"/>
          <w:rtl/>
        </w:rPr>
        <w:t xml:space="preserve"> </w:t>
      </w:r>
    </w:p>
    <w:p w:rsidR="006A0191" w:rsidRDefault="006A0191" w:rsidP="00CB4E3A">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המידע גנטי הוא ככלל  לטעמי </w:t>
      </w:r>
      <w:r>
        <w:rPr>
          <w:rFonts w:ascii="David" w:eastAsia="Times New Roman" w:hAnsi="David" w:cs="David"/>
          <w:b/>
          <w:bCs/>
          <w:sz w:val="24"/>
          <w:szCs w:val="24"/>
          <w:rtl/>
        </w:rPr>
        <w:t>במובהק</w:t>
      </w:r>
      <w:r>
        <w:rPr>
          <w:rFonts w:ascii="David" w:eastAsia="Times New Roman" w:hAnsi="David" w:cs="David"/>
          <w:sz w:val="24"/>
          <w:szCs w:val="24"/>
          <w:rtl/>
        </w:rPr>
        <w:t xml:space="preserve"> " </w:t>
      </w:r>
      <w:r>
        <w:rPr>
          <w:rFonts w:ascii="David" w:eastAsia="Times New Roman" w:hAnsi="David" w:cs="David"/>
          <w:b/>
          <w:bCs/>
          <w:sz w:val="24"/>
          <w:szCs w:val="24"/>
          <w:rtl/>
        </w:rPr>
        <w:t>מן הדברים  שלפי טיבם נמסרים לרופא בדרך כלל מתוך אמון שישמרם בסוד</w:t>
      </w:r>
      <w:r>
        <w:rPr>
          <w:rFonts w:ascii="David" w:eastAsia="Times New Roman" w:hAnsi="David" w:cs="David"/>
          <w:sz w:val="24"/>
          <w:szCs w:val="24"/>
          <w:rtl/>
        </w:rPr>
        <w:t xml:space="preserve">" ולפיכך חסוי. ניתן לומר שהמידע גנטי, כשלעצמו , כנקודת מוצא לפי טיבו,  לא אחת לא גלוי לעין לא מקצועית.  זאת  להבדיל,  מסימני המחלה הגלויה שהאדם מטופל בגינה . למידע הגנטי, מאפיינים מיוחדים הואיל ויתכן ש"מגולם" בו  מידע  סמוי </w:t>
      </w:r>
      <w:r w:rsidR="00CB4E3A">
        <w:rPr>
          <w:rFonts w:ascii="David" w:eastAsia="Times New Roman" w:hAnsi="David" w:cs="David" w:hint="cs"/>
          <w:sz w:val="24"/>
          <w:szCs w:val="24"/>
          <w:rtl/>
        </w:rPr>
        <w:t>ו</w:t>
      </w:r>
      <w:r w:rsidR="00C476F9">
        <w:rPr>
          <w:rFonts w:ascii="David" w:eastAsia="Times New Roman" w:hAnsi="David" w:cs="David" w:hint="cs"/>
          <w:sz w:val="24"/>
          <w:szCs w:val="24"/>
          <w:rtl/>
        </w:rPr>
        <w:t>רב ע</w:t>
      </w:r>
      <w:r>
        <w:rPr>
          <w:rFonts w:ascii="David" w:eastAsia="Times New Roman" w:hAnsi="David" w:cs="David"/>
          <w:sz w:val="24"/>
          <w:szCs w:val="24"/>
          <w:rtl/>
        </w:rPr>
        <w:t xml:space="preserve">ל </w:t>
      </w:r>
      <w:r w:rsidR="00CB4E3A">
        <w:rPr>
          <w:rFonts w:ascii="David" w:eastAsia="Times New Roman" w:hAnsi="David" w:cs="David" w:hint="cs"/>
          <w:sz w:val="24"/>
          <w:szCs w:val="24"/>
          <w:rtl/>
        </w:rPr>
        <w:t>ה</w:t>
      </w:r>
      <w:r>
        <w:rPr>
          <w:rFonts w:ascii="David" w:eastAsia="Times New Roman" w:hAnsi="David" w:cs="David"/>
          <w:sz w:val="24"/>
          <w:szCs w:val="24"/>
          <w:rtl/>
        </w:rPr>
        <w:t xml:space="preserve">אדם שנחשף </w:t>
      </w:r>
      <w:r w:rsidR="00C476F9">
        <w:rPr>
          <w:rFonts w:ascii="David" w:eastAsia="Times New Roman" w:hAnsi="David" w:cs="David" w:hint="cs"/>
          <w:sz w:val="24"/>
          <w:szCs w:val="24"/>
          <w:rtl/>
        </w:rPr>
        <w:t xml:space="preserve">ומפוענח  </w:t>
      </w:r>
      <w:r>
        <w:rPr>
          <w:rFonts w:ascii="David" w:eastAsia="Times New Roman" w:hAnsi="David" w:cs="David"/>
          <w:sz w:val="24"/>
          <w:szCs w:val="24"/>
          <w:rtl/>
        </w:rPr>
        <w:t xml:space="preserve">בהדרגה הודות להתפתחויות טכנולוגיות וביולוגיות בחקר הגנום .  </w:t>
      </w:r>
      <w:r w:rsidR="00CB4E3A">
        <w:rPr>
          <w:rFonts w:ascii="David" w:eastAsia="Times New Roman" w:hAnsi="David" w:cs="David" w:hint="cs"/>
          <w:sz w:val="24"/>
          <w:szCs w:val="24"/>
          <w:rtl/>
        </w:rPr>
        <w:t>ה</w:t>
      </w:r>
      <w:r>
        <w:rPr>
          <w:rFonts w:ascii="David" w:eastAsia="Times New Roman" w:hAnsi="David" w:cs="David"/>
          <w:sz w:val="24"/>
          <w:szCs w:val="24"/>
          <w:rtl/>
        </w:rPr>
        <w:t xml:space="preserve">מידע גנטי עלול לכלול מידע פוטנציאלי </w:t>
      </w:r>
      <w:r w:rsidR="00C476F9">
        <w:rPr>
          <w:rFonts w:ascii="David" w:eastAsia="Times New Roman" w:hAnsi="David" w:cs="David" w:hint="cs"/>
          <w:sz w:val="24"/>
          <w:szCs w:val="24"/>
          <w:rtl/>
        </w:rPr>
        <w:t xml:space="preserve">על היבטים אישים ולעיתים משפחתיים ולפרקים על "גולגולת דקה" שהאדם </w:t>
      </w:r>
      <w:r>
        <w:rPr>
          <w:rFonts w:ascii="David" w:eastAsia="Times New Roman" w:hAnsi="David" w:cs="David"/>
          <w:sz w:val="24"/>
          <w:szCs w:val="24"/>
          <w:rtl/>
        </w:rPr>
        <w:t xml:space="preserve"> אינו מעונין לחשוף על עצמו לרעהו.</w:t>
      </w:r>
      <w:r w:rsidR="00CB4E3A">
        <w:rPr>
          <w:rFonts w:ascii="David" w:eastAsia="Times New Roman" w:hAnsi="David" w:cs="David" w:hint="cs"/>
          <w:sz w:val="24"/>
          <w:szCs w:val="24"/>
          <w:rtl/>
        </w:rPr>
        <w:t xml:space="preserve"> הידיעה אודות נשאות עשויה לסייע למניעה או לטיפול  אך מעוררת כעולה מ</w:t>
      </w:r>
      <w:r w:rsidR="00C476F9" w:rsidRPr="00CB4E3A">
        <w:rPr>
          <w:rFonts w:ascii="David" w:eastAsia="Times New Roman" w:hAnsi="David" w:cs="David" w:hint="cs"/>
          <w:sz w:val="24"/>
          <w:szCs w:val="24"/>
          <w:rtl/>
        </w:rPr>
        <w:t xml:space="preserve">הצעת החוק </w:t>
      </w:r>
      <w:r w:rsidR="00CB4E3A" w:rsidRPr="00CB4E3A">
        <w:rPr>
          <w:rFonts w:ascii="David" w:eastAsia="Times New Roman" w:hAnsi="David" w:cs="David" w:hint="cs"/>
          <w:sz w:val="24"/>
          <w:szCs w:val="24"/>
          <w:rtl/>
        </w:rPr>
        <w:t xml:space="preserve"> </w:t>
      </w:r>
      <w:r w:rsidRPr="00CB4E3A">
        <w:rPr>
          <w:rFonts w:ascii="David" w:eastAsia="Times New Roman" w:hAnsi="David" w:cs="David"/>
          <w:sz w:val="24"/>
          <w:szCs w:val="24"/>
          <w:rtl/>
        </w:rPr>
        <w:t xml:space="preserve"> </w:t>
      </w:r>
      <w:r w:rsidR="0042302A" w:rsidRPr="00CB4E3A">
        <w:rPr>
          <w:rFonts w:ascii="David" w:eastAsia="Times New Roman" w:hAnsi="David" w:cs="David" w:hint="cs"/>
          <w:sz w:val="24"/>
          <w:szCs w:val="24"/>
          <w:rtl/>
        </w:rPr>
        <w:t xml:space="preserve">חשש </w:t>
      </w:r>
      <w:r w:rsidRPr="00CB4E3A">
        <w:rPr>
          <w:rFonts w:ascii="David" w:eastAsia="Times New Roman" w:hAnsi="David" w:cs="David"/>
          <w:sz w:val="24"/>
          <w:szCs w:val="24"/>
          <w:rtl/>
        </w:rPr>
        <w:t>מ</w:t>
      </w:r>
      <w:r w:rsidR="00CB4E3A" w:rsidRPr="00CB4E3A">
        <w:rPr>
          <w:rFonts w:ascii="David" w:eastAsia="Times New Roman" w:hAnsi="David" w:cs="David" w:hint="cs"/>
          <w:sz w:val="24"/>
          <w:szCs w:val="24"/>
          <w:rtl/>
        </w:rPr>
        <w:t xml:space="preserve">הטבעת </w:t>
      </w:r>
      <w:r w:rsidRPr="00CB4E3A">
        <w:rPr>
          <w:rFonts w:ascii="David" w:eastAsia="Times New Roman" w:hAnsi="David" w:cs="David"/>
          <w:sz w:val="24"/>
          <w:szCs w:val="24"/>
          <w:rtl/>
        </w:rPr>
        <w:t>סטיגמה או חשש מאפליה  חלילה</w:t>
      </w:r>
      <w:r w:rsidR="00CB4E3A" w:rsidRPr="00CB4E3A">
        <w:rPr>
          <w:rFonts w:ascii="David" w:eastAsia="Times New Roman" w:hAnsi="David" w:cs="David" w:hint="cs"/>
          <w:sz w:val="24"/>
          <w:szCs w:val="24"/>
          <w:rtl/>
        </w:rPr>
        <w:t>.</w:t>
      </w:r>
      <w:r w:rsidRPr="00CB4E3A">
        <w:rPr>
          <w:rFonts w:ascii="David" w:eastAsia="Times New Roman" w:hAnsi="David" w:cs="David"/>
          <w:sz w:val="24"/>
          <w:szCs w:val="24"/>
          <w:rtl/>
        </w:rPr>
        <w:t xml:space="preserve">   (</w:t>
      </w:r>
      <w:r w:rsidRPr="00CB4E3A">
        <w:rPr>
          <w:rFonts w:ascii="David" w:eastAsia="Times New Roman" w:hAnsi="David" w:cs="David"/>
          <w:sz w:val="24"/>
          <w:szCs w:val="24"/>
        </w:rPr>
        <w:t xml:space="preserve"> </w:t>
      </w:r>
      <w:r w:rsidRPr="00CB4E3A">
        <w:rPr>
          <w:rFonts w:ascii="David" w:eastAsia="Times New Roman" w:hAnsi="David" w:cs="David"/>
          <w:sz w:val="24"/>
          <w:szCs w:val="24"/>
          <w:rtl/>
        </w:rPr>
        <w:t>השוו לדברי ההסבר ל</w:t>
      </w:r>
      <w:r w:rsidRPr="00CB4E3A">
        <w:rPr>
          <w:rFonts w:ascii="David" w:eastAsia="Times New Roman" w:hAnsi="David" w:cs="David"/>
          <w:b/>
          <w:bCs/>
          <w:sz w:val="24"/>
          <w:szCs w:val="24"/>
          <w:rtl/>
        </w:rPr>
        <w:t>הצעת חוק   ההגנה על מידע</w:t>
      </w:r>
      <w:r>
        <w:rPr>
          <w:rFonts w:ascii="David" w:eastAsia="Times New Roman" w:hAnsi="David" w:cs="David"/>
          <w:b/>
          <w:bCs/>
          <w:sz w:val="24"/>
          <w:szCs w:val="24"/>
          <w:rtl/>
        </w:rPr>
        <w:t xml:space="preserve"> גנטי התשנ"ט </w:t>
      </w:r>
      <w:r>
        <w:rPr>
          <w:rFonts w:ascii="David" w:eastAsia="Times New Roman" w:hAnsi="David" w:cs="David"/>
          <w:sz w:val="24"/>
          <w:szCs w:val="24"/>
          <w:rtl/>
        </w:rPr>
        <w:t xml:space="preserve">-1998  הצעות חוק 2784  30.12.98) אגב, </w:t>
      </w:r>
      <w:r>
        <w:rPr>
          <w:rFonts w:ascii="David" w:eastAsia="Times New Roman" w:hAnsi="David" w:cs="David"/>
          <w:sz w:val="24"/>
          <w:szCs w:val="24"/>
        </w:rPr>
        <w:t xml:space="preserve"> </w:t>
      </w:r>
      <w:r>
        <w:rPr>
          <w:rFonts w:ascii="David" w:eastAsia="Times New Roman" w:hAnsi="David" w:cs="David"/>
          <w:sz w:val="24"/>
          <w:szCs w:val="24"/>
          <w:rtl/>
        </w:rPr>
        <w:t>יתכן שבמסירת מידע גנטי  מגולם מידע החורג מהנחוץ להליך המסוים,</w:t>
      </w:r>
      <w:r>
        <w:rPr>
          <w:rFonts w:ascii="David" w:eastAsia="Times New Roman" w:hAnsi="David" w:cs="David"/>
          <w:sz w:val="24"/>
          <w:szCs w:val="24"/>
        </w:rPr>
        <w:t xml:space="preserve"> </w:t>
      </w:r>
      <w:r>
        <w:rPr>
          <w:rFonts w:ascii="David" w:eastAsia="Times New Roman" w:hAnsi="David" w:cs="David"/>
          <w:sz w:val="24"/>
          <w:szCs w:val="24"/>
          <w:rtl/>
        </w:rPr>
        <w:t xml:space="preserve">וגם מסיבה זאת יש לדייק בנחוץ למסור . </w:t>
      </w:r>
    </w:p>
    <w:p w:rsidR="006A0191" w:rsidRDefault="00F127B0" w:rsidP="006A0191">
      <w:pPr>
        <w:pStyle w:val="af1"/>
        <w:spacing w:after="0" w:line="240" w:lineRule="auto"/>
        <w:ind w:left="360"/>
        <w:jc w:val="both"/>
        <w:rPr>
          <w:rFonts w:ascii="David" w:eastAsia="Times New Roman" w:hAnsi="David" w:cs="David"/>
          <w:sz w:val="24"/>
          <w:szCs w:val="24"/>
        </w:rPr>
      </w:pPr>
      <w:r>
        <w:rPr>
          <w:rFonts w:ascii="David" w:eastAsia="Times New Roman" w:hAnsi="David" w:cs="David" w:hint="cs"/>
          <w:sz w:val="24"/>
          <w:szCs w:val="24"/>
          <w:rtl/>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גם לצורך המידע הגנטי אזכיר שבגוף סעיף  49 לפקודת הראיות כתובות שתי דרכים להסרת חיסיון  :</w:t>
      </w:r>
    </w:p>
    <w:p w:rsidR="006A0191" w:rsidRDefault="006A0191" w:rsidP="00520739">
      <w:pPr>
        <w:pStyle w:val="af1"/>
        <w:numPr>
          <w:ilvl w:val="1"/>
          <w:numId w:val="3"/>
        </w:numPr>
        <w:spacing w:after="0" w:line="240" w:lineRule="auto"/>
        <w:jc w:val="both"/>
        <w:rPr>
          <w:rFonts w:ascii="David" w:eastAsia="Times New Roman" w:hAnsi="David" w:cs="David"/>
          <w:sz w:val="24"/>
          <w:szCs w:val="24"/>
          <w:highlight w:val="yellow"/>
        </w:rPr>
      </w:pPr>
      <w:r w:rsidRPr="00F127B0">
        <w:rPr>
          <w:rFonts w:ascii="David" w:eastAsia="Times New Roman" w:hAnsi="David" w:cs="David"/>
          <w:sz w:val="24"/>
          <w:szCs w:val="24"/>
          <w:rtl/>
        </w:rPr>
        <w:t xml:space="preserve">הדרך הראשונה והראשית להסרת  החיסיון ,היא ויתור של "האדם"  על החיסיון. </w:t>
      </w:r>
      <w:r w:rsidR="00520739" w:rsidRPr="00F127B0">
        <w:rPr>
          <w:rFonts w:ascii="David" w:eastAsia="Times New Roman" w:hAnsi="David" w:cs="David" w:hint="cs"/>
          <w:sz w:val="24"/>
          <w:szCs w:val="24"/>
          <w:rtl/>
        </w:rPr>
        <w:t xml:space="preserve">וניתן לחתום </w:t>
      </w:r>
      <w:r w:rsidRPr="00F127B0">
        <w:rPr>
          <w:rFonts w:ascii="David" w:eastAsia="Times New Roman" w:hAnsi="David" w:cs="David"/>
          <w:sz w:val="24"/>
          <w:szCs w:val="24"/>
          <w:rtl/>
        </w:rPr>
        <w:t xml:space="preserve"> על וס״ר מתאים</w:t>
      </w:r>
      <w:r w:rsidR="00520739" w:rsidRPr="00F127B0">
        <w:rPr>
          <w:rFonts w:ascii="David" w:eastAsia="Times New Roman" w:hAnsi="David" w:cs="David" w:hint="cs"/>
          <w:sz w:val="24"/>
          <w:szCs w:val="24"/>
          <w:rtl/>
        </w:rPr>
        <w:t xml:space="preserve"> </w:t>
      </w:r>
      <w:r w:rsidRPr="00F127B0">
        <w:rPr>
          <w:rFonts w:ascii="David" w:eastAsia="Times New Roman" w:hAnsi="David" w:cs="David"/>
          <w:sz w:val="24"/>
          <w:szCs w:val="24"/>
          <w:rtl/>
        </w:rPr>
        <w:t>.הויתור של האדם עצמו היא דרך  ראשית ועדיפה להסרת חיסיון  כי  היא  המתיישבת עם כבוד האדם</w:t>
      </w:r>
      <w:r>
        <w:rPr>
          <w:rFonts w:ascii="David" w:eastAsia="Times New Roman" w:hAnsi="David" w:cs="David"/>
          <w:sz w:val="24"/>
          <w:szCs w:val="24"/>
          <w:rtl/>
        </w:rPr>
        <w:t xml:space="preserve">,  ועם  האוטונומיה שלו .אולם, ויתור של האדם עצמו ומרצונו  אינה הדרך הבלעדית להסרת החיסיון. </w:t>
      </w:r>
      <w:r w:rsidRPr="00520739">
        <w:rPr>
          <w:rFonts w:ascii="David" w:eastAsia="Times New Roman" w:hAnsi="David" w:cs="David"/>
          <w:sz w:val="24"/>
          <w:szCs w:val="24"/>
          <w:rtl/>
        </w:rPr>
        <w:t>האדם בו עוסק הסעיף הוא האדם שנזקק לשירות הרופא ושעליו הגיע לרופא הראיה .  נקודת המוצא היא שכל אדם סוברני  לגבי עצמו ובן לא יכול לותר בשם אימו.</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הדרך השנייה להסרת החיסיון,  היא על פי החלטת בית המשפט  בלשון הסעיף  אם " ..</w:t>
      </w:r>
      <w:r>
        <w:rPr>
          <w:rFonts w:ascii="David" w:eastAsia="Times New Roman" w:hAnsi="David" w:cs="David"/>
          <w:b/>
          <w:bCs/>
          <w:sz w:val="24"/>
          <w:szCs w:val="24"/>
          <w:rtl/>
        </w:rPr>
        <w:t xml:space="preserve"> מצא בית המשפט כי הצורך לגלות את הראיה לשם עשיית צדק עדיף מן הענין שיש לא לגלותה</w:t>
      </w:r>
      <w:r>
        <w:rPr>
          <w:rFonts w:ascii="David" w:eastAsia="Times New Roman" w:hAnsi="David" w:cs="David"/>
          <w:sz w:val="24"/>
          <w:szCs w:val="24"/>
          <w:rtl/>
        </w:rPr>
        <w:t>"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הנוסח זה בסעיף 49  מבטא   צורך "לאזן בין אינטרסים שונים (של הפרטים בינם לבין עצמם, ובין אינטרס הפרט לאינטרס הכלל) "בגדריו של "השיקול הקונקרטי "בנסיבות העניין.  השוו כב'  השופט ברק ברע"א 6546/94 </w:t>
      </w:r>
      <w:r>
        <w:rPr>
          <w:rFonts w:ascii="David" w:eastAsia="Times New Roman" w:hAnsi="David" w:cs="David"/>
          <w:b/>
          <w:bCs/>
          <w:sz w:val="24"/>
          <w:szCs w:val="24"/>
          <w:rtl/>
        </w:rPr>
        <w:t>בנק איגוד לישראל בע"מ נ' הנרי אזולאי</w:t>
      </w:r>
      <w:r>
        <w:rPr>
          <w:rFonts w:ascii="David" w:eastAsia="Times New Roman" w:hAnsi="David" w:cs="David"/>
          <w:sz w:val="24"/>
          <w:szCs w:val="24"/>
          <w:rtl/>
        </w:rPr>
        <w:t>, מט(4) 054 (1995)‏‏ (</w:t>
      </w:r>
      <w:r>
        <w:rPr>
          <w:rFonts w:ascii="David" w:eastAsia="Times New Roman" w:hAnsi="David" w:cs="David"/>
          <w:sz w:val="24"/>
          <w:szCs w:val="24"/>
        </w:rPr>
        <w:t xml:space="preserve"> </w:t>
      </w:r>
      <w:r>
        <w:rPr>
          <w:rFonts w:ascii="David" w:eastAsia="Times New Roman" w:hAnsi="David" w:cs="David"/>
          <w:sz w:val="24"/>
          <w:szCs w:val="24"/>
          <w:rtl/>
        </w:rPr>
        <w:t>פסקה 11) ( להלן:"</w:t>
      </w:r>
      <w:r>
        <w:rPr>
          <w:rFonts w:ascii="David" w:eastAsia="Times New Roman" w:hAnsi="David" w:cs="David"/>
          <w:b/>
          <w:bCs/>
          <w:sz w:val="24"/>
          <w:szCs w:val="24"/>
          <w:rtl/>
        </w:rPr>
        <w:t>עניין אזולאי")</w:t>
      </w:r>
      <w:r>
        <w:rPr>
          <w:rFonts w:ascii="David" w:eastAsia="Times New Roman" w:hAnsi="David" w:cs="David"/>
          <w:sz w:val="24"/>
          <w:szCs w:val="24"/>
          <w:rtl/>
        </w:rPr>
        <w:t xml:space="preserve"> . </w:t>
      </w:r>
      <w:r>
        <w:rPr>
          <w:rFonts w:ascii="David" w:eastAsia="Times New Roman" w:hAnsi="David" w:cs="David"/>
          <w:sz w:val="24"/>
          <w:szCs w:val="24"/>
        </w:rPr>
        <w:t xml:space="preserve"> </w:t>
      </w:r>
      <w:r>
        <w:rPr>
          <w:rFonts w:ascii="David" w:eastAsia="Times New Roman" w:hAnsi="David" w:cs="David"/>
          <w:sz w:val="24"/>
          <w:szCs w:val="24"/>
          <w:rtl/>
        </w:rPr>
        <w:t xml:space="preserve"> כדי לפשט את תמונת האינטרסים נציג בתחילה את האיזון הנוגע לבעלי דין ולאחר מכן נתייחס לאיזון מול זכות מי שאינו בעל דין.  </w:t>
      </w:r>
    </w:p>
    <w:p w:rsidR="006A0191" w:rsidRDefault="006A0191" w:rsidP="006A0191">
      <w:pPr>
        <w:pStyle w:val="af1"/>
        <w:numPr>
          <w:ilvl w:val="1"/>
          <w:numId w:val="3"/>
        </w:numPr>
        <w:spacing w:after="0" w:line="240" w:lineRule="auto"/>
        <w:jc w:val="both"/>
        <w:rPr>
          <w:rFonts w:ascii="Arimo" w:hAnsi="Arimo"/>
          <w:sz w:val="8"/>
          <w:szCs w:val="5"/>
        </w:rPr>
      </w:pPr>
    </w:p>
    <w:p w:rsidR="006A0191" w:rsidRDefault="006A0191" w:rsidP="006A0191">
      <w:pPr>
        <w:pStyle w:val="af1"/>
        <w:numPr>
          <w:ilvl w:val="0"/>
          <w:numId w:val="3"/>
        </w:numPr>
        <w:spacing w:after="0" w:line="240" w:lineRule="auto"/>
        <w:jc w:val="both"/>
        <w:rPr>
          <w:rFonts w:ascii="Arimo" w:hAnsi="Arimo"/>
          <w:sz w:val="21"/>
          <w:szCs w:val="21"/>
          <w:u w:val="single"/>
        </w:rPr>
      </w:pPr>
      <w:r>
        <w:rPr>
          <w:rFonts w:ascii="David" w:eastAsia="Times New Roman" w:hAnsi="David" w:cs="David"/>
          <w:sz w:val="24"/>
          <w:szCs w:val="24"/>
          <w:rtl/>
        </w:rPr>
        <w:t xml:space="preserve">הלכה למעשה, לצורך החלטה אם להסיר חיסון חרף היעדר ויתור של האדם עצמו </w:t>
      </w:r>
      <w:r>
        <w:rPr>
          <w:rFonts w:ascii="David" w:eastAsia="Times New Roman" w:hAnsi="David" w:cs="David"/>
          <w:sz w:val="24"/>
          <w:szCs w:val="24"/>
        </w:rPr>
        <w:t xml:space="preserve"> </w:t>
      </w:r>
      <w:r>
        <w:rPr>
          <w:rFonts w:ascii="David" w:eastAsia="Times New Roman" w:hAnsi="David" w:cs="David"/>
          <w:sz w:val="24"/>
          <w:szCs w:val="24"/>
          <w:rtl/>
        </w:rPr>
        <w:t xml:space="preserve">יש לנהוג, לצורך סעיף 49,   בסדר  הבא ,ולטעמי לפי "נוסחת האיזון"  שתיושם כדלהלן:  </w:t>
      </w:r>
    </w:p>
    <w:p w:rsidR="006A0191" w:rsidRDefault="006A0191" w:rsidP="006A0191">
      <w:pPr>
        <w:pStyle w:val="af1"/>
        <w:numPr>
          <w:ilvl w:val="1"/>
          <w:numId w:val="3"/>
        </w:numPr>
        <w:spacing w:after="0" w:line="240" w:lineRule="auto"/>
        <w:jc w:val="both"/>
        <w:rPr>
          <w:rFonts w:ascii="Arimo" w:hAnsi="Arimo"/>
          <w:sz w:val="21"/>
          <w:szCs w:val="21"/>
          <w:u w:val="single"/>
          <w:rtl/>
        </w:rPr>
      </w:pPr>
      <w:r>
        <w:rPr>
          <w:rFonts w:ascii="David" w:eastAsia="Times New Roman" w:hAnsi="David" w:cs="David"/>
          <w:sz w:val="24"/>
          <w:szCs w:val="24"/>
          <w:u w:val="single"/>
          <w:rtl/>
        </w:rPr>
        <w:t>ראשית –</w:t>
      </w:r>
      <w:r>
        <w:rPr>
          <w:rFonts w:ascii="David" w:eastAsia="Times New Roman" w:hAnsi="David" w:cs="David"/>
          <w:sz w:val="24"/>
          <w:szCs w:val="24"/>
          <w:rtl/>
        </w:rPr>
        <w:t xml:space="preserve"> תיבחן, הרלבנטיות של המסמכים,כי בלעדיה אין צורך לדון בהסרת חיסיון .בחינת הרלבנטיות היא בגישה ליברלית שתתואר להלן על יסוד הפסיקה  ב</w:t>
      </w:r>
      <w:r>
        <w:rPr>
          <w:rFonts w:ascii="David" w:eastAsia="Times New Roman" w:hAnsi="David" w:cs="David"/>
          <w:b/>
          <w:bCs/>
          <w:sz w:val="24"/>
          <w:szCs w:val="24"/>
          <w:rtl/>
        </w:rPr>
        <w:t xml:space="preserve">ענין לאומית בענין מעברות </w:t>
      </w:r>
      <w:r>
        <w:rPr>
          <w:rFonts w:ascii="David" w:eastAsia="Times New Roman" w:hAnsi="David" w:cs="David"/>
          <w:sz w:val="24"/>
          <w:szCs w:val="24"/>
          <w:rtl/>
        </w:rPr>
        <w:t>ובעניין</w:t>
      </w:r>
      <w:r>
        <w:rPr>
          <w:rFonts w:ascii="David" w:eastAsia="Times New Roman" w:hAnsi="David" w:cs="David"/>
          <w:b/>
          <w:bCs/>
          <w:sz w:val="24"/>
          <w:szCs w:val="24"/>
          <w:rtl/>
        </w:rPr>
        <w:t xml:space="preserve"> אזולאי.</w:t>
      </w:r>
      <w:r>
        <w:rPr>
          <w:rFonts w:ascii="David" w:eastAsia="Times New Roman" w:hAnsi="David" w:cs="David"/>
          <w:sz w:val="24"/>
          <w:szCs w:val="24"/>
          <w:rtl/>
        </w:rPr>
        <w:t xml:space="preserve"> </w:t>
      </w:r>
    </w:p>
    <w:p w:rsidR="006A0191" w:rsidRDefault="006A0191" w:rsidP="006A0191">
      <w:pPr>
        <w:pStyle w:val="af1"/>
        <w:numPr>
          <w:ilvl w:val="1"/>
          <w:numId w:val="3"/>
        </w:numPr>
        <w:spacing w:after="0" w:line="240" w:lineRule="auto"/>
        <w:jc w:val="both"/>
        <w:rPr>
          <w:rFonts w:ascii="Arimo" w:hAnsi="Arimo"/>
          <w:sz w:val="21"/>
          <w:szCs w:val="21"/>
          <w:rtl/>
        </w:rPr>
      </w:pPr>
      <w:r>
        <w:rPr>
          <w:rFonts w:ascii="David" w:eastAsia="Times New Roman" w:hAnsi="David" w:cs="David"/>
          <w:sz w:val="24"/>
          <w:szCs w:val="24"/>
          <w:u w:val="single"/>
          <w:rtl/>
        </w:rPr>
        <w:t>שנית-</w:t>
      </w:r>
      <w:r>
        <w:rPr>
          <w:rFonts w:ascii="David" w:eastAsia="Times New Roman" w:hAnsi="David" w:cs="David"/>
          <w:sz w:val="24"/>
          <w:szCs w:val="24"/>
          <w:rtl/>
        </w:rPr>
        <w:t xml:space="preserve"> כאשר לצורך החלת נוסחת האיזון  יש לבחון את הזכויות והאינטרסים המעורבים. נקודת המוצא עשויה להשתנות בשים לב גם לזיקת בעל  הזכות שכנגד .</w:t>
      </w:r>
    </w:p>
    <w:p w:rsidR="006A0191" w:rsidRDefault="006A0191" w:rsidP="006A0191">
      <w:pPr>
        <w:pStyle w:val="af1"/>
        <w:numPr>
          <w:ilvl w:val="1"/>
          <w:numId w:val="3"/>
        </w:numPr>
        <w:spacing w:after="0" w:line="240" w:lineRule="auto"/>
        <w:jc w:val="both"/>
        <w:rPr>
          <w:rFonts w:ascii="Arimo" w:hAnsi="Arimo"/>
          <w:sz w:val="21"/>
          <w:szCs w:val="21"/>
          <w:rtl/>
        </w:rPr>
      </w:pPr>
      <w:r>
        <w:rPr>
          <w:rFonts w:ascii="David" w:eastAsia="Times New Roman" w:hAnsi="David" w:cs="David"/>
          <w:sz w:val="24"/>
          <w:szCs w:val="24"/>
          <w:u w:val="single"/>
          <w:rtl/>
        </w:rPr>
        <w:t xml:space="preserve"> כשמדובר באיזון בין זכוית בעלי הדין</w:t>
      </w:r>
      <w:r>
        <w:rPr>
          <w:rFonts w:ascii="David" w:eastAsia="Times New Roman" w:hAnsi="David" w:cs="David"/>
          <w:sz w:val="24"/>
          <w:szCs w:val="24"/>
          <w:rtl/>
        </w:rPr>
        <w:t xml:space="preserve"> , שנמצא שהמסמכים רלבנטיים,  לנוכח </w:t>
      </w:r>
      <w:r>
        <w:rPr>
          <w:rFonts w:ascii="David" w:eastAsia="Times New Roman" w:hAnsi="David" w:cs="David"/>
          <w:b/>
          <w:bCs/>
          <w:sz w:val="24"/>
          <w:szCs w:val="24"/>
          <w:rtl/>
        </w:rPr>
        <w:t>מעמדו החשוב</w:t>
      </w:r>
      <w:r>
        <w:rPr>
          <w:rFonts w:ascii="David" w:eastAsia="Times New Roman" w:hAnsi="David" w:cs="David"/>
          <w:sz w:val="24"/>
          <w:szCs w:val="24"/>
          <w:rtl/>
        </w:rPr>
        <w:t xml:space="preserve"> של אינטרס </w:t>
      </w:r>
      <w:r>
        <w:rPr>
          <w:rFonts w:ascii="David" w:eastAsia="Times New Roman" w:hAnsi="David" w:cs="David"/>
          <w:b/>
          <w:bCs/>
          <w:sz w:val="24"/>
          <w:szCs w:val="24"/>
          <w:rtl/>
        </w:rPr>
        <w:t>עשיית הצדק בהליך המשפטי,</w:t>
      </w:r>
      <w:r>
        <w:rPr>
          <w:rFonts w:ascii="David" w:eastAsia="Times New Roman" w:hAnsi="David" w:cs="David"/>
          <w:sz w:val="24"/>
          <w:szCs w:val="24"/>
          <w:rtl/>
        </w:rPr>
        <w:t xml:space="preserve">  מול </w:t>
      </w:r>
      <w:r>
        <w:rPr>
          <w:rFonts w:ascii="David" w:eastAsia="Times New Roman" w:hAnsi="David" w:cs="David"/>
          <w:b/>
          <w:bCs/>
          <w:sz w:val="24"/>
          <w:szCs w:val="24"/>
          <w:rtl/>
        </w:rPr>
        <w:t>הזכות לפרטיות</w:t>
      </w:r>
      <w:r>
        <w:rPr>
          <w:rFonts w:ascii="David" w:eastAsia="Times New Roman" w:hAnsi="David" w:cs="David"/>
          <w:sz w:val="24"/>
          <w:szCs w:val="24"/>
          <w:rtl/>
        </w:rPr>
        <w:t xml:space="preserve"> חלה נוסחת "</w:t>
      </w:r>
      <w:r>
        <w:rPr>
          <w:rFonts w:ascii="David" w:eastAsia="Times New Roman" w:hAnsi="David" w:cs="David"/>
          <w:b/>
          <w:bCs/>
          <w:sz w:val="24"/>
          <w:szCs w:val="24"/>
          <w:rtl/>
        </w:rPr>
        <w:t>איזון אנכי</w:t>
      </w:r>
      <w:r>
        <w:rPr>
          <w:rFonts w:ascii="David" w:eastAsia="Times New Roman" w:hAnsi="David" w:cs="David"/>
          <w:sz w:val="24"/>
          <w:szCs w:val="24"/>
          <w:rtl/>
        </w:rPr>
        <w:t xml:space="preserve">" </w:t>
      </w:r>
      <w:r>
        <w:rPr>
          <w:rFonts w:ascii="David" w:eastAsia="Times New Roman" w:hAnsi="David" w:cs="David"/>
          <w:sz w:val="24"/>
          <w:szCs w:val="24"/>
        </w:rPr>
        <w:t xml:space="preserve"> </w:t>
      </w:r>
      <w:r>
        <w:rPr>
          <w:rFonts w:ascii="David" w:eastAsia="Times New Roman" w:hAnsi="David" w:cs="David"/>
          <w:sz w:val="24"/>
          <w:szCs w:val="24"/>
          <w:rtl/>
        </w:rPr>
        <w:t xml:space="preserve">של </w:t>
      </w:r>
      <w:r>
        <w:rPr>
          <w:rFonts w:ascii="David" w:eastAsia="Times New Roman" w:hAnsi="David" w:cs="David"/>
          <w:sz w:val="24"/>
          <w:szCs w:val="24"/>
          <w:rtl/>
        </w:rPr>
        <w:lastRenderedPageBreak/>
        <w:t>"אפשרות סבירה לפגיעה ממשית " בעשיית הצדק בהתאם לנסיבות הקונקרטיות . על הסיבה להחלת איזון אנכי ראו בהיקש</w:t>
      </w:r>
      <w:r>
        <w:rPr>
          <w:rFonts w:ascii="David" w:eastAsia="Times New Roman" w:hAnsi="David" w:cs="David"/>
          <w:b/>
          <w:bCs/>
          <w:sz w:val="24"/>
          <w:szCs w:val="24"/>
          <w:rtl/>
        </w:rPr>
        <w:t xml:space="preserve"> מענין לילי חן </w:t>
      </w:r>
      <w:r>
        <w:rPr>
          <w:rFonts w:ascii="David" w:eastAsia="Times New Roman" w:hAnsi="David" w:cs="David"/>
          <w:sz w:val="24"/>
          <w:szCs w:val="24"/>
          <w:rtl/>
        </w:rPr>
        <w:t xml:space="preserve">. </w:t>
      </w:r>
      <w:r>
        <w:rPr>
          <w:rFonts w:ascii="David" w:eastAsia="Times New Roman" w:hAnsi="David" w:cs="David"/>
          <w:b/>
          <w:bCs/>
          <w:sz w:val="24"/>
          <w:szCs w:val="24"/>
        </w:rPr>
        <w:t xml:space="preserve"> </w:t>
      </w:r>
    </w:p>
    <w:p w:rsidR="006A0191" w:rsidRDefault="006A0191" w:rsidP="002823AF">
      <w:pPr>
        <w:pStyle w:val="af1"/>
        <w:numPr>
          <w:ilvl w:val="1"/>
          <w:numId w:val="3"/>
        </w:numPr>
        <w:spacing w:after="0" w:line="240" w:lineRule="auto"/>
        <w:jc w:val="both"/>
        <w:rPr>
          <w:rFonts w:ascii="David" w:eastAsia="Times New Roman" w:hAnsi="David" w:cs="David"/>
          <w:sz w:val="24"/>
          <w:szCs w:val="24"/>
          <w:rtl/>
        </w:rPr>
      </w:pPr>
      <w:r>
        <w:rPr>
          <w:rFonts w:ascii="David" w:eastAsia="Times New Roman" w:hAnsi="David" w:cs="David"/>
          <w:sz w:val="24"/>
          <w:szCs w:val="24"/>
          <w:u w:val="single"/>
          <w:rtl/>
        </w:rPr>
        <w:t>שלישית-</w:t>
      </w:r>
      <w:r>
        <w:rPr>
          <w:rFonts w:ascii="David" w:eastAsia="Times New Roman" w:hAnsi="David" w:cs="David"/>
          <w:sz w:val="24"/>
          <w:szCs w:val="24"/>
          <w:rtl/>
        </w:rPr>
        <w:t xml:space="preserve"> בגדר השיקול הקונקרטי  לצורך האיזון, יש להתחשב ,בין היתר,  </w:t>
      </w:r>
      <w:r>
        <w:rPr>
          <w:rFonts w:ascii="David" w:eastAsia="Times New Roman" w:hAnsi="David" w:cs="David"/>
          <w:sz w:val="24"/>
          <w:szCs w:val="24"/>
          <w:u w:val="single"/>
          <w:rtl/>
        </w:rPr>
        <w:t>במידת חשיבות</w:t>
      </w:r>
      <w:r>
        <w:rPr>
          <w:rFonts w:ascii="David" w:eastAsia="Times New Roman" w:hAnsi="David" w:cs="David"/>
          <w:sz w:val="24"/>
          <w:szCs w:val="24"/>
          <w:rtl/>
        </w:rPr>
        <w:t xml:space="preserve"> המסמכים החסויים להכרעה, </w:t>
      </w:r>
      <w:r>
        <w:rPr>
          <w:rFonts w:ascii="David" w:eastAsia="Times New Roman" w:hAnsi="David" w:cs="David"/>
          <w:sz w:val="24"/>
          <w:szCs w:val="24"/>
          <w:u w:val="single"/>
          <w:rtl/>
        </w:rPr>
        <w:t>ובקיום ראיות חילופיות</w:t>
      </w:r>
      <w:r>
        <w:rPr>
          <w:rFonts w:ascii="David" w:eastAsia="Times New Roman" w:hAnsi="David" w:cs="David"/>
          <w:sz w:val="24"/>
          <w:szCs w:val="24"/>
          <w:rtl/>
        </w:rPr>
        <w:t xml:space="preserve">. זאת, כעולה </w:t>
      </w:r>
      <w:r>
        <w:rPr>
          <w:rFonts w:ascii="David" w:eastAsia="Times New Roman" w:hAnsi="David" w:cs="David"/>
          <w:b/>
          <w:bCs/>
          <w:sz w:val="24"/>
          <w:szCs w:val="24"/>
          <w:rtl/>
        </w:rPr>
        <w:t>מענין אזולאי</w:t>
      </w:r>
      <w:r>
        <w:rPr>
          <w:rFonts w:ascii="David" w:eastAsia="Times New Roman" w:hAnsi="David" w:cs="David"/>
          <w:sz w:val="24"/>
          <w:szCs w:val="24"/>
          <w:rtl/>
        </w:rPr>
        <w:t xml:space="preserve"> .  בהקשר שלפנינו השאלה היא האם יש ראיות חילופיות  שאינן  פוגעות בפרטיות בעל החיסיון. ככל שגדלה דרגת חיוניות המסמכים  גדלה  תלות בית המשפט  בהם להגשמת "העקרונות החוקתיים העומדים ביסודו של הליך שיפוטי ראוי והוגן, כדי להגיע לחקר האמת, ולהשיג תוצאה נכונה ופתרון צודק של הסכסוך."(</w:t>
      </w:r>
      <w:r>
        <w:rPr>
          <w:rFonts w:ascii="David" w:eastAsia="Times New Roman" w:hAnsi="David" w:cs="David"/>
          <w:sz w:val="24"/>
          <w:szCs w:val="24"/>
        </w:rPr>
        <w:t xml:space="preserve"> </w:t>
      </w:r>
      <w:r>
        <w:rPr>
          <w:rFonts w:ascii="David" w:eastAsia="Times New Roman" w:hAnsi="David" w:cs="David"/>
          <w:sz w:val="24"/>
          <w:szCs w:val="24"/>
          <w:rtl/>
        </w:rPr>
        <w:t xml:space="preserve">כלשון תקנה 1 סיפא ) </w:t>
      </w:r>
      <w:r w:rsidR="002823AF">
        <w:rPr>
          <w:rFonts w:ascii="David" w:eastAsia="Times New Roman" w:hAnsi="David" w:cs="David" w:hint="cs"/>
          <w:sz w:val="24"/>
          <w:szCs w:val="24"/>
          <w:rtl/>
        </w:rPr>
        <w:t>ב</w:t>
      </w:r>
      <w:r>
        <w:rPr>
          <w:rFonts w:ascii="David" w:eastAsia="Times New Roman" w:hAnsi="David" w:cs="David"/>
          <w:sz w:val="24"/>
          <w:szCs w:val="24"/>
          <w:rtl/>
        </w:rPr>
        <w:t>חינ</w:t>
      </w:r>
      <w:r w:rsidR="002823AF">
        <w:rPr>
          <w:rFonts w:ascii="David" w:eastAsia="Times New Roman" w:hAnsi="David" w:cs="David" w:hint="cs"/>
          <w:sz w:val="24"/>
          <w:szCs w:val="24"/>
          <w:rtl/>
        </w:rPr>
        <w:t xml:space="preserve">ת </w:t>
      </w:r>
      <w:r>
        <w:rPr>
          <w:rFonts w:ascii="David" w:eastAsia="Times New Roman" w:hAnsi="David" w:cs="David"/>
          <w:sz w:val="24"/>
          <w:szCs w:val="24"/>
          <w:rtl/>
        </w:rPr>
        <w:t>הסרת חיס</w:t>
      </w:r>
      <w:r w:rsidR="002823AF">
        <w:rPr>
          <w:rFonts w:ascii="David" w:eastAsia="Times New Roman" w:hAnsi="David" w:cs="David" w:hint="cs"/>
          <w:sz w:val="24"/>
          <w:szCs w:val="24"/>
          <w:rtl/>
        </w:rPr>
        <w:t>י</w:t>
      </w:r>
      <w:r>
        <w:rPr>
          <w:rFonts w:ascii="David" w:eastAsia="Times New Roman" w:hAnsi="David" w:cs="David"/>
          <w:sz w:val="24"/>
          <w:szCs w:val="24"/>
          <w:rtl/>
        </w:rPr>
        <w:t>ון ת</w:t>
      </w:r>
      <w:r w:rsidR="002823AF">
        <w:rPr>
          <w:rFonts w:ascii="David" w:eastAsia="Times New Roman" w:hAnsi="David" w:cs="David" w:hint="cs"/>
          <w:sz w:val="24"/>
          <w:szCs w:val="24"/>
          <w:rtl/>
        </w:rPr>
        <w:t>י</w:t>
      </w:r>
      <w:r>
        <w:rPr>
          <w:rFonts w:ascii="David" w:eastAsia="Times New Roman" w:hAnsi="David" w:cs="David"/>
          <w:sz w:val="24"/>
          <w:szCs w:val="24"/>
          <w:rtl/>
        </w:rPr>
        <w:t xml:space="preserve">עשה בזהירות לנוכח תכליות החיסיון.  </w:t>
      </w:r>
    </w:p>
    <w:p w:rsidR="006A0191" w:rsidRDefault="006A0191" w:rsidP="006A0191">
      <w:pPr>
        <w:pStyle w:val="af1"/>
        <w:numPr>
          <w:ilvl w:val="1"/>
          <w:numId w:val="3"/>
        </w:numPr>
        <w:spacing w:after="0" w:line="240" w:lineRule="auto"/>
        <w:jc w:val="both"/>
        <w:rPr>
          <w:rFonts w:ascii="David" w:eastAsia="Times New Roman" w:hAnsi="David" w:cs="David"/>
          <w:sz w:val="24"/>
          <w:szCs w:val="24"/>
        </w:rPr>
      </w:pPr>
      <w:r>
        <w:rPr>
          <w:rFonts w:ascii="David" w:eastAsia="Times New Roman" w:hAnsi="David" w:cs="David"/>
          <w:sz w:val="24"/>
          <w:szCs w:val="24"/>
          <w:rtl/>
        </w:rPr>
        <w:t xml:space="preserve">בגדר השלב השלישי- ובנוסחת האיזון  נבחנת  </w:t>
      </w:r>
      <w:r>
        <w:rPr>
          <w:rFonts w:ascii="David" w:eastAsia="Times New Roman" w:hAnsi="David" w:cs="David"/>
          <w:sz w:val="24"/>
          <w:szCs w:val="24"/>
          <w:u w:val="single"/>
          <w:rtl/>
        </w:rPr>
        <w:t>"מקבילית הכוחות</w:t>
      </w:r>
      <w:r>
        <w:rPr>
          <w:rFonts w:ascii="David" w:eastAsia="Times New Roman" w:hAnsi="David" w:cs="David"/>
          <w:b/>
          <w:bCs/>
          <w:sz w:val="24"/>
          <w:szCs w:val="24"/>
          <w:rtl/>
        </w:rPr>
        <w:t xml:space="preserve">" </w:t>
      </w:r>
      <w:r>
        <w:rPr>
          <w:rFonts w:ascii="David" w:eastAsia="Times New Roman" w:hAnsi="David" w:cs="David"/>
          <w:sz w:val="24"/>
          <w:szCs w:val="24"/>
          <w:rtl/>
        </w:rPr>
        <w:t xml:space="preserve">בין שאלת הרלוונטיות לשאלת החיסיון: ככל שעוצמת הרלוונטיות של המסמך המבוקש גבוהה, ככל שהראיה חיונית עבור בעל הדין שכנגד, וככל שלא ניתן להשיג ראיות חלופיות יהיה לכך משקל רב יותר בהחלטת בית המשפט אם להורות על הסרת חיסיון יחסי . כמפורט להלן בדיון שיתייחס  לעניין אגב הפניה לעניין   </w:t>
      </w:r>
      <w:r>
        <w:rPr>
          <w:rFonts w:ascii="David" w:eastAsia="Times New Roman" w:hAnsi="David" w:cs="David"/>
          <w:b/>
          <w:bCs/>
          <w:sz w:val="24"/>
          <w:szCs w:val="24"/>
          <w:rtl/>
        </w:rPr>
        <w:t xml:space="preserve">מפעלי עופרת  </w:t>
      </w:r>
      <w:r>
        <w:rPr>
          <w:rFonts w:ascii="David" w:eastAsia="Times New Roman" w:hAnsi="David" w:cs="David"/>
          <w:sz w:val="24"/>
          <w:szCs w:val="24"/>
          <w:rtl/>
        </w:rPr>
        <w:t xml:space="preserve">.  לטעמי גם </w:t>
      </w:r>
      <w:r w:rsidR="002823AF">
        <w:rPr>
          <w:rFonts w:ascii="David" w:eastAsia="Times New Roman" w:hAnsi="David" w:cs="David" w:hint="cs"/>
          <w:sz w:val="24"/>
          <w:szCs w:val="24"/>
          <w:rtl/>
        </w:rPr>
        <w:t>ה</w:t>
      </w:r>
      <w:r>
        <w:rPr>
          <w:rFonts w:ascii="David" w:eastAsia="Times New Roman" w:hAnsi="David" w:cs="David"/>
          <w:sz w:val="24"/>
          <w:szCs w:val="24"/>
          <w:rtl/>
        </w:rPr>
        <w:t xml:space="preserve">שימוש </w:t>
      </w:r>
      <w:r w:rsidR="002823AF">
        <w:rPr>
          <w:rFonts w:ascii="David" w:eastAsia="Times New Roman" w:hAnsi="David" w:cs="David" w:hint="cs"/>
          <w:sz w:val="24"/>
          <w:szCs w:val="24"/>
          <w:rtl/>
        </w:rPr>
        <w:t>ב</w:t>
      </w:r>
      <w:r>
        <w:rPr>
          <w:rFonts w:ascii="David" w:eastAsia="Times New Roman" w:hAnsi="David" w:cs="David"/>
          <w:sz w:val="24"/>
          <w:szCs w:val="24"/>
          <w:rtl/>
        </w:rPr>
        <w:t xml:space="preserve">מקבילית הכוחות מתיישב עם נוסחת האיזון  כפי שהובעה מפי כב' השופט עדיאל. </w:t>
      </w:r>
    </w:p>
    <w:p w:rsidR="006A0191" w:rsidRDefault="006A0191" w:rsidP="006A0191">
      <w:pPr>
        <w:pStyle w:val="af1"/>
        <w:numPr>
          <w:ilvl w:val="1"/>
          <w:numId w:val="3"/>
        </w:numPr>
        <w:spacing w:after="0" w:line="240" w:lineRule="auto"/>
        <w:jc w:val="both"/>
        <w:rPr>
          <w:rFonts w:ascii="David" w:eastAsia="Times New Roman" w:hAnsi="David" w:cs="David"/>
          <w:b/>
          <w:bCs/>
          <w:sz w:val="24"/>
          <w:szCs w:val="24"/>
        </w:rPr>
      </w:pPr>
      <w:r>
        <w:rPr>
          <w:rFonts w:ascii="David" w:eastAsia="Times New Roman" w:hAnsi="David" w:cs="David"/>
          <w:sz w:val="24"/>
          <w:szCs w:val="24"/>
          <w:u w:val="single"/>
          <w:rtl/>
        </w:rPr>
        <w:t xml:space="preserve">רביעית , </w:t>
      </w:r>
      <w:r>
        <w:rPr>
          <w:rFonts w:ascii="David" w:eastAsia="Times New Roman" w:hAnsi="David" w:cs="David"/>
          <w:sz w:val="24"/>
          <w:szCs w:val="24"/>
          <w:rtl/>
        </w:rPr>
        <w:t xml:space="preserve"> במקרה שמדובר באיזון מול זכות מי שאינו בעל דין, חלה הכבדה עקרונית ממשית,  על מבקש העיון . מלכתחילה נקודת האיזון  קרובה יותר לחיסיון מאשר לבירור האמת.  אולם הדברים נבחנים  בגדר השיקול הקונקרטי   בין היתר ביחס למיהות הצד השלישי, לזיקתו לבעל הדין, להליך, ולראיה . לצורך זאת אפנה לדיון להלן בהקשר של</w:t>
      </w:r>
      <w:r>
        <w:rPr>
          <w:rFonts w:ascii="David" w:eastAsia="Times New Roman" w:hAnsi="David" w:cs="David"/>
          <w:b/>
          <w:bCs/>
          <w:sz w:val="24"/>
          <w:szCs w:val="24"/>
          <w:rtl/>
        </w:rPr>
        <w:t xml:space="preserve"> עניין אסותא </w:t>
      </w:r>
      <w:r>
        <w:rPr>
          <w:rFonts w:ascii="David" w:eastAsia="Times New Roman" w:hAnsi="David" w:cs="David"/>
          <w:sz w:val="24"/>
          <w:szCs w:val="24"/>
          <w:rtl/>
        </w:rPr>
        <w:t>ולדיון  בעניין</w:t>
      </w:r>
      <w:r>
        <w:rPr>
          <w:rFonts w:ascii="David" w:eastAsia="Times New Roman" w:hAnsi="David" w:cs="David"/>
          <w:b/>
          <w:bCs/>
          <w:sz w:val="24"/>
          <w:szCs w:val="24"/>
          <w:rtl/>
        </w:rPr>
        <w:t xml:space="preserve"> בית הדין הארצי לעבודה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ברור לגמרי שלצורך דיון הוגן ולצורך בחינה מדויקת וראויה של איזון יש לשמוע את עמדת בעל החיסיון.  מדובר  בכלל צדק טבעי  שעולה גם מסעיף 49(ג) לפקודת הראיות. אין לפגוע בזכות בטרם תנתן לו הזדמנות נאותה להשמיע דבריו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להלן אפרט את סדר הדברים ואת נוסחת האיזון בראש וראשונה לגבי התובע עצמו ולאחר מכן בשים לב לאימו. </w:t>
      </w:r>
    </w:p>
    <w:p w:rsidR="006A0191" w:rsidRDefault="006A0191" w:rsidP="006A0191">
      <w:pPr>
        <w:pStyle w:val="3"/>
        <w:spacing w:line="240" w:lineRule="auto"/>
        <w:rPr>
          <w:rFonts w:ascii="David" w:eastAsia="Times New Roman" w:hAnsi="David" w:cs="David"/>
          <w:u w:val="single"/>
        </w:rPr>
      </w:pPr>
      <w:r>
        <w:rPr>
          <w:rFonts w:ascii="David" w:eastAsia="Times New Roman" w:hAnsi="David" w:cs="David"/>
          <w:rtl/>
        </w:rPr>
        <w:t xml:space="preserve"> </w:t>
      </w:r>
    </w:p>
    <w:p w:rsidR="006A0191" w:rsidRDefault="006A0191" w:rsidP="006A0191">
      <w:pPr>
        <w:pStyle w:val="3"/>
        <w:spacing w:line="240" w:lineRule="auto"/>
        <w:rPr>
          <w:rFonts w:ascii="David" w:eastAsia="Times New Roman" w:hAnsi="David" w:cs="David"/>
          <w:u w:val="single"/>
        </w:rPr>
      </w:pPr>
      <w:bookmarkStart w:id="28" w:name="_Toc113804945"/>
      <w:r>
        <w:rPr>
          <w:rFonts w:ascii="David" w:eastAsia="Times New Roman" w:hAnsi="David" w:cs="David"/>
          <w:u w:val="single"/>
          <w:rtl/>
        </w:rPr>
        <w:t>שלב ראשון- בחינת הרלוונטיות  לפני בחינת הסרת החיסיון מכוח סעיף 49</w:t>
      </w:r>
      <w:bookmarkEnd w:id="28"/>
      <w:r>
        <w:rPr>
          <w:rFonts w:ascii="David" w:eastAsia="Times New Roman" w:hAnsi="David" w:cs="David"/>
          <w:u w:val="single"/>
          <w:rtl/>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rtl/>
        </w:rPr>
        <w:t xml:space="preserve">לפני הבדיקה,  האם נחוץ להסיר חיסיון,  נבחנת שאלת הרלבנטיות שהיא אמת המידה העיקרית לגילוי .  בית־ המשפט, יבחן את הצורך בהסרת החיסיון ובחשיפת החומר  רק לאחר שימצא כי החומר החסוי רלוונטי לדיון. על  סדר הדברים ראו למשל  ברע"א 9153/12 </w:t>
      </w:r>
      <w:r>
        <w:rPr>
          <w:rFonts w:ascii="David" w:eastAsia="Times New Roman" w:hAnsi="David" w:cs="David"/>
          <w:b/>
          <w:bCs/>
          <w:sz w:val="24"/>
          <w:szCs w:val="24"/>
          <w:rtl/>
        </w:rPr>
        <w:t xml:space="preserve">מנהל מס ערך מוסף, אשדוד נ' הקורנס מפעלי עופרת בע"מ </w:t>
      </w:r>
      <w:r>
        <w:rPr>
          <w:rFonts w:ascii="David" w:eastAsia="Times New Roman" w:hAnsi="David" w:cs="David"/>
          <w:sz w:val="24"/>
          <w:szCs w:val="24"/>
          <w:rtl/>
        </w:rPr>
        <w:t xml:space="preserve">(נבו 25.02.2013)‏‏ (פסקה 7) . שאלת הרלוונטיות של מסמך שגילויו מתבקש, קודמת לשאלת החיסיון, שאם המסמך אינו רלוונטי אין מקום להורות על גילויו גם ללא קשר לשאלת החיסיון.  הרלוונטיות -  היא   מידת חיוניות המסמך לבירור המחלוקת -  כב'  השופט סולברג </w:t>
      </w:r>
      <w:r>
        <w:rPr>
          <w:rFonts w:ascii="David" w:eastAsia="Times New Roman" w:hAnsi="David" w:cs="David"/>
          <w:sz w:val="24"/>
          <w:szCs w:val="24"/>
        </w:rPr>
        <w:t xml:space="preserve"> </w:t>
      </w:r>
      <w:r>
        <w:rPr>
          <w:rFonts w:ascii="David" w:eastAsia="Times New Roman" w:hAnsi="David" w:cs="David"/>
          <w:sz w:val="24"/>
          <w:szCs w:val="24"/>
          <w:rtl/>
        </w:rPr>
        <w:t xml:space="preserve"> ברע"א 3860/16 </w:t>
      </w:r>
      <w:r>
        <w:rPr>
          <w:rFonts w:ascii="David" w:eastAsia="Times New Roman" w:hAnsi="David" w:cs="David"/>
          <w:b/>
          <w:bCs/>
          <w:sz w:val="24"/>
          <w:szCs w:val="24"/>
          <w:rtl/>
        </w:rPr>
        <w:t>וויספרס לאנז'רה בע"מ נ' אלרוב אזור מסחרי ממילא (1993) בע"מ</w:t>
      </w:r>
      <w:r>
        <w:rPr>
          <w:rFonts w:ascii="David" w:eastAsia="Times New Roman" w:hAnsi="David" w:cs="David"/>
          <w:sz w:val="24"/>
          <w:szCs w:val="24"/>
          <w:rtl/>
        </w:rPr>
        <w:t xml:space="preserve"> (נבו 22.06.2016 בפסקה 12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bookmarkStart w:id="29" w:name="_Hlk112513867"/>
      <w:r>
        <w:rPr>
          <w:rFonts w:ascii="David" w:eastAsia="Times New Roman" w:hAnsi="David" w:cs="David"/>
          <w:sz w:val="24"/>
          <w:szCs w:val="24"/>
          <w:rtl/>
        </w:rPr>
        <w:t>נקבע כי "</w:t>
      </w:r>
      <w:r>
        <w:rPr>
          <w:rFonts w:ascii="David" w:eastAsia="Times New Roman" w:hAnsi="David" w:cs="David"/>
          <w:sz w:val="24"/>
          <w:szCs w:val="24"/>
        </w:rPr>
        <w:t xml:space="preserve"> </w:t>
      </w:r>
      <w:r>
        <w:rPr>
          <w:rFonts w:ascii="David" w:eastAsia="Times New Roman" w:hAnsi="David" w:cs="David"/>
          <w:sz w:val="24"/>
          <w:szCs w:val="24"/>
          <w:rtl/>
        </w:rPr>
        <w:t xml:space="preserve">ככלל, נוהגת גישה ליברלית ומרחיבה בבחינת הרלוונטיות של מסמכים בהם מבקשים בעלי הדין לעיין, וזאת על מנת לקיים את ההליך המשפטי, עד כמה שניתן, "בקלפים פתוחים", ולמען קידום חקר האמת, היעילות וההגינות דיונית. נוכח האמור, נקבע כי המבקש לעיין במסמך זה או אחר אינו נדרש להוכיח באופן ודאי את הרלוונטיות של מסמך זה כאמור, אלא די בכך שיוכיח כי המסמך עשוי להיות </w:t>
      </w:r>
      <w:r>
        <w:rPr>
          <w:rFonts w:ascii="David" w:eastAsia="Times New Roman" w:hAnsi="David" w:cs="David"/>
          <w:sz w:val="24"/>
          <w:szCs w:val="24"/>
          <w:rtl/>
        </w:rPr>
        <w:lastRenderedPageBreak/>
        <w:t>רלוונטי לבירור התביעה</w:t>
      </w:r>
      <w:bookmarkEnd w:id="29"/>
      <w:r>
        <w:rPr>
          <w:rFonts w:ascii="David" w:eastAsia="Times New Roman" w:hAnsi="David" w:cs="David"/>
          <w:sz w:val="24"/>
          <w:szCs w:val="24"/>
        </w:rPr>
        <w:t xml:space="preserve"> </w:t>
      </w:r>
      <w:r>
        <w:rPr>
          <w:rFonts w:ascii="David" w:eastAsia="Times New Roman" w:hAnsi="David" w:cs="David"/>
          <w:sz w:val="24"/>
          <w:szCs w:val="24"/>
          <w:rtl/>
        </w:rPr>
        <w:t xml:space="preserve">" דברי כב' השופטת וילנר ברע"א 5906/19 </w:t>
      </w:r>
      <w:r>
        <w:rPr>
          <w:rFonts w:ascii="David" w:eastAsia="Times New Roman" w:hAnsi="David" w:cs="David"/>
          <w:b/>
          <w:bCs/>
          <w:sz w:val="24"/>
          <w:szCs w:val="24"/>
          <w:rtl/>
        </w:rPr>
        <w:t>פלוני נ' לאומית שירותי בריאות</w:t>
      </w:r>
      <w:r>
        <w:rPr>
          <w:rFonts w:ascii="David" w:eastAsia="Times New Roman" w:hAnsi="David" w:cs="David"/>
          <w:sz w:val="24"/>
          <w:szCs w:val="24"/>
          <w:rtl/>
        </w:rPr>
        <w:t>, [פורסם בנבו] פסקה 11 (5.11.2019) (</w:t>
      </w:r>
      <w:r>
        <w:rPr>
          <w:rFonts w:ascii="David" w:eastAsia="Times New Roman" w:hAnsi="David" w:cs="David"/>
          <w:sz w:val="24"/>
          <w:szCs w:val="24"/>
        </w:rPr>
        <w:t xml:space="preserve"> </w:t>
      </w:r>
      <w:r>
        <w:rPr>
          <w:rFonts w:ascii="David" w:eastAsia="Times New Roman" w:hAnsi="David" w:cs="David"/>
          <w:sz w:val="24"/>
          <w:szCs w:val="24"/>
          <w:rtl/>
        </w:rPr>
        <w:t>להלן:</w:t>
      </w:r>
      <w:r>
        <w:rPr>
          <w:rFonts w:ascii="David" w:eastAsia="Times New Roman" w:hAnsi="David" w:cs="David"/>
          <w:b/>
          <w:bCs/>
          <w:sz w:val="24"/>
          <w:szCs w:val="24"/>
          <w:rtl/>
        </w:rPr>
        <w:t>"עניין לאומית")</w:t>
      </w:r>
      <w:r>
        <w:rPr>
          <w:rFonts w:ascii="David" w:eastAsia="Times New Roman" w:hAnsi="David" w:cs="David"/>
          <w:b/>
          <w:bCs/>
          <w:sz w:val="24"/>
          <w:szCs w:val="24"/>
        </w:rPr>
        <w:t xml:space="preserve"> </w:t>
      </w:r>
      <w:r>
        <w:rPr>
          <w:rFonts w:ascii="David" w:eastAsia="Times New Roman" w:hAnsi="David" w:cs="David"/>
          <w:sz w:val="24"/>
          <w:szCs w:val="24"/>
          <w:rtl/>
        </w:rPr>
        <w:t xml:space="preserve">. וראו פירוט מפי </w:t>
      </w:r>
      <w:r>
        <w:rPr>
          <w:rFonts w:ascii="David" w:eastAsia="Times New Roman" w:hAnsi="David" w:cs="David"/>
          <w:sz w:val="24"/>
          <w:szCs w:val="24"/>
        </w:rPr>
        <w:t xml:space="preserve"> </w:t>
      </w:r>
      <w:r>
        <w:rPr>
          <w:rFonts w:ascii="David" w:eastAsia="Times New Roman" w:hAnsi="David" w:cs="David"/>
          <w:sz w:val="24"/>
          <w:szCs w:val="24"/>
          <w:rtl/>
        </w:rPr>
        <w:t>כב' השופט עמית ב רע"א 8571/16 מעברות נכסים - אגודה שיתופית חקלאית בע"מ נ' מוטיבן בע"מ (נבו 19.01.2017) (פסקה 18)  ( להלן:"</w:t>
      </w:r>
      <w:r>
        <w:rPr>
          <w:rFonts w:ascii="David" w:eastAsia="Times New Roman" w:hAnsi="David" w:cs="David"/>
          <w:b/>
          <w:bCs/>
          <w:sz w:val="24"/>
          <w:szCs w:val="24"/>
          <w:rtl/>
        </w:rPr>
        <w:t>עניין מעברות")</w:t>
      </w:r>
      <w:r>
        <w:rPr>
          <w:rFonts w:ascii="David" w:eastAsia="Times New Roman" w:hAnsi="David" w:cs="David"/>
          <w:b/>
          <w:bCs/>
          <w:sz w:val="24"/>
          <w:szCs w:val="24"/>
        </w:rPr>
        <w:t xml:space="preserve"> </w:t>
      </w:r>
      <w:r>
        <w:rPr>
          <w:rFonts w:ascii="David" w:eastAsia="Times New Roman" w:hAnsi="David" w:cs="David"/>
          <w:sz w:val="24"/>
          <w:szCs w:val="24"/>
          <w:rtl/>
        </w:rPr>
        <w:t>לפיו: ‏ "הלכה פסוקה היא כי חובת הגילוי המוטלת על בעל דין משתרעת על "</w:t>
      </w:r>
      <w:r>
        <w:rPr>
          <w:rFonts w:ascii="David" w:eastAsia="Times New Roman" w:hAnsi="David" w:cs="David"/>
          <w:b/>
          <w:bCs/>
          <w:sz w:val="24"/>
          <w:szCs w:val="24"/>
          <w:rtl/>
        </w:rPr>
        <w:t>כל אותם מסמכים, אשר סביר להניח כי הם כוללים מידע אשר יאפשר לצד, במישרין או בעקיפין, לקדם את העניין נושא התובענה</w:t>
      </w:r>
      <w:r>
        <w:rPr>
          <w:rFonts w:ascii="David" w:eastAsia="Times New Roman" w:hAnsi="David" w:cs="David"/>
          <w:sz w:val="24"/>
          <w:szCs w:val="24"/>
          <w:rtl/>
        </w:rPr>
        <w:t>" (רע"א 6546/94‏</w:t>
      </w:r>
      <w:r>
        <w:rPr>
          <w:rFonts w:ascii="David" w:eastAsia="Times New Roman" w:hAnsi="David" w:cs="David"/>
          <w:sz w:val="24"/>
          <w:szCs w:val="24"/>
          <w:cs/>
        </w:rPr>
        <w:t>‎</w:t>
      </w:r>
      <w:r>
        <w:rPr>
          <w:rFonts w:ascii="David" w:eastAsia="Times New Roman" w:hAnsi="David" w:cs="David"/>
          <w:sz w:val="24"/>
          <w:szCs w:val="24"/>
        </w:rPr>
        <w:t xml:space="preserve"> </w:t>
      </w:r>
      <w:r>
        <w:rPr>
          <w:rFonts w:ascii="David" w:eastAsia="Times New Roman" w:hAnsi="David" w:cs="David"/>
          <w:sz w:val="24"/>
          <w:szCs w:val="24"/>
          <w:cs/>
        </w:rPr>
        <w:t>‎</w:t>
      </w:r>
      <w:r>
        <w:rPr>
          <w:rFonts w:ascii="David" w:eastAsia="Times New Roman" w:hAnsi="David" w:cs="David"/>
          <w:b/>
          <w:bCs/>
          <w:sz w:val="24"/>
          <w:szCs w:val="24"/>
          <w:rtl/>
        </w:rPr>
        <w:t>בנק איגוד לישראל בע"מ</w:t>
      </w:r>
      <w:r>
        <w:rPr>
          <w:rFonts w:ascii="David" w:eastAsia="Times New Roman" w:hAnsi="David" w:cs="David"/>
          <w:b/>
          <w:bCs/>
          <w:sz w:val="24"/>
          <w:szCs w:val="24"/>
          <w:cs/>
        </w:rPr>
        <w:t>‎</w:t>
      </w:r>
      <w:r>
        <w:rPr>
          <w:rFonts w:ascii="David" w:eastAsia="Times New Roman" w:hAnsi="David" w:cs="David"/>
          <w:b/>
          <w:bCs/>
          <w:sz w:val="24"/>
          <w:szCs w:val="24"/>
          <w:rtl/>
        </w:rPr>
        <w:t xml:space="preserve"> נ' אזולאי</w:t>
      </w:r>
      <w:r>
        <w:rPr>
          <w:rFonts w:ascii="David" w:eastAsia="Times New Roman" w:hAnsi="David" w:cs="David"/>
          <w:sz w:val="24"/>
          <w:szCs w:val="24"/>
          <w:rtl/>
        </w:rPr>
        <w:t xml:space="preserve">‏, פ"ד מט(4) 54, פס' 7 (1995)). הגישה היא ליברלית ומרחיבה ודי בכך שלמסמך עשויה להיות רלוונטיות (רע"א 624/11 המוטרנות היוונית קתולית נ' נח'לה [פורסם בנבו] (15.3.2011)). </w:t>
      </w:r>
      <w:r>
        <w:rPr>
          <w:rFonts w:ascii="David" w:eastAsia="Times New Roman" w:hAnsi="David" w:cs="David"/>
          <w:sz w:val="24"/>
          <w:szCs w:val="24"/>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 xml:space="preserve">גם לפי הגישה הליברלית  יש לאזן את עקרון הגילוי כי </w:t>
      </w:r>
      <w:r>
        <w:rPr>
          <w:rFonts w:ascii="David" w:eastAsia="Times New Roman" w:hAnsi="David" w:cs="David" w:hint="cs"/>
          <w:b/>
          <w:bCs/>
          <w:sz w:val="24"/>
          <w:szCs w:val="24"/>
          <w:rtl/>
        </w:rPr>
        <w:t xml:space="preserve">:" </w:t>
      </w:r>
      <w:r>
        <w:rPr>
          <w:rFonts w:ascii="David" w:eastAsia="Times New Roman" w:hAnsi="David" w:cs="David" w:hint="cs"/>
          <w:sz w:val="24"/>
          <w:szCs w:val="24"/>
          <w:rtl/>
        </w:rPr>
        <w:t>הוא איננו עומד לבדו, וכנגדו ניצבים</w:t>
      </w:r>
      <w:r>
        <w:rPr>
          <w:rFonts w:ascii="David" w:eastAsia="Times New Roman" w:hAnsi="David" w:cs="David"/>
          <w:sz w:val="24"/>
          <w:szCs w:val="24"/>
        </w:rPr>
        <w:t xml:space="preserve"> </w:t>
      </w:r>
      <w:r>
        <w:rPr>
          <w:rFonts w:ascii="David" w:eastAsia="Times New Roman" w:hAnsi="David" w:cs="David"/>
          <w:sz w:val="24"/>
          <w:szCs w:val="24"/>
          <w:rtl/>
        </w:rPr>
        <w:t xml:space="preserve">ערכים אחרים, כגון הגנה על אינטרסים לגיטימיים של הצד המגלה ומניעת פגיעה בצדדים שלישיים ". </w:t>
      </w:r>
      <w:r>
        <w:rPr>
          <w:rFonts w:ascii="David" w:eastAsia="Times New Roman" w:hAnsi="David" w:cs="David"/>
          <w:b/>
          <w:bCs/>
          <w:sz w:val="24"/>
          <w:szCs w:val="24"/>
          <w:rtl/>
        </w:rPr>
        <w:t>כאמור בעניין מעברות</w:t>
      </w:r>
      <w:r>
        <w:rPr>
          <w:rFonts w:ascii="David" w:eastAsia="Times New Roman" w:hAnsi="David" w:cs="David"/>
          <w:sz w:val="24"/>
          <w:szCs w:val="24"/>
          <w:rtl/>
        </w:rPr>
        <w:t>.</w:t>
      </w:r>
    </w:p>
    <w:p w:rsidR="006A0191" w:rsidRDefault="006A0191" w:rsidP="006A0191">
      <w:pPr>
        <w:pStyle w:val="3"/>
        <w:spacing w:line="240" w:lineRule="auto"/>
        <w:rPr>
          <w:rFonts w:ascii="David" w:eastAsia="Times New Roman" w:hAnsi="David" w:cs="David"/>
          <w:u w:val="single"/>
        </w:rPr>
      </w:pPr>
      <w:r>
        <w:rPr>
          <w:rFonts w:ascii="David" w:eastAsia="Times New Roman" w:hAnsi="David" w:cs="David"/>
          <w:u w:val="single"/>
          <w:rtl/>
        </w:rPr>
        <w:t xml:space="preserve"> </w:t>
      </w:r>
      <w:bookmarkStart w:id="30" w:name="_Toc113804946"/>
      <w:r>
        <w:rPr>
          <w:rFonts w:ascii="David" w:eastAsia="Times New Roman" w:hAnsi="David" w:cs="David" w:hint="cs"/>
          <w:u w:val="single"/>
          <w:rtl/>
        </w:rPr>
        <w:t xml:space="preserve">שלב שני -בגדר סעיף 49  בחינת הסרת החיסיון –האם  "   צורך לגלות את הראיה </w:t>
      </w:r>
      <w:r>
        <w:rPr>
          <w:rFonts w:ascii="David" w:eastAsia="Times New Roman" w:hAnsi="David" w:cs="David" w:hint="cs"/>
          <w:b/>
          <w:bCs/>
          <w:u w:val="single"/>
          <w:rtl/>
        </w:rPr>
        <w:t>לשם עשיית צדק</w:t>
      </w:r>
      <w:r>
        <w:rPr>
          <w:rFonts w:ascii="David" w:eastAsia="Times New Roman" w:hAnsi="David" w:cs="David" w:hint="cs"/>
          <w:u w:val="single"/>
          <w:rtl/>
        </w:rPr>
        <w:t xml:space="preserve"> עדיף מן הענין שיש לא לגלותה" הנעשית מתוך בחינה של נוסחת איזון בין זכויות ואינטרסים מתוך התחשבות גם בעוצמת הרלבנטיות  ומקבילית הכוחות</w:t>
      </w:r>
      <w:bookmarkEnd w:id="30"/>
      <w:r>
        <w:rPr>
          <w:rFonts w:ascii="David" w:eastAsia="Times New Roman" w:hAnsi="David" w:cs="David" w:hint="cs"/>
          <w:u w:val="single"/>
          <w:rtl/>
        </w:rPr>
        <w:t xml:space="preserve">  </w:t>
      </w:r>
    </w:p>
    <w:p w:rsidR="006A0191" w:rsidRDefault="006A0191" w:rsidP="006A0191">
      <w:pPr>
        <w:rPr>
          <w:rFonts w:ascii="David" w:eastAsiaTheme="minorHAnsi" w:hAnsi="David"/>
          <w:rtl/>
        </w:rPr>
      </w:pPr>
    </w:p>
    <w:p w:rsidR="006A0191" w:rsidRDefault="006A0191" w:rsidP="00F50D1E">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Pr>
        <w:t xml:space="preserve"> </w:t>
      </w:r>
      <w:r>
        <w:rPr>
          <w:rFonts w:ascii="David" w:eastAsia="Times New Roman" w:hAnsi="David" w:cs="David"/>
          <w:sz w:val="24"/>
          <w:szCs w:val="24"/>
          <w:rtl/>
        </w:rPr>
        <w:t>בהנחה שהמבקש  הראה שהחומר ש</w:t>
      </w:r>
      <w:r w:rsidR="00F50D1E">
        <w:rPr>
          <w:rFonts w:ascii="David" w:eastAsia="Times New Roman" w:hAnsi="David" w:cs="David" w:hint="cs"/>
          <w:sz w:val="24"/>
          <w:szCs w:val="24"/>
          <w:rtl/>
        </w:rPr>
        <w:t>בי</w:t>
      </w:r>
      <w:r>
        <w:rPr>
          <w:rFonts w:ascii="David" w:eastAsia="Times New Roman" w:hAnsi="David" w:cs="David"/>
          <w:sz w:val="24"/>
          <w:szCs w:val="24"/>
          <w:rtl/>
        </w:rPr>
        <w:t xml:space="preserve">קש רלוונטי, והצד שכנגד יטען לחיסיון ״ בית המשפט יידרש להכריע, ככל שמדובר בחיסיון יחסי, אם הערך שבגילוי המסמך גובר על החשיבות שבחסיונו ״ כאמור </w:t>
      </w:r>
      <w:r>
        <w:rPr>
          <w:rFonts w:ascii="David" w:eastAsia="Times New Roman" w:hAnsi="David" w:cs="David"/>
          <w:b/>
          <w:bCs/>
          <w:sz w:val="24"/>
          <w:szCs w:val="24"/>
          <w:rtl/>
        </w:rPr>
        <w:t>בעניין לאומית</w:t>
      </w:r>
      <w:r>
        <w:rPr>
          <w:rFonts w:ascii="David" w:eastAsia="Times New Roman" w:hAnsi="David" w:cs="David"/>
          <w:sz w:val="24"/>
          <w:szCs w:val="24"/>
          <w:rtl/>
        </w:rPr>
        <w:t xml:space="preserve"> פסקה 11 . הערך זה מגולם בסעיף במילים "</w:t>
      </w:r>
      <w:r>
        <w:rPr>
          <w:rFonts w:ascii="David" w:eastAsia="Times New Roman" w:hAnsi="David" w:cs="David"/>
          <w:b/>
          <w:bCs/>
          <w:sz w:val="24"/>
          <w:szCs w:val="24"/>
          <w:rtl/>
        </w:rPr>
        <w:t xml:space="preserve">עשיית צדק </w:t>
      </w:r>
      <w:r>
        <w:rPr>
          <w:rFonts w:ascii="David" w:eastAsia="Times New Roman" w:hAnsi="David" w:cs="David"/>
          <w:sz w:val="24"/>
          <w:szCs w:val="24"/>
          <w:rtl/>
        </w:rPr>
        <w:t>".</w:t>
      </w:r>
    </w:p>
    <w:p w:rsidR="006A0191" w:rsidRDefault="006A0191" w:rsidP="006A0191">
      <w:pPr>
        <w:pStyle w:val="af1"/>
        <w:numPr>
          <w:ilvl w:val="0"/>
          <w:numId w:val="3"/>
        </w:numPr>
        <w:spacing w:after="0" w:line="240" w:lineRule="auto"/>
        <w:ind w:left="360"/>
        <w:jc w:val="both"/>
        <w:rPr>
          <w:rFonts w:ascii="Arimo" w:hAnsi="Arimo"/>
          <w:sz w:val="21"/>
          <w:szCs w:val="21"/>
        </w:rPr>
      </w:pPr>
      <w:r>
        <w:rPr>
          <w:rFonts w:ascii="David" w:eastAsia="Times New Roman" w:hAnsi="David" w:cs="David"/>
          <w:sz w:val="24"/>
          <w:szCs w:val="24"/>
          <w:rtl/>
        </w:rPr>
        <w:t>על נוסחת  ה"איזון האנכי"   ראו  בהיקש מקביעת  כב' השופט עדיאל</w:t>
      </w:r>
      <w:r>
        <w:rPr>
          <w:rFonts w:ascii="David" w:eastAsia="Times New Roman" w:hAnsi="David" w:cs="David"/>
          <w:sz w:val="24"/>
          <w:szCs w:val="24"/>
        </w:rPr>
        <w:t xml:space="preserve"> </w:t>
      </w:r>
      <w:r>
        <w:rPr>
          <w:rFonts w:ascii="David" w:eastAsia="Times New Roman" w:hAnsi="David" w:cs="David"/>
          <w:sz w:val="24"/>
          <w:szCs w:val="24"/>
          <w:rtl/>
        </w:rPr>
        <w:t xml:space="preserve">ביחס לאופן האיזון העקרוני למול זכות היסודית של חופש הביטוי .    </w:t>
      </w:r>
      <w:r>
        <w:rPr>
          <w:rFonts w:ascii="David" w:eastAsia="Times New Roman" w:hAnsi="David" w:cs="David"/>
          <w:sz w:val="24"/>
          <w:szCs w:val="24"/>
        </w:rPr>
        <w:t xml:space="preserve"> </w:t>
      </w:r>
      <w:r>
        <w:rPr>
          <w:rFonts w:ascii="David" w:eastAsia="Times New Roman" w:hAnsi="David" w:cs="David"/>
          <w:sz w:val="24"/>
          <w:szCs w:val="24"/>
          <w:rtl/>
        </w:rPr>
        <w:t xml:space="preserve">ברע"א 4708/03 </w:t>
      </w:r>
      <w:r>
        <w:rPr>
          <w:rFonts w:ascii="David" w:eastAsia="Times New Roman" w:hAnsi="David" w:cs="David"/>
          <w:b/>
          <w:bCs/>
          <w:sz w:val="24"/>
          <w:szCs w:val="24"/>
          <w:rtl/>
        </w:rPr>
        <w:t>לילי חן נ' מדינת ישראל, משרד הבריאות,</w:t>
      </w:r>
      <w:r>
        <w:rPr>
          <w:rFonts w:ascii="David" w:eastAsia="Times New Roman" w:hAnsi="David" w:cs="David"/>
          <w:sz w:val="24"/>
          <w:szCs w:val="24"/>
          <w:rtl/>
        </w:rPr>
        <w:t xml:space="preserve"> ס(3) 274 (2005)‏(</w:t>
      </w:r>
      <w:r>
        <w:rPr>
          <w:rFonts w:ascii="David" w:eastAsia="Times New Roman" w:hAnsi="David" w:cs="David"/>
          <w:sz w:val="24"/>
          <w:szCs w:val="24"/>
        </w:rPr>
        <w:t xml:space="preserve"> </w:t>
      </w:r>
      <w:r>
        <w:rPr>
          <w:rFonts w:ascii="David" w:eastAsia="Times New Roman" w:hAnsi="David" w:cs="David"/>
          <w:sz w:val="24"/>
          <w:szCs w:val="24"/>
          <w:rtl/>
        </w:rPr>
        <w:t xml:space="preserve">פסקאות 37-38) </w:t>
      </w:r>
      <w:r>
        <w:rPr>
          <w:rFonts w:ascii="David" w:eastAsia="Times New Roman" w:hAnsi="David" w:cs="David"/>
          <w:sz w:val="24"/>
          <w:szCs w:val="24"/>
        </w:rPr>
        <w:t xml:space="preserve"> </w:t>
      </w:r>
      <w:r>
        <w:rPr>
          <w:rFonts w:ascii="David" w:eastAsia="Times New Roman" w:hAnsi="David" w:cs="David"/>
          <w:sz w:val="24"/>
          <w:szCs w:val="24"/>
          <w:rtl/>
        </w:rPr>
        <w:t>( להלן: "</w:t>
      </w:r>
      <w:r>
        <w:rPr>
          <w:rFonts w:ascii="David" w:eastAsia="Times New Roman" w:hAnsi="David" w:cs="David"/>
          <w:b/>
          <w:bCs/>
          <w:sz w:val="24"/>
          <w:szCs w:val="24"/>
          <w:rtl/>
        </w:rPr>
        <w:t>עניין ח"</w:t>
      </w:r>
      <w:r>
        <w:rPr>
          <w:rFonts w:ascii="David" w:eastAsia="Times New Roman" w:hAnsi="David" w:cs="David"/>
          <w:sz w:val="24"/>
          <w:szCs w:val="24"/>
          <w:rtl/>
        </w:rPr>
        <w:t xml:space="preserve">ן)" </w:t>
      </w:r>
      <w:r>
        <w:rPr>
          <w:rFonts w:ascii="David" w:eastAsia="Times New Roman" w:hAnsi="David" w:cs="David"/>
          <w:sz w:val="24"/>
          <w:szCs w:val="24"/>
        </w:rPr>
        <w:t xml:space="preserve"> </w:t>
      </w:r>
      <w:r>
        <w:rPr>
          <w:rFonts w:ascii="David" w:eastAsia="Times New Roman" w:hAnsi="David" w:cs="David"/>
          <w:sz w:val="24"/>
          <w:szCs w:val="24"/>
          <w:rtl/>
        </w:rPr>
        <w:t>‏ "37. במקרה שלפנינו אני סבור שיש לבחור בנוסחת איזון אנכי המבוססת על קיומה של אפשרות סבירה לפגיעה ממשית בעשיית הצדק</w:t>
      </w:r>
      <w:r>
        <w:rPr>
          <w:rFonts w:ascii="David" w:eastAsia="Times New Roman" w:hAnsi="David" w:cs="David"/>
          <w:sz w:val="38"/>
          <w:szCs w:val="38"/>
          <w:rtl/>
        </w:rPr>
        <w:t>...</w:t>
      </w:r>
      <w:r>
        <w:rPr>
          <w:rFonts w:ascii="David" w:eastAsia="Times New Roman" w:hAnsi="David" w:cs="David"/>
          <w:sz w:val="24"/>
          <w:szCs w:val="24"/>
          <w:rtl/>
        </w:rPr>
        <w:t>הטעם לכך נעוץ בראש ובראשונה במעמדו הנורמטיבי הגבוה של ערך עשיית הצדק, ...</w:t>
      </w:r>
      <w:r>
        <w:rPr>
          <w:rFonts w:ascii="Arimo" w:hAnsi="Arimo"/>
          <w:sz w:val="26"/>
          <w:szCs w:val="20"/>
          <w:rtl/>
        </w:rPr>
        <w:t xml:space="preserve"> </w:t>
      </w:r>
      <w:r>
        <w:rPr>
          <w:rFonts w:ascii="David" w:eastAsia="Times New Roman" w:hAnsi="David" w:cs="David"/>
          <w:sz w:val="24"/>
          <w:szCs w:val="24"/>
          <w:rtl/>
        </w:rPr>
        <w:t>על כן ראוי שהפגיעה בערך זה תימנע גם בהתקיים אפשרות סבירה לפגיעה בערך זה, ולאו דווקא ודאות קרובה לכך. מסיבה זו נפסק בעניין דיסנצ'יק [12], בעמ' 181 שם נערך איזון בין חופש הביטוי לעשיית צדק (בהקשר לעבירת הסוביודיצה)</w:t>
      </w:r>
      <w:r>
        <w:rPr>
          <w:rFonts w:ascii="Arimo" w:hAnsi="Arimo"/>
          <w:sz w:val="26"/>
          <w:szCs w:val="20"/>
          <w:rtl/>
        </w:rPr>
        <w:t>, כי:  "..</w:t>
      </w:r>
      <w:r>
        <w:rPr>
          <w:rFonts w:ascii="Arimo" w:hAnsi="Arimo"/>
          <w:sz w:val="38"/>
          <w:szCs w:val="32"/>
          <w:rtl/>
        </w:rPr>
        <w:t>.</w:t>
      </w:r>
      <w:r>
        <w:rPr>
          <w:rFonts w:ascii="David" w:eastAsia="Times New Roman" w:hAnsi="David" w:cs="David"/>
          <w:sz w:val="24"/>
          <w:szCs w:val="24"/>
          <w:rtl/>
        </w:rPr>
        <w:t>אין די בסכנה רחוקה הנשקפת להליך</w:t>
      </w:r>
      <w:r>
        <w:rPr>
          <w:rFonts w:ascii="Arimo" w:hAnsi="Arimo"/>
          <w:szCs w:val="16"/>
          <w:rtl/>
        </w:rPr>
        <w:t xml:space="preserve"> </w:t>
      </w:r>
      <w:r>
        <w:rPr>
          <w:rFonts w:ascii="Arimo" w:hAnsi="Arimo"/>
          <w:sz w:val="8"/>
          <w:szCs w:val="2"/>
          <w:rtl/>
        </w:rPr>
        <w:t>(</w:t>
      </w:r>
      <w:r>
        <w:rPr>
          <w:rFonts w:ascii="Arimo" w:hAnsi="Arimo"/>
          <w:sz w:val="8"/>
          <w:szCs w:val="2"/>
        </w:rPr>
        <w:t xml:space="preserve">remote </w:t>
      </w:r>
      <w:r>
        <w:rPr>
          <w:rFonts w:ascii="Arimo" w:hAnsi="Arimo"/>
          <w:sz w:val="12"/>
          <w:szCs w:val="6"/>
          <w:rtl/>
        </w:rPr>
        <w:t>...</w:t>
      </w:r>
      <w:r>
        <w:rPr>
          <w:rFonts w:ascii="Arimo" w:hAnsi="Arimo"/>
          <w:sz w:val="8"/>
          <w:szCs w:val="2"/>
          <w:rtl/>
        </w:rPr>
        <w:t xml:space="preserve"> </w:t>
      </w:r>
      <w:r>
        <w:rPr>
          <w:rFonts w:ascii="David" w:eastAsia="Times New Roman" w:hAnsi="David" w:cs="David"/>
          <w:sz w:val="24"/>
          <w:szCs w:val="24"/>
          <w:rtl/>
        </w:rPr>
        <w:t>די לה אם היא אפשרות סבירה, ואין צורך שתהא קרובה לוודאי או ממשמשת ובאה ..</w:t>
      </w:r>
      <w:r>
        <w:rPr>
          <w:rFonts w:ascii="Arimo" w:hAnsi="Arimo"/>
          <w:sz w:val="8"/>
          <w:szCs w:val="2"/>
          <w:rtl/>
        </w:rPr>
        <w:t xml:space="preserve">. </w:t>
      </w:r>
      <w:r>
        <w:rPr>
          <w:rFonts w:ascii="David" w:eastAsia="Times New Roman" w:hAnsi="David" w:cs="David"/>
          <w:sz w:val="24"/>
          <w:szCs w:val="24"/>
          <w:rtl/>
        </w:rPr>
        <w:t>38. מתי תתקיים אפשרות סבירה לפגיעה ממשית בעשיית הצדק עקב אי-גילוי הפרוטוקול? התשובה לשאלה זו תיגזר ממידת החשיבות של הפרוטוקול להכרעה במחלוקות שבין הצדדים</w:t>
      </w:r>
      <w:r>
        <w:rPr>
          <w:rFonts w:ascii="Arimo" w:hAnsi="Arimo"/>
          <w:sz w:val="21"/>
          <w:szCs w:val="21"/>
          <w:rtl/>
        </w:rPr>
        <w:t xml:space="preserve">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על ההיבט הקונקרטי במהלך האיזון העקרוני נכתב </w:t>
      </w:r>
      <w:r>
        <w:rPr>
          <w:rFonts w:ascii="David" w:eastAsia="Times New Roman" w:hAnsi="David" w:cs="David"/>
          <w:b/>
          <w:bCs/>
          <w:sz w:val="24"/>
          <w:szCs w:val="24"/>
          <w:rtl/>
        </w:rPr>
        <w:t>בענין אזולאי</w:t>
      </w:r>
      <w:r>
        <w:rPr>
          <w:rFonts w:ascii="David" w:eastAsia="Times New Roman" w:hAnsi="David" w:cs="David"/>
          <w:sz w:val="24"/>
          <w:szCs w:val="24"/>
          <w:rtl/>
        </w:rPr>
        <w:t xml:space="preserve"> בפסקה 11  כדלהלן :" </w:t>
      </w:r>
      <w:r>
        <w:rPr>
          <w:rFonts w:ascii="David" w:eastAsia="Times New Roman" w:hAnsi="David" w:cs="David"/>
          <w:sz w:val="24"/>
          <w:szCs w:val="24"/>
        </w:rPr>
        <w:t xml:space="preserve"> </w:t>
      </w:r>
      <w:r>
        <w:rPr>
          <w:rFonts w:ascii="David" w:eastAsia="Times New Roman" w:hAnsi="David" w:cs="David"/>
          <w:sz w:val="24"/>
          <w:szCs w:val="24"/>
          <w:rtl/>
        </w:rPr>
        <w:t>עריכת איזון "קונקרטי". בנסיבותיו של כל מקרה ומקרה ובגדריו של השיקול הקונקרטי מתחשבים, בין השאר, במידת חיוניותה של הראיה במשפט ובקיומן של ראיות חלופיות. אכן, הכלל הוא האמת והצורך בגילויה. החיסיון הוא החריג. "חייב לפיכך להימצא להצדקתו שיקול רם ונכבד יותר שבטובת הכלל. הדבר מצריך איזון והכרעה בין שיקולים שונים שבטובת הכלל, מצב המציג תמיד דילמה בין שתי רעות, הפרת אמון וסודיות מחד, ודיכוייה של האמת הדרושה למשפט צדק, מאידך" (ש' נתניהו, "על התפתחויות בסוגית החסיונות המקצועיים" ספר זוסמן (דף-חן, תשמ"ד) 297, 298)."</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lastRenderedPageBreak/>
        <w:t>בהפעלת נוסחת האיזון, נבחנת "</w:t>
      </w:r>
      <w:r>
        <w:rPr>
          <w:rFonts w:ascii="David" w:eastAsia="Times New Roman" w:hAnsi="David" w:cs="David"/>
          <w:b/>
          <w:bCs/>
          <w:sz w:val="24"/>
          <w:szCs w:val="24"/>
          <w:rtl/>
        </w:rPr>
        <w:t xml:space="preserve">מקבילית הכוחות  </w:t>
      </w:r>
      <w:r>
        <w:rPr>
          <w:rFonts w:ascii="David" w:eastAsia="Times New Roman" w:hAnsi="David" w:cs="David"/>
          <w:sz w:val="24"/>
          <w:szCs w:val="24"/>
          <w:rtl/>
        </w:rPr>
        <w:t xml:space="preserve">הקיימת בין שאלת הרלוונטיות לשאלת החיסיון: ככל שעוצמת הרלוונטיות של המסמך המבוקש גבוהה, ככל שהראיה חיונית עבור בעל הדין שכנגד, וככל שלא ניתן להשיג ראיות חלופיות יהיה לכך משקל רב יותר בהחלטת בית המשפט אם להורות על הסרת חיסיון יחסי "  ראו יצחק עמית </w:t>
      </w:r>
      <w:r>
        <w:rPr>
          <w:rFonts w:ascii="David" w:eastAsia="Times New Roman" w:hAnsi="David" w:cs="David"/>
          <w:b/>
          <w:bCs/>
          <w:sz w:val="24"/>
          <w:szCs w:val="24"/>
          <w:rtl/>
        </w:rPr>
        <w:t xml:space="preserve">חסיונות ואינטרסים מוגנים–הליכי גילוי במשפט האזרחי והפלילי </w:t>
      </w:r>
      <w:r>
        <w:rPr>
          <w:rFonts w:ascii="David" w:eastAsia="Times New Roman" w:hAnsi="David" w:cs="David"/>
          <w:sz w:val="24"/>
          <w:szCs w:val="24"/>
          <w:rtl/>
        </w:rPr>
        <w:t xml:space="preserve"> בעמוד368 (  להלן: </w:t>
      </w:r>
      <w:r>
        <w:rPr>
          <w:rFonts w:ascii="David" w:eastAsia="Times New Roman" w:hAnsi="David" w:cs="David"/>
          <w:b/>
          <w:bCs/>
          <w:sz w:val="24"/>
          <w:szCs w:val="24"/>
          <w:rtl/>
        </w:rPr>
        <w:t>"עמית חסיונות ואינטרסים" )(</w:t>
      </w:r>
      <w:r>
        <w:rPr>
          <w:rFonts w:ascii="David" w:eastAsia="Times New Roman" w:hAnsi="David" w:cs="David"/>
          <w:sz w:val="24"/>
          <w:szCs w:val="24"/>
          <w:rtl/>
        </w:rPr>
        <w:t xml:space="preserve">הדגשה לא במקור א.ב. </w:t>
      </w:r>
      <w:r>
        <w:rPr>
          <w:rFonts w:ascii="David" w:eastAsia="Times New Roman" w:hAnsi="David" w:cs="David"/>
          <w:b/>
          <w:bCs/>
          <w:sz w:val="24"/>
          <w:szCs w:val="24"/>
          <w:rtl/>
        </w:rPr>
        <w:t xml:space="preserve">). </w:t>
      </w:r>
      <w:r>
        <w:rPr>
          <w:rFonts w:ascii="David" w:eastAsia="Times New Roman" w:hAnsi="David" w:cs="David"/>
          <w:sz w:val="24"/>
          <w:szCs w:val="24"/>
          <w:rtl/>
        </w:rPr>
        <w:t xml:space="preserve">וראו גם רע"א 9153/12 </w:t>
      </w:r>
      <w:r>
        <w:rPr>
          <w:rFonts w:ascii="David" w:eastAsia="Times New Roman" w:hAnsi="David" w:cs="David"/>
          <w:b/>
          <w:bCs/>
          <w:sz w:val="24"/>
          <w:szCs w:val="24"/>
          <w:rtl/>
        </w:rPr>
        <w:t xml:space="preserve">מנהל מס ערך מוסף, אשדוד נ' הקורנס מפעלי עופרת בע"מ </w:t>
      </w:r>
      <w:r>
        <w:rPr>
          <w:rFonts w:ascii="David" w:eastAsia="Times New Roman" w:hAnsi="David" w:cs="David"/>
          <w:sz w:val="24"/>
          <w:szCs w:val="24"/>
          <w:rtl/>
        </w:rPr>
        <w:t xml:space="preserve">(נבו 25.02.2013)(פסקה 7 )‏  </w:t>
      </w:r>
    </w:p>
    <w:p w:rsidR="006A0191" w:rsidRDefault="006A0191" w:rsidP="00F50D1E">
      <w:pPr>
        <w:pStyle w:val="af1"/>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עוד ראו גם י. קדמי, על הראיות, </w:t>
      </w:r>
      <w:r>
        <w:rPr>
          <w:rFonts w:ascii="David" w:eastAsia="Times New Roman" w:hAnsi="David" w:cs="David"/>
          <w:b/>
          <w:bCs/>
          <w:sz w:val="24"/>
          <w:szCs w:val="24"/>
          <w:rtl/>
        </w:rPr>
        <w:t>חלק שלישי  ,</w:t>
      </w:r>
      <w:r>
        <w:rPr>
          <w:rFonts w:ascii="David" w:eastAsia="Times New Roman" w:hAnsi="David" w:cs="David"/>
          <w:sz w:val="24"/>
          <w:szCs w:val="24"/>
          <w:rtl/>
        </w:rPr>
        <w:t xml:space="preserve"> הדין בראי הפסיקה, פרק תשיעי  , (2009) 1117-1124   </w:t>
      </w:r>
      <w:r w:rsidR="00F50D1E">
        <w:rPr>
          <w:rFonts w:ascii="David" w:eastAsia="Times New Roman" w:hAnsi="David" w:cs="David" w:hint="cs"/>
          <w:sz w:val="24"/>
          <w:szCs w:val="24"/>
          <w:rtl/>
        </w:rPr>
        <w:t>.</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כאשר נוסחת האיזון מופעלת  במישור שבין התובע לבין הנתבע ,נקודת המוצא קרובה יותר לגילוי האמת ופחות לחיסיון  (</w:t>
      </w:r>
      <w:r>
        <w:rPr>
          <w:rFonts w:ascii="David" w:eastAsia="Times New Roman" w:hAnsi="David" w:cs="David"/>
          <w:sz w:val="24"/>
          <w:szCs w:val="24"/>
        </w:rPr>
        <w:t xml:space="preserve"> </w:t>
      </w:r>
      <w:r>
        <w:rPr>
          <w:rFonts w:ascii="David" w:eastAsia="Times New Roman" w:hAnsi="David" w:cs="David"/>
          <w:sz w:val="24"/>
          <w:szCs w:val="24"/>
          <w:rtl/>
        </w:rPr>
        <w:t xml:space="preserve">על כך ראו עמדת כב' השופט עמית  בג"ץ 1347/18 </w:t>
      </w:r>
      <w:r>
        <w:rPr>
          <w:rFonts w:ascii="David" w:eastAsia="Times New Roman" w:hAnsi="David" w:cs="David"/>
          <w:b/>
          <w:bCs/>
          <w:sz w:val="24"/>
          <w:szCs w:val="24"/>
          <w:rtl/>
        </w:rPr>
        <w:t>פלונית נ' בית הדין הארצי לעבודה</w:t>
      </w:r>
      <w:r>
        <w:rPr>
          <w:rFonts w:ascii="David" w:eastAsia="Times New Roman" w:hAnsi="David" w:cs="David"/>
          <w:sz w:val="24"/>
          <w:szCs w:val="24"/>
          <w:rtl/>
        </w:rPr>
        <w:t xml:space="preserve"> (נבו 23.07.2019)‏‏פסקה 26 )</w:t>
      </w:r>
      <w:r>
        <w:rPr>
          <w:rFonts w:ascii="David" w:eastAsia="Times New Roman" w:hAnsi="David" w:cs="David"/>
          <w:sz w:val="24"/>
          <w:szCs w:val="24"/>
        </w:rPr>
        <w:t xml:space="preserve"> </w:t>
      </w:r>
      <w:r>
        <w:rPr>
          <w:rFonts w:ascii="David" w:eastAsia="Times New Roman" w:hAnsi="David" w:cs="David"/>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 xml:space="preserve">לעיל ולהלן:" </w:t>
      </w:r>
      <w:r>
        <w:rPr>
          <w:rFonts w:ascii="David" w:eastAsia="Times New Roman" w:hAnsi="David" w:cs="David"/>
          <w:b/>
          <w:bCs/>
          <w:sz w:val="24"/>
          <w:szCs w:val="24"/>
          <w:rtl/>
        </w:rPr>
        <w:t>עניין בית הדין הארצי לעבודה"</w:t>
      </w:r>
      <w:r>
        <w:rPr>
          <w:rFonts w:ascii="David" w:eastAsia="Times New Roman" w:hAnsi="David" w:cs="David"/>
          <w:sz w:val="24"/>
          <w:szCs w:val="24"/>
          <w:rtl/>
        </w:rPr>
        <w:t>)</w:t>
      </w:r>
      <w:r>
        <w:rPr>
          <w:rFonts w:ascii="David" w:eastAsia="Times New Roman" w:hAnsi="David" w:cs="David"/>
          <w:sz w:val="24"/>
          <w:szCs w:val="24"/>
        </w:rPr>
        <w:t xml:space="preserve"> </w:t>
      </w:r>
      <w:r>
        <w:rPr>
          <w:rFonts w:ascii="David" w:eastAsia="Times New Roman" w:hAnsi="David" w:cs="David"/>
          <w:sz w:val="24"/>
          <w:szCs w:val="24"/>
          <w:rtl/>
        </w:rPr>
        <w:t>אך ראו גם בעמדה המבצרת אף יותר את הגילוי מתוך דבקות בעיקרון  של  "תבעת – גילית" וזאת מפי כב'  השופט שטיין ב</w:t>
      </w:r>
      <w:r>
        <w:rPr>
          <w:rFonts w:ascii="David" w:eastAsia="Times New Roman" w:hAnsi="David" w:cs="David"/>
          <w:b/>
          <w:bCs/>
          <w:sz w:val="24"/>
          <w:szCs w:val="24"/>
          <w:rtl/>
        </w:rPr>
        <w:t>עניין בית הדין הארצי לעבודה</w:t>
      </w:r>
      <w:r>
        <w:rPr>
          <w:rFonts w:ascii="David" w:eastAsia="Times New Roman" w:hAnsi="David" w:cs="David"/>
          <w:sz w:val="24"/>
          <w:szCs w:val="24"/>
          <w:rtl/>
        </w:rPr>
        <w:t>.</w:t>
      </w:r>
      <w:r>
        <w:rPr>
          <w:rFonts w:ascii="David" w:eastAsia="Times New Roman" w:hAnsi="David" w:cs="David"/>
          <w:sz w:val="24"/>
          <w:szCs w:val="24"/>
        </w:rPr>
        <w:t xml:space="preserve">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אם בית המשפט הגיע למסקנה כי לבעל הדין אכן, עומדת טענת חסיון, הוא פטור  מלגלות אותה ראיה ליריבו . זאת,  למרות שהראיה רלוונטית למשפט בשל העדפת האינטרסים אחרים  שביסוד החיסיון, על בירור האמת העובדתית בנסיבות מקרה מסוים.  יצוין כי  עצם החיסיון  שבס'  49 , לכאורה אינו הופך ראיה  שהגיעה לבלתי קבילה..</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b/>
          <w:bCs/>
          <w:sz w:val="24"/>
          <w:szCs w:val="24"/>
          <w:rtl/>
        </w:rPr>
        <w:t xml:space="preserve">תוצאה של הפעלת נוסחת האיזון לכאורה אינה בהכרח דיכוטומית של </w:t>
      </w:r>
      <w:r>
        <w:rPr>
          <w:rFonts w:ascii="David" w:eastAsia="Times New Roman" w:hAnsi="David" w:cs="David"/>
          <w:b/>
          <w:bCs/>
          <w:sz w:val="24"/>
          <w:szCs w:val="24"/>
        </w:rPr>
        <w:t xml:space="preserve"> </w:t>
      </w:r>
      <w:r>
        <w:rPr>
          <w:rFonts w:ascii="David" w:eastAsia="Times New Roman" w:hAnsi="David" w:cs="David"/>
          <w:sz w:val="24"/>
          <w:szCs w:val="24"/>
          <w:rtl/>
        </w:rPr>
        <w:t xml:space="preserve">חיסיון מלא   או </w:t>
      </w:r>
      <w:r>
        <w:rPr>
          <w:rFonts w:ascii="David" w:eastAsia="Times New Roman" w:hAnsi="David" w:cs="David"/>
          <w:b/>
          <w:bCs/>
          <w:sz w:val="24"/>
          <w:szCs w:val="24"/>
          <w:rtl/>
        </w:rPr>
        <w:t xml:space="preserve"> </w:t>
      </w:r>
      <w:r>
        <w:rPr>
          <w:rFonts w:ascii="David" w:eastAsia="Times New Roman" w:hAnsi="David" w:cs="David"/>
          <w:sz w:val="24"/>
          <w:szCs w:val="24"/>
          <w:rtl/>
        </w:rPr>
        <w:t xml:space="preserve">של </w:t>
      </w:r>
      <w:r>
        <w:rPr>
          <w:rFonts w:ascii="David" w:eastAsia="Times New Roman" w:hAnsi="David" w:cs="David"/>
          <w:b/>
          <w:bCs/>
          <w:sz w:val="24"/>
          <w:szCs w:val="24"/>
          <w:rtl/>
        </w:rPr>
        <w:t xml:space="preserve">  </w:t>
      </w:r>
      <w:r>
        <w:rPr>
          <w:rFonts w:ascii="David" w:eastAsia="Times New Roman" w:hAnsi="David" w:cs="David"/>
          <w:sz w:val="24"/>
          <w:szCs w:val="24"/>
          <w:rtl/>
        </w:rPr>
        <w:t xml:space="preserve">גילוי מלא . מסתבר, שאפשרית הסרה חלקית של חיסיון </w:t>
      </w:r>
      <w:r>
        <w:rPr>
          <w:rFonts w:ascii="David" w:eastAsia="Times New Roman" w:hAnsi="David" w:cs="David"/>
          <w:sz w:val="24"/>
          <w:szCs w:val="24"/>
        </w:rPr>
        <w:t xml:space="preserve"> </w:t>
      </w:r>
      <w:r>
        <w:rPr>
          <w:rFonts w:ascii="David" w:eastAsia="Times New Roman" w:hAnsi="David" w:cs="David"/>
          <w:sz w:val="24"/>
          <w:szCs w:val="24"/>
          <w:rtl/>
        </w:rPr>
        <w:t>אם בחשיפה של חלק מהמידע  ואם באופן הרשאה לקבלו ולהעבירו  למשל במסירה לעיון ולא להעתקה. כב' השופטת ארבל   בש"פ 6740/13 מדינת ישראל נ' פלוני</w:t>
      </w:r>
      <w:r>
        <w:rPr>
          <w:rFonts w:ascii="David" w:eastAsia="Times New Roman" w:hAnsi="David" w:cs="David"/>
          <w:b/>
          <w:bCs/>
          <w:sz w:val="24"/>
          <w:szCs w:val="24"/>
          <w:rtl/>
        </w:rPr>
        <w:t xml:space="preserve"> (נ</w:t>
      </w:r>
      <w:r>
        <w:rPr>
          <w:rFonts w:ascii="David" w:eastAsia="Times New Roman" w:hAnsi="David" w:cs="David"/>
          <w:sz w:val="24"/>
          <w:szCs w:val="24"/>
          <w:rtl/>
        </w:rPr>
        <w:t>בו 19.01.2014)‏‏ "לא לשם עיון בו ולא לשם העתקתו." יתכן שאופן אחרון זה עשוי להיות רלבטי למשל במצב שבו קיים חשש משמירה לא מאובטחת דיה של מידע .אם בית המשפט הגיע למסקנה כי, במקרה ספציפי,  יש להסיר את החיסיון באופן מלא או חלקי  הרי שבהתאם להחלטה יש לגלות  וניתן יהיה להשתמש בראיה במשפט בכפוף לכללי הקבילות. והמשקל.</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 למעלה מהצורך, אזכיר שגם אם  ניתן צו שיפוטי  להסרת החיסיון   תחול  חובת סודיות  על מקבל חומר רפואי שנחשף בפניו  לצורך התביעה  קיימת גם חובת זהירות בשמירה נאותה על חומר מדליפה  לרבות באמצעים הנאותים להגנת סייבר . </w:t>
      </w:r>
    </w:p>
    <w:p w:rsidR="006A0191" w:rsidRDefault="006A0191" w:rsidP="006A0191">
      <w:pPr>
        <w:pStyle w:val="2"/>
        <w:spacing w:line="240" w:lineRule="auto"/>
        <w:rPr>
          <w:rFonts w:ascii="David" w:eastAsia="Times New Roman" w:hAnsi="David" w:cs="David"/>
          <w:sz w:val="24"/>
          <w:szCs w:val="24"/>
          <w:u w:val="single"/>
        </w:rPr>
      </w:pPr>
      <w:bookmarkStart w:id="31" w:name="_Toc112170777"/>
      <w:r>
        <w:rPr>
          <w:rFonts w:ascii="David" w:eastAsia="Times New Roman" w:hAnsi="David" w:cs="David"/>
          <w:sz w:val="24"/>
          <w:szCs w:val="24"/>
          <w:u w:val="single"/>
          <w:rtl/>
        </w:rPr>
        <w:t xml:space="preserve"> </w:t>
      </w:r>
      <w:bookmarkStart w:id="32" w:name="_Toc113804947"/>
      <w:r>
        <w:rPr>
          <w:rFonts w:ascii="David" w:eastAsia="Times New Roman" w:hAnsi="David" w:cs="David"/>
          <w:sz w:val="24"/>
          <w:szCs w:val="24"/>
          <w:u w:val="single"/>
          <w:rtl/>
        </w:rPr>
        <w:t>ה(4) גילוי מסמכים מבעל דין</w:t>
      </w:r>
      <w:bookmarkEnd w:id="31"/>
      <w:bookmarkEnd w:id="32"/>
      <w:r>
        <w:rPr>
          <w:rFonts w:ascii="David" w:eastAsia="Times New Roman" w:hAnsi="David" w:cs="David"/>
          <w:sz w:val="24"/>
          <w:szCs w:val="24"/>
          <w:u w:val="single"/>
          <w:rtl/>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להשלמת התמונה הנוגעת למסגרת הנורמטיבית אפנה </w:t>
      </w:r>
      <w:r>
        <w:rPr>
          <w:rFonts w:ascii="David" w:eastAsia="Times New Roman" w:hAnsi="David" w:cs="David"/>
          <w:b/>
          <w:bCs/>
          <w:sz w:val="24"/>
          <w:szCs w:val="24"/>
          <w:rtl/>
        </w:rPr>
        <w:t>גם לפרק ט לתקנות</w:t>
      </w:r>
      <w:r>
        <w:rPr>
          <w:rFonts w:ascii="David" w:eastAsia="Times New Roman" w:hAnsi="David" w:cs="David"/>
          <w:sz w:val="24"/>
          <w:szCs w:val="24"/>
          <w:rtl/>
        </w:rPr>
        <w:t xml:space="preserve">  שעניינו :"שאלונים, גילוי ועיון במסמכים" פרק זה מקנה כלים להשגת מידע המצוי בידי בעל דין שכנגד שבמקרה שלפנינו הוא התובע . על חשיבותו הרבה לבירור האמת ולתקינות מלמדת כיום תקנה 60(א) רישא שלפיה: " </w:t>
      </w:r>
      <w:r>
        <w:rPr>
          <w:rFonts w:ascii="David" w:eastAsia="Times New Roman" w:hAnsi="David" w:cs="David"/>
          <w:b/>
          <w:bCs/>
          <w:sz w:val="24"/>
          <w:szCs w:val="24"/>
          <w:rtl/>
        </w:rPr>
        <w:t>הליכי גילוי ועיון נאותים מהווים תנאי בסיסי לקיומו של הליך שיפוטי ראוי והוגן;"</w:t>
      </w:r>
      <w:r>
        <w:rPr>
          <w:rFonts w:ascii="David" w:eastAsia="Times New Roman" w:hAnsi="David" w:cs="David"/>
          <w:sz w:val="24"/>
          <w:szCs w:val="24"/>
          <w:rtl/>
        </w:rPr>
        <w:t xml:space="preserve">  מטרתו של הליך זה היא כמובן גם בירור אמת לנוכח סעיף  1 לתקנות  וכלפי בעל דין שאינו ממלא את הוראותיו נשקפות סנקציות בסעיף 60(א) סיפא וסעיף 60(ג).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הגילוי הוא דו סטרי -  לאחר שהחומר נמסר למומחה של הצד שכנגד המכין חוות דעת מטעמו  אסור להסתירה מהצד שכנגד משנקבע בסעיף 87(ב) סיפא : כי " חוות הדעת תומצא לתובע גם אם לא הוגשה לבית המשפט".</w:t>
      </w:r>
    </w:p>
    <w:p w:rsidR="006A0191" w:rsidRDefault="006A0191" w:rsidP="006A0191">
      <w:pPr>
        <w:pStyle w:val="2"/>
        <w:spacing w:line="240" w:lineRule="auto"/>
        <w:rPr>
          <w:rFonts w:ascii="David" w:eastAsia="Times New Roman" w:hAnsi="David" w:cs="David"/>
          <w:sz w:val="24"/>
          <w:szCs w:val="24"/>
          <w:u w:val="single"/>
        </w:rPr>
      </w:pPr>
      <w:r>
        <w:rPr>
          <w:rFonts w:ascii="David" w:eastAsia="Times New Roman" w:hAnsi="David" w:cs="David"/>
          <w:b/>
          <w:bCs/>
          <w:sz w:val="24"/>
          <w:szCs w:val="24"/>
          <w:u w:val="single"/>
          <w:rtl/>
        </w:rPr>
        <w:lastRenderedPageBreak/>
        <w:t xml:space="preserve"> </w:t>
      </w:r>
      <w:bookmarkStart w:id="33" w:name="_Toc112170778"/>
      <w:bookmarkStart w:id="34" w:name="_Toc113804948"/>
      <w:r>
        <w:rPr>
          <w:rFonts w:ascii="David" w:eastAsia="Times New Roman" w:hAnsi="David" w:cs="David"/>
          <w:sz w:val="24"/>
          <w:szCs w:val="24"/>
          <w:u w:val="single"/>
          <w:rtl/>
        </w:rPr>
        <w:t>ה(5)</w:t>
      </w:r>
      <w:r>
        <w:rPr>
          <w:rFonts w:ascii="David" w:eastAsia="Times New Roman" w:hAnsi="David" w:cs="David"/>
          <w:sz w:val="24"/>
          <w:szCs w:val="24"/>
          <w:u w:val="single"/>
        </w:rPr>
        <w:t xml:space="preserve"> </w:t>
      </w:r>
      <w:r>
        <w:rPr>
          <w:rFonts w:ascii="David" w:eastAsia="Times New Roman" w:hAnsi="David" w:cs="David"/>
          <w:sz w:val="24"/>
          <w:szCs w:val="24"/>
          <w:u w:val="single"/>
          <w:rtl/>
        </w:rPr>
        <w:t>הדרך הדיונית לקבלת מידע מצד שלישי ובעניינו</w:t>
      </w:r>
      <w:bookmarkEnd w:id="33"/>
      <w:r>
        <w:rPr>
          <w:rFonts w:ascii="David" w:eastAsia="Times New Roman" w:hAnsi="David" w:cs="David"/>
          <w:sz w:val="24"/>
          <w:szCs w:val="24"/>
          <w:u w:val="single"/>
          <w:rtl/>
        </w:rPr>
        <w:t xml:space="preserve"> – והאיזון הנדרש לצורך הסרת חיסיון למול זכות צד השלישי</w:t>
      </w:r>
      <w:bookmarkEnd w:id="34"/>
    </w:p>
    <w:p w:rsidR="006A0191" w:rsidRDefault="006A0191" w:rsidP="006A0191">
      <w:pPr>
        <w:rPr>
          <w:rFonts w:ascii="David" w:eastAsiaTheme="minorHAnsi" w:hAnsi="David"/>
          <w:rtl/>
        </w:rPr>
      </w:pP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rtl/>
        </w:rPr>
        <w:t>עתירת הנתבעת, היא לצו המורה לתובע להמציא לנתבעת טופס וס"ר החתום על ידי אימו, ומאומת כדין על ידי אימו.</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w:t>
      </w:r>
      <w:r>
        <w:rPr>
          <w:rFonts w:ascii="David" w:eastAsia="Times New Roman" w:hAnsi="David" w:cs="David" w:hint="cs"/>
          <w:sz w:val="24"/>
          <w:szCs w:val="24"/>
          <w:rtl/>
        </w:rPr>
        <w:t>מהבחינה הדיונית, אימו של התובע  אינה צד ישיר לתביעה אף אם  כתב התביעה המקורי הוגש באמצעותה , כאחד האפוטרופסיים  ואף אם לאם הביולוגית קרבה גנטית ולא ״רק״ משפחתית לתובע. לאם קרבה עניינית  לראיות שביסוד המחלוקת שמבדילה אותה מצד שלישי זר  אולם היא לא הייתה ואינה בעלת דין פורמאלית.</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לאם של התובע , כשלעצמה, הזכות לפרטיותה המוגנת בסעיף 7(א) לחוק יסוד: כבוד האדם וחירותו </w:t>
      </w:r>
      <w:r>
        <w:rPr>
          <w:rFonts w:ascii="David" w:eastAsia="Times New Roman" w:hAnsi="David" w:cs="David"/>
          <w:b/>
          <w:bCs/>
          <w:sz w:val="24"/>
          <w:szCs w:val="24"/>
          <w:rtl/>
        </w:rPr>
        <w:t>ובחוק הגנת הפרטיות, התשמ"א-1981</w:t>
      </w:r>
      <w:r>
        <w:rPr>
          <w:rFonts w:ascii="David" w:eastAsia="Times New Roman" w:hAnsi="David" w:cs="David"/>
          <w:sz w:val="24"/>
          <w:szCs w:val="24"/>
          <w:rtl/>
        </w:rPr>
        <w:t xml:space="preserve"> (להלן: </w:t>
      </w:r>
      <w:r>
        <w:rPr>
          <w:rFonts w:ascii="David" w:eastAsia="Times New Roman" w:hAnsi="David" w:cs="David"/>
          <w:b/>
          <w:bCs/>
          <w:sz w:val="24"/>
          <w:szCs w:val="24"/>
          <w:rtl/>
        </w:rPr>
        <w:t>חוק הגנת הפרטיות)</w:t>
      </w:r>
      <w:r>
        <w:rPr>
          <w:rFonts w:ascii="David" w:eastAsia="Times New Roman" w:hAnsi="David" w:cs="David"/>
          <w:sz w:val="24"/>
          <w:szCs w:val="24"/>
          <w:rtl/>
        </w:rPr>
        <w:t xml:space="preserve"> " וגם לטובתה של האם חל החיסיון על מידע רפואי שבסעיף</w:t>
      </w:r>
      <w:r>
        <w:rPr>
          <w:rFonts w:ascii="David" w:eastAsia="Times New Roman" w:hAnsi="David" w:cs="David"/>
          <w:b/>
          <w:bCs/>
          <w:sz w:val="24"/>
          <w:szCs w:val="24"/>
          <w:rtl/>
        </w:rPr>
        <w:t xml:space="preserve"> 49 לפקודת הראיות</w:t>
      </w:r>
      <w:r>
        <w:rPr>
          <w:rFonts w:ascii="David" w:eastAsia="Times New Roman" w:hAnsi="David" w:cs="David"/>
          <w:sz w:val="24"/>
          <w:szCs w:val="24"/>
          <w:rtl/>
        </w:rPr>
        <w:t xml:space="preserve"> . המידע הגנטי  מצוי בליבת הזכות לפרטיות שהנתבעת מבקשת לגרוע ממנה.</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אם הצד השלישי מסכים למסור המדיע עליה לחתום על טופס  וס"ר . לשיטתי ככל שמדובר במידע הגנטי  עליו לחתום </w:t>
      </w:r>
      <w:r>
        <w:rPr>
          <w:rFonts w:ascii="David" w:eastAsia="Times New Roman" w:hAnsi="David" w:cs="David"/>
          <w:sz w:val="24"/>
          <w:szCs w:val="24"/>
        </w:rPr>
        <w:t xml:space="preserve"> </w:t>
      </w:r>
      <w:r>
        <w:rPr>
          <w:rFonts w:ascii="David" w:eastAsia="Times New Roman" w:hAnsi="David" w:cs="David"/>
          <w:sz w:val="24"/>
          <w:szCs w:val="24"/>
          <w:rtl/>
        </w:rPr>
        <w:t xml:space="preserve">על ס"ר המתייחס בכתב מפורש  למידע גנטי . זאת  מהטעמים המובהרים לעיל אגב דיון בהיקף התשרעות הוס"ר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אם האם תסרב,לחתום על וס"ר  הדרך הדיונית לגרום לאם כצד שלישי פרטי ,למסור עדות או מסמכים שנמצאים ברשותה  היא בהזמנתה  לעדות או להצגת מסמכים; וזאת לפי  ותקנה 83 </w:t>
      </w:r>
      <w:r>
        <w:rPr>
          <w:rFonts w:ascii="David" w:eastAsia="Times New Roman" w:hAnsi="David" w:cs="David"/>
          <w:b/>
          <w:bCs/>
          <w:sz w:val="24"/>
          <w:szCs w:val="24"/>
          <w:rtl/>
        </w:rPr>
        <w:t xml:space="preserve">לתקנות </w:t>
      </w:r>
      <w:r>
        <w:rPr>
          <w:rFonts w:ascii="David" w:eastAsia="Times New Roman" w:hAnsi="David" w:cs="David"/>
          <w:sz w:val="24"/>
          <w:szCs w:val="24"/>
          <w:rtl/>
        </w:rPr>
        <w:t xml:space="preserve"> והשוו לתקנה 178(א) </w:t>
      </w:r>
      <w:r>
        <w:rPr>
          <w:rFonts w:ascii="David" w:eastAsia="Times New Roman" w:hAnsi="David" w:cs="David"/>
          <w:b/>
          <w:bCs/>
          <w:sz w:val="24"/>
          <w:szCs w:val="24"/>
          <w:rtl/>
        </w:rPr>
        <w:t xml:space="preserve">לתקנות הקודמות  </w:t>
      </w:r>
      <w:r>
        <w:rPr>
          <w:rFonts w:ascii="David" w:eastAsia="Times New Roman" w:hAnsi="David" w:cs="David"/>
          <w:sz w:val="24"/>
          <w:szCs w:val="24"/>
          <w:rtl/>
        </w:rPr>
        <w:t xml:space="preserve"> והשוו  כב' השופט  עמית ברע"א 3816/15 ב</w:t>
      </w:r>
      <w:r>
        <w:rPr>
          <w:rFonts w:ascii="David" w:eastAsia="Times New Roman" w:hAnsi="David" w:cs="David"/>
          <w:b/>
          <w:bCs/>
          <w:sz w:val="24"/>
          <w:szCs w:val="24"/>
          <w:rtl/>
        </w:rPr>
        <w:t>.ש ברוש הקמת פרוייקטים בע"מ נ' ת.ק.ש אלפיים (1997) בע"מ</w:t>
      </w:r>
      <w:r>
        <w:rPr>
          <w:rFonts w:ascii="David" w:eastAsia="Times New Roman" w:hAnsi="David" w:cs="David"/>
          <w:sz w:val="24"/>
          <w:szCs w:val="24"/>
          <w:rtl/>
        </w:rPr>
        <w:t xml:space="preserve"> (נבו 23.08.2015)‏(</w:t>
      </w:r>
      <w:r>
        <w:rPr>
          <w:rFonts w:ascii="David" w:eastAsia="Times New Roman" w:hAnsi="David" w:cs="David"/>
          <w:sz w:val="24"/>
          <w:szCs w:val="24"/>
        </w:rPr>
        <w:t xml:space="preserve"> </w:t>
      </w:r>
      <w:r>
        <w:rPr>
          <w:rFonts w:ascii="David" w:eastAsia="Times New Roman" w:hAnsi="David" w:cs="David"/>
          <w:sz w:val="24"/>
          <w:szCs w:val="24"/>
          <w:rtl/>
        </w:rPr>
        <w:t>פסקה 6 )</w:t>
      </w:r>
      <w:r>
        <w:rPr>
          <w:rFonts w:ascii="David" w:eastAsia="Times New Roman" w:hAnsi="David" w:cs="David"/>
          <w:sz w:val="24"/>
          <w:szCs w:val="24"/>
        </w:rPr>
        <w:t xml:space="preserve"> </w:t>
      </w:r>
      <w:r>
        <w:rPr>
          <w:rFonts w:ascii="David" w:eastAsia="Times New Roman" w:hAnsi="David" w:cs="David"/>
          <w:sz w:val="24"/>
          <w:szCs w:val="24"/>
          <w:rtl/>
        </w:rPr>
        <w:t xml:space="preserve">כב' השופט שלמה לוין ברע"א 4028/97 </w:t>
      </w:r>
      <w:r>
        <w:rPr>
          <w:rFonts w:ascii="David" w:eastAsia="Times New Roman" w:hAnsi="David" w:cs="David"/>
          <w:b/>
          <w:bCs/>
          <w:sz w:val="24"/>
          <w:szCs w:val="24"/>
          <w:rtl/>
        </w:rPr>
        <w:t xml:space="preserve">הלסקו נ' גלאון [פורסם בנבו] </w:t>
      </w:r>
      <w:r>
        <w:rPr>
          <w:rFonts w:ascii="David" w:eastAsia="Times New Roman" w:hAnsi="David" w:cs="David"/>
          <w:sz w:val="24"/>
          <w:szCs w:val="24"/>
          <w:rtl/>
        </w:rPr>
        <w:t xml:space="preserve">(29.9.1997);;כב'  השופט מינץ  ברע"א 3024/18 </w:t>
      </w:r>
      <w:r>
        <w:rPr>
          <w:rFonts w:ascii="David" w:eastAsia="Times New Roman" w:hAnsi="David" w:cs="David"/>
          <w:b/>
          <w:bCs/>
          <w:sz w:val="24"/>
          <w:szCs w:val="24"/>
          <w:rtl/>
        </w:rPr>
        <w:t>טי.אם.אף מדיה פורס שותפות מוגבלת נ' נחמני צפריר בע"מ,</w:t>
      </w:r>
      <w:r>
        <w:rPr>
          <w:rFonts w:ascii="David" w:eastAsia="Times New Roman" w:hAnsi="David" w:cs="David"/>
          <w:sz w:val="24"/>
          <w:szCs w:val="24"/>
          <w:rtl/>
        </w:rPr>
        <w:t xml:space="preserve"> [פורסם בנבו] פסקאות 24-20 (12.6.2018) (</w:t>
      </w:r>
      <w:r>
        <w:rPr>
          <w:rFonts w:ascii="David" w:eastAsia="Times New Roman" w:hAnsi="David" w:cs="David"/>
          <w:sz w:val="24"/>
          <w:szCs w:val="24"/>
        </w:rPr>
        <w:t xml:space="preserve"> </w:t>
      </w:r>
      <w:r>
        <w:rPr>
          <w:rFonts w:ascii="David" w:eastAsia="Times New Roman" w:hAnsi="David" w:cs="David"/>
          <w:sz w:val="24"/>
          <w:szCs w:val="24"/>
          <w:rtl/>
        </w:rPr>
        <w:t xml:space="preserve">פסקה 23 ) ראו גם כב׳ השופט ויצמן ב רע"א (מחוזי מרכז) 65938-05-21 </w:t>
      </w:r>
      <w:r>
        <w:rPr>
          <w:rFonts w:ascii="David" w:eastAsia="Times New Roman" w:hAnsi="David" w:cs="David"/>
          <w:b/>
          <w:bCs/>
          <w:sz w:val="24"/>
          <w:szCs w:val="24"/>
          <w:rtl/>
        </w:rPr>
        <w:t>ע. נ נ' בית חולים הסהר האדום</w:t>
      </w:r>
      <w:r>
        <w:rPr>
          <w:rFonts w:ascii="David" w:eastAsia="Times New Roman" w:hAnsi="David" w:cs="David"/>
          <w:sz w:val="24"/>
          <w:szCs w:val="24"/>
          <w:rtl/>
        </w:rPr>
        <w:t xml:space="preserve"> (נבו 09.06.2021)‏‏ " </w:t>
      </w:r>
    </w:p>
    <w:p w:rsidR="006A0191" w:rsidRDefault="006A0191" w:rsidP="006A0191">
      <w:pPr>
        <w:pStyle w:val="af1"/>
        <w:numPr>
          <w:ilvl w:val="0"/>
          <w:numId w:val="3"/>
        </w:numPr>
        <w:spacing w:after="0" w:line="240" w:lineRule="auto"/>
        <w:ind w:left="360"/>
        <w:jc w:val="both"/>
        <w:rPr>
          <w:rFonts w:ascii="David" w:eastAsia="Times New Roman" w:hAnsi="David" w:cs="David"/>
          <w:b/>
          <w:bCs/>
          <w:sz w:val="24"/>
          <w:szCs w:val="24"/>
        </w:rPr>
      </w:pPr>
      <w:r>
        <w:rPr>
          <w:rFonts w:ascii="David" w:eastAsia="Times New Roman" w:hAnsi="David" w:cs="David"/>
          <w:sz w:val="24"/>
          <w:szCs w:val="24"/>
          <w:rtl/>
        </w:rPr>
        <w:t>החובה המהותית של האם כצד שלישי למסור מידע מעוגנת נובעת מ</w:t>
      </w:r>
      <w:r>
        <w:rPr>
          <w:rFonts w:ascii="David" w:eastAsia="Times New Roman" w:hAnsi="David" w:cs="David"/>
          <w:b/>
          <w:bCs/>
          <w:sz w:val="24"/>
          <w:szCs w:val="24"/>
          <w:rtl/>
        </w:rPr>
        <w:t xml:space="preserve">סעיף 1(א) לפקודת הראיות.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גם לאחר זימון צד השלישי  עשויה להתעורר טענת החיסיון המידע מכוח סעיף 49 לפקודת הראיות ואז ״ ובית המשפט יידרש להכריע, ככל שמדובר בחיסיון יחסי, אם הערך שבגילוי המסמך גובר על החשיבות שבחסיונו״ זאת לנוכח בחינה של והאינטרסים המוגנים של הצד השלישי למול בירור האמת ועשיית הצדק בעזרת גילוי הראיה הרלבנטית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אולם , ובכך צודק התובע, בשלב ההחלטה אם להסיר חיסון מול צד שלישי ובגדר נוסחת איזון האינטרסים קיימת הכבדה נוספת עם מבקש הגילוי </w:t>
      </w:r>
      <w:r>
        <w:rPr>
          <w:rFonts w:ascii="David" w:eastAsia="Times New Roman" w:hAnsi="David" w:cs="David"/>
          <w:sz w:val="24"/>
          <w:szCs w:val="24"/>
        </w:rPr>
        <w:t xml:space="preserve"> </w:t>
      </w:r>
      <w:r>
        <w:rPr>
          <w:rFonts w:ascii="David" w:eastAsia="Times New Roman" w:hAnsi="David" w:cs="David"/>
          <w:b/>
          <w:bCs/>
          <w:sz w:val="24"/>
          <w:szCs w:val="24"/>
          <w:rtl/>
        </w:rPr>
        <w:t xml:space="preserve">בעניין אסותא הנ"ל </w:t>
      </w:r>
      <w:r>
        <w:rPr>
          <w:rFonts w:ascii="David" w:eastAsia="Times New Roman" w:hAnsi="David" w:cs="David"/>
          <w:sz w:val="24"/>
          <w:szCs w:val="24"/>
          <w:rtl/>
        </w:rPr>
        <w:t>נאמר : "</w:t>
      </w:r>
      <w:r>
        <w:rPr>
          <w:rFonts w:ascii="David" w:eastAsia="Times New Roman" w:hAnsi="David" w:cs="David"/>
          <w:b/>
          <w:bCs/>
          <w:sz w:val="24"/>
          <w:szCs w:val="24"/>
          <w:rtl/>
        </w:rPr>
        <w:t>מצבים המתירים פגיעה בפרטיות של צד שלישי על דרך הצגת מידע מוגן הנוגע אליו במשפט-לא-לו הם נדירים ויוצאי דופן ביותר". כזאת ייעשה במקרים בהם הוּכחה ברמה גבוהה של הוֺכחה נחיצותו של מידע זה להליך המשפטי, וכן מתקיימות נסיבות חריגות כגון קנוניה בין הצד השלישי לבין אחד הצדדים לתביעה, או קרבה ייחודית בין השניים, המעידה על מעורבות כלשהי של הצד השלישי בהליך (ראו: בע"ם 3542/04 פלוני נ' פלונית, [פורסם בנבו] פסקה 14 (20.6.2005); ההדגשה אינה במקור, י.ו.)"</w:t>
      </w:r>
      <w:r>
        <w:rPr>
          <w:rFonts w:ascii="David" w:eastAsia="Times New Roman" w:hAnsi="David" w:cs="David"/>
          <w:sz w:val="24"/>
          <w:szCs w:val="24"/>
          <w:rtl/>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בלשון אחרת, כאשר המדובר בזכות לפרטיות של צד שלישי  בגדר נוסחת האיזון שלפי סעיף 49  "נקודת האיזון"  קרובה  פחות לאינטרס גילוי  האמת  מאשר במקרה של התובע  מול הנתבע.</w:t>
      </w:r>
    </w:p>
    <w:p w:rsidR="006A0191" w:rsidRDefault="006A0191" w:rsidP="00520739">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lastRenderedPageBreak/>
        <w:t xml:space="preserve"> </w:t>
      </w:r>
      <w:r>
        <w:rPr>
          <w:rFonts w:ascii="David" w:eastAsia="Times New Roman" w:hAnsi="David" w:cs="David" w:hint="cs"/>
          <w:sz w:val="24"/>
          <w:szCs w:val="24"/>
          <w:rtl/>
        </w:rPr>
        <w:t xml:space="preserve">אזכיר שבמקרה המיוחד שלפני   מבחינה עניינית  </w:t>
      </w:r>
      <w:r>
        <w:rPr>
          <w:rFonts w:ascii="David" w:eastAsia="Times New Roman" w:hAnsi="David" w:cs="David" w:hint="cs"/>
          <w:sz w:val="24"/>
          <w:szCs w:val="24"/>
          <w:u w:val="single"/>
          <w:rtl/>
        </w:rPr>
        <w:t xml:space="preserve">בנושא מידע הגנטי שמועבר על כרומוזום של  </w:t>
      </w:r>
      <w:r w:rsidR="00520739">
        <w:rPr>
          <w:rFonts w:ascii="David" w:eastAsia="Times New Roman" w:hAnsi="David" w:cs="David" w:hint="cs"/>
          <w:sz w:val="24"/>
          <w:szCs w:val="24"/>
          <w:u w:val="single"/>
          <w:rtl/>
        </w:rPr>
        <w:t xml:space="preserve">ההורים </w:t>
      </w:r>
      <w:r>
        <w:rPr>
          <w:rFonts w:ascii="David" w:eastAsia="Times New Roman" w:hAnsi="David" w:cs="David" w:hint="cs"/>
          <w:sz w:val="24"/>
          <w:szCs w:val="24"/>
          <w:rtl/>
        </w:rPr>
        <w:t xml:space="preserve"> יש זיקה מיוחדת ובלעדית </w:t>
      </w:r>
      <w:r w:rsidR="00520739">
        <w:rPr>
          <w:rFonts w:ascii="David" w:eastAsia="Times New Roman" w:hAnsi="David" w:cs="David" w:hint="cs"/>
          <w:sz w:val="24"/>
          <w:szCs w:val="24"/>
          <w:rtl/>
        </w:rPr>
        <w:t xml:space="preserve">להורים </w:t>
      </w:r>
      <w:r>
        <w:rPr>
          <w:rFonts w:ascii="David" w:eastAsia="Times New Roman" w:hAnsi="David" w:cs="David" w:hint="cs"/>
          <w:sz w:val="24"/>
          <w:szCs w:val="24"/>
          <w:rtl/>
        </w:rPr>
        <w:t xml:space="preserve">. זאת מעבר לכך שבמקרה זה </w:t>
      </w:r>
      <w:r>
        <w:rPr>
          <w:rFonts w:ascii="David" w:eastAsia="Times New Roman" w:hAnsi="David" w:cs="David" w:hint="cs"/>
          <w:sz w:val="24"/>
          <w:szCs w:val="24"/>
          <w:u w:val="single"/>
          <w:rtl/>
        </w:rPr>
        <w:t>האם חתומה כמפורט לעיל על מסמכי הצטרפות לביטוח</w:t>
      </w:r>
      <w:r>
        <w:rPr>
          <w:rFonts w:ascii="David" w:eastAsia="Times New Roman" w:hAnsi="David" w:cs="David" w:hint="cs"/>
          <w:sz w:val="24"/>
          <w:szCs w:val="24"/>
          <w:rtl/>
        </w:rPr>
        <w:t xml:space="preserve"> </w:t>
      </w:r>
      <w:r>
        <w:rPr>
          <w:rFonts w:ascii="David" w:eastAsia="Times New Roman" w:hAnsi="David" w:cs="David"/>
          <w:sz w:val="24"/>
          <w:szCs w:val="24"/>
        </w:rPr>
        <w:t xml:space="preserve"> </w:t>
      </w:r>
      <w:r>
        <w:rPr>
          <w:rFonts w:ascii="David" w:eastAsia="Times New Roman" w:hAnsi="David" w:cs="David"/>
          <w:sz w:val="24"/>
          <w:szCs w:val="24"/>
          <w:rtl/>
        </w:rPr>
        <w:t xml:space="preserve">בשם בנה ובשמה .  נוכח עצם הקשר הגנטי כבר שורטט בהקשרים מסוימים "כלל אי ההפרדה"  לפיו  "בתביעות נזקי גוף של קטינים ניתן לחשוף את הרישומים הרפואיים של האֵם מתקופת ההריון, גם אם היא מתנגדת לחשיפה ואינה בעלת דין, מכיוון שבכל הנוגע לתקופת ההריון לא ניתן להפריד בין החיסיון הרפואי של האֵם לבין זה של העובר" </w:t>
      </w:r>
      <w:r>
        <w:rPr>
          <w:rFonts w:ascii="David" w:eastAsia="Times New Roman" w:hAnsi="David" w:cs="David"/>
          <w:sz w:val="24"/>
          <w:szCs w:val="24"/>
        </w:rPr>
        <w:t xml:space="preserve"> </w:t>
      </w:r>
      <w:r>
        <w:rPr>
          <w:rFonts w:ascii="David" w:eastAsia="Times New Roman" w:hAnsi="David" w:cs="David"/>
          <w:sz w:val="24"/>
          <w:szCs w:val="24"/>
          <w:rtl/>
        </w:rPr>
        <w:t>עמית 662 ה"ש    101</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ביחס לבקשה שהבן ימציא וס"ר של הבן אציין שאין בק</w:t>
      </w:r>
      <w:r w:rsidR="00520739">
        <w:rPr>
          <w:rFonts w:ascii="David" w:eastAsia="Times New Roman" w:hAnsi="David" w:cs="David" w:hint="cs"/>
          <w:sz w:val="24"/>
          <w:szCs w:val="24"/>
          <w:rtl/>
        </w:rPr>
        <w:t>י</w:t>
      </w:r>
      <w:r>
        <w:rPr>
          <w:rFonts w:ascii="David" w:eastAsia="Times New Roman" w:hAnsi="David" w:cs="David"/>
          <w:sz w:val="24"/>
          <w:szCs w:val="24"/>
          <w:rtl/>
        </w:rPr>
        <w:t>רבה   בין הבן  לאם  יסוד כלשהוא לבקשה לצו שיורה לנתבעת להמציא וס"ר בלא לשמוע את האם עצמה.  לטעמי</w:t>
      </w:r>
      <w:r>
        <w:rPr>
          <w:rFonts w:ascii="David" w:eastAsia="Times New Roman" w:hAnsi="David" w:cs="David"/>
          <w:sz w:val="24"/>
          <w:szCs w:val="24"/>
        </w:rPr>
        <w:t xml:space="preserve"> </w:t>
      </w:r>
      <w:r>
        <w:rPr>
          <w:rFonts w:ascii="David" w:eastAsia="Times New Roman" w:hAnsi="David" w:cs="David"/>
          <w:sz w:val="24"/>
          <w:szCs w:val="24"/>
          <w:rtl/>
        </w:rPr>
        <w:t xml:space="preserve"> . לצורך דיון הוגן, והפעלה נכונה של נוסחת האיזון בפרט כלפי הצד השלישי   הכרחי לשמוע את עמדתו  . אין לפגוע בזכות יסוד שלו   בטרם יקבל הזדמנות נאותה להשמיע דבריה . לנוכח זיקתה </w:t>
      </w:r>
      <w:r>
        <w:rPr>
          <w:rFonts w:ascii="David" w:eastAsia="Times New Roman" w:hAnsi="David" w:cs="David"/>
          <w:sz w:val="24"/>
          <w:szCs w:val="24"/>
        </w:rPr>
        <w:t xml:space="preserve"> </w:t>
      </w:r>
      <w:r>
        <w:rPr>
          <w:rFonts w:ascii="David" w:eastAsia="Times New Roman" w:hAnsi="David" w:cs="David"/>
          <w:sz w:val="24"/>
          <w:szCs w:val="24"/>
          <w:rtl/>
        </w:rPr>
        <w:t xml:space="preserve"> לתיק וכדי לחסוך לה תינתן לה הזדמנות להגיב  בכתב כבר עתה.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גם בשאלת הסרת החיסיון מול צד שלישי  נבחנת   "מקבילית הכוחות"  ולפיה ככל שעוצמת הרלוונטיות של המסמך המבוקש גבוהה, וככל שהראו והחיונית עבור בעל הדין שכנגד, וככל שלא ניתן להשיג ראיות חלופיות.  כי אז הדבר למעשה מגדיל את "תלותו של  בית -המשפט" לשון כב' השופט זוסמן בבג"ץ 447/72 ד"ר </w:t>
      </w:r>
      <w:r>
        <w:rPr>
          <w:rFonts w:ascii="David" w:eastAsia="Times New Roman" w:hAnsi="David" w:cs="David"/>
          <w:b/>
          <w:bCs/>
          <w:sz w:val="24"/>
          <w:szCs w:val="24"/>
          <w:rtl/>
        </w:rPr>
        <w:t>ברנרדו ישמחוביץ נ' אהרון ברוך</w:t>
      </w:r>
      <w:r>
        <w:rPr>
          <w:rFonts w:ascii="David" w:eastAsia="Times New Roman" w:hAnsi="David" w:cs="David"/>
          <w:sz w:val="24"/>
          <w:szCs w:val="24"/>
          <w:rtl/>
        </w:rPr>
        <w:t>, פקיד שומה לחקירות, תל-אביב והמרכז</w:t>
      </w:r>
      <w:r>
        <w:rPr>
          <w:rFonts w:ascii="David" w:eastAsia="Times New Roman" w:hAnsi="David" w:cs="David"/>
          <w:b/>
          <w:bCs/>
          <w:sz w:val="24"/>
          <w:szCs w:val="24"/>
        </w:rPr>
        <w:t xml:space="preserve">, </w:t>
      </w:r>
      <w:r>
        <w:rPr>
          <w:rFonts w:ascii="David" w:eastAsia="Times New Roman" w:hAnsi="David" w:cs="David"/>
          <w:b/>
          <w:bCs/>
          <w:sz w:val="24"/>
          <w:szCs w:val="24"/>
          <w:rtl/>
        </w:rPr>
        <w:t>כז(</w:t>
      </w:r>
      <w:r>
        <w:rPr>
          <w:rFonts w:ascii="David" w:eastAsia="Times New Roman" w:hAnsi="David" w:cs="David"/>
          <w:sz w:val="24"/>
          <w:szCs w:val="24"/>
          <w:rtl/>
        </w:rPr>
        <w:t xml:space="preserve">2) 253 (1973)( פסקה 8) ‏  </w:t>
      </w:r>
    </w:p>
    <w:p w:rsidR="006A0191" w:rsidRDefault="006A0191" w:rsidP="006A0191">
      <w:pPr>
        <w:jc w:val="both"/>
        <w:rPr>
          <w:rFonts w:ascii="David" w:hAnsi="David"/>
          <w:sz w:val="6"/>
          <w:szCs w:val="6"/>
        </w:rPr>
      </w:pPr>
      <w:r>
        <w:rPr>
          <w:rFonts w:ascii="David" w:hAnsi="David"/>
        </w:rPr>
        <w:t xml:space="preserve"> </w:t>
      </w:r>
    </w:p>
    <w:p w:rsidR="006A0191" w:rsidRDefault="006A0191" w:rsidP="006A0191">
      <w:pPr>
        <w:pStyle w:val="2"/>
        <w:spacing w:line="240" w:lineRule="auto"/>
        <w:rPr>
          <w:rFonts w:ascii="David" w:eastAsia="Times New Roman" w:hAnsi="David" w:cs="David"/>
          <w:sz w:val="24"/>
          <w:szCs w:val="24"/>
          <w:u w:val="single"/>
        </w:rPr>
      </w:pPr>
      <w:bookmarkStart w:id="35" w:name="_Toc113804949"/>
      <w:r>
        <w:rPr>
          <w:rFonts w:ascii="David" w:eastAsia="Times New Roman" w:hAnsi="David" w:cs="David"/>
          <w:sz w:val="24"/>
          <w:szCs w:val="24"/>
          <w:u w:val="single"/>
          <w:rtl/>
        </w:rPr>
        <w:t>ה(6) השלב הדיוני הראוי לשמיעת עמדת צד השלישי בנוגע לאיסוף חומר הרפואי לצורך חוות דעת הוא אף לפני הגשת כתב ההגנה</w:t>
      </w:r>
      <w:bookmarkEnd w:id="35"/>
      <w:r>
        <w:rPr>
          <w:rFonts w:ascii="David" w:eastAsia="Times New Roman" w:hAnsi="David" w:cs="David"/>
          <w:sz w:val="24"/>
          <w:szCs w:val="24"/>
          <w:u w:val="single"/>
          <w:rtl/>
        </w:rPr>
        <w:t xml:space="preserve">  </w:t>
      </w:r>
    </w:p>
    <w:p w:rsidR="006A0191" w:rsidRDefault="006A0191" w:rsidP="006A0191">
      <w:pPr>
        <w:pStyle w:val="af1"/>
        <w:spacing w:line="240" w:lineRule="auto"/>
        <w:rPr>
          <w:rFonts w:ascii="David" w:hAnsi="David" w:cs="David"/>
          <w:sz w:val="24"/>
          <w:szCs w:val="24"/>
          <w:rtl/>
        </w:rPr>
      </w:pPr>
      <w:r>
        <w:rPr>
          <w:rFonts w:ascii="David" w:hAnsi="David" w:cs="David"/>
          <w:sz w:val="24"/>
          <w:szCs w:val="24"/>
          <w:rtl/>
        </w:rPr>
        <w:t xml:space="preserve"> </w:t>
      </w:r>
    </w:p>
    <w:p w:rsidR="006A0191" w:rsidRDefault="006A0191" w:rsidP="006A0191">
      <w:pPr>
        <w:pStyle w:val="af1"/>
        <w:numPr>
          <w:ilvl w:val="0"/>
          <w:numId w:val="3"/>
        </w:numPr>
        <w:spacing w:after="0" w:line="240" w:lineRule="auto"/>
        <w:jc w:val="both"/>
        <w:rPr>
          <w:rFonts w:ascii="David" w:eastAsia="Times New Roman" w:hAnsi="David" w:cs="David"/>
          <w:b/>
          <w:bCs/>
          <w:sz w:val="24"/>
          <w:szCs w:val="24"/>
        </w:rPr>
      </w:pPr>
      <w:r>
        <w:rPr>
          <w:rFonts w:ascii="David" w:eastAsia="Times New Roman" w:hAnsi="David" w:cs="David"/>
          <w:sz w:val="24"/>
          <w:szCs w:val="24"/>
          <w:rtl/>
        </w:rPr>
        <w:t xml:space="preserve"> כאמור ,בהחלטה דלעיל  השלב הדיוני  לשמיעת עמדת צד שלישי  על חשיפת חומר רפואי  הקשור אליו, ושנטען שנחוץ לחוות הדעת  הרפואית, </w:t>
      </w:r>
      <w:r>
        <w:rPr>
          <w:rFonts w:ascii="David" w:eastAsia="Times New Roman" w:hAnsi="David" w:cs="David"/>
          <w:sz w:val="24"/>
          <w:szCs w:val="24"/>
        </w:rPr>
        <w:t xml:space="preserve"> </w:t>
      </w:r>
      <w:r>
        <w:rPr>
          <w:rFonts w:ascii="David" w:eastAsia="Times New Roman" w:hAnsi="David" w:cs="David"/>
          <w:sz w:val="24"/>
          <w:szCs w:val="24"/>
          <w:rtl/>
        </w:rPr>
        <w:t xml:space="preserve">הוא, לדעתי,  ברגיל  לפני שלב הכנת  כתב הטענות שבמצורף לו אמורים להגיש את חוות הדעת הרפואית . אין להמתין לשלב ההוכחות, כדי לזמן צד השלישי שבידו מידע הנחוץ לחוות דעת כדי לזמנו  לעדות או להצגת המסמכים. ניתן, להסיק זאת גם משילוב </w:t>
      </w:r>
      <w:r>
        <w:rPr>
          <w:rFonts w:ascii="David" w:eastAsia="Times New Roman" w:hAnsi="David" w:cs="David"/>
          <w:b/>
          <w:bCs/>
          <w:sz w:val="24"/>
          <w:szCs w:val="24"/>
          <w:rtl/>
        </w:rPr>
        <w:t xml:space="preserve">התקנות 87(א) ו87(ב) </w:t>
      </w:r>
      <w:r>
        <w:rPr>
          <w:rFonts w:ascii="David" w:eastAsia="Times New Roman" w:hAnsi="David" w:cs="David"/>
          <w:sz w:val="24"/>
          <w:szCs w:val="24"/>
          <w:rtl/>
        </w:rPr>
        <w:t xml:space="preserve">לעיל </w:t>
      </w:r>
      <w:r>
        <w:rPr>
          <w:rFonts w:ascii="David" w:eastAsia="Times New Roman" w:hAnsi="David" w:cs="David"/>
          <w:sz w:val="24"/>
          <w:szCs w:val="24"/>
        </w:rPr>
        <w:t xml:space="preserve"> </w:t>
      </w:r>
      <w:r>
        <w:rPr>
          <w:rFonts w:ascii="David" w:eastAsia="Times New Roman" w:hAnsi="David" w:cs="David"/>
          <w:sz w:val="24"/>
          <w:szCs w:val="24"/>
          <w:rtl/>
        </w:rPr>
        <w:t>ו</w:t>
      </w:r>
      <w:r>
        <w:rPr>
          <w:rFonts w:ascii="David" w:eastAsia="Times New Roman" w:hAnsi="David" w:cs="David"/>
          <w:b/>
          <w:bCs/>
          <w:sz w:val="24"/>
          <w:szCs w:val="24"/>
          <w:rtl/>
        </w:rPr>
        <w:t>גם מתקנה 49(א)</w:t>
      </w:r>
      <w:r>
        <w:rPr>
          <w:rFonts w:ascii="David" w:eastAsia="Times New Roman" w:hAnsi="David" w:cs="David"/>
          <w:b/>
          <w:bCs/>
          <w:sz w:val="24"/>
          <w:szCs w:val="24"/>
        </w:rPr>
        <w:t xml:space="preserve"> </w:t>
      </w:r>
      <w:r>
        <w:rPr>
          <w:rFonts w:ascii="David" w:eastAsia="Times New Roman" w:hAnsi="David" w:cs="David"/>
          <w:b/>
          <w:bCs/>
          <w:sz w:val="24"/>
          <w:szCs w:val="24"/>
          <w:rtl/>
        </w:rPr>
        <w:t>(4) ה</w:t>
      </w:r>
      <w:r>
        <w:rPr>
          <w:rFonts w:ascii="David" w:eastAsia="Times New Roman" w:hAnsi="David" w:cs="David"/>
          <w:sz w:val="24"/>
          <w:szCs w:val="24"/>
          <w:rtl/>
        </w:rPr>
        <w:t>מורה  כדלהלן :"</w:t>
      </w:r>
      <w:r>
        <w:rPr>
          <w:rFonts w:ascii="David" w:eastAsia="Times New Roman" w:hAnsi="David" w:cs="David"/>
          <w:sz w:val="24"/>
          <w:szCs w:val="24"/>
        </w:rPr>
        <w:t xml:space="preserve"> </w:t>
      </w:r>
      <w:r>
        <w:rPr>
          <w:rFonts w:ascii="David" w:eastAsia="Times New Roman" w:hAnsi="David" w:cs="David"/>
          <w:b/>
          <w:bCs/>
          <w:sz w:val="24"/>
          <w:szCs w:val="24"/>
          <w:rtl/>
        </w:rPr>
        <w:t xml:space="preserve">בקשות </w:t>
      </w:r>
      <w:r>
        <w:rPr>
          <w:rFonts w:ascii="David" w:eastAsia="Times New Roman" w:hAnsi="David" w:cs="David"/>
          <w:sz w:val="24"/>
          <w:szCs w:val="24"/>
          <w:rtl/>
        </w:rPr>
        <w:t xml:space="preserve"> 49. (א) לא יוגשו בקשות כלשהן במועד שלאחר הגשת כתב הטענות האחרון, עד מועד ישיבת קדם-המשפט הראשונה, זולת אם הבקשה היא אחת מאלה: .. </w:t>
      </w:r>
      <w:r>
        <w:rPr>
          <w:rFonts w:ascii="David" w:eastAsia="Times New Roman" w:hAnsi="David" w:cs="David"/>
          <w:sz w:val="24"/>
          <w:szCs w:val="24"/>
        </w:rPr>
        <w:t xml:space="preserve"> </w:t>
      </w:r>
      <w:r>
        <w:rPr>
          <w:rFonts w:ascii="David" w:eastAsia="Times New Roman" w:hAnsi="David" w:cs="David"/>
          <w:sz w:val="24"/>
          <w:szCs w:val="24"/>
          <w:rtl/>
        </w:rPr>
        <w:t xml:space="preserve"> (4) בקשה לבדיקה על ידי מומחה מטעם הנתבע וכל הקשור אליה לפי תקנה 87;"  נזכיר שבקשו להאריך את המועד להגשת כתב הגנה </w:t>
      </w:r>
      <w:r>
        <w:rPr>
          <w:rFonts w:ascii="David" w:eastAsia="Times New Roman" w:hAnsi="David" w:cs="David"/>
          <w:b/>
          <w:bCs/>
          <w:sz w:val="24"/>
          <w:szCs w:val="24"/>
          <w:rtl/>
        </w:rPr>
        <w:t xml:space="preserve">שבתקנה 9 (ב) </w:t>
      </w:r>
      <w:r>
        <w:rPr>
          <w:rFonts w:ascii="David" w:eastAsia="Times New Roman" w:hAnsi="David" w:cs="David"/>
          <w:sz w:val="24"/>
          <w:szCs w:val="24"/>
          <w:rtl/>
        </w:rPr>
        <w:t xml:space="preserve">רישא .במסגרת  המועד הקבוע  אין צורך ברשות. </w:t>
      </w:r>
      <w:r>
        <w:rPr>
          <w:rFonts w:ascii="David" w:eastAsia="Times New Roman" w:hAnsi="David" w:cs="David"/>
          <w:sz w:val="24"/>
          <w:szCs w:val="24"/>
        </w:rPr>
        <w:t xml:space="preserve"> </w:t>
      </w:r>
      <w:r>
        <w:rPr>
          <w:rFonts w:ascii="David" w:eastAsia="Times New Roman" w:hAnsi="David" w:cs="David"/>
          <w:sz w:val="24"/>
          <w:szCs w:val="24"/>
          <w:rtl/>
        </w:rPr>
        <w:t xml:space="preserve"> השוו כב׳ הש זלברטל   רע"א 1023/16 פלוני נ' מדינת ישראל - משרד הבריאות (נבו 19.06.2016)‏‏ שהתייחס להגשת חוות דעת </w:t>
      </w:r>
      <w:r>
        <w:rPr>
          <w:rFonts w:ascii="David" w:eastAsia="Times New Roman" w:hAnsi="David" w:cs="David"/>
          <w:b/>
          <w:bCs/>
          <w:sz w:val="24"/>
          <w:szCs w:val="24"/>
          <w:rtl/>
        </w:rPr>
        <w:t>בתחום הגנטיקה</w:t>
      </w:r>
      <w:r w:rsidR="00520739">
        <w:rPr>
          <w:rFonts w:ascii="David" w:eastAsia="Times New Roman" w:hAnsi="David" w:cs="David" w:hint="cs"/>
          <w:b/>
          <w:bCs/>
          <w:sz w:val="24"/>
          <w:szCs w:val="24"/>
          <w:rtl/>
        </w:rPr>
        <w:t>.</w:t>
      </w:r>
    </w:p>
    <w:p w:rsidR="006A0191" w:rsidRDefault="006A0191" w:rsidP="006A0191">
      <w:pPr>
        <w:pStyle w:val="2"/>
        <w:spacing w:line="240" w:lineRule="auto"/>
        <w:jc w:val="both"/>
        <w:rPr>
          <w:rFonts w:ascii="David" w:eastAsia="Times New Roman" w:hAnsi="David" w:cs="David"/>
        </w:rPr>
      </w:pPr>
      <w:r>
        <w:rPr>
          <w:rFonts w:ascii="David" w:eastAsia="Times New Roman" w:hAnsi="David" w:cs="David"/>
          <w:rtl/>
        </w:rPr>
        <w:t xml:space="preserve"> </w:t>
      </w:r>
      <w:bookmarkStart w:id="36" w:name="_Toc113804950"/>
      <w:r>
        <w:rPr>
          <w:rFonts w:ascii="David" w:eastAsia="Times New Roman" w:hAnsi="David" w:cs="David" w:hint="cs"/>
          <w:rtl/>
        </w:rPr>
        <w:t>ו. מן הכלל אל הפרט –</w:t>
      </w:r>
      <w:bookmarkEnd w:id="36"/>
    </w:p>
    <w:p w:rsidR="006A0191" w:rsidRDefault="006A0191" w:rsidP="006A0191">
      <w:pPr>
        <w:jc w:val="both"/>
        <w:rPr>
          <w:rFonts w:ascii="David" w:hAnsi="David"/>
          <w:b/>
          <w:bCs/>
          <w:color w:val="4F81BD" w:themeColor="accent1"/>
          <w:u w:val="single"/>
          <w:rtl/>
        </w:rPr>
      </w:pPr>
    </w:p>
    <w:p w:rsidR="006A0191" w:rsidRDefault="006A0191" w:rsidP="006A0191">
      <w:pPr>
        <w:pStyle w:val="2"/>
        <w:spacing w:line="240" w:lineRule="auto"/>
        <w:jc w:val="both"/>
        <w:rPr>
          <w:rFonts w:ascii="David" w:eastAsia="Times New Roman" w:hAnsi="David" w:cs="David"/>
          <w:rtl/>
        </w:rPr>
      </w:pPr>
      <w:bookmarkStart w:id="37" w:name="_Toc113804951"/>
      <w:r>
        <w:rPr>
          <w:rFonts w:ascii="David" w:eastAsia="Times New Roman" w:hAnsi="David" w:cs="David"/>
          <w:rtl/>
        </w:rPr>
        <w:t>ו(1) רלבנטיות</w:t>
      </w:r>
      <w:bookmarkEnd w:id="37"/>
      <w:r>
        <w:rPr>
          <w:rFonts w:ascii="David" w:eastAsia="Times New Roman" w:hAnsi="David" w:cs="David"/>
          <w:rtl/>
        </w:rPr>
        <w:t xml:space="preserve"> </w:t>
      </w:r>
    </w:p>
    <w:p w:rsidR="006A0191" w:rsidRDefault="006A0191" w:rsidP="006A0191">
      <w:pPr>
        <w:pStyle w:val="af1"/>
        <w:spacing w:after="0" w:line="240" w:lineRule="auto"/>
        <w:ind w:left="360"/>
        <w:jc w:val="both"/>
        <w:rPr>
          <w:rFonts w:ascii="David" w:eastAsia="Times New Roman" w:hAnsi="David" w:cs="David"/>
          <w:sz w:val="24"/>
          <w:szCs w:val="24"/>
          <w:rtl/>
        </w:rPr>
      </w:pP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 xml:space="preserve">ראשית, מסתבר שמתקיימת על פניה , דרישת הרלבנטיות.  בשים לב לחזית המחלוקת  סביב ההיבט הגנטי,  ולנוכח הגישה הליברלית והמרחיבה לבחינת רלוונטיות המסמכים בהם מבקשים בעלי הדין לעיין. זאת, גם למען  חקר האמת וההגינות דיונית  על מנת לאפשר התמודדות ראויה בשלב הטיעון והראיה מול  חוות הדעת של התובע  .ר' למשל בס'  11 לכתב ההגנה,   וכן  </w:t>
      </w:r>
      <w:r>
        <w:rPr>
          <w:rFonts w:ascii="David" w:eastAsia="Times New Roman" w:hAnsi="David" w:cs="David"/>
          <w:b/>
          <w:bCs/>
          <w:sz w:val="24"/>
          <w:szCs w:val="24"/>
          <w:rtl/>
        </w:rPr>
        <w:t xml:space="preserve">בענין אזולאי ובענין מעברות </w:t>
      </w:r>
      <w:r>
        <w:rPr>
          <w:rFonts w:ascii="David" w:eastAsia="Times New Roman" w:hAnsi="David" w:cs="David"/>
          <w:sz w:val="24"/>
          <w:szCs w:val="24"/>
          <w:rtl/>
        </w:rPr>
        <w:t xml:space="preserve">ובניתוח לעיל </w:t>
      </w:r>
      <w:r>
        <w:rPr>
          <w:rFonts w:ascii="David" w:eastAsia="Times New Roman" w:hAnsi="David" w:cs="David"/>
          <w:b/>
          <w:bCs/>
          <w:sz w:val="24"/>
          <w:szCs w:val="24"/>
          <w:rtl/>
        </w:rPr>
        <w:t>.</w:t>
      </w:r>
      <w:r>
        <w:rPr>
          <w:rFonts w:ascii="David" w:eastAsia="Times New Roman" w:hAnsi="David" w:cs="David"/>
          <w:sz w:val="24"/>
          <w:szCs w:val="24"/>
          <w:rtl/>
        </w:rPr>
        <w:t xml:space="preserve"> </w:t>
      </w:r>
    </w:p>
    <w:p w:rsidR="006A0191" w:rsidRDefault="006A0191" w:rsidP="006A0191">
      <w:pPr>
        <w:jc w:val="both"/>
        <w:rPr>
          <w:rFonts w:ascii="David" w:hAnsi="David"/>
          <w:rtl/>
        </w:rPr>
      </w:pPr>
      <w:r>
        <w:rPr>
          <w:rFonts w:ascii="David" w:hAnsi="David"/>
          <w:rtl/>
        </w:rPr>
        <w:lastRenderedPageBreak/>
        <w:t xml:space="preserve"> </w:t>
      </w:r>
    </w:p>
    <w:p w:rsidR="006A0191" w:rsidRDefault="006A0191" w:rsidP="006A0191">
      <w:pPr>
        <w:pStyle w:val="2"/>
        <w:spacing w:line="240" w:lineRule="auto"/>
        <w:jc w:val="both"/>
        <w:rPr>
          <w:rFonts w:ascii="David" w:eastAsia="Times New Roman" w:hAnsi="David" w:cs="David"/>
          <w:rtl/>
        </w:rPr>
      </w:pPr>
      <w:bookmarkStart w:id="38" w:name="_Toc113804952"/>
      <w:r>
        <w:rPr>
          <w:rFonts w:ascii="David" w:eastAsia="Times New Roman" w:hAnsi="David" w:cs="David"/>
          <w:rtl/>
        </w:rPr>
        <w:t>ו(2) איזון הזכויות לרקע המסגרת הנורמטיבית לעיל</w:t>
      </w:r>
      <w:bookmarkEnd w:id="38"/>
    </w:p>
    <w:p w:rsidR="006A0191" w:rsidRDefault="006A0191" w:rsidP="006A0191">
      <w:pPr>
        <w:jc w:val="both"/>
        <w:rPr>
          <w:rFonts w:ascii="David" w:hAnsi="David"/>
          <w:rtl/>
        </w:rPr>
      </w:pPr>
    </w:p>
    <w:p w:rsidR="006A0191" w:rsidRDefault="006A0191" w:rsidP="006A0191">
      <w:pPr>
        <w:pStyle w:val="af1"/>
        <w:numPr>
          <w:ilvl w:val="0"/>
          <w:numId w:val="3"/>
        </w:numPr>
        <w:spacing w:after="0" w:line="240" w:lineRule="auto"/>
        <w:ind w:left="360"/>
        <w:jc w:val="both"/>
        <w:rPr>
          <w:rFonts w:ascii="David" w:eastAsia="Times New Roman" w:hAnsi="David" w:cs="David"/>
          <w:b/>
          <w:bCs/>
          <w:sz w:val="24"/>
          <w:szCs w:val="24"/>
          <w:rtl/>
        </w:rPr>
      </w:pPr>
      <w:r>
        <w:rPr>
          <w:rFonts w:ascii="David" w:eastAsia="Times New Roman" w:hAnsi="David" w:cs="David"/>
          <w:sz w:val="24"/>
          <w:szCs w:val="24"/>
          <w:rtl/>
        </w:rPr>
        <w:t xml:space="preserve"> שנית, על רקע המסגרת הנורמטיבית לעיל, לצורך החלטה אם ליתן צו המורה לתובע להמציא וס"ר והאם להורות על גילוי המידע הנוגע לאם, נדרש לאזן בין זכויות הצדדים הבאים  : </w:t>
      </w:r>
      <w:r>
        <w:rPr>
          <w:rFonts w:ascii="David" w:eastAsia="Times New Roman" w:hAnsi="David" w:cs="David"/>
          <w:b/>
          <w:bCs/>
          <w:sz w:val="24"/>
          <w:szCs w:val="24"/>
          <w:rtl/>
        </w:rPr>
        <w:t>זכות התובע</w:t>
      </w:r>
      <w:r>
        <w:rPr>
          <w:rFonts w:ascii="David" w:eastAsia="Times New Roman" w:hAnsi="David" w:cs="David"/>
          <w:sz w:val="24"/>
          <w:szCs w:val="24"/>
          <w:rtl/>
        </w:rPr>
        <w:t xml:space="preserve"> , </w:t>
      </w:r>
      <w:r>
        <w:rPr>
          <w:rFonts w:ascii="David" w:eastAsia="Times New Roman" w:hAnsi="David" w:cs="David"/>
          <w:b/>
          <w:bCs/>
          <w:sz w:val="24"/>
          <w:szCs w:val="24"/>
          <w:rtl/>
        </w:rPr>
        <w:t>זכות הנתבעת, וזכות האם של התובע.</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u w:val="single"/>
          <w:rtl/>
        </w:rPr>
        <w:t>ברמה העקרונית - כ</w:t>
      </w:r>
      <w:r>
        <w:rPr>
          <w:rFonts w:ascii="David" w:eastAsia="Times New Roman" w:hAnsi="David" w:cs="David"/>
          <w:b/>
          <w:bCs/>
          <w:sz w:val="24"/>
          <w:szCs w:val="24"/>
          <w:rtl/>
        </w:rPr>
        <w:t>מובהר  "על אף חשיבותה ויסודיותה של הזכות לפרטיות בכלל, ושל הסודיות הרפואית בפרט, מדובר בזכות יחסית שיש לאזנה כנגד זכויות יסוד אחרות, ובהן האינטרס של עשיית הצדק במסגרת הליכים משפטיים."</w:t>
      </w:r>
      <w:r>
        <w:rPr>
          <w:rFonts w:ascii="David" w:eastAsia="Times New Roman" w:hAnsi="David" w:cs="David"/>
          <w:sz w:val="24"/>
          <w:szCs w:val="24"/>
          <w:rtl/>
        </w:rPr>
        <w:t xml:space="preserve"> דברי  כב' השופט זילברטל </w:t>
      </w:r>
      <w:r>
        <w:rPr>
          <w:rFonts w:ascii="David" w:eastAsia="Times New Roman" w:hAnsi="David" w:cs="David"/>
          <w:b/>
          <w:bCs/>
          <w:sz w:val="24"/>
          <w:szCs w:val="24"/>
          <w:rtl/>
        </w:rPr>
        <w:t xml:space="preserve">בענין פלונית </w:t>
      </w:r>
      <w:r>
        <w:rPr>
          <w:rFonts w:ascii="David" w:eastAsia="Times New Roman" w:hAnsi="David" w:cs="David"/>
          <w:sz w:val="24"/>
          <w:szCs w:val="24"/>
          <w:rtl/>
        </w:rPr>
        <w:t xml:space="preserve">(ברע"א 4436/14 </w:t>
      </w:r>
      <w:r>
        <w:rPr>
          <w:rFonts w:ascii="David" w:eastAsia="Times New Roman" w:hAnsi="David" w:cs="David"/>
          <w:b/>
          <w:bCs/>
          <w:sz w:val="24"/>
          <w:szCs w:val="24"/>
          <w:rtl/>
        </w:rPr>
        <w:t>פלונית נ' מדינת ישראל משרד הבריאות</w:t>
      </w:r>
      <w:r>
        <w:rPr>
          <w:rFonts w:ascii="David" w:eastAsia="Times New Roman" w:hAnsi="David" w:cs="David"/>
          <w:sz w:val="24"/>
          <w:szCs w:val="24"/>
          <w:rtl/>
        </w:rPr>
        <w:t xml:space="preserve"> (נבו 28.09.2014)‏‏ ) . האיזון  נעשה לפי סעיף 49 </w:t>
      </w:r>
      <w:r>
        <w:rPr>
          <w:rFonts w:ascii="David" w:eastAsia="Times New Roman" w:hAnsi="David" w:cs="David"/>
          <w:b/>
          <w:bCs/>
          <w:sz w:val="24"/>
          <w:szCs w:val="24"/>
          <w:rtl/>
        </w:rPr>
        <w:t>לפקודת הראיות</w:t>
      </w:r>
      <w:r>
        <w:rPr>
          <w:rFonts w:ascii="Arimo" w:hAnsi="Arimo"/>
          <w:sz w:val="21"/>
          <w:szCs w:val="21"/>
          <w:rtl/>
        </w:rPr>
        <w:t xml:space="preserve">. </w:t>
      </w:r>
      <w:r>
        <w:rPr>
          <w:rFonts w:ascii="David" w:eastAsia="Times New Roman" w:hAnsi="David" w:cs="David"/>
          <w:sz w:val="24"/>
          <w:szCs w:val="24"/>
          <w:rtl/>
        </w:rPr>
        <w:t xml:space="preserve">אם האם תסכים  למסירת המידע עליה לחתום על הוס"ר  המתאים למסירת מידע רפואי שהוא מידע גנטי .אם האם תסרב על בית המשפט לבחבון  האם הצורך לגלות את הראיה לשם עשיית צדק עדיף מן הענין שיש לא לגלותה" וזאת לפי  נוסחת   "איזון אנכי" </w:t>
      </w:r>
      <w:r>
        <w:rPr>
          <w:rFonts w:ascii="David" w:eastAsia="Times New Roman" w:hAnsi="David" w:cs="David"/>
          <w:sz w:val="24"/>
          <w:szCs w:val="24"/>
        </w:rPr>
        <w:t xml:space="preserve"> </w:t>
      </w:r>
      <w:r>
        <w:rPr>
          <w:rFonts w:ascii="David" w:eastAsia="Times New Roman" w:hAnsi="David" w:cs="David"/>
          <w:sz w:val="24"/>
          <w:szCs w:val="24"/>
          <w:rtl/>
        </w:rPr>
        <w:t xml:space="preserve">של אפשרות סבירה לפגיעה ממשית בעשיית הצדק . ברמה העקרונית תהיה התחשבות   במידת החשיבות של המסמכים החסויים להכרעה ובקיומן של  ראיות חילופיות .וזאת כאמור </w:t>
      </w:r>
      <w:r>
        <w:rPr>
          <w:rFonts w:ascii="David" w:eastAsia="Times New Roman" w:hAnsi="David" w:cs="David"/>
          <w:b/>
          <w:bCs/>
          <w:sz w:val="24"/>
          <w:szCs w:val="24"/>
          <w:rtl/>
        </w:rPr>
        <w:t>בענין לילי חן ובענין אזולאי לעיל</w:t>
      </w:r>
      <w:r>
        <w:rPr>
          <w:rFonts w:ascii="David" w:eastAsia="Times New Roman" w:hAnsi="David" w:cs="David"/>
          <w:sz w:val="24"/>
          <w:szCs w:val="24"/>
          <w:rtl/>
        </w:rPr>
        <w:t xml:space="preserve">  מתוך זהירות הקפדה והכבדה מיוחדת כי המדובר בצד שלישי   שכלל אינו חב בגילוי המידע. יש לבחון כעולה </w:t>
      </w:r>
      <w:r>
        <w:rPr>
          <w:rFonts w:ascii="David" w:eastAsia="Times New Roman" w:hAnsi="David" w:cs="David"/>
          <w:b/>
          <w:bCs/>
          <w:sz w:val="24"/>
          <w:szCs w:val="24"/>
          <w:rtl/>
        </w:rPr>
        <w:t>מענין אסותא כדי לבחון</w:t>
      </w:r>
      <w:r>
        <w:rPr>
          <w:rFonts w:ascii="David" w:eastAsia="Times New Roman" w:hAnsi="David" w:cs="David"/>
          <w:sz w:val="24"/>
          <w:szCs w:val="24"/>
          <w:rtl/>
        </w:rPr>
        <w:t xml:space="preserve"> האם מתקיימים  "מצבים המתירים פגיעה בפרטיות של צד שלישי על דרך הצגת מידע מוגן הנוגע אליו במשפט-לא-לו הם נדירים ויוצאי דופן ביותר".בין היתר יבחן אם הוכחה במידה הנחוצה   נחיצותו המידע  ואם קיימת אותה "קרבה ייחודית" בין השניים המצדיקה חשיפת החומר . כבר הוסבר שהתוצאה לכאורה אינה חייבת להיות לגילוי מלא של כל מידע גנטי או כל רכיב בגדרו ויתכן שתהא הסרה חלקית . </w:t>
      </w:r>
    </w:p>
    <w:p w:rsidR="006A0191" w:rsidRDefault="006A0191" w:rsidP="006A0191">
      <w:pPr>
        <w:pStyle w:val="af1"/>
        <w:spacing w:after="0" w:line="240" w:lineRule="auto"/>
        <w:ind w:left="360"/>
        <w:jc w:val="both"/>
        <w:rPr>
          <w:rFonts w:ascii="David" w:eastAsia="Times New Roman" w:hAnsi="David" w:cs="David"/>
          <w:sz w:val="24"/>
          <w:szCs w:val="24"/>
        </w:rPr>
      </w:pPr>
    </w:p>
    <w:p w:rsidR="006A0191" w:rsidRDefault="006A0191" w:rsidP="006A0191">
      <w:pPr>
        <w:pStyle w:val="af1"/>
        <w:numPr>
          <w:ilvl w:val="0"/>
          <w:numId w:val="3"/>
        </w:numPr>
        <w:shd w:val="clear" w:color="auto" w:fill="FFFFFF"/>
        <w:spacing w:before="150" w:after="0" w:line="240" w:lineRule="auto"/>
        <w:ind w:left="360"/>
        <w:jc w:val="both"/>
        <w:rPr>
          <w:rFonts w:ascii="David" w:eastAsia="Times New Roman" w:hAnsi="David" w:cs="David"/>
          <w:sz w:val="24"/>
          <w:szCs w:val="24"/>
        </w:rPr>
      </w:pPr>
      <w:r>
        <w:rPr>
          <w:rFonts w:ascii="David" w:eastAsia="Times New Roman" w:hAnsi="David" w:cs="David"/>
          <w:b/>
          <w:bCs/>
          <w:sz w:val="24"/>
          <w:szCs w:val="24"/>
          <w:rtl/>
        </w:rPr>
        <w:t xml:space="preserve"> </w:t>
      </w:r>
      <w:r>
        <w:rPr>
          <w:rFonts w:ascii="David" w:eastAsia="Times New Roman" w:hAnsi="David" w:cs="David" w:hint="cs"/>
          <w:b/>
          <w:bCs/>
          <w:sz w:val="24"/>
          <w:szCs w:val="24"/>
          <w:rtl/>
        </w:rPr>
        <w:t xml:space="preserve">לצורך האיזון ןהקונקרטי והיישום אבהיר את הזכויות </w:t>
      </w:r>
      <w:r>
        <w:rPr>
          <w:rFonts w:ascii="David" w:eastAsia="Times New Roman" w:hAnsi="David" w:cs="David"/>
          <w:sz w:val="24"/>
          <w:szCs w:val="24"/>
          <w:rtl/>
        </w:rPr>
        <w:t xml:space="preserve"> ואתייחס לנקודת נוספות  המצדיקות לטעמי בשלב זה, את התוצאה לעיל </w:t>
      </w:r>
      <w:r>
        <w:rPr>
          <w:rFonts w:ascii="David" w:eastAsia="Times New Roman" w:hAnsi="David" w:cs="David"/>
          <w:sz w:val="24"/>
          <w:szCs w:val="24"/>
        </w:rPr>
        <w:t xml:space="preserve"> </w:t>
      </w:r>
      <w:r>
        <w:rPr>
          <w:rFonts w:ascii="David" w:eastAsia="Times New Roman" w:hAnsi="David" w:cs="David"/>
          <w:sz w:val="24"/>
          <w:szCs w:val="24"/>
          <w:rtl/>
        </w:rPr>
        <w:t xml:space="preserve">בפרט בתיק זה  . </w:t>
      </w:r>
    </w:p>
    <w:p w:rsidR="006A0191" w:rsidRDefault="006A0191" w:rsidP="006A0191">
      <w:pPr>
        <w:pStyle w:val="2"/>
        <w:spacing w:line="240" w:lineRule="auto"/>
        <w:jc w:val="both"/>
        <w:rPr>
          <w:rFonts w:ascii="David" w:eastAsia="Times New Roman" w:hAnsi="David" w:cs="David"/>
        </w:rPr>
      </w:pPr>
      <w:bookmarkStart w:id="39" w:name="_Toc112170780"/>
      <w:bookmarkStart w:id="40" w:name="_Toc113804953"/>
      <w:r>
        <w:rPr>
          <w:rFonts w:ascii="David" w:eastAsia="Times New Roman" w:hAnsi="David" w:cs="David"/>
          <w:rtl/>
        </w:rPr>
        <w:t>ו(2)(א)</w:t>
      </w:r>
      <w:r>
        <w:rPr>
          <w:rFonts w:ascii="David" w:eastAsia="Times New Roman" w:hAnsi="David" w:cs="David"/>
        </w:rPr>
        <w:t xml:space="preserve"> </w:t>
      </w:r>
      <w:r>
        <w:rPr>
          <w:rFonts w:ascii="David" w:eastAsia="Times New Roman" w:hAnsi="David" w:cs="David"/>
          <w:rtl/>
        </w:rPr>
        <w:t>זכות הנתבעת –להתגונן</w:t>
      </w:r>
      <w:bookmarkEnd w:id="39"/>
      <w:bookmarkEnd w:id="40"/>
    </w:p>
    <w:p w:rsidR="006A0191" w:rsidRDefault="006A0191" w:rsidP="006A0191">
      <w:pPr>
        <w:pStyle w:val="2"/>
        <w:spacing w:line="240" w:lineRule="auto"/>
        <w:jc w:val="both"/>
        <w:rPr>
          <w:rFonts w:ascii="David" w:eastAsia="Times New Roman" w:hAnsi="David" w:cs="David"/>
          <w:u w:val="single"/>
          <w:rtl/>
        </w:rPr>
      </w:pP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כמובהר לנתבעת -זכות דיונית בסיסית  להגשת כתב הגנה ולתמוך אותו ,בחוות הדעת מטעמה כדי להכין את חוות דעתה זכותה מכוח סעיף 87(ב</w:t>
      </w:r>
      <w:r>
        <w:rPr>
          <w:rFonts w:ascii="David" w:eastAsia="Times New Roman" w:hAnsi="David" w:cs="David"/>
          <w:b/>
          <w:bCs/>
          <w:sz w:val="24"/>
          <w:szCs w:val="24"/>
          <w:rtl/>
        </w:rPr>
        <w:t xml:space="preserve">) </w:t>
      </w:r>
      <w:r>
        <w:rPr>
          <w:rFonts w:ascii="David" w:eastAsia="Times New Roman" w:hAnsi="David" w:cs="David"/>
          <w:sz w:val="24"/>
          <w:szCs w:val="24"/>
          <w:rtl/>
        </w:rPr>
        <w:t>לדרוש לבדוק את נושא חוות הדעת , ועליה לאסוף מידע רפואי רלבנטי כנדרש מצד המומחה עליו היא נסמכת. המידע הזה נכלל תחת חיסיון יחסי בסעיף 49 לפקודת הראיות . קיימת אפשרות לקבלו בעזרת הוס"ר המתאים או בצו .</w:t>
      </w:r>
    </w:p>
    <w:p w:rsidR="006A0191" w:rsidRDefault="006A0191" w:rsidP="006A0191">
      <w:pPr>
        <w:pStyle w:val="af1"/>
        <w:numPr>
          <w:ilvl w:val="0"/>
          <w:numId w:val="3"/>
        </w:numPr>
        <w:spacing w:after="0" w:line="240" w:lineRule="auto"/>
        <w:ind w:left="360"/>
        <w:rPr>
          <w:rFonts w:ascii="David" w:eastAsia="Times New Roman" w:hAnsi="David" w:cs="David"/>
          <w:sz w:val="24"/>
          <w:szCs w:val="24"/>
        </w:rPr>
      </w:pPr>
      <w:r>
        <w:rPr>
          <w:rFonts w:ascii="David" w:eastAsia="Times New Roman" w:hAnsi="David" w:cs="David"/>
          <w:sz w:val="24"/>
          <w:szCs w:val="24"/>
          <w:rtl/>
        </w:rPr>
        <w:t>במקרה דנן המומחה הרפואי מטעם התובע התייחס למידע הרלבנטי הנוגע לשני אנשים:</w:t>
      </w:r>
    </w:p>
    <w:p w:rsidR="006A0191" w:rsidRDefault="006A0191" w:rsidP="006A0191">
      <w:pPr>
        <w:pStyle w:val="af1"/>
        <w:numPr>
          <w:ilvl w:val="1"/>
          <w:numId w:val="10"/>
        </w:numPr>
        <w:spacing w:after="0" w:line="240" w:lineRule="auto"/>
        <w:rPr>
          <w:rFonts w:ascii="David" w:eastAsia="Times New Roman" w:hAnsi="David" w:cs="David"/>
          <w:sz w:val="24"/>
          <w:szCs w:val="24"/>
        </w:rPr>
      </w:pPr>
      <w:r>
        <w:rPr>
          <w:rFonts w:ascii="David" w:eastAsia="Times New Roman" w:hAnsi="David" w:cs="David"/>
          <w:sz w:val="24"/>
          <w:szCs w:val="24"/>
          <w:rtl/>
        </w:rPr>
        <w:t>האדם האחד, אליו התייחס המומחה מטעם התובע, הוא התובע.</w:t>
      </w:r>
    </w:p>
    <w:p w:rsidR="006A0191" w:rsidRDefault="006A0191" w:rsidP="006A0191">
      <w:pPr>
        <w:pStyle w:val="af1"/>
        <w:numPr>
          <w:ilvl w:val="1"/>
          <w:numId w:val="10"/>
        </w:numPr>
        <w:spacing w:after="0" w:line="240" w:lineRule="auto"/>
        <w:rPr>
          <w:rFonts w:ascii="David" w:eastAsia="Times New Roman" w:hAnsi="David" w:cs="David"/>
          <w:sz w:val="24"/>
          <w:szCs w:val="24"/>
        </w:rPr>
      </w:pPr>
      <w:r>
        <w:rPr>
          <w:rFonts w:ascii="David" w:eastAsia="Times New Roman" w:hAnsi="David" w:cs="David"/>
          <w:sz w:val="24"/>
          <w:szCs w:val="24"/>
          <w:rtl/>
        </w:rPr>
        <w:t>האדם השני ,אליו התייחס המומחה מטעם התובע , היא אימו של התובע שאינה צד לתביעה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לצורך קבלת המידע הנוגע לתובע חלה על התובע חובת צירוף ו.ס.ר כדרישת התקנות והחובה לקיים הליכי גילוי ועיון מוקדם כדין . לאחר שתבע אין במקרה זה הצדקה לאפשר לו שלא לגלות לצד שכנגד ,את החומר הנוגע אליו שממנו הוא מבקש להסיק את הממצא הגנטי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אולם ,חתימת התובע על וס"ר אינה דרך לקבלת מידע רפואי הנוגע לאימו אף אם היא בעלת זיקה ישירה לתביעתו.</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גם  הליכי גילוי המסמכים  אינם תקפים כלפי האם שהיא  צד שלישי.</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lastRenderedPageBreak/>
        <w:t xml:space="preserve">אציין שלא סברתי שניתן לראות בסעייף 87(ב) כמקור לאפשר את דרישת הוס"ר באמצעות התובע. גם   אם ניתן לראות   באם  של התובע,  כמי שגם   בגדר  "נושא חוות הדעת"   לצורך תקנה 87   שאלת האיסוף מכוח הוס"ר נפרדת משאלת הדרישה לבדיקה .בנוסף, לאם כאדם נפרד ונוכח </w:t>
      </w:r>
      <w:r>
        <w:rPr>
          <w:rFonts w:ascii="David" w:eastAsia="Times New Roman" w:hAnsi="David" w:cs="David"/>
          <w:sz w:val="24"/>
          <w:szCs w:val="24"/>
        </w:rPr>
        <w:t xml:space="preserve"> </w:t>
      </w:r>
      <w:r>
        <w:rPr>
          <w:rFonts w:ascii="David" w:eastAsia="Times New Roman" w:hAnsi="David" w:cs="David"/>
          <w:sz w:val="24"/>
          <w:szCs w:val="24"/>
          <w:rtl/>
        </w:rPr>
        <w:t xml:space="preserve">פרטיותה שלה יש מכוח האוטונומיה שלה הצדקה לסירוב שלו לאפשר את בדיקתה.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עם זאת, </w:t>
      </w:r>
      <w:r>
        <w:rPr>
          <w:rFonts w:ascii="David" w:eastAsia="Times New Roman" w:hAnsi="David" w:cs="David"/>
          <w:sz w:val="24"/>
          <w:szCs w:val="24"/>
        </w:rPr>
        <w:t xml:space="preserve"> </w:t>
      </w:r>
      <w:r>
        <w:rPr>
          <w:rFonts w:ascii="David" w:eastAsia="Times New Roman" w:hAnsi="David" w:cs="David"/>
          <w:sz w:val="24"/>
          <w:szCs w:val="24"/>
          <w:rtl/>
        </w:rPr>
        <w:t xml:space="preserve">קיימת דרך דיונית  לזמנה כצד שלישי להעיד או להציג מסמכים לפי סעיף 83 לתקנות . הדרכים לגילוי המידע הרפואי חסוי מעוגנות בסעיף 49 והן בהסכמת בעל חיסיון וחתימתה על וס"ר מתאים , או בצו שיפוטי אם האם עצמה תתנגד לחשיפת המידע .בסעיף 49 אין לבעל דין סמכות לכוף על צד שלישי למסור מידע רפואי או גנטי הנוגע אליו.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לא הופניתי, לכל מקור סמכות אחר לאכוף על בעל דין לכוף על צד שלישי באמצעות בעל דין למסור מידע גנטי הנוגע לו אין המדובר בדרך להסרת החיסיון שמעוגנת בסעיף 49 לפקודת הראיות. </w:t>
      </w:r>
    </w:p>
    <w:p w:rsidR="006A0191" w:rsidRDefault="006A0191" w:rsidP="006A0191">
      <w:pPr>
        <w:pStyle w:val="2"/>
        <w:spacing w:line="240" w:lineRule="auto"/>
        <w:rPr>
          <w:rFonts w:ascii="David" w:eastAsia="Times New Roman" w:hAnsi="David" w:cs="David"/>
        </w:rPr>
      </w:pPr>
      <w:bookmarkStart w:id="41" w:name="_Toc112170782"/>
      <w:bookmarkStart w:id="42" w:name="_Toc113804954"/>
      <w:r>
        <w:rPr>
          <w:rFonts w:ascii="David" w:eastAsia="Times New Roman" w:hAnsi="David" w:cs="David"/>
          <w:rtl/>
        </w:rPr>
        <w:t>ו(2)((ב)</w:t>
      </w:r>
      <w:r>
        <w:rPr>
          <w:rFonts w:ascii="David" w:eastAsia="Times New Roman" w:hAnsi="David" w:cs="David"/>
        </w:rPr>
        <w:t xml:space="preserve">  </w:t>
      </w:r>
      <w:r>
        <w:rPr>
          <w:rFonts w:ascii="David" w:eastAsia="Times New Roman" w:hAnsi="David" w:cs="David"/>
          <w:rtl/>
        </w:rPr>
        <w:t>זכות התובע לבירור תביעה  לנוכח טענתו להגנת פרטיות האם ש</w:t>
      </w:r>
      <w:bookmarkEnd w:id="41"/>
      <w:r>
        <w:rPr>
          <w:rFonts w:ascii="David" w:eastAsia="Times New Roman" w:hAnsi="David" w:cs="David"/>
          <w:rtl/>
        </w:rPr>
        <w:t>על מידע לגביה הוא עצמו נסמך</w:t>
      </w:r>
      <w:bookmarkEnd w:id="42"/>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rtl/>
        </w:rPr>
        <w:t xml:space="preserve">אשוב  ואזכיר כי התובע - עצמו עומד על הטענה שאימו אינה נשאית של המוטציה, ועל עמדת המומחה מטעמו  שדומה שנגזרת מחומר שלכאורה אינו במלואו בהשיג ידה של הנתבעת, אך מתנגד כשלעצמו לבקשתה לקבל וס"ר על שם אימו לעניין הבירור הגנטי שנעשה בעניינה ( עמוד 1) .התובע לא כתב כי סירובו מותנה בסירוב האם . לא ברור שהאם מסרבת למסירת המסמכים מהם הוסק מצבה הגנטי.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עמדת האם לא צורפה לתגובתו.</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לא סברתי, שהתובע יכול  להתנגד  למסירת חומר רפואי רלבנטי לתביעתו, הנוגע לאימו אם היא אינה מתנגדת לחשיפת החומר , אם היא תסכים הוא לא יוכל במקרה שלפני  להישמע בטענה לפיה זכותו לפרטיות של אחר, גוברת על חובתו לחשוף לפני הנתבע ראיות שהן רלוונטיות לביסוס הגנתו  ולכך רלבנטי גם סעיף 93 לתקנות . ראו זילברטל ברע"א 4436/14 </w:t>
      </w:r>
      <w:r>
        <w:rPr>
          <w:rFonts w:ascii="David" w:eastAsia="Times New Roman" w:hAnsi="David" w:cs="David"/>
          <w:b/>
          <w:bCs/>
          <w:sz w:val="24"/>
          <w:szCs w:val="24"/>
          <w:rtl/>
        </w:rPr>
        <w:t xml:space="preserve">פלונית נ' מדינת ישראל משרד הבריאות </w:t>
      </w:r>
      <w:r>
        <w:rPr>
          <w:rFonts w:ascii="David" w:eastAsia="Times New Roman" w:hAnsi="David" w:cs="David"/>
          <w:sz w:val="24"/>
          <w:szCs w:val="24"/>
          <w:rtl/>
        </w:rPr>
        <w:t>(נבו 28.09.2014)‏‏ ".     לגבי גישתו האופן שבו יש לערוך איזון בין הזכות לפרטיות לבין זכותו של בעל דין לקבל לידו פרטים על יריבו, וכן לכלל הקיים לגישת כב' השופט עמית בספרו הנ"ל.</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בתחרות בין זכות התובע לזכות הנתבעת,  גובר הקושי בעמדת הבן  ככל שהוא בעצמו זכה לנגישות למידע הנוגע לאם שכלפיו לא טענה לחסיון,  ראו גם </w:t>
      </w:r>
      <w:r>
        <w:rPr>
          <w:rFonts w:ascii="David" w:eastAsia="Times New Roman" w:hAnsi="David" w:cs="David"/>
          <w:b/>
          <w:bCs/>
          <w:sz w:val="24"/>
          <w:szCs w:val="24"/>
          <w:rtl/>
        </w:rPr>
        <w:t>ביצחק עמית חסיונות ואינטרסים מוגנים</w:t>
      </w:r>
      <w:r>
        <w:rPr>
          <w:rFonts w:ascii="David" w:eastAsia="Times New Roman" w:hAnsi="David" w:cs="David"/>
          <w:sz w:val="24"/>
          <w:szCs w:val="24"/>
          <w:rtl/>
        </w:rPr>
        <w:t xml:space="preserve"> – עמוד 648 בה"ש 45 שמתייחס לכך שבארצות הברית נקבע שנתבע בתביעת אבהות אינו יכול לטעון לחיסיון בשם אב פוטנציאלי אחר שבדיקת דם שלו הוגשה לבית המשפט ושנאשם בתקיפת אשתו אינו יכול לטעון לחיסיון בשם אשתו קורבן העבירה.</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בנסיבות הפרטניות שלפני ועל מנת להסיר ספק כדי לוודא שהכול המידע נמסר מכוח הוס"ר שהתובע יכול לחתום עליו בעצמו וגם בשים לב לדרישתו של חוק מידע גנטי ולהבטחת בירור האמת, התובע למען הסר ספק יחתום גם על וס"ר המתייחס באופן ספציפי למידע גנטי.  </w:t>
      </w:r>
    </w:p>
    <w:p w:rsidR="006A0191" w:rsidRDefault="006A0191" w:rsidP="006A0191">
      <w:pPr>
        <w:pStyle w:val="2"/>
        <w:spacing w:line="240" w:lineRule="auto"/>
        <w:jc w:val="both"/>
        <w:rPr>
          <w:rFonts w:ascii="David" w:eastAsia="Times New Roman" w:hAnsi="David" w:cs="David"/>
        </w:rPr>
      </w:pPr>
      <w:bookmarkStart w:id="43" w:name="_Toc112170783"/>
      <w:bookmarkStart w:id="44" w:name="_Toc113804955"/>
      <w:r>
        <w:rPr>
          <w:rFonts w:ascii="David" w:eastAsia="Times New Roman" w:hAnsi="David" w:cs="David"/>
          <w:rtl/>
        </w:rPr>
        <w:t>ו(2)(ג)</w:t>
      </w:r>
      <w:r>
        <w:rPr>
          <w:rFonts w:ascii="David" w:eastAsia="Times New Roman" w:hAnsi="David" w:cs="David"/>
        </w:rPr>
        <w:t xml:space="preserve">  </w:t>
      </w:r>
      <w:r>
        <w:rPr>
          <w:rFonts w:ascii="David" w:eastAsia="Times New Roman" w:hAnsi="David" w:cs="David"/>
          <w:rtl/>
        </w:rPr>
        <w:t>זכות האם לפרטיות -והצורך לשמוע עמדתה</w:t>
      </w:r>
      <w:bookmarkEnd w:id="43"/>
      <w:r>
        <w:rPr>
          <w:rFonts w:ascii="David" w:eastAsia="Times New Roman" w:hAnsi="David" w:cs="David"/>
          <w:rtl/>
        </w:rPr>
        <w:t>.</w:t>
      </w:r>
      <w:bookmarkEnd w:id="44"/>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rtl/>
        </w:rPr>
        <w:t>ברור שיש לשמוע את עמדת האם שכן מסירת המידע הגנטי המזוהה הנוגע לאם פוגעת בעליל בפרטיותה ומהווה חדירה למרחב האישי האישיותי  שלה . זאת להבדיל ממסירת מידע של אדם שפרטיו המזהים מושחרים (7827/18).</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לא סברתי שבעצם היותה בשלב מסוים נציגת התובע, לצורך הגשת התביעה זאת הנוגעת להיבטים הגנטיים שלו , או אף בעצם היותה עדה הקשורה לו, יש להסיק מראש, הסכמה מכללא לכך שהוא ימסור </w:t>
      </w:r>
      <w:r>
        <w:rPr>
          <w:rFonts w:ascii="David" w:eastAsia="Times New Roman" w:hAnsi="David" w:cs="David"/>
          <w:sz w:val="24"/>
          <w:szCs w:val="24"/>
          <w:rtl/>
        </w:rPr>
        <w:lastRenderedPageBreak/>
        <w:t xml:space="preserve">וס״ר שלה  או הסכמה מספקת לצורך  חוק מידע גנטי סעיף 49 לפקודת הראיות .ביחסים בין האם לתובע </w:t>
      </w:r>
      <w:r>
        <w:rPr>
          <w:rFonts w:ascii="David" w:eastAsia="Times New Roman" w:hAnsi="David" w:cs="David"/>
          <w:sz w:val="24"/>
          <w:szCs w:val="24"/>
        </w:rPr>
        <w:t xml:space="preserve"> </w:t>
      </w:r>
      <w:r>
        <w:rPr>
          <w:rFonts w:ascii="David" w:eastAsia="Times New Roman" w:hAnsi="David" w:cs="David"/>
          <w:sz w:val="24"/>
          <w:szCs w:val="24"/>
          <w:rtl/>
        </w:rPr>
        <w:t xml:space="preserve">ברור שהיא הסוברנית להחליט לגבי עצמה. </w:t>
      </w:r>
    </w:p>
    <w:p w:rsidR="006A0191" w:rsidRDefault="006A0191" w:rsidP="006A0191">
      <w:pPr>
        <w:pStyle w:val="2"/>
        <w:spacing w:line="240" w:lineRule="auto"/>
        <w:rPr>
          <w:rFonts w:ascii="David" w:eastAsia="Times New Roman" w:hAnsi="David" w:cs="David"/>
        </w:rPr>
      </w:pPr>
      <w:bookmarkStart w:id="45" w:name="_Toc112170784"/>
      <w:bookmarkStart w:id="46" w:name="_Toc113804956"/>
      <w:r>
        <w:rPr>
          <w:rFonts w:ascii="David" w:eastAsia="Times New Roman" w:hAnsi="David" w:cs="David"/>
          <w:rtl/>
        </w:rPr>
        <w:t>ו(3) תחרות אפשרית בין זכות  אפוטרופוס לזכות חסוי</w:t>
      </w:r>
      <w:bookmarkEnd w:id="45"/>
      <w:bookmarkEnd w:id="46"/>
      <w:r>
        <w:rPr>
          <w:rFonts w:ascii="David" w:eastAsia="Times New Roman" w:hAnsi="David" w:cs="David"/>
          <w:rtl/>
        </w:rPr>
        <w:t xml:space="preserve">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rtl/>
        </w:rPr>
        <w:t xml:space="preserve">בנסיבות  מסוימות תיתכן התחרות בין הרצונות ובין  הזכויות של בני המשפחה. למשל של האם והבן לנוכח רלבנטיות וחשיבות המידע לתביעה אך גם לפרטיותה של האם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התחרות חשובה ומחריפה ככל שהמדובר בקטין או במי שהוא בגיר שמונה לו באופן חריג אפוטרופוס  . לפרקים, מידע יכול להועיל לחסוי וסירוב לחשיפתו יפגע בהוכחת תביעתו .כשהתביעה מוגשת באמצעות אפוטרופוס הנחה היא שעליו לשוות לנגד עיניו את טובת הקטין או החסוי אך מנגד קיימות זכויותיו שלו.  </w:t>
      </w:r>
    </w:p>
    <w:p w:rsidR="006A0191" w:rsidRDefault="006A0191" w:rsidP="006A0191">
      <w:pPr>
        <w:pStyle w:val="2"/>
        <w:spacing w:line="240" w:lineRule="auto"/>
        <w:jc w:val="both"/>
        <w:rPr>
          <w:rFonts w:ascii="David" w:eastAsia="Times New Roman" w:hAnsi="David" w:cs="David"/>
        </w:rPr>
      </w:pPr>
      <w:r>
        <w:rPr>
          <w:rFonts w:ascii="David" w:eastAsia="Times New Roman" w:hAnsi="David" w:cs="David"/>
          <w:rtl/>
        </w:rPr>
        <w:t xml:space="preserve"> </w:t>
      </w:r>
      <w:bookmarkStart w:id="47" w:name="_Toc113804957"/>
      <w:r>
        <w:rPr>
          <w:rFonts w:ascii="David" w:eastAsia="Times New Roman" w:hAnsi="David" w:cs="David" w:hint="cs"/>
          <w:rtl/>
        </w:rPr>
        <w:t>ו(4)</w:t>
      </w:r>
      <w:r>
        <w:rPr>
          <w:rFonts w:ascii="David" w:eastAsia="Times New Roman" w:hAnsi="David" w:cs="David"/>
        </w:rPr>
        <w:t xml:space="preserve"> </w:t>
      </w:r>
      <w:r>
        <w:rPr>
          <w:rFonts w:ascii="David" w:eastAsia="Times New Roman" w:hAnsi="David" w:cs="David"/>
          <w:rtl/>
        </w:rPr>
        <w:t>קיים קושי במסירת המידע לאחד בלא למסור את המידע לאחר</w:t>
      </w:r>
      <w:bookmarkEnd w:id="47"/>
      <w:r>
        <w:rPr>
          <w:rFonts w:ascii="David" w:eastAsia="Times New Roman" w:hAnsi="David" w:cs="David"/>
          <w:rtl/>
        </w:rPr>
        <w:t xml:space="preserve"> </w:t>
      </w:r>
    </w:p>
    <w:p w:rsidR="006A0191" w:rsidRDefault="006A0191" w:rsidP="00302BC6">
      <w:pPr>
        <w:pStyle w:val="af1"/>
        <w:numPr>
          <w:ilvl w:val="0"/>
          <w:numId w:val="3"/>
        </w:numPr>
        <w:spacing w:after="0" w:line="240" w:lineRule="auto"/>
        <w:ind w:left="360"/>
        <w:jc w:val="both"/>
        <w:rPr>
          <w:rFonts w:ascii="David" w:eastAsia="Times New Roman" w:hAnsi="David" w:cs="David"/>
          <w:sz w:val="24"/>
          <w:szCs w:val="24"/>
          <w:rtl/>
        </w:rPr>
      </w:pPr>
      <w:r>
        <w:rPr>
          <w:rFonts w:ascii="David" w:eastAsia="Times New Roman" w:hAnsi="David" w:cs="David"/>
          <w:sz w:val="24"/>
          <w:szCs w:val="24"/>
          <w:rtl/>
        </w:rPr>
        <w:t>מעבר לאמור לעיל – בולט גם במישור שבין זכות התובע לזכות האם הקושי שנזכר לעיל, במקרה שבו האם מסרה ל</w:t>
      </w:r>
      <w:r w:rsidR="00302BC6">
        <w:rPr>
          <w:rFonts w:ascii="David" w:eastAsia="Times New Roman" w:hAnsi="David" w:cs="David" w:hint="cs"/>
          <w:sz w:val="24"/>
          <w:szCs w:val="24"/>
          <w:rtl/>
        </w:rPr>
        <w:t>פי הטענה של הנתבעת</w:t>
      </w:r>
      <w:r>
        <w:rPr>
          <w:rFonts w:ascii="David" w:eastAsia="Times New Roman" w:hAnsi="David" w:cs="David"/>
          <w:sz w:val="24"/>
          <w:szCs w:val="24"/>
          <w:rtl/>
        </w:rPr>
        <w:t xml:space="preserve"> מידע הנוגע לה ולתביעה,  לצד אחד שהוא בנה  שכלפיו לא  טענה לחסיון, אך לא מסרה מידע לצד אחר שאין לו </w:t>
      </w:r>
      <w:r>
        <w:rPr>
          <w:rFonts w:ascii="David" w:eastAsia="Times New Roman" w:hAnsi="David" w:cs="David"/>
          <w:sz w:val="24"/>
          <w:szCs w:val="24"/>
        </w:rPr>
        <w:t xml:space="preserve"> </w:t>
      </w:r>
      <w:r>
        <w:rPr>
          <w:rFonts w:ascii="David" w:eastAsia="Times New Roman" w:hAnsi="David" w:cs="David"/>
          <w:sz w:val="24"/>
          <w:szCs w:val="24"/>
          <w:rtl/>
        </w:rPr>
        <w:t>נגישות למידע. ברור שככל שהמידע נמצא בידי הבן לא ברור הכיצד ניתן להתיר לו לעשות שימוש במידע זה כנגד בעל דין שאינו יכול לבחון את המידע הגולמי כשלעצמו</w:t>
      </w:r>
      <w:r w:rsidR="00302BC6">
        <w:rPr>
          <w:rFonts w:ascii="David" w:eastAsia="Times New Roman" w:hAnsi="David" w:cs="David" w:hint="cs"/>
          <w:sz w:val="24"/>
          <w:szCs w:val="24"/>
          <w:rtl/>
        </w:rPr>
        <w:t xml:space="preserve"> </w:t>
      </w:r>
      <w:r>
        <w:rPr>
          <w:rFonts w:ascii="David" w:eastAsia="Times New Roman" w:hAnsi="David" w:cs="David"/>
          <w:sz w:val="24"/>
          <w:szCs w:val="24"/>
          <w:rtl/>
        </w:rPr>
        <w:t>התוצאה יכולה להיות מחיקת חוות הדעת הנסמכת על מידע שאין בידי האחד ויש לאחר.</w:t>
      </w:r>
      <w:r w:rsidR="00302BC6">
        <w:rPr>
          <w:rFonts w:ascii="David" w:eastAsia="Times New Roman" w:hAnsi="David" w:cs="David" w:hint="cs"/>
          <w:sz w:val="24"/>
          <w:szCs w:val="24"/>
          <w:rtl/>
        </w:rPr>
        <w:t xml:space="preserve"> </w:t>
      </w:r>
      <w:r>
        <w:rPr>
          <w:rFonts w:ascii="David" w:eastAsia="Times New Roman" w:hAnsi="David" w:cs="David"/>
          <w:sz w:val="24"/>
          <w:szCs w:val="24"/>
          <w:rtl/>
        </w:rPr>
        <w:t xml:space="preserve"> </w:t>
      </w:r>
      <w:r w:rsidR="00302BC6">
        <w:rPr>
          <w:rFonts w:ascii="David" w:eastAsia="Times New Roman" w:hAnsi="David" w:cs="David" w:hint="cs"/>
          <w:sz w:val="24"/>
          <w:szCs w:val="24"/>
          <w:rtl/>
        </w:rPr>
        <w:t xml:space="preserve"> </w:t>
      </w:r>
    </w:p>
    <w:p w:rsidR="006A0191" w:rsidRDefault="006A0191" w:rsidP="00302BC6">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דומני שהשאלה מחריפה נוכח הנסיבות הקונקרטיות ורמת מעורבות האם בשלבי ההתקשרות</w:t>
      </w:r>
      <w:r>
        <w:rPr>
          <w:rFonts w:ascii="David" w:eastAsia="Times New Roman" w:hAnsi="David" w:cs="David"/>
          <w:sz w:val="24"/>
          <w:szCs w:val="24"/>
          <w:u w:val="single"/>
          <w:rtl/>
        </w:rPr>
        <w:t xml:space="preserve">. האם כשלעצמה חתמה , לפי הטענה על ההצעה לביטוח  קטין בפוליסה המתייחסת למחלה המורשת כשבהיותה האם הביולוגית ההורשה </w:t>
      </w:r>
      <w:r w:rsidR="006A468E">
        <w:rPr>
          <w:rFonts w:ascii="David" w:eastAsia="Times New Roman" w:hAnsi="David" w:cs="David" w:hint="cs"/>
          <w:sz w:val="24"/>
          <w:szCs w:val="24"/>
          <w:u w:val="single"/>
          <w:rtl/>
        </w:rPr>
        <w:t xml:space="preserve">עשויה להיות קיימת בהכרח גם </w:t>
      </w:r>
      <w:r>
        <w:rPr>
          <w:rFonts w:ascii="David" w:eastAsia="Times New Roman" w:hAnsi="David" w:cs="David"/>
          <w:sz w:val="24"/>
          <w:szCs w:val="24"/>
          <w:u w:val="single"/>
          <w:rtl/>
        </w:rPr>
        <w:t xml:space="preserve">ממנה   בהצעה  הצהרות גם בשם בנה שהיה אז קטין  </w:t>
      </w:r>
      <w:r>
        <w:rPr>
          <w:rFonts w:ascii="David" w:eastAsia="Times New Roman" w:hAnsi="David" w:cs="David"/>
          <w:sz w:val="24"/>
          <w:szCs w:val="24"/>
          <w:rtl/>
        </w:rPr>
        <w:t xml:space="preserve">מבחינה זאת  אף יתכן שיש </w:t>
      </w:r>
      <w:r>
        <w:rPr>
          <w:rFonts w:ascii="David" w:eastAsia="Times New Roman" w:hAnsi="David" w:cs="David"/>
          <w:sz w:val="24"/>
          <w:szCs w:val="24"/>
          <w:u w:val="single"/>
          <w:rtl/>
        </w:rPr>
        <w:t xml:space="preserve">סוג של הזדהות </w:t>
      </w:r>
      <w:r>
        <w:rPr>
          <w:rFonts w:ascii="David" w:eastAsia="Times New Roman" w:hAnsi="David" w:cs="David"/>
          <w:sz w:val="24"/>
          <w:szCs w:val="24"/>
          <w:rtl/>
        </w:rPr>
        <w:t xml:space="preserve">בין הצד השלישי לבעל הדין והוא על פני הדברים לא זר </w:t>
      </w:r>
      <w:r>
        <w:rPr>
          <w:rFonts w:ascii="David" w:eastAsia="Times New Roman" w:hAnsi="David" w:cs="David"/>
          <w:sz w:val="24"/>
          <w:szCs w:val="24"/>
        </w:rPr>
        <w:t xml:space="preserve">  </w:t>
      </w:r>
      <w:r>
        <w:rPr>
          <w:rFonts w:ascii="David" w:eastAsia="Times New Roman" w:hAnsi="David" w:cs="David"/>
          <w:sz w:val="24"/>
          <w:szCs w:val="24"/>
          <w:rtl/>
        </w:rPr>
        <w:t>.לא ראיתי צורך להכריע עתה ב</w:t>
      </w:r>
      <w:r w:rsidR="00302BC6">
        <w:rPr>
          <w:rFonts w:ascii="David" w:eastAsia="Times New Roman" w:hAnsi="David" w:cs="David" w:hint="cs"/>
          <w:sz w:val="24"/>
          <w:szCs w:val="24"/>
          <w:rtl/>
        </w:rPr>
        <w:t xml:space="preserve">שאלה אם </w:t>
      </w:r>
      <w:r>
        <w:rPr>
          <w:rFonts w:ascii="David" w:eastAsia="Times New Roman" w:hAnsi="David" w:cs="David"/>
          <w:sz w:val="24"/>
          <w:szCs w:val="24"/>
          <w:rtl/>
        </w:rPr>
        <w:t xml:space="preserve"> ניתן לראות בחתימת האם </w:t>
      </w:r>
      <w:r w:rsidR="006A468E">
        <w:rPr>
          <w:rFonts w:ascii="David" w:eastAsia="Times New Roman" w:hAnsi="David" w:cs="David" w:hint="cs"/>
          <w:sz w:val="24"/>
          <w:szCs w:val="24"/>
          <w:rtl/>
        </w:rPr>
        <w:t xml:space="preserve"> על מסמכי הצעה </w:t>
      </w:r>
      <w:r>
        <w:rPr>
          <w:rFonts w:ascii="David" w:eastAsia="Times New Roman" w:hAnsi="David" w:cs="David"/>
          <w:sz w:val="24"/>
          <w:szCs w:val="24"/>
          <w:rtl/>
        </w:rPr>
        <w:t>כהסכמה</w:t>
      </w:r>
      <w:r w:rsidR="006A468E">
        <w:rPr>
          <w:rFonts w:ascii="David" w:eastAsia="Times New Roman" w:hAnsi="David" w:cs="David" w:hint="cs"/>
          <w:sz w:val="24"/>
          <w:szCs w:val="24"/>
          <w:rtl/>
        </w:rPr>
        <w:t xml:space="preserve"> </w:t>
      </w:r>
      <w:r>
        <w:rPr>
          <w:rFonts w:ascii="David" w:eastAsia="Times New Roman" w:hAnsi="David" w:cs="David"/>
          <w:sz w:val="24"/>
          <w:szCs w:val="24"/>
          <w:rtl/>
        </w:rPr>
        <w:t>מכללא לגילוי שלה של כל המידע הפרטי הנוגע למחל</w:t>
      </w:r>
      <w:r w:rsidR="00520739">
        <w:rPr>
          <w:rFonts w:ascii="David" w:eastAsia="Times New Roman" w:hAnsi="David" w:cs="David" w:hint="cs"/>
          <w:sz w:val="24"/>
          <w:szCs w:val="24"/>
          <w:rtl/>
        </w:rPr>
        <w:t xml:space="preserve">ה </w:t>
      </w:r>
      <w:r>
        <w:rPr>
          <w:rFonts w:ascii="David" w:eastAsia="Times New Roman" w:hAnsi="David" w:cs="David"/>
          <w:sz w:val="24"/>
          <w:szCs w:val="24"/>
          <w:rtl/>
        </w:rPr>
        <w:t xml:space="preserve"> תורשתית</w:t>
      </w:r>
      <w:r w:rsidR="00302BC6">
        <w:rPr>
          <w:rFonts w:ascii="David" w:eastAsia="Times New Roman" w:hAnsi="David" w:cs="David" w:hint="cs"/>
          <w:sz w:val="24"/>
          <w:szCs w:val="24"/>
          <w:rtl/>
        </w:rPr>
        <w:t xml:space="preserve"> </w:t>
      </w:r>
      <w:r w:rsidR="00520739">
        <w:rPr>
          <w:rFonts w:ascii="David" w:eastAsia="Times New Roman" w:hAnsi="David" w:cs="David" w:hint="cs"/>
          <w:sz w:val="24"/>
          <w:szCs w:val="24"/>
          <w:rtl/>
        </w:rPr>
        <w:t xml:space="preserve"> </w:t>
      </w:r>
      <w:r>
        <w:rPr>
          <w:rFonts w:ascii="David" w:eastAsia="Times New Roman" w:hAnsi="David" w:cs="David"/>
          <w:sz w:val="24"/>
          <w:szCs w:val="24"/>
          <w:rtl/>
        </w:rPr>
        <w:t xml:space="preserve"> שלפי הנטען בשני שליש</w:t>
      </w:r>
      <w:r>
        <w:rPr>
          <w:rFonts w:ascii="David" w:eastAsia="Times New Roman" w:hAnsi="David" w:cs="David"/>
          <w:sz w:val="24"/>
          <w:szCs w:val="24"/>
        </w:rPr>
        <w:t xml:space="preserve"> </w:t>
      </w:r>
      <w:r>
        <w:rPr>
          <w:rFonts w:ascii="David" w:eastAsia="Times New Roman" w:hAnsi="David" w:cs="David"/>
          <w:sz w:val="24"/>
          <w:szCs w:val="24"/>
          <w:rtl/>
        </w:rPr>
        <w:t xml:space="preserve">מהמקרים עובר בתורשה </w:t>
      </w:r>
      <w:r w:rsidR="006A468E">
        <w:rPr>
          <w:rFonts w:ascii="David" w:eastAsia="Times New Roman" w:hAnsi="David" w:cs="David" w:hint="cs"/>
          <w:sz w:val="24"/>
          <w:szCs w:val="24"/>
          <w:rtl/>
        </w:rPr>
        <w:t xml:space="preserve"> </w:t>
      </w:r>
      <w:r>
        <w:rPr>
          <w:rFonts w:ascii="David" w:eastAsia="Times New Roman" w:hAnsi="David" w:cs="David"/>
          <w:sz w:val="24"/>
          <w:szCs w:val="24"/>
          <w:rtl/>
        </w:rPr>
        <w:t xml:space="preserve">על </w:t>
      </w:r>
      <w:r>
        <w:rPr>
          <w:rFonts w:ascii="David" w:eastAsia="Times New Roman" w:hAnsi="David" w:cs="David"/>
          <w:b/>
          <w:bCs/>
          <w:sz w:val="24"/>
          <w:szCs w:val="24"/>
          <w:rtl/>
        </w:rPr>
        <w:t>כרומוזום ה</w:t>
      </w:r>
      <w:r>
        <w:rPr>
          <w:rFonts w:ascii="David" w:eastAsia="Times New Roman" w:hAnsi="David" w:cs="David"/>
          <w:b/>
          <w:bCs/>
          <w:sz w:val="24"/>
          <w:szCs w:val="24"/>
        </w:rPr>
        <w:t xml:space="preserve">x </w:t>
      </w:r>
      <w:r>
        <w:rPr>
          <w:rFonts w:ascii="David" w:eastAsia="Times New Roman" w:hAnsi="David" w:cs="David"/>
          <w:b/>
          <w:bCs/>
          <w:sz w:val="24"/>
          <w:szCs w:val="24"/>
          <w:rtl/>
        </w:rPr>
        <w:t xml:space="preserve"> </w:t>
      </w:r>
      <w:r>
        <w:rPr>
          <w:rFonts w:ascii="David" w:eastAsia="Times New Roman" w:hAnsi="David" w:cs="David"/>
          <w:sz w:val="24"/>
          <w:szCs w:val="24"/>
          <w:rtl/>
        </w:rPr>
        <w:t xml:space="preserve">המועבר  מהאם </w:t>
      </w:r>
      <w:r w:rsidR="00520739">
        <w:rPr>
          <w:rFonts w:ascii="David" w:eastAsia="Times New Roman" w:hAnsi="David" w:cs="David" w:hint="cs"/>
          <w:sz w:val="24"/>
          <w:szCs w:val="24"/>
          <w:rtl/>
        </w:rPr>
        <w:t>ה</w:t>
      </w:r>
      <w:r>
        <w:rPr>
          <w:rFonts w:ascii="David" w:eastAsia="Times New Roman" w:hAnsi="David" w:cs="David"/>
          <w:sz w:val="24"/>
          <w:szCs w:val="24"/>
          <w:rtl/>
        </w:rPr>
        <w:t xml:space="preserve">נשאית.  </w:t>
      </w:r>
    </w:p>
    <w:p w:rsidR="006A0191" w:rsidRDefault="006A0191" w:rsidP="00302BC6">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 שאילה שמתעוררת היא </w:t>
      </w:r>
      <w:r w:rsidR="00302BC6">
        <w:rPr>
          <w:rFonts w:ascii="David" w:eastAsia="Times New Roman" w:hAnsi="David" w:cs="David" w:hint="cs"/>
          <w:sz w:val="24"/>
          <w:szCs w:val="24"/>
          <w:rtl/>
        </w:rPr>
        <w:t>ג</w:t>
      </w:r>
      <w:r>
        <w:rPr>
          <w:rFonts w:ascii="David" w:eastAsia="Times New Roman" w:hAnsi="David" w:cs="David"/>
          <w:sz w:val="24"/>
          <w:szCs w:val="24"/>
          <w:rtl/>
        </w:rPr>
        <w:t xml:space="preserve">ם האם </w:t>
      </w:r>
      <w:r w:rsidR="00302BC6">
        <w:rPr>
          <w:rFonts w:ascii="David" w:eastAsia="Times New Roman" w:hAnsi="David" w:cs="David" w:hint="cs"/>
          <w:sz w:val="24"/>
          <w:szCs w:val="24"/>
          <w:rtl/>
        </w:rPr>
        <w:t xml:space="preserve">אדם </w:t>
      </w:r>
      <w:r>
        <w:rPr>
          <w:rFonts w:ascii="David" w:eastAsia="Times New Roman" w:hAnsi="David" w:cs="David"/>
          <w:sz w:val="24"/>
          <w:szCs w:val="24"/>
          <w:rtl/>
        </w:rPr>
        <w:t>ה</w:t>
      </w:r>
      <w:r w:rsidR="00302BC6">
        <w:rPr>
          <w:rFonts w:ascii="David" w:eastAsia="Times New Roman" w:hAnsi="David" w:cs="David" w:hint="cs"/>
          <w:sz w:val="24"/>
          <w:szCs w:val="24"/>
          <w:rtl/>
        </w:rPr>
        <w:t>מ</w:t>
      </w:r>
      <w:r>
        <w:rPr>
          <w:rFonts w:ascii="David" w:eastAsia="Times New Roman" w:hAnsi="David" w:cs="David"/>
          <w:sz w:val="24"/>
          <w:szCs w:val="24"/>
          <w:rtl/>
        </w:rPr>
        <w:t>צהיר</w:t>
      </w:r>
      <w:r w:rsidR="00302BC6">
        <w:rPr>
          <w:rFonts w:ascii="David" w:eastAsia="Times New Roman" w:hAnsi="David" w:cs="David" w:hint="cs"/>
          <w:sz w:val="24"/>
          <w:szCs w:val="24"/>
          <w:rtl/>
        </w:rPr>
        <w:t xml:space="preserve"> </w:t>
      </w:r>
      <w:r>
        <w:rPr>
          <w:rFonts w:ascii="David" w:eastAsia="Times New Roman" w:hAnsi="David" w:cs="David"/>
          <w:sz w:val="24"/>
          <w:szCs w:val="24"/>
          <w:rtl/>
        </w:rPr>
        <w:t xml:space="preserve">הצהרות הנוגעות למחלות מורשות </w:t>
      </w:r>
      <w:r w:rsidR="00302BC6">
        <w:rPr>
          <w:rFonts w:ascii="David" w:eastAsia="Times New Roman" w:hAnsi="David" w:cs="David" w:hint="cs"/>
          <w:sz w:val="24"/>
          <w:szCs w:val="24"/>
          <w:rtl/>
        </w:rPr>
        <w:t xml:space="preserve">יכול </w:t>
      </w:r>
      <w:r>
        <w:rPr>
          <w:rFonts w:ascii="David" w:eastAsia="Times New Roman" w:hAnsi="David" w:cs="David"/>
          <w:sz w:val="24"/>
          <w:szCs w:val="24"/>
          <w:rtl/>
        </w:rPr>
        <w:t>שלא לגלות את המידע הזה בהמשך.</w:t>
      </w:r>
    </w:p>
    <w:p w:rsidR="006A0191" w:rsidRPr="00F127B0" w:rsidRDefault="006A0191" w:rsidP="00F127B0">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זאת, גם לנוכח  טיעון שברפואה מהתובע, כעולה מחוות הדעת שצירף התובע  שלפיו במקרה שלו המדובר במוטציה </w:t>
      </w:r>
      <w:r w:rsidRPr="00F127B0">
        <w:rPr>
          <w:rFonts w:ascii="David" w:eastAsia="Times New Roman" w:hAnsi="David" w:cs="David"/>
          <w:sz w:val="24"/>
          <w:szCs w:val="24"/>
          <w:rtl/>
        </w:rPr>
        <w:t xml:space="preserve">חדשה ולא בהורשה. במונחי הדו"ח </w:t>
      </w:r>
      <w:r w:rsidR="00F127B0">
        <w:rPr>
          <w:rFonts w:ascii="David" w:eastAsia="Times New Roman" w:hAnsi="David" w:cs="David" w:hint="cs"/>
          <w:sz w:val="24"/>
          <w:szCs w:val="24"/>
          <w:rtl/>
        </w:rPr>
        <w:t xml:space="preserve"> של המכון </w:t>
      </w:r>
      <w:r w:rsidRPr="00F127B0">
        <w:rPr>
          <w:rFonts w:ascii="David" w:eastAsia="Times New Roman" w:hAnsi="David" w:cs="David"/>
          <w:sz w:val="24"/>
          <w:szCs w:val="24"/>
          <w:rtl/>
        </w:rPr>
        <w:t xml:space="preserve">הגנטי דומה שהטענה היא </w:t>
      </w:r>
      <w:r w:rsidRPr="00F127B0">
        <w:rPr>
          <w:rFonts w:ascii="David" w:eastAsia="Times New Roman" w:hAnsi="David" w:cs="David"/>
          <w:sz w:val="24"/>
          <w:szCs w:val="24"/>
        </w:rPr>
        <w:t xml:space="preserve"> </w:t>
      </w:r>
      <w:r w:rsidRPr="00F127B0">
        <w:rPr>
          <w:rFonts w:ascii="David" w:eastAsia="Times New Roman" w:hAnsi="David" w:cs="David"/>
          <w:sz w:val="24"/>
          <w:szCs w:val="24"/>
          <w:rtl/>
        </w:rPr>
        <w:t>שהבן נמצא ב</w:t>
      </w:r>
      <w:r w:rsidR="00F127B0" w:rsidRPr="00F127B0">
        <w:rPr>
          <w:rFonts w:ascii="David" w:eastAsia="Times New Roman" w:hAnsi="David" w:cs="David" w:hint="cs"/>
          <w:sz w:val="24"/>
          <w:szCs w:val="24"/>
          <w:rtl/>
        </w:rPr>
        <w:t xml:space="preserve">קרב  </w:t>
      </w:r>
      <w:r w:rsidRPr="00F127B0">
        <w:rPr>
          <w:rFonts w:ascii="David" w:eastAsia="Times New Roman" w:hAnsi="David" w:cs="David"/>
          <w:sz w:val="24"/>
          <w:szCs w:val="24"/>
          <w:rtl/>
        </w:rPr>
        <w:t xml:space="preserve"> 1/3 המקרים שבהם אין המדובר במחלה שהורשה אלא במוטציה חדשה ולא ב</w:t>
      </w:r>
      <w:r w:rsidR="00F127B0">
        <w:rPr>
          <w:rFonts w:ascii="David" w:eastAsia="Times New Roman" w:hAnsi="David" w:cs="David" w:hint="cs"/>
          <w:sz w:val="24"/>
          <w:szCs w:val="24"/>
          <w:rtl/>
        </w:rPr>
        <w:t xml:space="preserve">קרב </w:t>
      </w:r>
      <w:r w:rsidRPr="00F127B0">
        <w:rPr>
          <w:rFonts w:ascii="David" w:eastAsia="Times New Roman" w:hAnsi="David" w:cs="David"/>
          <w:sz w:val="24"/>
          <w:szCs w:val="24"/>
          <w:rtl/>
        </w:rPr>
        <w:t xml:space="preserve"> 2/3 המקרים שבהם המוטציה  המורשת</w:t>
      </w:r>
      <w:r w:rsidR="00F127B0">
        <w:rPr>
          <w:rFonts w:ascii="David" w:eastAsia="Times New Roman" w:hAnsi="David" w:cs="David" w:hint="cs"/>
          <w:sz w:val="24"/>
          <w:szCs w:val="24"/>
          <w:rtl/>
        </w:rPr>
        <w:t xml:space="preserve"> משפחתית שהועברה מאם נשאית </w:t>
      </w:r>
      <w:r w:rsidRPr="00F127B0">
        <w:rPr>
          <w:rFonts w:ascii="David" w:eastAsia="Times New Roman" w:hAnsi="David" w:cs="David"/>
          <w:sz w:val="24"/>
          <w:szCs w:val="24"/>
          <w:rtl/>
        </w:rPr>
        <w:t xml:space="preserve"> . פתוחה גם בפני הבן הדרך לזימון האם להצגת המסמכים חרף רצונה אם הינה מתנגדת.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עם זאת</w:t>
      </w:r>
      <w:r>
        <w:rPr>
          <w:rFonts w:ascii="David" w:eastAsia="Times New Roman" w:hAnsi="David" w:cs="David"/>
          <w:sz w:val="24"/>
          <w:szCs w:val="24"/>
        </w:rPr>
        <w:t xml:space="preserve"> </w:t>
      </w:r>
      <w:r>
        <w:rPr>
          <w:rFonts w:ascii="David" w:eastAsia="Times New Roman" w:hAnsi="David" w:cs="David"/>
          <w:sz w:val="24"/>
          <w:szCs w:val="24"/>
          <w:rtl/>
        </w:rPr>
        <w:t>ובטרם גיבוש עמדה ותוצאה אופרטיבית,  יש  לקבל קודם באופן סדור את עמדת האם שהיא הצד השלישי.</w:t>
      </w:r>
    </w:p>
    <w:p w:rsidR="006A0191" w:rsidRDefault="006A0191" w:rsidP="006A0191">
      <w:pPr>
        <w:pStyle w:val="1"/>
        <w:spacing w:line="240" w:lineRule="auto"/>
        <w:jc w:val="both"/>
        <w:rPr>
          <w:rFonts w:ascii="David" w:eastAsia="Times New Roman" w:hAnsi="David" w:cs="David"/>
          <w:b/>
          <w:bCs/>
          <w:sz w:val="24"/>
          <w:szCs w:val="24"/>
          <w:u w:val="single"/>
        </w:rPr>
      </w:pPr>
      <w:bookmarkStart w:id="48" w:name="_Toc112170785"/>
      <w:bookmarkStart w:id="49" w:name="_Toc113804958"/>
      <w:r>
        <w:rPr>
          <w:rFonts w:ascii="David" w:eastAsia="Times New Roman" w:hAnsi="David" w:cs="David"/>
          <w:rtl/>
        </w:rPr>
        <w:t>ז.</w:t>
      </w:r>
      <w:r>
        <w:rPr>
          <w:rFonts w:ascii="David" w:eastAsia="Times New Roman" w:hAnsi="David" w:cs="David"/>
          <w:u w:val="single"/>
          <w:rtl/>
        </w:rPr>
        <w:t>סוף דבר</w:t>
      </w:r>
      <w:bookmarkEnd w:id="48"/>
      <w:bookmarkEnd w:id="49"/>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אשר על כן , דין הבקשה להאריך את המועד להגשת חוות דעת להתקבל בשלב זה.  אולם, דין הבקשה לאכוף בצו על התובע להביא וס"ר של האם להידחות . עם זאת, יש כמוסבר לשמוע את עמדת האם . אם תסכים יהיה עליה  לחתום  על וס"ר  המציין באורח מפורש וספציפי את הסכמתה למסירת מידע גנטי . אם תסרב לאחר שמיעת עמדתה ועמדת האחרים </w:t>
      </w:r>
      <w:r>
        <w:rPr>
          <w:rFonts w:ascii="David" w:eastAsia="Times New Roman" w:hAnsi="David" w:cs="David"/>
          <w:sz w:val="24"/>
          <w:szCs w:val="24"/>
        </w:rPr>
        <w:t xml:space="preserve"> </w:t>
      </w:r>
      <w:r w:rsidR="00F127B0">
        <w:rPr>
          <w:rFonts w:ascii="David" w:eastAsia="Times New Roman" w:hAnsi="David" w:cs="David" w:hint="cs"/>
          <w:sz w:val="24"/>
          <w:szCs w:val="24"/>
          <w:rtl/>
        </w:rPr>
        <w:t>י</w:t>
      </w:r>
      <w:r>
        <w:rPr>
          <w:rFonts w:ascii="David" w:eastAsia="Times New Roman" w:hAnsi="David" w:cs="David"/>
          <w:sz w:val="24"/>
          <w:szCs w:val="24"/>
          <w:rtl/>
        </w:rPr>
        <w:t xml:space="preserve">יבדק  האיזון הקונקרטי . </w:t>
      </w:r>
    </w:p>
    <w:p w:rsidR="006A0191" w:rsidRDefault="006A0191" w:rsidP="006A0191">
      <w:pPr>
        <w:pStyle w:val="af1"/>
        <w:numPr>
          <w:ilvl w:val="0"/>
          <w:numId w:val="3"/>
        </w:numPr>
        <w:spacing w:after="0" w:line="240" w:lineRule="auto"/>
        <w:ind w:left="360"/>
        <w:jc w:val="both"/>
        <w:rPr>
          <w:rFonts w:ascii="David" w:eastAsia="Times New Roman" w:hAnsi="David" w:cs="David"/>
          <w:sz w:val="24"/>
          <w:szCs w:val="24"/>
        </w:rPr>
      </w:pPr>
      <w:r>
        <w:rPr>
          <w:rFonts w:ascii="David" w:eastAsia="Times New Roman" w:hAnsi="David" w:cs="David"/>
          <w:sz w:val="24"/>
          <w:szCs w:val="24"/>
          <w:rtl/>
        </w:rPr>
        <w:t xml:space="preserve">לפנים מהדין לא ראיתי להטיל בשלב זה הוצאות והנושא ידון בהמשך בשים לב להתנהלות בכללותה. </w:t>
      </w:r>
    </w:p>
    <w:p w:rsidR="006A0191" w:rsidRDefault="006A0191" w:rsidP="006A0191">
      <w:pPr>
        <w:pStyle w:val="af1"/>
        <w:spacing w:after="0" w:line="360" w:lineRule="auto"/>
        <w:ind w:left="360"/>
        <w:jc w:val="both"/>
        <w:rPr>
          <w:rFonts w:ascii="David" w:eastAsia="Times New Roman" w:hAnsi="David" w:cs="David"/>
          <w:sz w:val="24"/>
          <w:szCs w:val="24"/>
        </w:rPr>
      </w:pPr>
    </w:p>
    <w:p w:rsidR="00694556" w:rsidRDefault="0043502B">
      <w:pPr>
        <w:spacing w:line="360" w:lineRule="auto"/>
        <w:jc w:val="both"/>
        <w:rPr>
          <w:rFonts w:ascii="Arial" w:hAnsi="Arial"/>
          <w:noProof w:val="0"/>
          <w:rtl/>
        </w:rPr>
      </w:pPr>
      <w:r>
        <w:rPr>
          <w:rFonts w:ascii="Arial" w:hAnsi="Arial"/>
          <w:noProof w:val="0"/>
          <w:rtl/>
        </w:rPr>
        <w:lastRenderedPageBreak/>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ט"ו אלול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11 ספטמבר 2022</w:t>
          </w:r>
        </w:sdtContent>
      </w:sdt>
      <w:r w:rsidR="00005C8B">
        <w:rPr>
          <w:rFonts w:ascii="Arial" w:hAnsi="Arial"/>
          <w:noProof w:val="0"/>
          <w:rtl/>
        </w:rPr>
        <w:t>, בהעדר הצדדים.</w:t>
      </w:r>
    </w:p>
    <w:p w:rsidR="00C43648" w:rsidRDefault="001B6263"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rPr>
          <w:rFonts w:ascii="Arial" w:hAnsi="Arial"/>
          <w:noProof w:val="0"/>
          <w:rtl/>
        </w:rPr>
      </w:pPr>
      <w:r>
        <w:rPr>
          <w:rFonts w:hint="cs"/>
          <w:rtl/>
        </w:rPr>
        <w:tab/>
      </w:r>
      <w:r>
        <w:rPr>
          <w:rFonts w:hint="cs"/>
          <w:rtl/>
        </w:rPr>
        <w:tab/>
      </w:r>
      <w:r>
        <w:rPr>
          <w:rFonts w:hint="cs"/>
          <w:rtl/>
        </w:rPr>
        <w:tab/>
      </w:r>
      <w:r>
        <w:rPr>
          <w:rFonts w:hint="cs"/>
          <w:rtl/>
        </w:rPr>
        <w:tab/>
        <w:t xml:space="preserve">        </w:t>
      </w:r>
      <w:sdt>
        <w:sdtPr>
          <w:rPr>
            <w:rtl/>
          </w:rPr>
          <w:alias w:val="1237"/>
          <w:tag w:val="1237"/>
          <w:id w:val="1177927602"/>
          <w:text w:multiLine="1"/>
        </w:sdtPr>
        <w:sdtEndPr/>
        <w:sdtContent>
          <w:r w:rsidR="00005C8B">
            <w:rPr>
              <w:rFonts w:ascii="Arial" w:hAnsi="Arial"/>
              <w:noProof w:val="0"/>
              <w:rtl/>
            </w:rPr>
            <w:t>חתימה</w:t>
          </w:r>
        </w:sdtContent>
      </w:sdt>
    </w:p>
    <w:sectPr w:rsidR="00694556" w:rsidSect="006A0191">
      <w:headerReference w:type="even" r:id="rId8"/>
      <w:headerReference w:type="default" r:id="rId9"/>
      <w:footerReference w:type="even" r:id="rId10"/>
      <w:footerReference w:type="default" r:id="rId11"/>
      <w:headerReference w:type="first" r:id="rId12"/>
      <w:footerReference w:type="first" r:id="rId13"/>
      <w:pgSz w:w="11907" w:h="16840" w:code="9"/>
      <w:pgMar w:top="720" w:right="720" w:bottom="720" w:left="72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TUR">
    <w:charset w:val="00"/>
    <w:family w:val="swiss"/>
    <w:pitch w:val="variable"/>
    <w:sig w:usb0="E0002EFF" w:usb1="C000785B" w:usb2="00000009" w:usb3="00000000" w:csb0="000001FF" w:csb1="00000000"/>
  </w:font>
  <w:font w:name="Arimo">
    <w:altName w:val="Times New Roman"/>
    <w:charset w:val="00"/>
    <w:family w:val="auto"/>
    <w:pitch w:val="default"/>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263" w:rsidRDefault="001B626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5"/>
      <w:jc w:val="center"/>
      <w:rPr>
        <w:rStyle w:val="ae"/>
      </w:rPr>
    </w:pPr>
    <w:r w:rsidRPr="004E6E3C">
      <w:rPr>
        <w:rStyle w:val="ae"/>
        <w:rFonts w:cs="Times New Roman"/>
      </w:rPr>
      <w:fldChar w:fldCharType="begin"/>
    </w:r>
    <w:r w:rsidR="00005C8B" w:rsidRPr="004E6E3C">
      <w:rPr>
        <w:rStyle w:val="ae"/>
        <w:rFonts w:cs="Times New Roman"/>
      </w:rPr>
      <w:instrText xml:space="preserve"> PAGE </w:instrText>
    </w:r>
    <w:r w:rsidRPr="004E6E3C">
      <w:rPr>
        <w:rStyle w:val="ae"/>
        <w:rFonts w:cs="Times New Roman"/>
      </w:rPr>
      <w:fldChar w:fldCharType="separate"/>
    </w:r>
    <w:r w:rsidR="001B6263">
      <w:rPr>
        <w:rStyle w:val="ae"/>
        <w:rFonts w:cs="Times New Roman"/>
        <w:rtl/>
      </w:rPr>
      <w:t>1</w:t>
    </w:r>
    <w:r w:rsidRPr="004E6E3C">
      <w:rPr>
        <w:rStyle w:val="ae"/>
        <w:rFonts w:cs="Times New Roman"/>
      </w:rPr>
      <w:fldChar w:fldCharType="end"/>
    </w:r>
    <w:r w:rsidR="00005C8B" w:rsidRPr="004E6E3C">
      <w:rPr>
        <w:rStyle w:val="ae"/>
        <w:rFonts w:hint="cs"/>
        <w:rtl/>
      </w:rPr>
      <w:t xml:space="preserve"> מתוך </w:t>
    </w:r>
    <w:r w:rsidRPr="004E6E3C">
      <w:rPr>
        <w:rStyle w:val="ae"/>
      </w:rPr>
      <w:fldChar w:fldCharType="begin"/>
    </w:r>
    <w:r w:rsidR="00005C8B" w:rsidRPr="004E6E3C">
      <w:rPr>
        <w:rStyle w:val="ae"/>
      </w:rPr>
      <w:instrText xml:space="preserve"> NUMPAGES </w:instrText>
    </w:r>
    <w:r w:rsidRPr="004E6E3C">
      <w:rPr>
        <w:rStyle w:val="ae"/>
      </w:rPr>
      <w:fldChar w:fldCharType="separate"/>
    </w:r>
    <w:r w:rsidR="001B6263">
      <w:rPr>
        <w:rStyle w:val="ae"/>
        <w:rtl/>
      </w:rPr>
      <w:t>14</w:t>
    </w:r>
    <w:r w:rsidRPr="004E6E3C">
      <w:rPr>
        <w:rStyle w:val="a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263" w:rsidRDefault="001B626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263" w:rsidRDefault="001B62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5047"/>
      <w:gridCol w:w="3674"/>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בראשון לציון</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1B6263" w:rsidP="006A0191">
          <w:pPr>
            <w:rPr>
              <w:b/>
              <w:bCs/>
              <w:noProof w:val="0"/>
              <w:sz w:val="26"/>
              <w:szCs w:val="26"/>
              <w:rtl/>
            </w:rPr>
          </w:pPr>
          <w:sdt>
            <w:sdtPr>
              <w:rPr>
                <w:rtl/>
              </w:rPr>
              <w:alias w:val="1170"/>
              <w:tag w:val="1170"/>
              <w:id w:val="1066377040"/>
              <w:text w:multiLine="1"/>
            </w:sdtPr>
            <w:sdtEndPr/>
            <w:sdtContent>
              <w:r w:rsidR="000346CC">
                <w:rPr>
                  <w:b/>
                  <w:bCs/>
                  <w:noProof w:val="0"/>
                  <w:sz w:val="26"/>
                  <w:szCs w:val="26"/>
                  <w:rtl/>
                </w:rPr>
                <w:t>ת"א</w:t>
              </w:r>
            </w:sdtContent>
          </w:sdt>
          <w:r w:rsidR="00005C8B">
            <w:rPr>
              <w:b/>
              <w:bCs/>
              <w:noProof w:val="0"/>
              <w:sz w:val="26"/>
              <w:szCs w:val="26"/>
              <w:rtl/>
            </w:rPr>
            <w:t xml:space="preserve"> </w:t>
          </w:r>
          <w:bookmarkStart w:id="50" w:name="_GoBack"/>
          <w:sdt>
            <w:sdtPr>
              <w:rPr>
                <w:rtl/>
              </w:rPr>
              <w:alias w:val="1171"/>
              <w:tag w:val="1171"/>
              <w:id w:val="257034231"/>
              <w:text w:multiLine="1"/>
            </w:sdtPr>
            <w:sdtEndPr/>
            <w:sdtContent>
              <w:r w:rsidR="000346CC">
                <w:rPr>
                  <w:b/>
                  <w:bCs/>
                  <w:noProof w:val="0"/>
                  <w:sz w:val="26"/>
                  <w:szCs w:val="26"/>
                  <w:rtl/>
                </w:rPr>
                <w:t>27745-10-18</w:t>
              </w:r>
            </w:sdtContent>
          </w:sdt>
          <w:bookmarkEnd w:id="50"/>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0346CC">
                <w:rPr>
                  <w:b/>
                  <w:bCs/>
                  <w:noProof w:val="0"/>
                  <w:sz w:val="26"/>
                  <w:szCs w:val="26"/>
                  <w:rtl/>
                </w:rPr>
                <w:t>ד</w:t>
              </w:r>
              <w:r w:rsidR="006A0191">
                <w:rPr>
                  <w:rFonts w:hint="cs"/>
                  <w:b/>
                  <w:bCs/>
                  <w:noProof w:val="0"/>
                  <w:sz w:val="26"/>
                  <w:szCs w:val="26"/>
                  <w:rtl/>
                </w:rPr>
                <w:t xml:space="preserve">. </w:t>
              </w:r>
              <w:r w:rsidR="000346CC">
                <w:rPr>
                  <w:b/>
                  <w:bCs/>
                  <w:noProof w:val="0"/>
                  <w:sz w:val="26"/>
                  <w:szCs w:val="26"/>
                  <w:rtl/>
                </w:rPr>
                <w:t xml:space="preserve"> נ' הראל חברה לביטוח בע"מ</w:t>
              </w:r>
            </w:sdtContent>
          </w:sdt>
          <w:r w:rsidR="00CD516B">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263" w:rsidRDefault="001B626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1329"/>
    <w:multiLevelType w:val="hybridMultilevel"/>
    <w:tmpl w:val="CE423C08"/>
    <w:lvl w:ilvl="0" w:tplc="D780EFA0">
      <w:start w:val="1"/>
      <w:numFmt w:val="decimal"/>
      <w:lvlText w:val="%1."/>
      <w:lvlJc w:val="left"/>
      <w:pPr>
        <w:ind w:left="720" w:hanging="360"/>
      </w:pPr>
    </w:lvl>
    <w:lvl w:ilvl="1" w:tplc="92D0D22A">
      <w:start w:val="1"/>
      <w:numFmt w:val="hebrew1"/>
      <w:lvlText w:val="%2."/>
      <w:lvlJc w:val="left"/>
      <w:pPr>
        <w:ind w:left="1440" w:hanging="360"/>
      </w:pPr>
    </w:lvl>
    <w:lvl w:ilvl="2" w:tplc="50CC029A">
      <w:start w:val="1"/>
      <w:numFmt w:val="lowerRoman"/>
      <w:lvlText w:val="%3."/>
      <w:lvlJc w:val="right"/>
      <w:pPr>
        <w:ind w:left="2160" w:hanging="180"/>
      </w:pPr>
    </w:lvl>
    <w:lvl w:ilvl="3" w:tplc="19DA25FE">
      <w:start w:val="1"/>
      <w:numFmt w:val="decimal"/>
      <w:lvlText w:val="%4."/>
      <w:lvlJc w:val="left"/>
      <w:pPr>
        <w:ind w:left="2880" w:hanging="360"/>
      </w:pPr>
    </w:lvl>
    <w:lvl w:ilvl="4" w:tplc="EA267514">
      <w:start w:val="1"/>
      <w:numFmt w:val="lowerLetter"/>
      <w:lvlText w:val="%5."/>
      <w:lvlJc w:val="left"/>
      <w:pPr>
        <w:ind w:left="3600" w:hanging="360"/>
      </w:pPr>
    </w:lvl>
    <w:lvl w:ilvl="5" w:tplc="EA382C92">
      <w:start w:val="1"/>
      <w:numFmt w:val="lowerRoman"/>
      <w:lvlText w:val="%6."/>
      <w:lvlJc w:val="right"/>
      <w:pPr>
        <w:ind w:left="4320" w:hanging="180"/>
      </w:pPr>
    </w:lvl>
    <w:lvl w:ilvl="6" w:tplc="5B3C65CE">
      <w:start w:val="1"/>
      <w:numFmt w:val="decimal"/>
      <w:lvlText w:val="%7."/>
      <w:lvlJc w:val="left"/>
      <w:pPr>
        <w:ind w:left="5040" w:hanging="360"/>
      </w:pPr>
    </w:lvl>
    <w:lvl w:ilvl="7" w:tplc="06985476">
      <w:start w:val="1"/>
      <w:numFmt w:val="lowerLetter"/>
      <w:lvlText w:val="%8."/>
      <w:lvlJc w:val="left"/>
      <w:pPr>
        <w:ind w:left="5760" w:hanging="360"/>
      </w:pPr>
    </w:lvl>
    <w:lvl w:ilvl="8" w:tplc="97007982">
      <w:start w:val="1"/>
      <w:numFmt w:val="lowerRoman"/>
      <w:lvlText w:val="%9."/>
      <w:lvlJc w:val="right"/>
      <w:pPr>
        <w:ind w:left="6480" w:hanging="180"/>
      </w:pPr>
    </w:lvl>
  </w:abstractNum>
  <w:abstractNum w:abstractNumId="1" w15:restartNumberingAfterBreak="0">
    <w:nsid w:val="0EE10BA4"/>
    <w:multiLevelType w:val="multilevel"/>
    <w:tmpl w:val="A7DC20B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F61D19"/>
    <w:multiLevelType w:val="multilevel"/>
    <w:tmpl w:val="1C646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826517"/>
    <w:multiLevelType w:val="multilevel"/>
    <w:tmpl w:val="DD6E48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5C4B68"/>
    <w:multiLevelType w:val="multilevel"/>
    <w:tmpl w:val="4336CA5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885B30"/>
    <w:multiLevelType w:val="multilevel"/>
    <w:tmpl w:val="2C3A2A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35734D"/>
    <w:multiLevelType w:val="multilevel"/>
    <w:tmpl w:val="3BDAA3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D3315A"/>
    <w:multiLevelType w:val="hybridMultilevel"/>
    <w:tmpl w:val="2584ADDA"/>
    <w:lvl w:ilvl="0" w:tplc="762612F4">
      <w:start w:val="1"/>
      <w:numFmt w:val="decimal"/>
      <w:lvlText w:val="%1."/>
      <w:lvlJc w:val="left"/>
      <w:pPr>
        <w:ind w:left="720" w:hanging="360"/>
      </w:pPr>
    </w:lvl>
    <w:lvl w:ilvl="1" w:tplc="6F801036">
      <w:start w:val="1"/>
      <w:numFmt w:val="hebrew1"/>
      <w:lvlText w:val="%2."/>
      <w:lvlJc w:val="left"/>
      <w:pPr>
        <w:ind w:left="1440" w:hanging="360"/>
      </w:pPr>
      <w:rPr>
        <w:lang w:val="en-US"/>
      </w:rPr>
    </w:lvl>
    <w:lvl w:ilvl="2" w:tplc="6A8051C0">
      <w:start w:val="1"/>
      <w:numFmt w:val="lowerRoman"/>
      <w:lvlText w:val="%3."/>
      <w:lvlJc w:val="right"/>
      <w:pPr>
        <w:ind w:left="2160" w:hanging="180"/>
      </w:pPr>
    </w:lvl>
    <w:lvl w:ilvl="3" w:tplc="8EDC228A">
      <w:start w:val="1"/>
      <w:numFmt w:val="decimal"/>
      <w:lvlText w:val="%4."/>
      <w:lvlJc w:val="left"/>
      <w:pPr>
        <w:ind w:left="2880" w:hanging="360"/>
      </w:pPr>
    </w:lvl>
    <w:lvl w:ilvl="4" w:tplc="6FAC822A">
      <w:start w:val="1"/>
      <w:numFmt w:val="lowerLetter"/>
      <w:lvlText w:val="%5."/>
      <w:lvlJc w:val="left"/>
      <w:pPr>
        <w:ind w:left="3600" w:hanging="360"/>
      </w:pPr>
    </w:lvl>
    <w:lvl w:ilvl="5" w:tplc="1B62D03E">
      <w:start w:val="1"/>
      <w:numFmt w:val="lowerRoman"/>
      <w:lvlText w:val="%6."/>
      <w:lvlJc w:val="right"/>
      <w:pPr>
        <w:ind w:left="4320" w:hanging="180"/>
      </w:pPr>
    </w:lvl>
    <w:lvl w:ilvl="6" w:tplc="7CC877D8">
      <w:start w:val="1"/>
      <w:numFmt w:val="decimal"/>
      <w:lvlText w:val="%7."/>
      <w:lvlJc w:val="left"/>
      <w:pPr>
        <w:ind w:left="5040" w:hanging="360"/>
      </w:pPr>
    </w:lvl>
    <w:lvl w:ilvl="7" w:tplc="1742BD66">
      <w:start w:val="1"/>
      <w:numFmt w:val="lowerLetter"/>
      <w:lvlText w:val="%8."/>
      <w:lvlJc w:val="left"/>
      <w:pPr>
        <w:ind w:left="5760" w:hanging="360"/>
      </w:pPr>
    </w:lvl>
    <w:lvl w:ilvl="8" w:tplc="91DC239E">
      <w:start w:val="1"/>
      <w:numFmt w:val="lowerRoman"/>
      <w:lvlText w:val="%9."/>
      <w:lvlJc w:val="right"/>
      <w:pPr>
        <w:ind w:left="6480" w:hanging="180"/>
      </w:pPr>
    </w:lvl>
  </w:abstractNum>
  <w:num w:numId="1">
    <w:abstractNumId w:val="2"/>
  </w:num>
  <w:num w:numId="2">
    <w:abstractNumId w:val="7"/>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5"/>
  </w:num>
  <w:num w:numId="6">
    <w:abstractNumId w:val="4"/>
  </w:num>
  <w:num w:numId="7">
    <w:abstractNumId w:val="3"/>
  </w:num>
  <w:num w:numId="8">
    <w:abstractNumId w:val="1"/>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grammar="clean"/>
  <w:defaultTabStop w:val="720"/>
  <w:characterSpacingControl w:val="doNotCompress"/>
  <w:hdrShapeDefaults>
    <o:shapedefaults v:ext="edit" spidmax="211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5838922"/>
    <w:docVar w:name="CourtID" w:val="40"/>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5838922&amp;lt;/CaseID&amp;gt;_x000d__x000a_        &amp;lt;DocumentID&amp;gt;389739086&amp;lt;/DocumentID&amp;gt;_x000d__x000a_      &amp;lt;/dt_DocumentCase&amp;gt;_x000d__x000a_      &amp;lt;dt_Document diffgr:id=&amp;quot;dt_Document1&amp;quot; msdata:rowOrder=&amp;quot;0&amp;quot;&amp;gt;_x000d__x000a_        &amp;lt;DocumentID&amp;gt;389739086&amp;lt;/DocumentID&amp;gt;_x000d__x000a_        &amp;lt;DocumentMainID&amp;gt;0&amp;lt;/DocumentMainID&amp;gt;_x000d__x000a_        &amp;lt;CaseID&amp;gt;75838922&amp;lt;/CaseID&amp;gt;_x000d__x000a_        &amp;lt;DocumentIncludedDate&amp;gt;2022-09-20T16:13:03.623+03:00&amp;lt;/DocumentIncludedDate&amp;gt;_x000d__x000a_        &amp;lt;DocumentDesc&amp;gt;החלטה  שניתנה ע&amp;quot;י  אילן בן-דור&amp;lt;/DocumentDesc&amp;gt;_x000d__x000a_        &amp;lt;DocumentDirectionID&amp;gt;2&amp;lt;/DocumentDirectionID&amp;gt;_x000d__x000a_        &amp;lt;SourceID&amp;gt;1&amp;lt;/SourceID&amp;gt;_x000d__x000a_        &amp;lt;VersionNumber&amp;gt;2&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2-09-20T16:13:03.623+03:00&amp;lt;/DocumentSavingDate&amp;gt;_x000d__x000a_        &amp;lt;DocumentChangeDate&amp;gt;2022-09-20T16:13:03.84+03:00&amp;lt;/DocumentChangeDate&amp;gt;_x000d__x000a_        &amp;lt;IsScanned&amp;gt;false&amp;lt;/IsScanned&amp;gt;_x000d__x000a_        &amp;lt;PageQuantity&amp;gt;0&amp;lt;/PageQuantity&amp;gt;_x000d__x000a_        &amp;lt;DocumentStatusID&amp;gt;2&amp;lt;/DocumentStatusID&amp;gt;_x000d__x000a_        &amp;lt;DocumentStatusChangeDate&amp;gt;2022-09-20T16:13:03.84+03:00&amp;lt;/DocumentStatusChangeDate&amp;gt;_x000d__x000a_        &amp;lt;TemplateVersionID&amp;gt;1&amp;lt;/TemplateVersionID&amp;gt;_x000d__x000a_        &amp;lt;DocumentChangeUserID&amp;gt;059649806@GOV.IL&amp;lt;/DocumentChangeUserID&amp;gt;_x000d__x000a_        &amp;lt;DocumentCreationUserID&amp;gt;059649806@GOV.IL&amp;lt;/DocumentCreationUserID&amp;gt;_x000d__x000a_        &amp;lt;OriginalDocumentID&amp;gt;388818875&amp;lt;/OriginalDocumentID&amp;gt;_x000d__x000a_        &amp;lt;PrivillegeID&amp;gt;2&amp;lt;/PrivillegeID&amp;gt;_x000d__x000a_        &amp;lt;FromPage&amp;gt;0&amp;lt;/FromPage&amp;gt;_x000d__x000a_        &amp;lt;ToPage&amp;gt;0&amp;lt;/ToPage&amp;gt;_x000d__x000a_        &amp;lt;FileID&amp;gt;cdd6075b83010000090037f6a423bdd4&amp;lt;/FileID&amp;gt;_x000d__x000a_        &amp;lt;URL&amp;gt;\\CTLNFSV02\doc_repository\840\214\d086f65a83010000090037f6a423a161_copy.docx&amp;lt;/URL&amp;gt;_x000d__x000a_        &amp;lt;OlivePriority&amp;gt;1&amp;lt;/OlivePriority&amp;gt;_x000d__x000a_        &amp;lt;MetaDataTypeID&amp;gt;1&amp;lt;/MetaDataTypeID&amp;gt;_x000d__x000a_        &amp;lt;MetaDataChangeDate&amp;gt;2022-09-20T16:13:03.84+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אילן בן-דור&amp;amp;lt;/anyType&amp;amp;gt;_x000d__x000a_    &amp;amp;lt;anyType xsi:type=&amp;quot;xsd:dateTime&amp;quot;&amp;amp;gt;2022-09-20T15:49:25.903&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2-09-20T15:49:25.903+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07DE0"/>
    <w:rsid w:val="000346CC"/>
    <w:rsid w:val="000529D2"/>
    <w:rsid w:val="000564AB"/>
    <w:rsid w:val="000601B5"/>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6004F"/>
    <w:rsid w:val="00180519"/>
    <w:rsid w:val="00191C82"/>
    <w:rsid w:val="001B6263"/>
    <w:rsid w:val="001C4003"/>
    <w:rsid w:val="001D4DBF"/>
    <w:rsid w:val="001E75CA"/>
    <w:rsid w:val="002265FF"/>
    <w:rsid w:val="00235B97"/>
    <w:rsid w:val="00271B56"/>
    <w:rsid w:val="002823AF"/>
    <w:rsid w:val="002C344E"/>
    <w:rsid w:val="002E75E9"/>
    <w:rsid w:val="002F0B1E"/>
    <w:rsid w:val="00302BC6"/>
    <w:rsid w:val="00307A6A"/>
    <w:rsid w:val="00307C40"/>
    <w:rsid w:val="00320433"/>
    <w:rsid w:val="003230C7"/>
    <w:rsid w:val="00327E50"/>
    <w:rsid w:val="0033597A"/>
    <w:rsid w:val="00343D89"/>
    <w:rsid w:val="00362612"/>
    <w:rsid w:val="0036743F"/>
    <w:rsid w:val="003715DD"/>
    <w:rsid w:val="00375984"/>
    <w:rsid w:val="003823E0"/>
    <w:rsid w:val="003953ED"/>
    <w:rsid w:val="003A4521"/>
    <w:rsid w:val="003B3E8D"/>
    <w:rsid w:val="003D0F2F"/>
    <w:rsid w:val="003D1C8C"/>
    <w:rsid w:val="0040096C"/>
    <w:rsid w:val="004141A4"/>
    <w:rsid w:val="00414F1F"/>
    <w:rsid w:val="0042302A"/>
    <w:rsid w:val="0043125D"/>
    <w:rsid w:val="0043502B"/>
    <w:rsid w:val="004443AC"/>
    <w:rsid w:val="00444B02"/>
    <w:rsid w:val="00451E28"/>
    <w:rsid w:val="00462C62"/>
    <w:rsid w:val="00465D36"/>
    <w:rsid w:val="00481E65"/>
    <w:rsid w:val="004973A3"/>
    <w:rsid w:val="004C17EE"/>
    <w:rsid w:val="004C4BDF"/>
    <w:rsid w:val="004D1187"/>
    <w:rsid w:val="004D3AA0"/>
    <w:rsid w:val="004E1987"/>
    <w:rsid w:val="004E2E15"/>
    <w:rsid w:val="004E6E3C"/>
    <w:rsid w:val="00511B90"/>
    <w:rsid w:val="00520739"/>
    <w:rsid w:val="00520898"/>
    <w:rsid w:val="00523621"/>
    <w:rsid w:val="00524986"/>
    <w:rsid w:val="005268F6"/>
    <w:rsid w:val="00534284"/>
    <w:rsid w:val="00547DB7"/>
    <w:rsid w:val="00550747"/>
    <w:rsid w:val="005561C2"/>
    <w:rsid w:val="005C0627"/>
    <w:rsid w:val="005F4F09"/>
    <w:rsid w:val="0061431B"/>
    <w:rsid w:val="00622BAA"/>
    <w:rsid w:val="006306CF"/>
    <w:rsid w:val="006435CF"/>
    <w:rsid w:val="00644E9A"/>
    <w:rsid w:val="00671BD5"/>
    <w:rsid w:val="006805C1"/>
    <w:rsid w:val="00686C21"/>
    <w:rsid w:val="006931C1"/>
    <w:rsid w:val="00694556"/>
    <w:rsid w:val="006A0191"/>
    <w:rsid w:val="006A468E"/>
    <w:rsid w:val="006B7258"/>
    <w:rsid w:val="006C30C5"/>
    <w:rsid w:val="006D3B31"/>
    <w:rsid w:val="006E0D96"/>
    <w:rsid w:val="006E1A53"/>
    <w:rsid w:val="006F56E6"/>
    <w:rsid w:val="006F5E81"/>
    <w:rsid w:val="00702F43"/>
    <w:rsid w:val="00704EDA"/>
    <w:rsid w:val="00721122"/>
    <w:rsid w:val="00734689"/>
    <w:rsid w:val="00753019"/>
    <w:rsid w:val="00754801"/>
    <w:rsid w:val="00761441"/>
    <w:rsid w:val="00795365"/>
    <w:rsid w:val="007A351D"/>
    <w:rsid w:val="007B2753"/>
    <w:rsid w:val="007B7765"/>
    <w:rsid w:val="007C5BDD"/>
    <w:rsid w:val="007D45E3"/>
    <w:rsid w:val="007E6115"/>
    <w:rsid w:val="007F4609"/>
    <w:rsid w:val="00814468"/>
    <w:rsid w:val="008176A1"/>
    <w:rsid w:val="00820005"/>
    <w:rsid w:val="00841158"/>
    <w:rsid w:val="00844318"/>
    <w:rsid w:val="00851257"/>
    <w:rsid w:val="00863F5D"/>
    <w:rsid w:val="00870890"/>
    <w:rsid w:val="00873602"/>
    <w:rsid w:val="00875A9B"/>
    <w:rsid w:val="00875D12"/>
    <w:rsid w:val="0088479D"/>
    <w:rsid w:val="00891F42"/>
    <w:rsid w:val="00896889"/>
    <w:rsid w:val="008A59EE"/>
    <w:rsid w:val="008A6E97"/>
    <w:rsid w:val="008C5714"/>
    <w:rsid w:val="008D10B2"/>
    <w:rsid w:val="00903896"/>
    <w:rsid w:val="00906F3D"/>
    <w:rsid w:val="0094424E"/>
    <w:rsid w:val="00955642"/>
    <w:rsid w:val="009622DF"/>
    <w:rsid w:val="0096493F"/>
    <w:rsid w:val="00967DFF"/>
    <w:rsid w:val="00994341"/>
    <w:rsid w:val="009C5EB6"/>
    <w:rsid w:val="009D1A48"/>
    <w:rsid w:val="009E1CE7"/>
    <w:rsid w:val="009E4EA5"/>
    <w:rsid w:val="009F164B"/>
    <w:rsid w:val="009F323C"/>
    <w:rsid w:val="00A040D5"/>
    <w:rsid w:val="00A3392B"/>
    <w:rsid w:val="00A71B63"/>
    <w:rsid w:val="00A81988"/>
    <w:rsid w:val="00A85E34"/>
    <w:rsid w:val="00A87DF6"/>
    <w:rsid w:val="00A9144F"/>
    <w:rsid w:val="00A94B64"/>
    <w:rsid w:val="00AA3229"/>
    <w:rsid w:val="00AA7596"/>
    <w:rsid w:val="00AB0469"/>
    <w:rsid w:val="00AB5E52"/>
    <w:rsid w:val="00AC3B02"/>
    <w:rsid w:val="00AC3B7B"/>
    <w:rsid w:val="00AC5209"/>
    <w:rsid w:val="00AE0E34"/>
    <w:rsid w:val="00AE729E"/>
    <w:rsid w:val="00AE7752"/>
    <w:rsid w:val="00AF7FDA"/>
    <w:rsid w:val="00B5356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F1908"/>
    <w:rsid w:val="00C22D93"/>
    <w:rsid w:val="00C23458"/>
    <w:rsid w:val="00C31120"/>
    <w:rsid w:val="00C34482"/>
    <w:rsid w:val="00C43648"/>
    <w:rsid w:val="00C476F9"/>
    <w:rsid w:val="00C50A9F"/>
    <w:rsid w:val="00C642FA"/>
    <w:rsid w:val="00CB4E3A"/>
    <w:rsid w:val="00CC7622"/>
    <w:rsid w:val="00CD516B"/>
    <w:rsid w:val="00CD608F"/>
    <w:rsid w:val="00CE0084"/>
    <w:rsid w:val="00CF6BB7"/>
    <w:rsid w:val="00D04AA4"/>
    <w:rsid w:val="00D27982"/>
    <w:rsid w:val="00D33B86"/>
    <w:rsid w:val="00D4076F"/>
    <w:rsid w:val="00D44968"/>
    <w:rsid w:val="00D53924"/>
    <w:rsid w:val="00D55D0C"/>
    <w:rsid w:val="00D634FF"/>
    <w:rsid w:val="00D96D8C"/>
    <w:rsid w:val="00DA6649"/>
    <w:rsid w:val="00DC1259"/>
    <w:rsid w:val="00DC1BD2"/>
    <w:rsid w:val="00DC2571"/>
    <w:rsid w:val="00DC487C"/>
    <w:rsid w:val="00DD4335"/>
    <w:rsid w:val="00DE1E7D"/>
    <w:rsid w:val="00DE6BF6"/>
    <w:rsid w:val="00E1068A"/>
    <w:rsid w:val="00E25884"/>
    <w:rsid w:val="00E25B55"/>
    <w:rsid w:val="00E31C2B"/>
    <w:rsid w:val="00E5426A"/>
    <w:rsid w:val="00E54642"/>
    <w:rsid w:val="00E80CBE"/>
    <w:rsid w:val="00E9269D"/>
    <w:rsid w:val="00E962E3"/>
    <w:rsid w:val="00EB6C79"/>
    <w:rsid w:val="00EC37E9"/>
    <w:rsid w:val="00F038D8"/>
    <w:rsid w:val="00F06995"/>
    <w:rsid w:val="00F127B0"/>
    <w:rsid w:val="00F12D66"/>
    <w:rsid w:val="00F13623"/>
    <w:rsid w:val="00F44D1D"/>
    <w:rsid w:val="00F50D1E"/>
    <w:rsid w:val="00F84B6D"/>
    <w:rsid w:val="00F957E8"/>
    <w:rsid w:val="00FA311A"/>
    <w:rsid w:val="00FA5FDA"/>
    <w:rsid w:val="00FA7FD0"/>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196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1">
    <w:name w:val="heading 1"/>
    <w:basedOn w:val="a"/>
    <w:next w:val="a"/>
    <w:link w:val="10"/>
    <w:uiPriority w:val="9"/>
    <w:qFormat/>
    <w:rsid w:val="006A0191"/>
    <w:pPr>
      <w:keepNext/>
      <w:keepLines/>
      <w:spacing w:before="240" w:line="256" w:lineRule="auto"/>
      <w:outlineLvl w:val="0"/>
    </w:pPr>
    <w:rPr>
      <w:rFonts w:asciiTheme="majorHAnsi" w:eastAsiaTheme="majorEastAsia" w:hAnsiTheme="majorHAnsi" w:cstheme="majorBidi"/>
      <w:noProof w:val="0"/>
      <w:color w:val="365F91" w:themeColor="accent1" w:themeShade="BF"/>
      <w:sz w:val="32"/>
      <w:szCs w:val="32"/>
    </w:rPr>
  </w:style>
  <w:style w:type="paragraph" w:styleId="2">
    <w:name w:val="heading 2"/>
    <w:basedOn w:val="a"/>
    <w:next w:val="a"/>
    <w:link w:val="20"/>
    <w:uiPriority w:val="9"/>
    <w:semiHidden/>
    <w:unhideWhenUsed/>
    <w:qFormat/>
    <w:rsid w:val="006A0191"/>
    <w:pPr>
      <w:keepNext/>
      <w:keepLines/>
      <w:spacing w:before="40" w:line="256" w:lineRule="auto"/>
      <w:outlineLvl w:val="1"/>
    </w:pPr>
    <w:rPr>
      <w:rFonts w:asciiTheme="majorHAnsi" w:eastAsiaTheme="majorEastAsia" w:hAnsiTheme="majorHAnsi" w:cstheme="majorBidi"/>
      <w:noProof w:val="0"/>
      <w:color w:val="365F91" w:themeColor="accent1" w:themeShade="BF"/>
      <w:sz w:val="26"/>
      <w:szCs w:val="26"/>
    </w:rPr>
  </w:style>
  <w:style w:type="paragraph" w:styleId="3">
    <w:name w:val="heading 3"/>
    <w:basedOn w:val="a"/>
    <w:next w:val="a"/>
    <w:link w:val="30"/>
    <w:uiPriority w:val="9"/>
    <w:semiHidden/>
    <w:unhideWhenUsed/>
    <w:qFormat/>
    <w:rsid w:val="006A0191"/>
    <w:pPr>
      <w:keepNext/>
      <w:keepLines/>
      <w:spacing w:before="40" w:line="256" w:lineRule="auto"/>
      <w:outlineLvl w:val="2"/>
    </w:pPr>
    <w:rPr>
      <w:rFonts w:asciiTheme="majorHAnsi" w:eastAsiaTheme="majorEastAsia" w:hAnsiTheme="majorHAnsi" w:cstheme="majorBidi"/>
      <w:noProof w:val="0"/>
      <w:color w:val="243F60" w:themeColor="accent1" w:themeShade="7F"/>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4423"/>
    <w:pPr>
      <w:tabs>
        <w:tab w:val="center" w:pos="4153"/>
        <w:tab w:val="right" w:pos="8306"/>
      </w:tabs>
    </w:pPr>
  </w:style>
  <w:style w:type="paragraph" w:styleId="a5">
    <w:name w:val="footer"/>
    <w:basedOn w:val="a"/>
    <w:link w:val="a6"/>
    <w:uiPriority w:val="99"/>
    <w:rsid w:val="00C64423"/>
    <w:pPr>
      <w:tabs>
        <w:tab w:val="center" w:pos="4153"/>
        <w:tab w:val="right" w:pos="8306"/>
      </w:tabs>
    </w:pPr>
  </w:style>
  <w:style w:type="paragraph" w:customStyle="1" w:styleId="a7">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8">
    <w:name w:val="annotation text"/>
    <w:basedOn w:val="a"/>
    <w:semiHidden/>
    <w:rsid w:val="00C64423"/>
    <w:rPr>
      <w:rFonts w:cs="Times New Roman"/>
      <w:noProof w:val="0"/>
    </w:rPr>
  </w:style>
  <w:style w:type="character" w:styleId="a9">
    <w:name w:val="annotation reference"/>
    <w:basedOn w:val="a0"/>
    <w:semiHidden/>
    <w:rsid w:val="00C64423"/>
    <w:rPr>
      <w:sz w:val="16"/>
      <w:szCs w:val="16"/>
    </w:rPr>
  </w:style>
  <w:style w:type="paragraph" w:styleId="aa">
    <w:name w:val="Balloon Text"/>
    <w:basedOn w:val="a"/>
    <w:link w:val="ab"/>
    <w:uiPriority w:val="99"/>
    <w:semiHidden/>
    <w:rsid w:val="00C64423"/>
    <w:rPr>
      <w:rFonts w:ascii="Tahoma" w:hAnsi="Tahoma" w:cs="Tahoma"/>
      <w:sz w:val="16"/>
      <w:szCs w:val="16"/>
    </w:rPr>
  </w:style>
  <w:style w:type="table" w:styleId="ac">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0"/>
    <w:rsid w:val="00C64423"/>
  </w:style>
  <w:style w:type="character" w:styleId="ae">
    <w:name w:val="page number"/>
    <w:basedOn w:val="a0"/>
    <w:rsid w:val="00C64423"/>
  </w:style>
  <w:style w:type="table" w:customStyle="1" w:styleId="11">
    <w:name w:val="טבלת רשת1"/>
    <w:basedOn w:val="a1"/>
    <w:next w:val="ac"/>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3230C7"/>
    <w:rPr>
      <w:color w:val="808080"/>
    </w:rPr>
  </w:style>
  <w:style w:type="character" w:customStyle="1" w:styleId="10">
    <w:name w:val="כותרת 1 תו"/>
    <w:basedOn w:val="a0"/>
    <w:link w:val="1"/>
    <w:uiPriority w:val="9"/>
    <w:rsid w:val="006A0191"/>
    <w:rPr>
      <w:rFonts w:asciiTheme="majorHAnsi" w:eastAsiaTheme="majorEastAsia" w:hAnsiTheme="majorHAnsi" w:cstheme="majorBidi"/>
      <w:color w:val="365F91" w:themeColor="accent1" w:themeShade="BF"/>
      <w:sz w:val="32"/>
      <w:szCs w:val="32"/>
    </w:rPr>
  </w:style>
  <w:style w:type="character" w:customStyle="1" w:styleId="20">
    <w:name w:val="כותרת 2 תו"/>
    <w:basedOn w:val="a0"/>
    <w:link w:val="2"/>
    <w:uiPriority w:val="9"/>
    <w:semiHidden/>
    <w:rsid w:val="006A0191"/>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0"/>
    <w:link w:val="3"/>
    <w:uiPriority w:val="9"/>
    <w:semiHidden/>
    <w:rsid w:val="006A0191"/>
    <w:rPr>
      <w:rFonts w:asciiTheme="majorHAnsi" w:eastAsiaTheme="majorEastAsia" w:hAnsiTheme="majorHAnsi" w:cstheme="majorBidi"/>
      <w:color w:val="243F60" w:themeColor="accent1" w:themeShade="7F"/>
      <w:sz w:val="24"/>
      <w:szCs w:val="24"/>
    </w:rPr>
  </w:style>
  <w:style w:type="character" w:styleId="Hyperlink">
    <w:name w:val="Hyperlink"/>
    <w:basedOn w:val="a0"/>
    <w:uiPriority w:val="99"/>
    <w:unhideWhenUsed/>
    <w:rsid w:val="006A0191"/>
    <w:rPr>
      <w:color w:val="0000FF" w:themeColor="hyperlink"/>
      <w:u w:val="single"/>
    </w:rPr>
  </w:style>
  <w:style w:type="character" w:styleId="FollowedHyperlink">
    <w:name w:val="FollowedHyperlink"/>
    <w:basedOn w:val="a0"/>
    <w:uiPriority w:val="99"/>
    <w:semiHidden/>
    <w:unhideWhenUsed/>
    <w:rsid w:val="006A0191"/>
    <w:rPr>
      <w:color w:val="800080" w:themeColor="followedHyperlink"/>
      <w:u w:val="single"/>
    </w:rPr>
  </w:style>
  <w:style w:type="paragraph" w:customStyle="1" w:styleId="msonormal0">
    <w:name w:val="msonormal"/>
    <w:basedOn w:val="a"/>
    <w:uiPriority w:val="99"/>
    <w:semiHidden/>
    <w:rsid w:val="006A0191"/>
    <w:pPr>
      <w:bidi w:val="0"/>
      <w:spacing w:before="100" w:beforeAutospacing="1" w:after="100" w:afterAutospacing="1"/>
    </w:pPr>
    <w:rPr>
      <w:rFonts w:cs="Times New Roman"/>
      <w:noProof w:val="0"/>
    </w:rPr>
  </w:style>
  <w:style w:type="paragraph" w:styleId="NormalWeb">
    <w:name w:val="Normal (Web)"/>
    <w:basedOn w:val="a"/>
    <w:uiPriority w:val="99"/>
    <w:semiHidden/>
    <w:unhideWhenUsed/>
    <w:rsid w:val="006A0191"/>
    <w:pPr>
      <w:bidi w:val="0"/>
      <w:spacing w:before="100" w:beforeAutospacing="1" w:after="100" w:afterAutospacing="1"/>
    </w:pPr>
    <w:rPr>
      <w:rFonts w:cs="Times New Roman"/>
      <w:noProof w:val="0"/>
    </w:rPr>
  </w:style>
  <w:style w:type="paragraph" w:styleId="TOC1">
    <w:name w:val="toc 1"/>
    <w:basedOn w:val="a"/>
    <w:next w:val="a"/>
    <w:autoRedefine/>
    <w:uiPriority w:val="39"/>
    <w:unhideWhenUsed/>
    <w:rsid w:val="006A0191"/>
    <w:pPr>
      <w:tabs>
        <w:tab w:val="right" w:leader="dot" w:pos="10456"/>
      </w:tabs>
      <w:spacing w:after="100" w:line="256" w:lineRule="auto"/>
    </w:pPr>
    <w:rPr>
      <w:rFonts w:asciiTheme="minorHAnsi" w:eastAsiaTheme="minorHAnsi" w:hAnsiTheme="minorHAnsi" w:cstheme="minorBidi"/>
      <w:noProof w:val="0"/>
      <w:sz w:val="22"/>
      <w:szCs w:val="22"/>
    </w:rPr>
  </w:style>
  <w:style w:type="paragraph" w:styleId="TOC2">
    <w:name w:val="toc 2"/>
    <w:basedOn w:val="a"/>
    <w:next w:val="a"/>
    <w:autoRedefine/>
    <w:uiPriority w:val="39"/>
    <w:unhideWhenUsed/>
    <w:rsid w:val="006A0191"/>
    <w:pPr>
      <w:tabs>
        <w:tab w:val="right" w:leader="dot" w:pos="10456"/>
      </w:tabs>
      <w:spacing w:after="100" w:line="256" w:lineRule="auto"/>
      <w:ind w:left="220"/>
    </w:pPr>
    <w:rPr>
      <w:rFonts w:asciiTheme="minorHAnsi" w:eastAsiaTheme="minorHAnsi" w:hAnsiTheme="minorHAnsi" w:cstheme="minorBidi"/>
      <w:noProof w:val="0"/>
      <w:sz w:val="22"/>
      <w:szCs w:val="22"/>
    </w:rPr>
  </w:style>
  <w:style w:type="paragraph" w:styleId="TOC3">
    <w:name w:val="toc 3"/>
    <w:basedOn w:val="a"/>
    <w:next w:val="a"/>
    <w:autoRedefine/>
    <w:uiPriority w:val="39"/>
    <w:unhideWhenUsed/>
    <w:rsid w:val="006A0191"/>
    <w:pPr>
      <w:tabs>
        <w:tab w:val="right" w:leader="dot" w:pos="10456"/>
      </w:tabs>
      <w:spacing w:after="100" w:line="256" w:lineRule="auto"/>
      <w:ind w:left="440"/>
    </w:pPr>
    <w:rPr>
      <w:rFonts w:asciiTheme="minorHAnsi" w:eastAsiaTheme="minorHAnsi" w:hAnsiTheme="minorHAnsi" w:cstheme="minorBidi"/>
      <w:noProof w:val="0"/>
      <w:sz w:val="22"/>
      <w:szCs w:val="22"/>
    </w:rPr>
  </w:style>
  <w:style w:type="character" w:customStyle="1" w:styleId="a4">
    <w:name w:val="כותרת עליונה תו"/>
    <w:basedOn w:val="a0"/>
    <w:link w:val="a3"/>
    <w:uiPriority w:val="99"/>
    <w:rsid w:val="006A0191"/>
    <w:rPr>
      <w:rFonts w:cs="David"/>
      <w:noProof/>
      <w:sz w:val="24"/>
      <w:szCs w:val="24"/>
    </w:rPr>
  </w:style>
  <w:style w:type="character" w:customStyle="1" w:styleId="a6">
    <w:name w:val="כותרת תחתונה תו"/>
    <w:basedOn w:val="a0"/>
    <w:link w:val="a5"/>
    <w:uiPriority w:val="99"/>
    <w:rsid w:val="006A0191"/>
    <w:rPr>
      <w:rFonts w:cs="David"/>
      <w:noProof/>
      <w:sz w:val="24"/>
      <w:szCs w:val="24"/>
    </w:rPr>
  </w:style>
  <w:style w:type="character" w:customStyle="1" w:styleId="ab">
    <w:name w:val="טקסט בלונים תו"/>
    <w:basedOn w:val="a0"/>
    <w:link w:val="aa"/>
    <w:uiPriority w:val="99"/>
    <w:semiHidden/>
    <w:rsid w:val="006A0191"/>
    <w:rPr>
      <w:rFonts w:ascii="Tahoma" w:hAnsi="Tahoma" w:cs="Tahoma"/>
      <w:noProof/>
      <w:sz w:val="16"/>
      <w:szCs w:val="16"/>
    </w:rPr>
  </w:style>
  <w:style w:type="paragraph" w:styleId="af0">
    <w:name w:val="Revision"/>
    <w:uiPriority w:val="99"/>
    <w:semiHidden/>
    <w:rsid w:val="006A0191"/>
    <w:rPr>
      <w:rFonts w:asciiTheme="minorHAnsi" w:eastAsiaTheme="minorHAnsi" w:hAnsiTheme="minorHAnsi" w:cstheme="minorBidi"/>
      <w:sz w:val="22"/>
      <w:szCs w:val="22"/>
    </w:rPr>
  </w:style>
  <w:style w:type="paragraph" w:styleId="af1">
    <w:name w:val="List Paragraph"/>
    <w:basedOn w:val="a"/>
    <w:uiPriority w:val="34"/>
    <w:qFormat/>
    <w:rsid w:val="006A0191"/>
    <w:pPr>
      <w:spacing w:after="160" w:line="256" w:lineRule="auto"/>
      <w:ind w:left="720"/>
      <w:contextualSpacing/>
    </w:pPr>
    <w:rPr>
      <w:rFonts w:asciiTheme="minorHAnsi" w:eastAsiaTheme="minorHAnsi" w:hAnsiTheme="minorHAnsi" w:cstheme="minorBidi"/>
      <w:noProof w:val="0"/>
      <w:sz w:val="22"/>
      <w:szCs w:val="22"/>
    </w:rPr>
  </w:style>
  <w:style w:type="paragraph" w:styleId="af2">
    <w:name w:val="TOC Heading"/>
    <w:basedOn w:val="1"/>
    <w:next w:val="a"/>
    <w:uiPriority w:val="39"/>
    <w:semiHidden/>
    <w:unhideWhenUsed/>
    <w:qFormat/>
    <w:rsid w:val="006A0191"/>
    <w:pPr>
      <w:outlineLvl w:val="9"/>
    </w:pPr>
  </w:style>
  <w:style w:type="paragraph" w:customStyle="1" w:styleId="big-header">
    <w:name w:val="big-header"/>
    <w:basedOn w:val="a"/>
    <w:uiPriority w:val="99"/>
    <w:semiHidden/>
    <w:rsid w:val="006A0191"/>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sz w:val="20"/>
      <w:szCs w:val="32"/>
      <w:lang w:eastAsia="he-IL"/>
    </w:rPr>
  </w:style>
  <w:style w:type="paragraph" w:customStyle="1" w:styleId="Hesber">
    <w:name w:val="Hesber"/>
    <w:basedOn w:val="a"/>
    <w:uiPriority w:val="99"/>
    <w:semiHidden/>
    <w:rsid w:val="006A0191"/>
    <w:pPr>
      <w:widowControl w:val="0"/>
      <w:autoSpaceDE w:val="0"/>
      <w:autoSpaceDN w:val="0"/>
      <w:adjustRightInd w:val="0"/>
      <w:snapToGrid w:val="0"/>
      <w:spacing w:line="360" w:lineRule="auto"/>
      <w:ind w:firstLine="340"/>
      <w:jc w:val="both"/>
    </w:pPr>
    <w:rPr>
      <w:rFonts w:ascii="Arial" w:eastAsia="Arial Unicode MS" w:hAnsi="Arial"/>
      <w:noProof w:val="0"/>
      <w:color w:val="000000"/>
      <w:sz w:val="20"/>
      <w:szCs w:val="26"/>
      <w:lang w:eastAsia="ja-JP"/>
    </w:rPr>
  </w:style>
  <w:style w:type="paragraph" w:customStyle="1" w:styleId="HeadHatzaotHok">
    <w:name w:val="Head HatzaotHok"/>
    <w:basedOn w:val="a"/>
    <w:uiPriority w:val="99"/>
    <w:semiHidden/>
    <w:rsid w:val="006A0191"/>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character" w:customStyle="1" w:styleId="Ruller41">
    <w:name w:val="Ruller4 תו1"/>
    <w:basedOn w:val="a0"/>
    <w:link w:val="Ruller4"/>
    <w:semiHidden/>
    <w:locked/>
    <w:rsid w:val="006A0191"/>
    <w:rPr>
      <w:rFonts w:ascii="Arial TUR" w:hAnsi="Arial TUR" w:cs="Arial TUR"/>
      <w:spacing w:val="10"/>
    </w:rPr>
  </w:style>
  <w:style w:type="paragraph" w:customStyle="1" w:styleId="Ruller4">
    <w:name w:val="Ruller4"/>
    <w:basedOn w:val="a"/>
    <w:link w:val="Ruller41"/>
    <w:semiHidden/>
    <w:rsid w:val="006A0191"/>
    <w:pPr>
      <w:overflowPunct w:val="0"/>
      <w:autoSpaceDE w:val="0"/>
      <w:autoSpaceDN w:val="0"/>
      <w:spacing w:line="360" w:lineRule="auto"/>
      <w:jc w:val="both"/>
    </w:pPr>
    <w:rPr>
      <w:rFonts w:ascii="Arial TUR" w:hAnsi="Arial TUR" w:cs="Arial TUR"/>
      <w:noProof w:val="0"/>
      <w:spacing w:val="10"/>
      <w:sz w:val="20"/>
      <w:szCs w:val="20"/>
    </w:rPr>
  </w:style>
  <w:style w:type="character" w:customStyle="1" w:styleId="term11">
    <w:name w:val="term_11"/>
    <w:basedOn w:val="a0"/>
    <w:rsid w:val="006A0191"/>
    <w:rPr>
      <w:shd w:val="clear" w:color="auto" w:fill="FFFF66"/>
    </w:rPr>
  </w:style>
  <w:style w:type="character" w:customStyle="1" w:styleId="normal-h">
    <w:name w:val="normal-h"/>
    <w:basedOn w:val="a0"/>
    <w:rsid w:val="006A0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64163640">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8875028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24600401">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9D0689" w:rsidP="009D0689">
          <w:pPr>
            <w:pStyle w:val="E460D38E05664FF79D4EFF282EF8EC9929"/>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73B50" w:rsidP="00673B50">
          <w:pPr>
            <w:pStyle w:val="D290653DA13E4E738B7E725F79D7332921"/>
          </w:pPr>
          <w:r>
            <w:rPr>
              <w:rFonts w:hint="eastAsia"/>
              <w:sz w:val="20"/>
              <w:szCs w:val="20"/>
              <w:rtl/>
            </w:rPr>
            <w:t>מספר</w:t>
          </w:r>
          <w:r>
            <w:rPr>
              <w:sz w:val="20"/>
              <w:szCs w:val="20"/>
              <w:rtl/>
            </w:rPr>
            <w:t xml:space="preserve"> תיק חיצוני</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673B50" w:rsidP="00673B50">
          <w:pPr>
            <w:pStyle w:val="4672CCA166BA4F0A892EB1D7BA0002CB3"/>
          </w:pPr>
          <w:r>
            <w:rPr>
              <w:b/>
              <w:bCs/>
              <w:noProof w:val="0"/>
              <w:sz w:val="26"/>
              <w:szCs w:val="26"/>
              <w:rtl/>
            </w:rPr>
            <w:t>שם תיק ללא שמות חסויים</w:t>
          </w:r>
        </w:p>
      </w:docPartBody>
    </w:docPart>
    <w:docPart>
      <w:docPartPr>
        <w:name w:val="1C8A38705F7143EA87FF3DEB2C34E7E5"/>
        <w:category>
          <w:name w:val="כללי"/>
          <w:gallery w:val="placeholder"/>
        </w:category>
        <w:types>
          <w:type w:val="bbPlcHdr"/>
        </w:types>
        <w:behaviors>
          <w:behavior w:val="content"/>
        </w:behaviors>
        <w:guid w:val="{1E86C3EA-2CF6-44FF-B9FB-927839DC8693}"/>
      </w:docPartPr>
      <w:docPartBody>
        <w:p w:rsidR="00015B33" w:rsidRDefault="00673B50" w:rsidP="00673B50">
          <w:pPr>
            <w:pStyle w:val="1C8A38705F7143EA87FF3DEB2C34E7E53"/>
          </w:pPr>
          <w:r w:rsidRPr="00CD516B">
            <w:rPr>
              <w:rFonts w:ascii="Arial" w:hAnsi="Arial"/>
              <w:b/>
              <w:bCs/>
              <w:noProof w:val="0"/>
              <w:sz w:val="26"/>
              <w:szCs w:val="26"/>
              <w:rtl/>
            </w:rPr>
            <w:t>שם צד א' ללא שם של חסוי</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673B50" w:rsidP="00673B50">
          <w:pPr>
            <w:pStyle w:val="4DC45A2FD697422FAA3CD896A84FA7B43"/>
          </w:pPr>
          <w:r w:rsidRPr="00CD516B">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TUR">
    <w:charset w:val="00"/>
    <w:family w:val="swiss"/>
    <w:pitch w:val="variable"/>
    <w:sig w:usb0="E0002EFF" w:usb1="C000785B" w:usb2="00000009" w:usb3="00000000" w:csb0="000001FF" w:csb1="00000000"/>
  </w:font>
  <w:font w:name="Arimo">
    <w:altName w:val="Times New Roman"/>
    <w:charset w:val="00"/>
    <w:family w:val="auto"/>
    <w:pitch w:val="default"/>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345C9D"/>
    <w:rsid w:val="0048651F"/>
    <w:rsid w:val="004B017A"/>
    <w:rsid w:val="005157ED"/>
    <w:rsid w:val="00556D67"/>
    <w:rsid w:val="00673B50"/>
    <w:rsid w:val="00793995"/>
    <w:rsid w:val="007C6F98"/>
    <w:rsid w:val="007E254A"/>
    <w:rsid w:val="008B4366"/>
    <w:rsid w:val="009133C7"/>
    <w:rsid w:val="009178E4"/>
    <w:rsid w:val="00961B27"/>
    <w:rsid w:val="009A36E7"/>
    <w:rsid w:val="009D0689"/>
    <w:rsid w:val="00AA7CE3"/>
    <w:rsid w:val="00B50DB2"/>
    <w:rsid w:val="00B72BC2"/>
    <w:rsid w:val="00B91FA3"/>
    <w:rsid w:val="00BE6557"/>
    <w:rsid w:val="00C96C06"/>
    <w:rsid w:val="00D24521"/>
    <w:rsid w:val="00D6580E"/>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D0689"/>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9D068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9181</Words>
  <Characters>45905</Characters>
  <Application>Microsoft Office Word</Application>
  <DocSecurity>4</DocSecurity>
  <Lines>382</Lines>
  <Paragraphs>109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2022-09-28T11:01:00Z</dcterms:created>
  <dcterms:modified xsi:type="dcterms:W3CDTF">2022-09-28T11:01:00Z</dcterms:modified>
</cp:coreProperties>
</file>