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שלומי שניידר</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274E2B" w:rsidRDefault="00D33796">
                <w:pPr>
                  <w:suppressLineNumbers/>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D33796">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D33796">
                  <w:rPr>
                    <w:rFonts w:ascii="Arial" w:hAnsi="Arial" w:hint="cs"/>
                    <w:b/>
                    <w:bCs/>
                    <w:noProof w:val="0"/>
                    <w:sz w:val="26"/>
                    <w:szCs w:val="26"/>
                    <w:rtl/>
                  </w:rPr>
                  <w:t>פלוני</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DE4CAE" w:rsidP="009E461A">
            <w:pPr>
              <w:suppressLineNumbers/>
              <w:rPr>
                <w:rFonts w:ascii="Arial" w:hAnsi="Arial"/>
                <w:b/>
                <w:bCs/>
                <w:noProof w:val="0"/>
                <w:sz w:val="26"/>
                <w:szCs w:val="26"/>
              </w:rPr>
            </w:pPr>
            <w:sdt>
              <w:sdtPr>
                <w:rPr>
                  <w:rtl/>
                </w:rPr>
                <w:alias w:val="1184"/>
                <w:tag w:val="1184"/>
                <w:id w:val="-340621022"/>
                <w:text w:multiLine="1"/>
              </w:sdtPr>
              <w:sdtEndPr/>
              <w:sdtContent>
                <w:r w:rsidR="00D33796">
                  <w:rPr>
                    <w:rFonts w:ascii="Arial" w:hAnsi="Arial" w:hint="cs"/>
                    <w:b/>
                    <w:bCs/>
                    <w:noProof w:val="0"/>
                    <w:sz w:val="26"/>
                    <w:szCs w:val="26"/>
                    <w:rtl/>
                  </w:rPr>
                  <w:t>ה</w:t>
                </w:r>
                <w:r w:rsidR="00D33796">
                  <w:rPr>
                    <w:rFonts w:ascii="Arial" w:hAnsi="Arial"/>
                    <w:b/>
                    <w:bCs/>
                    <w:noProof w:val="0"/>
                    <w:sz w:val="26"/>
                    <w:szCs w:val="26"/>
                    <w:rtl/>
                  </w:rPr>
                  <w:t>נתבע</w:t>
                </w:r>
                <w:r w:rsidR="00D33796">
                  <w:rPr>
                    <w:rFonts w:ascii="Arial" w:hAnsi="Arial" w:hint="cs"/>
                    <w:b/>
                    <w:bCs/>
                    <w:noProof w:val="0"/>
                    <w:sz w:val="26"/>
                    <w:szCs w:val="26"/>
                    <w:rtl/>
                  </w:rPr>
                  <w:t>ת</w:t>
                </w:r>
              </w:sdtContent>
            </w:sdt>
          </w:p>
        </w:tc>
        <w:tc>
          <w:tcPr>
            <w:tcW w:w="5571" w:type="dxa"/>
          </w:tcPr>
          <w:p w:rsidR="00CF6BB7" w:rsidRPr="009E461A" w:rsidRDefault="00D33796" w:rsidP="007C2453">
            <w:pPr>
              <w:suppressLineNumbers/>
              <w:rPr>
                <w:rtl/>
              </w:rPr>
            </w:pPr>
            <w:r>
              <w:rPr>
                <w:rFonts w:ascii="Arial" w:hAnsi="Arial" w:hint="cs"/>
                <w:b/>
                <w:bCs/>
                <w:noProof w:val="0"/>
                <w:sz w:val="26"/>
                <w:szCs w:val="26"/>
                <w:rtl/>
              </w:rPr>
              <w:t>אלמונית</w:t>
            </w:r>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A46717" w:rsidRPr="00272E32" w:rsidRDefault="00DE4CAE"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DE4CAE"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3"/>
          </w:tcPr>
          <w:p w:rsidR="00274E2B" w:rsidRDefault="00274E2B">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D33796" w:rsidRDefault="00D33796" w:rsidP="00D33796">
      <w:pPr>
        <w:pStyle w:val="ad"/>
        <w:numPr>
          <w:ilvl w:val="0"/>
          <w:numId w:val="1"/>
        </w:numPr>
        <w:spacing w:before="240" w:after="240" w:line="360" w:lineRule="auto"/>
        <w:contextualSpacing w:val="0"/>
        <w:jc w:val="both"/>
        <w:rPr>
          <w:rFonts w:ascii="David" w:hAnsi="David"/>
        </w:rPr>
      </w:pPr>
      <w:bookmarkStart w:id="1" w:name="NGCSBookmark"/>
      <w:bookmarkEnd w:id="1"/>
      <w:r>
        <w:rPr>
          <w:rtl/>
        </w:rPr>
        <w:t xml:space="preserve">במסגרת הליכים המתקיימים בין התובע לבין גרושתו בבית המשפט לענייני משפחה בראשון לציון, הגישה הגרושה חוות דעת מטעמה של הנתבעת. </w:t>
      </w:r>
      <w:r>
        <w:rPr>
          <w:rFonts w:ascii="David" w:hAnsi="David"/>
          <w:rtl/>
        </w:rPr>
        <w:t>התובע טוען כי במסגרת חוות הדעת, שעסקה בעיקר ביחסים בינו לבין ילדיו, הנתבעת השמיצה אותו באופן חמור והעלילה עליו עלילות חסרות בסיס. התובע טוען עוד כי הנתבעת כלל לא טרחה להיפגש עמו לפני שכתבה את חוות הדעת וחתמה עליה, וכי מדובר למעשה בחוות דעת מוזמנת שמטרתה לשרת את הגרושה שחפצה להרחיק את התובע מילדיהם.</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כשלושה חודשים לאחר הגשת חוות הדעת, הגיש התובע נגד הנתבעת תובענה כספית במסגרת ההליך שבפנינו. בתביעתו טוען התובע כי בגין הגשת חוות הדעת, קמות לו נגד הנתבעת עילות תביעה מכוח חוק איסור לשון הרע, תשכ"ה-1965 (להלן: "</w:t>
      </w:r>
      <w:r>
        <w:rPr>
          <w:rFonts w:ascii="David" w:hAnsi="David"/>
          <w:b/>
          <w:bCs/>
          <w:rtl/>
        </w:rPr>
        <w:t>החוק</w:t>
      </w:r>
      <w:r>
        <w:rPr>
          <w:rFonts w:ascii="David" w:hAnsi="David"/>
          <w:rtl/>
        </w:rPr>
        <w:t>" או "</w:t>
      </w:r>
      <w:r>
        <w:rPr>
          <w:rFonts w:ascii="David" w:hAnsi="David"/>
          <w:b/>
          <w:bCs/>
          <w:rtl/>
        </w:rPr>
        <w:t>חוק איסור לשון הרע</w:t>
      </w:r>
      <w:r>
        <w:rPr>
          <w:rFonts w:ascii="David" w:hAnsi="David"/>
          <w:rtl/>
        </w:rPr>
        <w:t xml:space="preserve">") ומכוח עוולות הרשלנות, התרמית והשקר המפגיע הקבועות בסעיפים 35, 56 ו-58 לפקודת הנזיקין [נוסח חדש].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בקדם המשפט שהתקיים בתיק ביום 18.9.2023, ביקשתי מהצדדים להתייחס לשאלה אם לתובע קיימת בכלל זכות להגיש נגד הנתבעת תביעה בגין חוות דעת שניתנה על ידה במסגרת הליך משפטי, או שמא יש לסלק את התביעה על הסף לאור הוראת החסינות הקבועה בסעיף 13(5) לחוק איסור לשון הרע ולאור האמור בפסק הדין בת.א. (מחוזי מרכז) 20528-01-12 </w:t>
      </w:r>
      <w:r>
        <w:rPr>
          <w:rFonts w:ascii="David" w:hAnsi="David"/>
          <w:b/>
          <w:bCs/>
          <w:rtl/>
        </w:rPr>
        <w:t>דניאל הרפז נ' מרחב (מ.נ.פ) בע"מ</w:t>
      </w:r>
      <w:r>
        <w:rPr>
          <w:rFonts w:ascii="David" w:hAnsi="David"/>
          <w:rtl/>
        </w:rPr>
        <w:t xml:space="preserve"> (נבו, 27.4.2012; להלן: "</w:t>
      </w:r>
      <w:r>
        <w:rPr>
          <w:rFonts w:ascii="David" w:hAnsi="David"/>
          <w:b/>
          <w:bCs/>
          <w:rtl/>
        </w:rPr>
        <w:t>עניין הרפז</w:t>
      </w:r>
      <w:r>
        <w:rPr>
          <w:rFonts w:ascii="David" w:hAnsi="David"/>
          <w:rtl/>
        </w:rPr>
        <w:t>"). בסיום הדיון ביקשתי מהצדדים להתייחס לסוגיה זו גם בכתב, והודעתי כי אני שוקל לעשות שימוש בענייננו בסמכותי לסלק את התביעה על הסף.</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lastRenderedPageBreak/>
        <w:t>הצדדים הגישו את התייחסויותיהם בכתב בהתאם להחלטתי, וכעת הגיעה העת להכריע בעניין.</w:t>
      </w:r>
    </w:p>
    <w:p w:rsidR="00D33796" w:rsidRDefault="00D33796" w:rsidP="00D33796">
      <w:pPr>
        <w:spacing w:before="240" w:after="240" w:line="360" w:lineRule="auto"/>
        <w:jc w:val="both"/>
        <w:rPr>
          <w:rFonts w:ascii="David" w:hAnsi="David"/>
          <w:b/>
          <w:bCs/>
          <w:u w:val="single"/>
        </w:rPr>
      </w:pPr>
      <w:r>
        <w:rPr>
          <w:rFonts w:ascii="David" w:hAnsi="David"/>
          <w:b/>
          <w:bCs/>
          <w:u w:val="single"/>
          <w:rtl/>
        </w:rPr>
        <w:t>סעיף 13(5) לחוק איסור לשון הרע ופסק הדין בעניין הרפז</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בסעיף 13 לחוק איסור לשון הרע, שכותרתו - "</w:t>
      </w:r>
      <w:r>
        <w:rPr>
          <w:rFonts w:ascii="David" w:hAnsi="David"/>
          <w:b/>
          <w:bCs/>
          <w:rtl/>
        </w:rPr>
        <w:t>פרסומים מותרים</w:t>
      </w:r>
      <w:r>
        <w:rPr>
          <w:rFonts w:ascii="David" w:hAnsi="David"/>
          <w:rtl/>
        </w:rPr>
        <w:t>", מנה המחוקק 11 סוגי פרסומים, כאשר ברישא לסעיף נקבע כי פרסום הנמנה עם אחד מאותם סוגי פרסומים  – "</w:t>
      </w:r>
      <w:r>
        <w:rPr>
          <w:rFonts w:ascii="David" w:hAnsi="David"/>
          <w:b/>
          <w:bCs/>
          <w:rtl/>
        </w:rPr>
        <w:t>לא ישמש עילה למשפט פלילי או אזרחי</w:t>
      </w:r>
      <w:r>
        <w:rPr>
          <w:rFonts w:ascii="David" w:hAnsi="David"/>
          <w:rtl/>
        </w:rPr>
        <w:t xml:space="preserve">". ודוק: בסעיף לא נאמר כי הפרסומים האמורים לא יהוו עילה לתביעה על פי חוק איסור לשון הרע בלבד, אלא כי הם לא יהוו עילה למשפט פלילי או אזרחי </w:t>
      </w:r>
      <w:r>
        <w:rPr>
          <w:rFonts w:ascii="David" w:hAnsi="David"/>
          <w:b/>
          <w:bCs/>
          <w:u w:val="single"/>
          <w:rtl/>
        </w:rPr>
        <w:t>בכלל</w:t>
      </w:r>
      <w:r>
        <w:rPr>
          <w:rFonts w:ascii="David" w:hAnsi="David"/>
          <w:rtl/>
        </w:rPr>
        <w:t xml:space="preserve">; וברור למדי כי המחוקק בחר כאן במודע בלשון כוללנית, שמטרתה לחסן את הפרסומים המנויים בסעיף </w:t>
      </w:r>
      <w:r>
        <w:rPr>
          <w:rFonts w:ascii="David" w:hAnsi="David"/>
          <w:b/>
          <w:bCs/>
          <w:u w:val="single"/>
          <w:rtl/>
        </w:rPr>
        <w:t>לחלוטין</w:t>
      </w:r>
      <w:r>
        <w:rPr>
          <w:rFonts w:ascii="David" w:hAnsi="David"/>
          <w:rtl/>
        </w:rPr>
        <w:t xml:space="preserve"> מפני הליכים פליליים ואזרחיים.</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בסעיף 13(5) לחוק, כלל המחוקק ברשימת הפרסומים המותרים גם פרסומים שנעשו במסגרת הליכים משפטיים:</w:t>
      </w:r>
    </w:p>
    <w:p w:rsidR="00D33796" w:rsidRDefault="00D33796" w:rsidP="00D33796">
      <w:pPr>
        <w:pStyle w:val="ad"/>
        <w:spacing w:before="240" w:after="240" w:line="360" w:lineRule="auto"/>
        <w:ind w:left="1440" w:right="567"/>
        <w:contextualSpacing w:val="0"/>
        <w:jc w:val="both"/>
        <w:rPr>
          <w:rFonts w:ascii="David" w:hAnsi="David"/>
        </w:rPr>
      </w:pPr>
      <w:r>
        <w:rPr>
          <w:rFonts w:ascii="David" w:hAnsi="David"/>
          <w:rtl/>
        </w:rPr>
        <w:t>"</w:t>
      </w:r>
      <w:r>
        <w:rPr>
          <w:rFonts w:ascii="David" w:hAnsi="David"/>
          <w:b/>
          <w:bCs/>
          <w:rtl/>
        </w:rPr>
        <w:t xml:space="preserve">פרסום על ידי שופט, חבר של בית דין דתי, בורר, או אדם אחר בעל סמכות שיפוטית או מעין-שיפוטית על פי דין, שנעשה תוך דיון בפניהם, או בהחלטתם, או </w:t>
      </w:r>
      <w:r>
        <w:rPr>
          <w:rFonts w:ascii="David" w:hAnsi="David"/>
          <w:b/>
          <w:bCs/>
          <w:u w:val="single"/>
          <w:rtl/>
        </w:rPr>
        <w:t>פרסום על ידי</w:t>
      </w:r>
      <w:r>
        <w:rPr>
          <w:rFonts w:ascii="David" w:hAnsi="David"/>
          <w:b/>
          <w:bCs/>
          <w:rtl/>
        </w:rPr>
        <w:t xml:space="preserve"> בעל דין, בא כוחו של בעל דין או </w:t>
      </w:r>
      <w:r>
        <w:rPr>
          <w:rFonts w:ascii="David" w:hAnsi="David"/>
          <w:b/>
          <w:bCs/>
          <w:u w:val="single"/>
          <w:rtl/>
        </w:rPr>
        <w:t>עד</w:t>
      </w:r>
      <w:r>
        <w:rPr>
          <w:rFonts w:ascii="David" w:hAnsi="David"/>
          <w:b/>
          <w:bCs/>
          <w:rtl/>
        </w:rPr>
        <w:t xml:space="preserve">, </w:t>
      </w:r>
      <w:r>
        <w:rPr>
          <w:rFonts w:ascii="David" w:hAnsi="David"/>
          <w:b/>
          <w:bCs/>
          <w:u w:val="single"/>
          <w:rtl/>
        </w:rPr>
        <w:t>שנעשה תוך כדי דיון כאמור</w:t>
      </w:r>
      <w:r>
        <w:rPr>
          <w:rFonts w:ascii="David" w:hAnsi="David"/>
          <w:rtl/>
        </w:rPr>
        <w:t>".</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המסקנה הפשוטה העולה מנוסח הסעיף, היא </w:t>
      </w:r>
      <w:r>
        <w:rPr>
          <w:rFonts w:ascii="David" w:hAnsi="David"/>
          <w:b/>
          <w:bCs/>
          <w:rtl/>
        </w:rPr>
        <w:t xml:space="preserve">שהוא חל גם על חוות דעת או על עדות בכתב של עד בהליך משפטי, כך שאלו מהווות את אחד מסוגי הפרסומים המותרים, </w:t>
      </w:r>
      <w:r>
        <w:rPr>
          <w:rFonts w:ascii="David" w:hAnsi="David"/>
          <w:b/>
          <w:bCs/>
          <w:u w:val="single"/>
          <w:rtl/>
        </w:rPr>
        <w:t>שבהגדרה אינם יכולים לשמש עילה להליך פלילי או אזרחי</w:t>
      </w:r>
      <w:r>
        <w:rPr>
          <w:rFonts w:ascii="David" w:hAnsi="David"/>
          <w:rtl/>
        </w:rPr>
        <w:t>.</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בפסק הדין של בית המשפט העליון ברע"א 1104/07 </w:t>
      </w:r>
      <w:r>
        <w:rPr>
          <w:rFonts w:ascii="David" w:hAnsi="David"/>
          <w:b/>
          <w:bCs/>
          <w:rtl/>
        </w:rPr>
        <w:t>עו"ד פואד חיר נ' עו"ד עודד גיל</w:t>
      </w:r>
      <w:r>
        <w:rPr>
          <w:rFonts w:ascii="David" w:hAnsi="David"/>
          <w:rtl/>
        </w:rPr>
        <w:t xml:space="preserve"> (נבו, 19.8.2009; להלן: "</w:t>
      </w:r>
      <w:r>
        <w:rPr>
          <w:rFonts w:ascii="David" w:hAnsi="David"/>
          <w:b/>
          <w:bCs/>
          <w:rtl/>
        </w:rPr>
        <w:t>עניין גיל</w:t>
      </w:r>
      <w:r>
        <w:rPr>
          <w:rFonts w:ascii="David" w:hAnsi="David"/>
          <w:rtl/>
        </w:rPr>
        <w:t xml:space="preserve">"), נקבעה בדעת רוב ההלכה לפיה </w:t>
      </w:r>
      <w:r>
        <w:rPr>
          <w:rFonts w:ascii="David" w:hAnsi="David"/>
          <w:b/>
          <w:bCs/>
          <w:rtl/>
        </w:rPr>
        <w:t>החסינות הקבועה בסעיף 13(5) לחוק היא חסינות מוחלטת</w:t>
      </w:r>
      <w:r>
        <w:rPr>
          <w:rFonts w:ascii="David" w:hAnsi="David"/>
          <w:rtl/>
        </w:rPr>
        <w:t>, ואין לקרוא לתוכה סייגים כאלה ואחרים על דרך של פרשנות פסיקתית.</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בהמשך לכך, בפסק הדין בעניין הרפז, </w:t>
      </w:r>
      <w:r>
        <w:rPr>
          <w:rFonts w:ascii="David" w:hAnsi="David"/>
          <w:b/>
          <w:bCs/>
          <w:rtl/>
        </w:rPr>
        <w:t>נדונה שאלה שהיא למעשה זהה לשאלה המתעוררת בענייננו</w:t>
      </w:r>
      <w:r>
        <w:rPr>
          <w:rFonts w:ascii="David" w:hAnsi="David"/>
          <w:rtl/>
        </w:rPr>
        <w:t>. באותו עניין הגישו התובעים נגד הנתבע תובענה בגין חוות דעת מומחה אותה הגיש בהליך משפטי אחר, כאשר תביעתם הסתמכה על עוולת הרשלנות; ובית המשפט (כבוד השופט יחזקאל קינר) נדרש להכריע בשאלה האם יש לדחות על הסף את התביעה לאור הוראת סעיף 13(5) לחוק איסור לשון הרע, למרות שהתביעה נסמכת כאמור על עוולת הרשלנות ולא על עילה מכוח חוק איסור לשון הרע.</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lastRenderedPageBreak/>
        <w:t xml:space="preserve">מסקנת בית המשפט בעניין הרפז הייתה </w:t>
      </w:r>
      <w:r>
        <w:rPr>
          <w:rFonts w:ascii="David" w:hAnsi="David"/>
          <w:b/>
          <w:bCs/>
          <w:rtl/>
        </w:rPr>
        <w:t>שאכן יש לדחות במקרים כאלה את התביעה על הסף</w:t>
      </w:r>
      <w:r>
        <w:rPr>
          <w:rFonts w:ascii="David" w:hAnsi="David"/>
          <w:rtl/>
        </w:rPr>
        <w:t xml:space="preserve">, שכן לא ניתן לעקוף את החסינות המוחלטת שנקבעה בסעיף 13(5) לחוק ובפסק הדין בעניין גיל, באמצעות הגשת תביעה על בסיס עילה אחרת; ומסקירת הפסיקה עולה כי אכן בתי המשפט אינם מאפשרים לבצע מעקף שכזה (סעיפים 15-16 ו-20 לפסק הדין).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בית המשפט ציין עוד כי הרציונל העומד בבסיס החסינות המוחלטת שנקבעה בעניין גיל, בדבר הצורך לאפשר למעורבים בהליך המשפטי להשתתף בו בלי חשש מפני תביעות, חל כמובן גם כשמדובר בעילות תביעה חלופיות, שכן ממילא כמעט כל תביעת לשון הרע שכזו טומנת בחובה גם עילות תביעה חלופיות מכוח עוולת הרשלנות או השקר המפגיע; ואם נאפשר הגשת תביעות בעילות חלופיות, נמצא עצמנו מרוקנים מתוכן את החסינות אותה ביקש המחוקק להקנות לפרסומים שנעשים במסגרת ההליך המשפטי (סעיפים 25-28 לפסק הדין בעניין הרפז).</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מאז שניתן פסק הדין בעניין הרפז, השורה התחתונה שלו לפיה יש לדחות על הסף ניסיונות לעקוף את הוראת החסינות הקבועה בסעיף 13(5) לחוק איסור לשון הרע, באמצעות הגשת תביעות בעילות חלופיות – צוטטה בהסכמה בפסקי דין רבים; כך שלא יכולה להיות מחלוקת כי הקביעה בעניין הרפז משקפת את הדין הנוהג בענייננו.</w:t>
      </w:r>
    </w:p>
    <w:p w:rsidR="00D33796" w:rsidRDefault="00D33796" w:rsidP="00D33796">
      <w:pPr>
        <w:spacing w:before="240" w:after="240" w:line="360" w:lineRule="auto"/>
        <w:jc w:val="both"/>
        <w:rPr>
          <w:rFonts w:ascii="David" w:hAnsi="David"/>
          <w:b/>
          <w:bCs/>
          <w:u w:val="single"/>
        </w:rPr>
      </w:pPr>
      <w:r>
        <w:rPr>
          <w:rFonts w:ascii="David" w:hAnsi="David"/>
          <w:b/>
          <w:bCs/>
          <w:u w:val="single"/>
          <w:rtl/>
        </w:rPr>
        <w:t>טענות התובע במסגרת ההתייחסות שהוגשה מטעמו</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ראינו כי בהתאם לאמור בפסק הדין בעניין הרפז – דינה של תובענה מן הסוג שהגיש התובע להידחות על הסף, שכן מדובר בתביעה בעניינה של חוות דעת שהוגשה במסגרת הליך משפטי, והעובדה שהתביעה הוגשה גם מכוח עילות חלופיות שאינן על פי חוק איסור לשון הרע – אינה רלוונטית ואינה יכולה לסייע לתובע.</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במסגרת התייחסותו מיום 27.10.2024 שהוגשה בעניין זה (להלן: "</w:t>
      </w:r>
      <w:r>
        <w:rPr>
          <w:rFonts w:ascii="David" w:hAnsi="David"/>
          <w:b/>
          <w:bCs/>
          <w:rtl/>
        </w:rPr>
        <w:t>התייחסות התובע</w:t>
      </w:r>
      <w:r>
        <w:rPr>
          <w:rFonts w:ascii="David" w:hAnsi="David"/>
          <w:rtl/>
        </w:rPr>
        <w:t xml:space="preserve">"), התובע לא ניסה להעלות טיעון כלשהו שהתייחס לפסק הדין בעניין הרפז עצמו. חלף כך, בחר התובע לסמוך את טיעוניו על פסיקה אחרת.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אקדים ואומר כי לא מצאתי בטיעוני התובע או בפסיקה שהביא טענות כלשהן שיכולות לסייע לו.</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כך למשל, טוען התובע כי לצורך הוכחת תחולת החסינות הקבועה בסעיף 13(5) לחוק, מוטלת על הנתבעת החובה להראות כי חוות הדעת שהוגשה מטעמה במסגרת ההליך בבית המשפט לענייני משפחה – היא חוות דעת שנדרשה על ידי בית המשפט או שיש לה קשר אמיתי להליך, להבדיל מכזו שהוגשה על ידי הנתבעת באופן עצמאי, מבלי לשרת את ההליך </w:t>
      </w:r>
      <w:r>
        <w:rPr>
          <w:rFonts w:ascii="David" w:hAnsi="David"/>
          <w:rtl/>
        </w:rPr>
        <w:lastRenderedPageBreak/>
        <w:t>כלל. אלא שבפסק הדין בעניין גיל נקבע כי החסינות הקבועה בסעיף 13(5) לחוק ביחס לפרסומים שנעשו במסגרת הליך משפטי - היא חסינות מוחלטת, גם במובן זה שלצורך תחולתה לא נדרש בית המשפט לקבוע פוזיטיבית שהפרסום שבוצע במסגרת ההליך אכן היה קשור באופן אמיתי להליך או אכן היה נדרש באמת לצורך ההליך. למסקנה זו הגיע בית המשפט בין היתר על רקע העובדה שדרישה שהייתה קיימת בעבר בסעיף 13 לחוק איסור לשון הרע, לפיה הפרסום ייעשה "</w:t>
      </w:r>
      <w:r>
        <w:rPr>
          <w:rFonts w:ascii="David" w:hAnsi="David"/>
          <w:b/>
          <w:bCs/>
          <w:rtl/>
        </w:rPr>
        <w:t>לצורך הדיון ובקשר אליו</w:t>
      </w:r>
      <w:r>
        <w:rPr>
          <w:rFonts w:ascii="David" w:hAnsi="David"/>
          <w:rtl/>
        </w:rPr>
        <w:t xml:space="preserve">" – היא דרישה שנמחקה במסגרת תיקון מספר 1 לחוק (ראו בעניין גיל את סעיף 10 לפסק דינו של המשנה לנשיאה ריבלין ואת פסק דינו של השופט דנציגר). כך שטענת התובע לפיה על הנתבעת להוכיח כי חוות הדעת אכן הייתה דרושה או קשורה באמת להליך בבית המשפט לענייני משפחה – היא טענה שיש לדחותה, שכן על הנתבעת לא מוטלת חובה על פי דין להראות זאת.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גם ניסיונות התובע להסתמך על אמירות כלליות יותר, שמקורן בפסיקה שניתנה לפני פסק הדין בעניין גיל, לפיהן החסינות הקבועה בסעיף 13(5) לחוק אינה מוחלטת, וזו אינה חלה במקרי קיצון כאלה ואחרים – הם  ניסיונות שאינם יכולים לסייע לו. בפסק הדין בעניין גיל נקבע כאמור במפורש שהחסינות הקבועה בסעיף 13(5) היא </w:t>
      </w:r>
      <w:r>
        <w:rPr>
          <w:rFonts w:ascii="David" w:hAnsi="David"/>
          <w:b/>
          <w:bCs/>
          <w:u w:val="single"/>
          <w:rtl/>
        </w:rPr>
        <w:t>חסינות מוחלטת</w:t>
      </w:r>
      <w:r>
        <w:rPr>
          <w:rFonts w:ascii="David" w:hAnsi="David"/>
          <w:rtl/>
        </w:rPr>
        <w:t xml:space="preserve"> ולא ניתן לקרוא לתוכה חריגים שאינם מנויים בהוראת סעיף 13(5) לחוק; כך שניסיון התובע להסתמך על אמירות שונות בפסיקה ישנה – הוא ניסיון חסר תוחלת (בהקשר זה אציין למשל את ניסיונו של התובע להסתמך על פסק הדין בע"פ (מחוזי ת"א) 546/92 </w:t>
      </w:r>
      <w:r>
        <w:rPr>
          <w:rFonts w:ascii="David" w:hAnsi="David"/>
          <w:b/>
          <w:bCs/>
          <w:rtl/>
        </w:rPr>
        <w:t>רם דורון נ' טליה טריינין-גורן</w:t>
      </w:r>
      <w:r>
        <w:rPr>
          <w:rFonts w:ascii="David" w:hAnsi="David"/>
          <w:rtl/>
        </w:rPr>
        <w:t>, פ"מ תשנ"ד(1) 441, למרות שזה אוזכר במפורש בסעיף 9 לפסק דינו של המשנה לנשיאה ריבלין בעניין גיל, כאחד מפסקי הדין שאת הגישה שהותוותה בהם שללה דעת הרוב בפסק הדין בעניין גיל).</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גם ניסיונו של התובע להסתמך על פסק הדין בת"א (ראשל"צ) 21219-11-19 </w:t>
      </w:r>
      <w:r>
        <w:rPr>
          <w:rFonts w:ascii="David" w:hAnsi="David"/>
          <w:b/>
          <w:bCs/>
          <w:rtl/>
        </w:rPr>
        <w:t xml:space="preserve">אילן בוכניק נ' סוניה דבש </w:t>
      </w:r>
      <w:r>
        <w:rPr>
          <w:rFonts w:ascii="David" w:hAnsi="David"/>
          <w:rtl/>
        </w:rPr>
        <w:t>(נבו, 10.11.2022) אינו יכול לסייע לו. באותו עניין דובר על מכתב התראה לפני נקיטה בהליכים משפטיים, שנקבע כי במקרה הרגיל חלה עליו החסינות הקבועה בסעיף 13(5) לחוק. אלא שבאותו מקרה, הנתבעת פרסמה את המכתב ברשתות החברתיות ובית המשפט קבע כי בשל כך איבד מכתב ההתראה את חסינותו. בענייננו, נזכיר, לא רק שמדובר בחוות דעת שהוגשה לבית המשפט, להבדיל ממכתב התראה, אלא שאין טענה כי זו פורסמה על ידי הנתבעת במקום אחר.</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התובע מנסה להסתמך גם על פסק הדין בה"מ (מחוזי ת"א) 8652/77 </w:t>
      </w:r>
      <w:r>
        <w:rPr>
          <w:rFonts w:ascii="David" w:hAnsi="David"/>
          <w:b/>
          <w:bCs/>
          <w:rtl/>
        </w:rPr>
        <w:t>אוגניה הלר נ' צבי שיאוביץ</w:t>
      </w:r>
      <w:r>
        <w:rPr>
          <w:rFonts w:ascii="David" w:hAnsi="David"/>
          <w:rtl/>
        </w:rPr>
        <w:t xml:space="preserve"> (נבו, 27.2.1978), ממנו הוא מבקש ללמוד כי כאשר דובר על תלונה ללשכת עורכי הדין שנקבע שאין בה דבר – הרי שזו לא זכתה להגנת סעיף 13(5) לחוק. אלא שעיון בפסק הדין מגלה כי הטענה בדבר תחולת החסינות מכוח סעיף 13(5) לחוק, נדחתה באותו עניין מכיוון שנקבע בו שלהבדיל מפרסום שנעשה במסגרת דיון בבית הדין המשמעתי, הרי </w:t>
      </w:r>
      <w:r>
        <w:rPr>
          <w:rFonts w:ascii="David" w:hAnsi="David"/>
          <w:rtl/>
        </w:rPr>
        <w:lastRenderedPageBreak/>
        <w:t>שהגשת תלונה לקובל של לשכת עורכי הדין – אינה מהווה פרסום שנעשה במסגרת דיון שיפוטי או מעין שיפוטי, שהחסינות הקבועה בסעיף 13(5) חלה עליו. בקביעה זו אין כמובן שום דבר רלוונטי לענייננו.</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גם פסק הדין בע"א 211/82 </w:t>
      </w:r>
      <w:r>
        <w:rPr>
          <w:rFonts w:ascii="David" w:hAnsi="David"/>
          <w:b/>
          <w:bCs/>
          <w:rtl/>
        </w:rPr>
        <w:t>לאה ננס נ' ד"ר סוזי פלורו</w:t>
      </w:r>
      <w:r>
        <w:rPr>
          <w:rFonts w:ascii="David" w:hAnsi="David"/>
          <w:rtl/>
        </w:rPr>
        <w:t xml:space="preserve"> פ"ד מ(1) 210, עליו מסתמך התובע – אינו רלוונטי לענייננו. באותו עניין טענה הנתבעת כי הפרסומים שפרסמה היו כאלה שהייתה חייבת לעשות על פי דין או רשאית לעשותם על פי הוראה של רשות מוסמכת, ועל כן חלה בעניינם החסינות הקבועה בסעיף 13(9) לחוק. אלא שבית המשפט העליון קבע כי החסינות אינה חלה, שכן הפרסומים לא נעשו על ידי הנתבעת במסגרת רשמית כנדרש. פשיטא, כי אין בפסק הדין דבר שיכול לסייע לתובע.</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הדברים נכונים גם ביחס למספר פסקי דין בהם מנסה התובע להיעזר במסגרת התייחסותו, שעניינם במקרים הנדירים בהם יכול אדם לתבוע בעל דין שנקט נגדו בהליכי סרק אשר גרמו לו לנזקים או באפשרות שנבחנה בפסיקה להגשת תביעה נגד מומחה מטעם בית המשפט בגין נזקים שנגרמו לאחד מבעלי הדין במסגרת ההליך המשפטי, כתוצאה מההסתמכות על חוות דעתו הרשלנית.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מבלי להיכנס למורכבויות השונות הטמונות בתביעות שכאלה, ולשאלת האפשרות להגישן בכלל, הרי שתביעתו של התובע בענייננו היא ממילא איננה תביעה שבמסגרתה הוא עותר לפיצוי מגרושתו בגין הליך סרק בו נקטה נגדו או בגין חוסר תום לב דיוני כבד שגרם לו לנזק במסגרת ההליכים בבית המשפט לענייני משפחה. תביעתו של התובע היא גם לא לנזק שגרמה לו הנתבעת במסגרת ההליכים בבית המשפט לענייני משפחה, כתוצאה מחוות הדעת שהוגשה מטעמה. התובע גם אינו טוען דבר על כך שחוות הדעת שהוגשה הֵרֵעָה בפועל את מצבו המשפטי בהליך בבית המשפט לענייני משפחה.</w:t>
      </w:r>
      <w:r>
        <w:rPr>
          <w:rFonts w:ascii="David" w:hAnsi="David"/>
          <w:b/>
          <w:bCs/>
          <w:rtl/>
        </w:rPr>
        <w:t xml:space="preserve"> ודוק</w:t>
      </w:r>
      <w:r>
        <w:rPr>
          <w:rFonts w:ascii="David" w:hAnsi="David"/>
          <w:rtl/>
        </w:rPr>
        <w:t>: גם במסגרת פסק הדין בעניין הרפז, ערך בית המשפט אבחנה בין תביעה כמו זו התביעה שהליך שבפנינו, שעניינה הוא בטענה על כך שחוות דעת שהוגשה בהליך משפטי מהווה פרסום שהשמיץ את התובע, לבין תביעה שעניינה בטענה על כך שחוות דעת שהוגשה בהליך משפטי הביאה למתן פסק דין שגרם לתובע נזק; כאשר בית המשפט קבע שמדובר בשני נושאים שונים (סעיף 19 לפסק הדין בעניין הרפז).</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לבסוף, התובע גם אינו יכול להסתמך על פסק הדין שניתן ברע"א 6270/14 </w:t>
      </w:r>
      <w:r>
        <w:rPr>
          <w:rFonts w:ascii="David" w:hAnsi="David"/>
          <w:b/>
          <w:bCs/>
          <w:rtl/>
        </w:rPr>
        <w:t>מדינת ישראל – משרד הבריאות נ' שפרה חזן</w:t>
      </w:r>
      <w:r>
        <w:rPr>
          <w:rFonts w:ascii="David" w:hAnsi="David"/>
          <w:rtl/>
        </w:rPr>
        <w:t xml:space="preserve"> (נבו, 24.11.2014), ועל פסק הדין של בית המשפט המחוזי באותו עניין. באותו הליך דחה בית המשפט ברובה את הבקשה לדחייה על הסף של התביעה. הבקשה הסתמכה על הטענה לפיה מדובר בפרסומים החוסים תחת החסינות הקבועה בסעיפים 13(9) ו-13(11) לחוק איסור לשון הרע. בית המשפט העליון בפסק דינו </w:t>
      </w:r>
      <w:r>
        <w:rPr>
          <w:rFonts w:ascii="David" w:hAnsi="David"/>
          <w:rtl/>
        </w:rPr>
        <w:lastRenderedPageBreak/>
        <w:t>קבע כי "</w:t>
      </w:r>
      <w:r>
        <w:rPr>
          <w:rFonts w:ascii="David" w:hAnsi="David"/>
          <w:b/>
          <w:bCs/>
          <w:rtl/>
        </w:rPr>
        <w:t>בתביעת המשיבות מיוחסת למבקשים שורה של מעשים ומחדלים שהחלו לפני הפרסום ונמשכו גם לאחריו, ואינם קשורים אליו בקשר ישיר</w:t>
      </w:r>
      <w:r>
        <w:rPr>
          <w:rFonts w:ascii="David" w:hAnsi="David"/>
          <w:rtl/>
        </w:rPr>
        <w:t>" (סעיף 10 לפסק הדין), וכי "</w:t>
      </w:r>
      <w:r>
        <w:rPr>
          <w:rFonts w:ascii="David" w:hAnsi="David"/>
          <w:b/>
          <w:bCs/>
          <w:rtl/>
        </w:rPr>
        <w:t>למעשה מדובר בתביעה בגין רשלנות והפרת חוזה, אשר רק לאחד ממרכיביה יש עיגון נוסף גם בדיני איסור לשון הרע</w:t>
      </w:r>
      <w:r>
        <w:rPr>
          <w:rFonts w:ascii="David" w:hAnsi="David"/>
          <w:rtl/>
        </w:rPr>
        <w:t xml:space="preserve">" (סעיף 7 לפסק הדין); ולאור זאת נקבע כי בצדק נהג בית המשפט המחוזי כאשר דחה על הסף רק את עילות התביעה הקשורות בפרסומים בלבד. </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 xml:space="preserve">להבדיל מהסכסוך באותו עניין, התביעה בענייננו היא תביעה שכל עניינה הוא בפרסום שביצעה הנתבעת במסגרת ההליכים המשפטיים בין התובע לבין גרושתו בבית המשפט לענייני משפחה, בדמות חוות הדעת שהוגשה מטעמה. הסתמכותו של התובע על עילות תביעה אחרות (רשלנות, שקר מפגיע ותרמית) נראית ככזו שנועדה לנסות לסייע לו לעקוף את החסינות הקבועה בסעיף 13(5) לחוק איסור לשון הרע (ראו לעניין זה את סעיפים 5 ו-7 לכתב התביעה) ולא לשקף טענות עובדתיות נוספות שיש לו נגד הנתבעת; וממילא התובע אינו מעלה בכתב התביעה בענייננו טענה כלשהי שאינה טענת לשון הרע במהותה, קרי, טענה על כך שמדובר בפרסום שמשמיץ אותו. </w:t>
      </w:r>
    </w:p>
    <w:p w:rsidR="00D33796" w:rsidRDefault="00D33796" w:rsidP="00D33796">
      <w:pPr>
        <w:spacing w:before="240" w:after="240" w:line="360" w:lineRule="auto"/>
        <w:jc w:val="both"/>
        <w:rPr>
          <w:rFonts w:ascii="David" w:hAnsi="David"/>
          <w:b/>
          <w:bCs/>
          <w:u w:val="single"/>
        </w:rPr>
      </w:pPr>
      <w:r>
        <w:rPr>
          <w:rFonts w:ascii="David" w:hAnsi="David"/>
          <w:b/>
          <w:bCs/>
          <w:u w:val="single"/>
          <w:rtl/>
        </w:rPr>
        <w:t>סוף דבר</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לאור הניתוח שהובא לעיל, ולאור הסמכות הנתונה לי מכוח תקנה 63(ב)(16) לתקנות סדר הדין האזרחי, תשע"ט-2018, מצאתי לנכון להורות על דחיית התביעה על הסף; וזאת נוכח תחולתה של החסינות הקבועה בסעיף 13(5) לחוק איסור לשון הרע.</w:t>
      </w:r>
    </w:p>
    <w:p w:rsidR="00D33796" w:rsidRDefault="00D33796" w:rsidP="00D33796">
      <w:pPr>
        <w:pStyle w:val="ad"/>
        <w:numPr>
          <w:ilvl w:val="0"/>
          <w:numId w:val="1"/>
        </w:numPr>
        <w:spacing w:before="240" w:after="240" w:line="360" w:lineRule="auto"/>
        <w:contextualSpacing w:val="0"/>
        <w:jc w:val="both"/>
        <w:rPr>
          <w:rFonts w:ascii="David" w:hAnsi="David"/>
        </w:rPr>
      </w:pPr>
      <w:r>
        <w:rPr>
          <w:rFonts w:ascii="David" w:hAnsi="David"/>
          <w:rtl/>
        </w:rPr>
        <w:t>הנתבעת רשאית להגיש בתוך 14 ימים את טיעוניה בדבר פסיקת ההוצאות בתיק. הטיעונים לא יעלו בהיקפם על שני עמודים והנתבעת תצרף אליהם את כלל אסמכתאותיה הרלוונטיות. התובע ישיב לבקשה בתוך 14 ימים במתכונת דומה.</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כ"א טבת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21 ינואר 2025</w:t>
          </w:r>
        </w:sdtContent>
      </w:sdt>
      <w:r w:rsidR="00005C8B">
        <w:rPr>
          <w:rFonts w:ascii="Arial" w:hAnsi="Arial"/>
          <w:noProof w:val="0"/>
          <w:rtl/>
        </w:rPr>
        <w:t>, בהעדר הצדדים.</w:t>
      </w:r>
    </w:p>
    <w:p w:rsidR="00C43648" w:rsidRDefault="00DE4CAE"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468436950"/>
        </w:sdtPr>
        <w:sdtEndPr/>
        <w:sdtContent>
          <w:r w:rsidR="00D50ED1">
            <w:drawing>
              <wp:inline distT="0" distB="0" distL="0" distR="0" wp14:editId="50D07946">
                <wp:extent cx="140970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409700" cy="9429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CAE" w:rsidRDefault="00DE4CAE">
      <w:r>
        <w:separator/>
      </w:r>
    </w:p>
  </w:endnote>
  <w:endnote w:type="continuationSeparator" w:id="0">
    <w:p w:rsidR="00DE4CAE" w:rsidRDefault="00DE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96" w:rsidRDefault="00D3379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311012">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311012">
      <w:rPr>
        <w:rStyle w:val="ab"/>
        <w:rFonts w:ascii="David" w:hAnsi="David"/>
        <w:rtl/>
      </w:rPr>
      <w:t>6</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96" w:rsidRDefault="00D3379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CAE" w:rsidRDefault="00DE4CAE">
      <w:r>
        <w:separator/>
      </w:r>
    </w:p>
  </w:footnote>
  <w:footnote w:type="continuationSeparator" w:id="0">
    <w:p w:rsidR="00DE4CAE" w:rsidRDefault="00DE4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96" w:rsidRDefault="00D3379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DE4CAE" w:rsidP="00D33796">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2751-10-23</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D33796">
                <w:rPr>
                  <w:rFonts w:hint="cs"/>
                  <w:b/>
                  <w:bCs/>
                  <w:noProof w:val="0"/>
                  <w:sz w:val="26"/>
                  <w:szCs w:val="26"/>
                  <w:rtl/>
                </w:rPr>
                <w:t>פלוני נ' אלמונית</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96" w:rsidRDefault="00D3379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4D0965"/>
    <w:multiLevelType w:val="hybridMultilevel"/>
    <w:tmpl w:val="B7FE202C"/>
    <w:lvl w:ilvl="0" w:tplc="C3702CE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74E2B"/>
    <w:rsid w:val="002C344E"/>
    <w:rsid w:val="002E75E9"/>
    <w:rsid w:val="002F0B1E"/>
    <w:rsid w:val="0030008B"/>
    <w:rsid w:val="00307A6A"/>
    <w:rsid w:val="00307C40"/>
    <w:rsid w:val="00311012"/>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A4E3A"/>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60564"/>
    <w:rsid w:val="00576A86"/>
    <w:rsid w:val="005F4F09"/>
    <w:rsid w:val="00603F73"/>
    <w:rsid w:val="0061431B"/>
    <w:rsid w:val="0062290F"/>
    <w:rsid w:val="00622BAA"/>
    <w:rsid w:val="006306CF"/>
    <w:rsid w:val="00634F51"/>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A77CB"/>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796"/>
    <w:rsid w:val="00D33B86"/>
    <w:rsid w:val="00D44968"/>
    <w:rsid w:val="00D50ED1"/>
    <w:rsid w:val="00D53924"/>
    <w:rsid w:val="00D55D0C"/>
    <w:rsid w:val="00D96D8C"/>
    <w:rsid w:val="00DA2495"/>
    <w:rsid w:val="00DA6649"/>
    <w:rsid w:val="00DC1259"/>
    <w:rsid w:val="00DC1BD2"/>
    <w:rsid w:val="00DC2571"/>
    <w:rsid w:val="00DC487C"/>
    <w:rsid w:val="00DD05A8"/>
    <w:rsid w:val="00DD4335"/>
    <w:rsid w:val="00DE1E7D"/>
    <w:rsid w:val="00DE4CAE"/>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33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29349148">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6377AB" w:rsidP="006377AB">
          <w:pPr>
            <w:pStyle w:val="D0835A28627A476594973290286577B23"/>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6377AB" w:rsidP="006377AB">
          <w:pPr>
            <w:pStyle w:val="C0D9D4EB038F4D9DB24B5A2B7A8F2E7B3"/>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92C98"/>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C274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 w:type="paragraph" w:customStyle="1" w:styleId="480B8519A6134F7CB0C6E1CC0681C95B">
    <w:name w:val="480B8519A6134F7CB0C6E1CC0681C95B"/>
    <w:rsid w:val="00CC2746"/>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1842</Words>
  <Characters>9211</Characters>
  <Application>Microsoft Office Word</Application>
  <DocSecurity>0</DocSecurity>
  <Lines>76</Lines>
  <Paragraphs>22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2025-01-26T09:07:00Z</dcterms:created>
  <dcterms:modified xsi:type="dcterms:W3CDTF">2025-01-26T09:07:00Z</dcterms:modified>
</cp:coreProperties>
</file>