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8A59EE" w:rsidRDefault="0094424E" w:rsidP="00D44968">
            <w:pPr>
              <w:suppressLineNumbers/>
              <w:jc w:val="both"/>
              <w:rPr>
                <w:rFonts w:ascii="Arial" w:hAnsi="Arial"/>
                <w:b/>
                <w:bCs/>
                <w:sz w:val="26"/>
                <w:szCs w:val="26"/>
                <w:rtl/>
              </w:rPr>
            </w:pPr>
            <w:r w:rsidRPr="008A59EE">
              <w:rPr>
                <w:rFonts w:ascii="Arial" w:hAnsi="Arial" w:hint="cs"/>
                <w:b/>
                <w:bCs/>
                <w:sz w:val="26"/>
                <w:szCs w:val="26"/>
                <w:rtl/>
              </w:rPr>
              <w:t>ב</w:t>
            </w:r>
            <w:r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אמיר ויצנבליט</w:t>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sdt>
            <w:sdtPr>
              <w:rPr>
                <w:rtl/>
              </w:rPr>
              <w:alias w:val="1180"/>
              <w:tag w:val="1180"/>
              <w:id w:val="637458750"/>
              <w:text w:multiLine="1"/>
            </w:sdtPr>
            <w:sdtEndPr/>
            <w:sdtContent>
              <w:p w:rsidR="003A31EC" w:rsidRDefault="00FB380F" w:rsidP="00FB380F">
                <w:pPr>
                  <w:suppressLineNumbers/>
                  <w:rPr>
                    <w:rFonts w:ascii="Arial" w:hAnsi="Arial"/>
                    <w:b/>
                    <w:bCs/>
                    <w:noProof w:val="0"/>
                    <w:sz w:val="26"/>
                    <w:szCs w:val="26"/>
                    <w:rtl/>
                  </w:rPr>
                </w:pPr>
                <w:r>
                  <w:rPr>
                    <w:rFonts w:ascii="Arial" w:hAnsi="Arial" w:hint="cs"/>
                    <w:b/>
                    <w:bCs/>
                    <w:noProof w:val="0"/>
                    <w:sz w:val="26"/>
                    <w:szCs w:val="26"/>
                    <w:rtl/>
                  </w:rPr>
                  <w:t>התובעת</w:t>
                </w:r>
              </w:p>
            </w:sdtContent>
          </w:sdt>
        </w:tc>
        <w:tc>
          <w:tcPr>
            <w:tcW w:w="5571" w:type="dxa"/>
          </w:tcPr>
          <w:p w:rsidR="0094424E" w:rsidRDefault="00E84F44" w:rsidP="00FB380F">
            <w:pPr>
              <w:suppressLineNumbers/>
              <w:rPr>
                <w:b/>
                <w:bCs/>
                <w:noProof w:val="0"/>
                <w:sz w:val="26"/>
                <w:szCs w:val="26"/>
              </w:rPr>
            </w:pPr>
            <w:r>
              <w:rPr>
                <w:rFonts w:ascii="Arial" w:hAnsi="Arial" w:hint="cs"/>
                <w:b/>
                <w:bCs/>
                <w:noProof w:val="0"/>
                <w:sz w:val="26"/>
                <w:szCs w:val="26"/>
                <w:rtl/>
              </w:rPr>
              <w:t>פלונית</w:t>
            </w:r>
            <w:r w:rsidR="000346CC">
              <w:rPr>
                <w:rFonts w:ascii="Arial" w:hAnsi="Arial" w:hint="cs"/>
                <w:b/>
                <w:bCs/>
                <w:noProof w:val="0"/>
                <w:sz w:val="26"/>
                <w:szCs w:val="26"/>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C33C9A" w:rsidP="00FB380F">
            <w:pPr>
              <w:suppressLineNumbers/>
              <w:rPr>
                <w:rFonts w:ascii="Arial" w:hAnsi="Arial"/>
                <w:b/>
                <w:bCs/>
                <w:noProof w:val="0"/>
                <w:sz w:val="26"/>
                <w:szCs w:val="26"/>
              </w:rPr>
            </w:pPr>
            <w:sdt>
              <w:sdtPr>
                <w:rPr>
                  <w:rtl/>
                </w:rPr>
                <w:alias w:val="1184"/>
                <w:tag w:val="1184"/>
                <w:id w:val="-340621022"/>
                <w:text w:multiLine="1"/>
              </w:sdtPr>
              <w:sdtEndPr/>
              <w:sdtContent>
                <w:r w:rsidR="00FB380F">
                  <w:rPr>
                    <w:rFonts w:ascii="Arial" w:hAnsi="Arial" w:hint="cs"/>
                    <w:b/>
                    <w:bCs/>
                    <w:noProof w:val="0"/>
                    <w:sz w:val="26"/>
                    <w:szCs w:val="26"/>
                    <w:rtl/>
                  </w:rPr>
                  <w:t>הנתבע</w:t>
                </w:r>
              </w:sdtContent>
            </w:sdt>
          </w:p>
        </w:tc>
        <w:tc>
          <w:tcPr>
            <w:tcW w:w="5571" w:type="dxa"/>
          </w:tcPr>
          <w:p w:rsidR="00CF6BB7" w:rsidRPr="00CD516B" w:rsidRDefault="00C33C9A" w:rsidP="00E84F44">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4DC45A2FD697422FAA3CD896A84FA7B4"/>
                </w:placeholder>
                <w:text w:multiLine="1"/>
              </w:sdtPr>
              <w:sdtEndPr/>
              <w:sdtContent>
                <w:r w:rsidR="00E84F44">
                  <w:rPr>
                    <w:rFonts w:ascii="Arial" w:hAnsi="Arial" w:hint="cs"/>
                    <w:b/>
                    <w:bCs/>
                    <w:noProof w:val="0"/>
                    <w:sz w:val="26"/>
                    <w:szCs w:val="26"/>
                    <w:rtl/>
                  </w:rPr>
                  <w:t>פלוני</w:t>
                </w:r>
              </w:sdtContent>
            </w:sdt>
            <w:r w:rsidR="000346CC">
              <w:rPr>
                <w:rFonts w:ascii="Arial" w:hAnsi="Arial" w:hint="cs"/>
                <w:b/>
                <w:bCs/>
                <w:noProof w:val="0"/>
                <w:sz w:val="26"/>
                <w:szCs w:val="26"/>
                <w:rtl/>
              </w:rPr>
              <w:t xml:space="preserve"> </w:t>
            </w: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180519">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694556" w:rsidRPr="00B95D6E" w:rsidRDefault="00694556">
      <w:pPr>
        <w:spacing w:line="360" w:lineRule="auto"/>
        <w:jc w:val="both"/>
        <w:rPr>
          <w:rFonts w:ascii="Arial" w:hAnsi="Arial"/>
          <w:noProof w:val="0"/>
          <w:rtl/>
        </w:rPr>
      </w:pPr>
      <w:bookmarkStart w:id="0" w:name="NGCSBookmark"/>
      <w:bookmarkEnd w:id="0"/>
    </w:p>
    <w:p w:rsidR="00FB380F" w:rsidRPr="00FB380F" w:rsidRDefault="00FB380F" w:rsidP="009E2851">
      <w:pPr>
        <w:spacing w:line="360" w:lineRule="auto"/>
        <w:jc w:val="both"/>
        <w:rPr>
          <w:rFonts w:ascii="Arial" w:hAnsi="Arial"/>
          <w:noProof w:val="0"/>
          <w:rtl/>
        </w:rPr>
      </w:pPr>
      <w:r w:rsidRPr="00FB380F">
        <w:rPr>
          <w:rFonts w:ascii="Arial" w:hAnsi="Arial"/>
          <w:noProof w:val="0"/>
          <w:rtl/>
        </w:rPr>
        <w:t>1.</w:t>
      </w:r>
      <w:r>
        <w:rPr>
          <w:rFonts w:ascii="Arial" w:hAnsi="Arial"/>
          <w:noProof w:val="0"/>
          <w:rtl/>
        </w:rPr>
        <w:tab/>
      </w:r>
      <w:r w:rsidR="00381FD2">
        <w:rPr>
          <w:rFonts w:ascii="Arial" w:hAnsi="Arial" w:hint="cs"/>
          <w:noProof w:val="0"/>
          <w:rtl/>
        </w:rPr>
        <w:t xml:space="preserve">הנתבע הגיש בקשה </w:t>
      </w:r>
      <w:r w:rsidR="009E2851">
        <w:rPr>
          <w:rFonts w:ascii="Arial" w:hAnsi="Arial" w:hint="cs"/>
          <w:noProof w:val="0"/>
          <w:rtl/>
        </w:rPr>
        <w:t>לבירור התביעה</w:t>
      </w:r>
      <w:r w:rsidR="00381FD2">
        <w:rPr>
          <w:rFonts w:ascii="Arial" w:hAnsi="Arial" w:hint="cs"/>
          <w:noProof w:val="0"/>
          <w:rtl/>
        </w:rPr>
        <w:t xml:space="preserve"> בדלתיים סגורות. מדובר בתביעה שבעיקרה מיוחסות לנתבע טענות להטרדה מינית וכן ללשון הרע, לצד טענות לפגיעה בפרטיות. התובעת, </w:t>
      </w:r>
      <w:r w:rsidRPr="00FB380F">
        <w:rPr>
          <w:rFonts w:ascii="Arial" w:hAnsi="Arial"/>
          <w:noProof w:val="0"/>
          <w:rtl/>
        </w:rPr>
        <w:t>בסוף תשובתה,</w:t>
      </w:r>
      <w:r>
        <w:rPr>
          <w:rFonts w:ascii="Arial" w:hAnsi="Arial" w:hint="cs"/>
          <w:noProof w:val="0"/>
          <w:rtl/>
        </w:rPr>
        <w:t xml:space="preserve"> </w:t>
      </w:r>
      <w:r>
        <w:rPr>
          <w:rFonts w:ascii="Arial" w:hAnsi="Arial"/>
          <w:noProof w:val="0"/>
          <w:rtl/>
        </w:rPr>
        <w:t xml:space="preserve">הודיעה שהיא מותירה </w:t>
      </w:r>
      <w:r w:rsidR="00381FD2">
        <w:rPr>
          <w:rFonts w:ascii="Arial" w:hAnsi="Arial" w:hint="cs"/>
          <w:noProof w:val="0"/>
          <w:rtl/>
        </w:rPr>
        <w:t>את ההכרעה בבקשה</w:t>
      </w:r>
      <w:r w:rsidRPr="00FB380F">
        <w:rPr>
          <w:rFonts w:ascii="Arial" w:hAnsi="Arial"/>
          <w:noProof w:val="0"/>
          <w:rtl/>
        </w:rPr>
        <w:t xml:space="preserve"> לשיקול דעת בית המשפט. </w:t>
      </w:r>
    </w:p>
    <w:p w:rsidR="00FB380F" w:rsidRPr="00FB380F" w:rsidRDefault="00FB380F" w:rsidP="00FB380F">
      <w:pPr>
        <w:spacing w:line="360" w:lineRule="auto"/>
        <w:jc w:val="both"/>
        <w:rPr>
          <w:rFonts w:ascii="Arial" w:hAnsi="Arial"/>
          <w:noProof w:val="0"/>
          <w:rtl/>
        </w:rPr>
      </w:pPr>
    </w:p>
    <w:p w:rsidR="00FB380F" w:rsidRPr="00FB380F" w:rsidRDefault="00FB380F" w:rsidP="0028701E">
      <w:pPr>
        <w:spacing w:line="360" w:lineRule="auto"/>
        <w:jc w:val="both"/>
        <w:rPr>
          <w:rFonts w:ascii="Arial" w:hAnsi="Arial"/>
          <w:noProof w:val="0"/>
          <w:rtl/>
        </w:rPr>
      </w:pPr>
      <w:r w:rsidRPr="00FB380F">
        <w:rPr>
          <w:rFonts w:ascii="Arial" w:hAnsi="Arial"/>
          <w:noProof w:val="0"/>
          <w:rtl/>
        </w:rPr>
        <w:t>2.</w:t>
      </w:r>
      <w:r>
        <w:rPr>
          <w:rFonts w:ascii="Arial" w:hAnsi="Arial"/>
          <w:noProof w:val="0"/>
          <w:rtl/>
        </w:rPr>
        <w:tab/>
      </w:r>
      <w:r w:rsidRPr="00FB380F">
        <w:rPr>
          <w:rFonts w:ascii="Arial" w:hAnsi="Arial"/>
          <w:noProof w:val="0"/>
          <w:rtl/>
        </w:rPr>
        <w:t>תחילה, אציין שיש טעם בטענת התובעת שלפיה היה מקום להגיש את הבקשה קודם לקדם המשפט</w:t>
      </w:r>
      <w:r w:rsidR="00381FD2">
        <w:rPr>
          <w:rFonts w:ascii="Arial" w:hAnsi="Arial" w:hint="cs"/>
          <w:noProof w:val="0"/>
          <w:rtl/>
        </w:rPr>
        <w:t xml:space="preserve"> (עיינו, תקנה </w:t>
      </w:r>
      <w:r w:rsidR="0028701E">
        <w:rPr>
          <w:rFonts w:ascii="Arial" w:hAnsi="Arial" w:hint="cs"/>
          <w:noProof w:val="0"/>
          <w:rtl/>
        </w:rPr>
        <w:t>49(ז) לתקנות סדר הדין האזרחי, התשע"ט-2018)</w:t>
      </w:r>
      <w:r w:rsidRPr="00FB380F">
        <w:rPr>
          <w:rFonts w:ascii="Arial" w:hAnsi="Arial"/>
          <w:noProof w:val="0"/>
          <w:rtl/>
        </w:rPr>
        <w:t>. עם זאת, לאור החשיבות של הנושא שעל הפרק והטענה לפגיעה חמורה ב</w:t>
      </w:r>
      <w:r w:rsidR="00645999">
        <w:rPr>
          <w:rFonts w:ascii="Arial" w:hAnsi="Arial" w:hint="cs"/>
          <w:noProof w:val="0"/>
          <w:rtl/>
        </w:rPr>
        <w:t>פרטיות ה</w:t>
      </w:r>
      <w:r w:rsidR="00645999">
        <w:rPr>
          <w:rFonts w:ascii="Arial" w:hAnsi="Arial"/>
          <w:noProof w:val="0"/>
          <w:rtl/>
        </w:rPr>
        <w:t>נתבע איל</w:t>
      </w:r>
      <w:r w:rsidR="00645999">
        <w:rPr>
          <w:rFonts w:ascii="Arial" w:hAnsi="Arial" w:hint="cs"/>
          <w:noProof w:val="0"/>
          <w:rtl/>
        </w:rPr>
        <w:t>ולא תיעתר בקשתו</w:t>
      </w:r>
      <w:r w:rsidRPr="00FB380F">
        <w:rPr>
          <w:rFonts w:ascii="Arial" w:hAnsi="Arial"/>
          <w:noProof w:val="0"/>
          <w:rtl/>
        </w:rPr>
        <w:t>, וב</w:t>
      </w:r>
      <w:r>
        <w:rPr>
          <w:rFonts w:ascii="Arial" w:hAnsi="Arial"/>
          <w:noProof w:val="0"/>
          <w:rtl/>
        </w:rPr>
        <w:t>שים לב לעמדת התובעת שבסופו של י</w:t>
      </w:r>
      <w:r w:rsidRPr="00FB380F">
        <w:rPr>
          <w:rFonts w:ascii="Arial" w:hAnsi="Arial"/>
          <w:noProof w:val="0"/>
          <w:rtl/>
        </w:rPr>
        <w:t xml:space="preserve">ום מותירה את הנושא לשיקול דעת בית המשפט, מצאתי </w:t>
      </w:r>
      <w:r w:rsidR="0028701E">
        <w:rPr>
          <w:rFonts w:ascii="Arial" w:hAnsi="Arial" w:hint="cs"/>
          <w:noProof w:val="0"/>
          <w:rtl/>
        </w:rPr>
        <w:t>שיש</w:t>
      </w:r>
      <w:r w:rsidRPr="00FB380F">
        <w:rPr>
          <w:rFonts w:ascii="Arial" w:hAnsi="Arial"/>
          <w:noProof w:val="0"/>
          <w:rtl/>
        </w:rPr>
        <w:t xml:space="preserve"> להידרש לבקשה לגופה. כן נתתי את הדעת לטענת הנתבע בעל-פה בדיון, שלפיה סבר שהדיון </w:t>
      </w:r>
      <w:r w:rsidR="00645999">
        <w:rPr>
          <w:rFonts w:ascii="Arial" w:hAnsi="Arial" w:hint="cs"/>
          <w:noProof w:val="0"/>
          <w:rtl/>
        </w:rPr>
        <w:t xml:space="preserve">כבר </w:t>
      </w:r>
      <w:r w:rsidRPr="00FB380F">
        <w:rPr>
          <w:rFonts w:ascii="Arial" w:hAnsi="Arial"/>
          <w:noProof w:val="0"/>
          <w:rtl/>
        </w:rPr>
        <w:t xml:space="preserve">מתקיים בדלתיים סגורות. </w:t>
      </w:r>
    </w:p>
    <w:p w:rsidR="00FB380F" w:rsidRPr="00FB380F" w:rsidRDefault="00FB380F" w:rsidP="00FB380F">
      <w:pPr>
        <w:spacing w:line="360" w:lineRule="auto"/>
        <w:jc w:val="both"/>
        <w:rPr>
          <w:rFonts w:ascii="Arial" w:hAnsi="Arial"/>
          <w:noProof w:val="0"/>
          <w:rtl/>
        </w:rPr>
      </w:pPr>
    </w:p>
    <w:p w:rsidR="00FB380F" w:rsidRPr="00FB380F" w:rsidRDefault="00DE07F8" w:rsidP="00981AFD">
      <w:pPr>
        <w:spacing w:line="360" w:lineRule="auto"/>
        <w:jc w:val="both"/>
        <w:rPr>
          <w:rFonts w:ascii="Arial" w:hAnsi="Arial"/>
          <w:noProof w:val="0"/>
          <w:rtl/>
        </w:rPr>
      </w:pPr>
      <w:r>
        <w:rPr>
          <w:rFonts w:ascii="Arial" w:hAnsi="Arial" w:hint="cs"/>
          <w:noProof w:val="0"/>
          <w:rtl/>
        </w:rPr>
        <w:t>3</w:t>
      </w:r>
      <w:r w:rsidR="00FB380F" w:rsidRPr="00FB380F">
        <w:rPr>
          <w:rFonts w:ascii="Arial" w:hAnsi="Arial"/>
          <w:noProof w:val="0"/>
          <w:rtl/>
        </w:rPr>
        <w:t>.</w:t>
      </w:r>
      <w:r w:rsidR="00FB380F">
        <w:rPr>
          <w:rFonts w:ascii="Arial" w:hAnsi="Arial"/>
          <w:noProof w:val="0"/>
          <w:rtl/>
        </w:rPr>
        <w:tab/>
      </w:r>
      <w:r w:rsidR="00FB380F" w:rsidRPr="00FB380F">
        <w:rPr>
          <w:rFonts w:ascii="Arial" w:hAnsi="Arial"/>
          <w:noProof w:val="0"/>
          <w:rtl/>
        </w:rPr>
        <w:t>ברירת המחדל היא שדיונים בבית המשפט מתקיימים בדלתיים פתוחות, לאור עקרון פומביות הדיון</w:t>
      </w:r>
      <w:r w:rsidR="00FB380F">
        <w:rPr>
          <w:rFonts w:ascii="Arial" w:hAnsi="Arial" w:hint="cs"/>
          <w:noProof w:val="0"/>
          <w:rtl/>
        </w:rPr>
        <w:t xml:space="preserve"> (</w:t>
      </w:r>
      <w:r w:rsidR="00FB380F" w:rsidRPr="00FB380F">
        <w:rPr>
          <w:rFonts w:ascii="Arial" w:hAnsi="Arial"/>
          <w:noProof w:val="0"/>
          <w:rtl/>
        </w:rPr>
        <w:t>סעיף</w:t>
      </w:r>
      <w:r w:rsidR="00FB380F">
        <w:rPr>
          <w:rFonts w:ascii="Arial" w:hAnsi="Arial" w:hint="cs"/>
          <w:noProof w:val="0"/>
          <w:rtl/>
        </w:rPr>
        <w:t xml:space="preserve"> </w:t>
      </w:r>
      <w:r w:rsidR="00FB380F">
        <w:rPr>
          <w:rFonts w:ascii="Arial" w:hAnsi="Arial"/>
          <w:noProof w:val="0"/>
          <w:rtl/>
        </w:rPr>
        <w:t>3 לחוק יסוד: השפיטה ו</w:t>
      </w:r>
      <w:r w:rsidR="00FB380F" w:rsidRPr="00FB380F">
        <w:rPr>
          <w:rFonts w:ascii="Arial" w:hAnsi="Arial"/>
          <w:noProof w:val="0"/>
          <w:rtl/>
        </w:rPr>
        <w:t>סעיף</w:t>
      </w:r>
      <w:r w:rsidR="00766CBC">
        <w:rPr>
          <w:rFonts w:ascii="Arial" w:hAnsi="Arial" w:hint="cs"/>
          <w:noProof w:val="0"/>
          <w:rtl/>
        </w:rPr>
        <w:t xml:space="preserve"> 68(א) </w:t>
      </w:r>
      <w:r w:rsidR="00FB380F" w:rsidRPr="00FB380F">
        <w:rPr>
          <w:rFonts w:ascii="Arial" w:hAnsi="Arial"/>
          <w:noProof w:val="0"/>
          <w:rtl/>
        </w:rPr>
        <w:t>לחוק בתי המשפט</w:t>
      </w:r>
      <w:r w:rsidR="00FB380F">
        <w:rPr>
          <w:rFonts w:ascii="Arial" w:hAnsi="Arial" w:hint="cs"/>
          <w:noProof w:val="0"/>
          <w:rtl/>
        </w:rPr>
        <w:t xml:space="preserve"> [נוסח משולב], התשמ"ד-1984 (להלן </w:t>
      </w:r>
      <w:r w:rsidR="00FB380F">
        <w:rPr>
          <w:rFonts w:ascii="Arial" w:hAnsi="Arial"/>
          <w:noProof w:val="0"/>
          <w:rtl/>
        </w:rPr>
        <w:t>–</w:t>
      </w:r>
      <w:r w:rsidR="00FB380F">
        <w:rPr>
          <w:rFonts w:ascii="Arial" w:hAnsi="Arial" w:hint="cs"/>
          <w:noProof w:val="0"/>
          <w:rtl/>
        </w:rPr>
        <w:t xml:space="preserve"> </w:t>
      </w:r>
      <w:r w:rsidR="00FB380F" w:rsidRPr="00FB380F">
        <w:rPr>
          <w:rFonts w:ascii="Arial" w:hAnsi="Arial" w:hint="cs"/>
          <w:b/>
          <w:bCs/>
          <w:noProof w:val="0"/>
          <w:rtl/>
        </w:rPr>
        <w:t>החוק</w:t>
      </w:r>
      <w:r w:rsidR="00FB380F">
        <w:rPr>
          <w:rFonts w:ascii="Arial" w:hAnsi="Arial" w:hint="cs"/>
          <w:noProof w:val="0"/>
          <w:rtl/>
        </w:rPr>
        <w:t>)</w:t>
      </w:r>
      <w:r w:rsidR="00645999">
        <w:rPr>
          <w:rFonts w:ascii="Arial" w:hAnsi="Arial" w:hint="cs"/>
          <w:noProof w:val="0"/>
          <w:rtl/>
        </w:rPr>
        <w:t>)</w:t>
      </w:r>
      <w:r w:rsidR="00FB380F">
        <w:rPr>
          <w:rFonts w:ascii="Arial" w:hAnsi="Arial" w:hint="cs"/>
          <w:noProof w:val="0"/>
          <w:rtl/>
        </w:rPr>
        <w:t xml:space="preserve">. </w:t>
      </w:r>
      <w:r w:rsidR="00FB380F" w:rsidRPr="00FB380F">
        <w:rPr>
          <w:rFonts w:ascii="Arial" w:hAnsi="Arial"/>
          <w:noProof w:val="0"/>
          <w:rtl/>
        </w:rPr>
        <w:t xml:space="preserve">הנתבע מפנה להוראות שונות המקנות לבית המשפט סמכות ושיקול דעת לקיים דיון בדלתיים סגורות, אולם אלו אינן חלות בענייננו </w:t>
      </w:r>
      <w:r w:rsidR="00FB380F">
        <w:rPr>
          <w:rFonts w:ascii="Arial" w:hAnsi="Arial"/>
          <w:noProof w:val="0"/>
          <w:rtl/>
        </w:rPr>
        <w:t>–</w:t>
      </w:r>
      <w:r w:rsidR="00FB380F" w:rsidRPr="00FB380F">
        <w:rPr>
          <w:rFonts w:ascii="Arial" w:hAnsi="Arial"/>
          <w:noProof w:val="0"/>
          <w:rtl/>
        </w:rPr>
        <w:t xml:space="preserve"> וגם אם ניתן לסבור אחרת או לעשות היקש מהן, הנתבע לא העלה טיעון מפורט בנושא. כך, הנתבע מפנה להוראה בדבר הגנה על מתלונן או נאשם בהטרדה מינית (סעיף 68(ב)(5) לחוק), אולם ספק אם זו חלה בענייננו שכן הנתבע אינו "נאשם", ביטוי המיוחס ככלל ל</w:t>
      </w:r>
      <w:r w:rsidR="00766CBC">
        <w:rPr>
          <w:rFonts w:ascii="Arial" w:hAnsi="Arial" w:hint="cs"/>
          <w:noProof w:val="0"/>
          <w:rtl/>
        </w:rPr>
        <w:t>אדם ב</w:t>
      </w:r>
      <w:r w:rsidR="00645999">
        <w:rPr>
          <w:rFonts w:ascii="Arial" w:hAnsi="Arial"/>
          <w:noProof w:val="0"/>
          <w:rtl/>
        </w:rPr>
        <w:t xml:space="preserve">הליך פלילי, והנתבע לא </w:t>
      </w:r>
      <w:r>
        <w:rPr>
          <w:rFonts w:ascii="Arial" w:hAnsi="Arial" w:hint="cs"/>
          <w:noProof w:val="0"/>
          <w:rtl/>
        </w:rPr>
        <w:t xml:space="preserve">העלה טיעון מפורט בדבר </w:t>
      </w:r>
      <w:r w:rsidR="00FB380F" w:rsidRPr="00FB380F">
        <w:rPr>
          <w:rFonts w:ascii="Arial" w:hAnsi="Arial"/>
          <w:noProof w:val="0"/>
          <w:rtl/>
        </w:rPr>
        <w:t>תחולת ההוראה על ענייננו (השוו, רע</w:t>
      </w:r>
      <w:r w:rsidR="00981AFD">
        <w:rPr>
          <w:rFonts w:ascii="Arial" w:hAnsi="Arial" w:hint="cs"/>
          <w:noProof w:val="0"/>
          <w:rtl/>
        </w:rPr>
        <w:t>"</w:t>
      </w:r>
      <w:r w:rsidR="00FB380F" w:rsidRPr="00FB380F">
        <w:rPr>
          <w:rFonts w:ascii="Arial" w:hAnsi="Arial"/>
          <w:noProof w:val="0"/>
          <w:rtl/>
        </w:rPr>
        <w:t xml:space="preserve">א 1386/14 </w:t>
      </w:r>
      <w:r w:rsidR="00FB380F" w:rsidRPr="00FB380F">
        <w:rPr>
          <w:rFonts w:ascii="Arial" w:hAnsi="Arial"/>
          <w:b/>
          <w:bCs/>
          <w:noProof w:val="0"/>
          <w:rtl/>
        </w:rPr>
        <w:t xml:space="preserve">אורלי </w:t>
      </w:r>
      <w:proofErr w:type="spellStart"/>
      <w:r w:rsidR="00FB380F" w:rsidRPr="00FB380F">
        <w:rPr>
          <w:rFonts w:ascii="Arial" w:hAnsi="Arial"/>
          <w:b/>
          <w:bCs/>
          <w:noProof w:val="0"/>
          <w:rtl/>
        </w:rPr>
        <w:t>אינס</w:t>
      </w:r>
      <w:proofErr w:type="spellEnd"/>
      <w:r w:rsidR="00FB380F" w:rsidRPr="00FB380F">
        <w:rPr>
          <w:rFonts w:ascii="Arial" w:hAnsi="Arial"/>
          <w:b/>
          <w:bCs/>
          <w:noProof w:val="0"/>
          <w:rtl/>
        </w:rPr>
        <w:t>-קניג נ' עיתונות זהב בע"מ</w:t>
      </w:r>
      <w:r w:rsidR="00FB380F" w:rsidRPr="00FB380F">
        <w:rPr>
          <w:rFonts w:ascii="Arial" w:hAnsi="Arial"/>
          <w:noProof w:val="0"/>
          <w:rtl/>
        </w:rPr>
        <w:t>, פיסקה 7 (‏12.5.2014)</w:t>
      </w:r>
      <w:r w:rsidR="00FB380F">
        <w:rPr>
          <w:rFonts w:ascii="Arial" w:hAnsi="Arial" w:hint="cs"/>
          <w:noProof w:val="0"/>
          <w:rtl/>
        </w:rPr>
        <w:t xml:space="preserve">; כן עיינו, </w:t>
      </w:r>
      <w:r w:rsidR="00FB380F" w:rsidRPr="00FB380F">
        <w:rPr>
          <w:rFonts w:ascii="Arial" w:hAnsi="Arial"/>
          <w:noProof w:val="0"/>
          <w:rtl/>
        </w:rPr>
        <w:t xml:space="preserve">ע"ע (ארצי) 27898-11-20 </w:t>
      </w:r>
      <w:r w:rsidR="00FB380F" w:rsidRPr="00645999">
        <w:rPr>
          <w:rFonts w:ascii="Arial" w:hAnsi="Arial"/>
          <w:b/>
          <w:bCs/>
          <w:noProof w:val="0"/>
          <w:rtl/>
        </w:rPr>
        <w:t xml:space="preserve">פלוני – </w:t>
      </w:r>
      <w:proofErr w:type="spellStart"/>
      <w:r w:rsidR="00FB380F" w:rsidRPr="00645999">
        <w:rPr>
          <w:rFonts w:ascii="Arial" w:hAnsi="Arial" w:hint="cs"/>
          <w:b/>
          <w:bCs/>
          <w:noProof w:val="0"/>
          <w:rtl/>
        </w:rPr>
        <w:t>סתו</w:t>
      </w:r>
      <w:proofErr w:type="spellEnd"/>
      <w:r w:rsidR="00FB380F">
        <w:rPr>
          <w:rFonts w:ascii="Arial" w:hAnsi="Arial" w:hint="cs"/>
          <w:noProof w:val="0"/>
          <w:rtl/>
        </w:rPr>
        <w:t>, פיסקה 27 (</w:t>
      </w:r>
      <w:r w:rsidR="00766CBC">
        <w:rPr>
          <w:rFonts w:ascii="Arial" w:hAnsi="Arial" w:hint="cs"/>
          <w:noProof w:val="0"/>
          <w:rtl/>
        </w:rPr>
        <w:t xml:space="preserve">13.4.2021), אשר הנתבע עצמו מפנה אליו). </w:t>
      </w:r>
      <w:r w:rsidR="00FB380F" w:rsidRPr="00FB380F">
        <w:rPr>
          <w:rFonts w:ascii="Arial" w:hAnsi="Arial"/>
          <w:noProof w:val="0"/>
          <w:rtl/>
        </w:rPr>
        <w:t xml:space="preserve">הנתבע מפנה </w:t>
      </w:r>
      <w:r w:rsidR="00766CBC">
        <w:rPr>
          <w:rFonts w:ascii="Arial" w:hAnsi="Arial" w:hint="cs"/>
          <w:noProof w:val="0"/>
          <w:rtl/>
        </w:rPr>
        <w:t xml:space="preserve">כאמור </w:t>
      </w:r>
      <w:r w:rsidR="00FB380F" w:rsidRPr="00FB380F">
        <w:rPr>
          <w:rFonts w:ascii="Arial" w:hAnsi="Arial"/>
          <w:noProof w:val="0"/>
          <w:rtl/>
        </w:rPr>
        <w:t>לפסיקת בית הדין הארצי לעבודה, אולם יש להטעים שבנוגע להליכים בבית הדין קיימת הוראה ספציפית העוסקת בנושא, ו</w:t>
      </w:r>
      <w:r w:rsidR="00981AFD">
        <w:rPr>
          <w:rFonts w:ascii="Arial" w:hAnsi="Arial" w:hint="cs"/>
          <w:noProof w:val="0"/>
          <w:rtl/>
        </w:rPr>
        <w:t>הנתבע לא העלה בבקשתו טיעון לגבי ה</w:t>
      </w:r>
      <w:r w:rsidR="00FB380F" w:rsidRPr="00FB380F">
        <w:rPr>
          <w:rFonts w:ascii="Arial" w:hAnsi="Arial"/>
          <w:noProof w:val="0"/>
          <w:rtl/>
        </w:rPr>
        <w:t xml:space="preserve">היקש הנדרש </w:t>
      </w:r>
      <w:r w:rsidR="00981AFD">
        <w:rPr>
          <w:rFonts w:ascii="Arial" w:hAnsi="Arial" w:hint="cs"/>
          <w:noProof w:val="0"/>
          <w:rtl/>
        </w:rPr>
        <w:t xml:space="preserve">גם </w:t>
      </w:r>
      <w:r w:rsidR="00FB380F" w:rsidRPr="00FB380F">
        <w:rPr>
          <w:rFonts w:ascii="Arial" w:hAnsi="Arial"/>
          <w:noProof w:val="0"/>
          <w:rtl/>
        </w:rPr>
        <w:t xml:space="preserve">באשר להוראה זו (סעיף 10א לחוק שוויון ההזדמנויות בעבודה, תשמ"ח-1988). </w:t>
      </w:r>
    </w:p>
    <w:p w:rsidR="00FB380F" w:rsidRPr="00FB380F" w:rsidRDefault="00FB380F" w:rsidP="00FB380F">
      <w:pPr>
        <w:spacing w:line="360" w:lineRule="auto"/>
        <w:jc w:val="both"/>
        <w:rPr>
          <w:rFonts w:ascii="Arial" w:hAnsi="Arial"/>
          <w:noProof w:val="0"/>
          <w:rtl/>
        </w:rPr>
      </w:pPr>
    </w:p>
    <w:p w:rsidR="00FB380F" w:rsidRPr="00FB380F" w:rsidRDefault="00DE07F8" w:rsidP="00981AFD">
      <w:pPr>
        <w:spacing w:line="360" w:lineRule="auto"/>
        <w:jc w:val="both"/>
        <w:rPr>
          <w:rFonts w:ascii="Arial" w:hAnsi="Arial"/>
          <w:noProof w:val="0"/>
          <w:rtl/>
        </w:rPr>
      </w:pPr>
      <w:r>
        <w:rPr>
          <w:rFonts w:ascii="Arial" w:hAnsi="Arial" w:hint="cs"/>
          <w:noProof w:val="0"/>
          <w:rtl/>
        </w:rPr>
        <w:t>4</w:t>
      </w:r>
      <w:r w:rsidR="00FB380F" w:rsidRPr="00FB380F">
        <w:rPr>
          <w:rFonts w:ascii="Arial" w:hAnsi="Arial"/>
          <w:noProof w:val="0"/>
          <w:rtl/>
        </w:rPr>
        <w:t xml:space="preserve">. </w:t>
      </w:r>
      <w:r w:rsidR="0041580A">
        <w:rPr>
          <w:rFonts w:ascii="Arial" w:hAnsi="Arial"/>
          <w:noProof w:val="0"/>
          <w:rtl/>
        </w:rPr>
        <w:tab/>
      </w:r>
      <w:r w:rsidR="00FB380F" w:rsidRPr="00FB380F">
        <w:rPr>
          <w:rFonts w:ascii="Arial" w:hAnsi="Arial"/>
          <w:noProof w:val="0"/>
          <w:rtl/>
        </w:rPr>
        <w:t xml:space="preserve">מכאן, שנותרנו עם </w:t>
      </w:r>
      <w:r w:rsidR="0028701E">
        <w:rPr>
          <w:rFonts w:ascii="Arial" w:hAnsi="Arial" w:hint="cs"/>
          <w:noProof w:val="0"/>
          <w:rtl/>
        </w:rPr>
        <w:t>הפניית הנתבע ל</w:t>
      </w:r>
      <w:r w:rsidR="00FB380F" w:rsidRPr="00FB380F">
        <w:rPr>
          <w:rFonts w:ascii="Arial" w:hAnsi="Arial"/>
          <w:noProof w:val="0"/>
          <w:rtl/>
        </w:rPr>
        <w:t xml:space="preserve">הוראה המקנה שיקול דעת לאסור פרסום במקרה של פגיעה חמורה בפרטיות (סעיף 70(ד) לחוק). לעניין זה שקלתי את טענות הנתבע </w:t>
      </w:r>
      <w:r w:rsidR="00981AFD">
        <w:rPr>
          <w:rFonts w:ascii="Arial" w:hAnsi="Arial" w:hint="cs"/>
          <w:noProof w:val="0"/>
          <w:rtl/>
        </w:rPr>
        <w:t>לגבי</w:t>
      </w:r>
      <w:r w:rsidR="00FB380F" w:rsidRPr="00FB380F">
        <w:rPr>
          <w:rFonts w:ascii="Arial" w:hAnsi="Arial"/>
          <w:noProof w:val="0"/>
          <w:rtl/>
        </w:rPr>
        <w:t xml:space="preserve"> הטענות המיוחסות לו </w:t>
      </w:r>
      <w:r w:rsidR="00981AFD">
        <w:rPr>
          <w:rFonts w:ascii="Arial" w:hAnsi="Arial" w:hint="cs"/>
          <w:noProof w:val="0"/>
          <w:rtl/>
        </w:rPr>
        <w:t xml:space="preserve">בתביעה </w:t>
      </w:r>
      <w:r w:rsidR="00FB380F" w:rsidRPr="00FB380F">
        <w:rPr>
          <w:rFonts w:ascii="Arial" w:hAnsi="Arial"/>
          <w:noProof w:val="0"/>
          <w:rtl/>
        </w:rPr>
        <w:t xml:space="preserve">ואפיין </w:t>
      </w:r>
      <w:r w:rsidR="00766CBC">
        <w:rPr>
          <w:rFonts w:ascii="Arial" w:hAnsi="Arial"/>
          <w:noProof w:val="0"/>
          <w:rtl/>
        </w:rPr>
        <w:t>–</w:t>
      </w:r>
      <w:r w:rsidR="00FB380F" w:rsidRPr="00FB380F">
        <w:rPr>
          <w:rFonts w:ascii="Arial" w:hAnsi="Arial"/>
          <w:noProof w:val="0"/>
          <w:rtl/>
        </w:rPr>
        <w:t xml:space="preserve"> לרבות מעשי הטרדה מינית</w:t>
      </w:r>
      <w:r w:rsidR="00766CBC">
        <w:rPr>
          <w:rFonts w:ascii="Arial" w:hAnsi="Arial" w:hint="cs"/>
          <w:noProof w:val="0"/>
          <w:rtl/>
        </w:rPr>
        <w:t xml:space="preserve">. זאת בייחוד בשלב שבו המחלוקות בין </w:t>
      </w:r>
      <w:r w:rsidR="00766CBC">
        <w:rPr>
          <w:rFonts w:ascii="Arial" w:hAnsi="Arial" w:hint="cs"/>
          <w:noProof w:val="0"/>
          <w:rtl/>
        </w:rPr>
        <w:lastRenderedPageBreak/>
        <w:t xml:space="preserve">הצדדים טרם הוכרעו. לאור אופי טענות זה, וכן </w:t>
      </w:r>
      <w:proofErr w:type="spellStart"/>
      <w:r w:rsidR="00766CBC">
        <w:rPr>
          <w:rFonts w:ascii="Arial" w:hAnsi="Arial" w:hint="cs"/>
          <w:noProof w:val="0"/>
          <w:rtl/>
        </w:rPr>
        <w:t>כשהנני</w:t>
      </w:r>
      <w:proofErr w:type="spellEnd"/>
      <w:r w:rsidR="00766CBC">
        <w:rPr>
          <w:rFonts w:ascii="Arial" w:hAnsi="Arial" w:hint="cs"/>
          <w:noProof w:val="0"/>
          <w:rtl/>
        </w:rPr>
        <w:t xml:space="preserve"> נותן משקל לכך שבסוף</w:t>
      </w:r>
      <w:r w:rsidR="00FB380F" w:rsidRPr="00FB380F">
        <w:rPr>
          <w:rFonts w:ascii="Arial" w:hAnsi="Arial"/>
          <w:noProof w:val="0"/>
          <w:rtl/>
        </w:rPr>
        <w:t xml:space="preserve"> </w:t>
      </w:r>
      <w:r w:rsidR="00766CBC" w:rsidRPr="00FB380F">
        <w:rPr>
          <w:rFonts w:ascii="Arial" w:hAnsi="Arial"/>
          <w:noProof w:val="0"/>
          <w:rtl/>
        </w:rPr>
        <w:t>תשובתה התובעת מותירה את הנושא לשיקול דעת בית המשפט</w:t>
      </w:r>
      <w:r w:rsidR="00766CBC">
        <w:rPr>
          <w:rFonts w:ascii="Arial" w:hAnsi="Arial" w:hint="cs"/>
          <w:noProof w:val="0"/>
          <w:rtl/>
        </w:rPr>
        <w:t xml:space="preserve">, מצאתי שהאיזון הנכון הוא לאסור את הפרסום </w:t>
      </w:r>
      <w:r w:rsidR="0028701E">
        <w:rPr>
          <w:rFonts w:ascii="Arial" w:hAnsi="Arial" w:hint="cs"/>
          <w:noProof w:val="0"/>
          <w:rtl/>
        </w:rPr>
        <w:t>של</w:t>
      </w:r>
      <w:r w:rsidR="00766CBC">
        <w:rPr>
          <w:rFonts w:ascii="Arial" w:hAnsi="Arial" w:hint="cs"/>
          <w:noProof w:val="0"/>
          <w:rtl/>
        </w:rPr>
        <w:t xml:space="preserve"> </w:t>
      </w:r>
      <w:r w:rsidR="0028701E">
        <w:rPr>
          <w:rFonts w:ascii="Arial" w:hAnsi="Arial" w:hint="cs"/>
          <w:noProof w:val="0"/>
          <w:rtl/>
        </w:rPr>
        <w:t>שמות הצדדים</w:t>
      </w:r>
      <w:r w:rsidR="00766CBC">
        <w:rPr>
          <w:rFonts w:ascii="Arial" w:hAnsi="Arial" w:hint="cs"/>
          <w:noProof w:val="0"/>
          <w:rtl/>
        </w:rPr>
        <w:t>, כשהדבר עשוי להיבחן בשנית בפסק-הדין ובהתאם לתוצאתו.</w:t>
      </w:r>
      <w:r w:rsidR="00FB380F" w:rsidRPr="00FB380F">
        <w:rPr>
          <w:rFonts w:ascii="Arial" w:hAnsi="Arial"/>
          <w:noProof w:val="0"/>
          <w:rtl/>
        </w:rPr>
        <w:t xml:space="preserve"> </w:t>
      </w:r>
      <w:r w:rsidR="0028701E">
        <w:rPr>
          <w:rFonts w:ascii="Arial" w:hAnsi="Arial" w:hint="cs"/>
          <w:noProof w:val="0"/>
          <w:rtl/>
        </w:rPr>
        <w:t xml:space="preserve">מעבר לאיסור פרסום שמות הצדדים, </w:t>
      </w:r>
      <w:r w:rsidR="00981AFD">
        <w:rPr>
          <w:rFonts w:ascii="Arial" w:hAnsi="Arial" w:hint="cs"/>
          <w:noProof w:val="0"/>
          <w:rtl/>
        </w:rPr>
        <w:t xml:space="preserve">ולאור חשיבות פומביות הדיון, </w:t>
      </w:r>
      <w:r w:rsidR="0028701E">
        <w:rPr>
          <w:rFonts w:ascii="Arial" w:hAnsi="Arial" w:hint="cs"/>
          <w:noProof w:val="0"/>
          <w:rtl/>
        </w:rPr>
        <w:t xml:space="preserve">לא מצאתי שהוצגה הצדקה להטיל איסור פרסום נוסף. </w:t>
      </w:r>
      <w:r w:rsidR="00E84F44">
        <w:rPr>
          <w:rFonts w:ascii="Arial" w:hAnsi="Arial" w:hint="cs"/>
          <w:noProof w:val="0"/>
          <w:rtl/>
        </w:rPr>
        <w:t xml:space="preserve"> </w:t>
      </w:r>
    </w:p>
    <w:p w:rsidR="00FB380F" w:rsidRPr="00FB380F" w:rsidRDefault="00FB380F" w:rsidP="00FB380F">
      <w:pPr>
        <w:spacing w:line="360" w:lineRule="auto"/>
        <w:jc w:val="both"/>
        <w:rPr>
          <w:rFonts w:ascii="Arial" w:hAnsi="Arial"/>
          <w:noProof w:val="0"/>
          <w:rtl/>
        </w:rPr>
      </w:pPr>
    </w:p>
    <w:p w:rsidR="00FB380F" w:rsidRPr="00FB380F" w:rsidRDefault="00DE07F8" w:rsidP="00DE07F8">
      <w:pPr>
        <w:spacing w:line="360" w:lineRule="auto"/>
        <w:jc w:val="both"/>
        <w:rPr>
          <w:rFonts w:ascii="Arial" w:hAnsi="Arial"/>
          <w:noProof w:val="0"/>
          <w:rtl/>
        </w:rPr>
      </w:pPr>
      <w:r>
        <w:rPr>
          <w:rFonts w:ascii="Arial" w:hAnsi="Arial" w:hint="cs"/>
          <w:noProof w:val="0"/>
          <w:rtl/>
        </w:rPr>
        <w:t>5</w:t>
      </w:r>
      <w:r w:rsidR="00FB380F" w:rsidRPr="00FB380F">
        <w:rPr>
          <w:rFonts w:ascii="Arial" w:hAnsi="Arial"/>
          <w:noProof w:val="0"/>
          <w:rtl/>
        </w:rPr>
        <w:t>.</w:t>
      </w:r>
      <w:r w:rsidR="00766CBC">
        <w:rPr>
          <w:rFonts w:ascii="Arial" w:hAnsi="Arial"/>
          <w:noProof w:val="0"/>
          <w:rtl/>
        </w:rPr>
        <w:tab/>
      </w:r>
      <w:r w:rsidR="00FB380F" w:rsidRPr="00FB380F">
        <w:rPr>
          <w:rFonts w:ascii="Arial" w:hAnsi="Arial"/>
          <w:noProof w:val="0"/>
          <w:rtl/>
        </w:rPr>
        <w:t>עוד ראוי לציין את סעיף 21 לחוק איסור לשון הרע, תשכ"ה-1965 המקנה לבית המשפט שיקול דעת בנושא איסור הפרסום</w:t>
      </w:r>
      <w:r>
        <w:rPr>
          <w:rFonts w:ascii="Arial" w:hAnsi="Arial" w:hint="cs"/>
          <w:noProof w:val="0"/>
          <w:rtl/>
        </w:rPr>
        <w:t xml:space="preserve">. </w:t>
      </w:r>
      <w:r w:rsidR="00FB380F" w:rsidRPr="00FB380F">
        <w:rPr>
          <w:rFonts w:ascii="Arial" w:hAnsi="Arial"/>
          <w:noProof w:val="0"/>
          <w:rtl/>
        </w:rPr>
        <w:t>בהוראה זו</w:t>
      </w:r>
      <w:r>
        <w:rPr>
          <w:rFonts w:ascii="Arial" w:hAnsi="Arial" w:hint="cs"/>
          <w:noProof w:val="0"/>
          <w:rtl/>
        </w:rPr>
        <w:t xml:space="preserve"> נקבע</w:t>
      </w:r>
      <w:r w:rsidR="00FB380F" w:rsidRPr="00FB380F">
        <w:rPr>
          <w:rFonts w:ascii="Arial" w:hAnsi="Arial"/>
          <w:noProof w:val="0"/>
          <w:rtl/>
        </w:rPr>
        <w:t xml:space="preserve"> שבית המשפט לא יטיל איסור פרסום אם התנגד לכך התובע </w:t>
      </w:r>
      <w:r w:rsidR="00766CBC">
        <w:rPr>
          <w:rFonts w:ascii="Arial" w:hAnsi="Arial"/>
          <w:noProof w:val="0"/>
          <w:rtl/>
        </w:rPr>
        <w:t>–</w:t>
      </w:r>
      <w:r w:rsidR="009E2851">
        <w:rPr>
          <w:rFonts w:ascii="Arial" w:hAnsi="Arial"/>
          <w:noProof w:val="0"/>
          <w:rtl/>
        </w:rPr>
        <w:t xml:space="preserve"> </w:t>
      </w:r>
      <w:r w:rsidR="009E2851">
        <w:rPr>
          <w:rFonts w:ascii="Arial" w:hAnsi="Arial" w:hint="cs"/>
          <w:noProof w:val="0"/>
          <w:rtl/>
        </w:rPr>
        <w:t xml:space="preserve">אולם </w:t>
      </w:r>
      <w:r w:rsidR="00FB380F" w:rsidRPr="00FB380F">
        <w:rPr>
          <w:rFonts w:ascii="Arial" w:hAnsi="Arial"/>
          <w:noProof w:val="0"/>
          <w:rtl/>
        </w:rPr>
        <w:t xml:space="preserve">בענייננו התובעת בסוף תשובתה מותירה את הנושא לשיקול דעת בית המשפט. </w:t>
      </w:r>
    </w:p>
    <w:p w:rsidR="00FB380F" w:rsidRPr="00FB380F" w:rsidRDefault="00FB380F" w:rsidP="00FB380F">
      <w:pPr>
        <w:spacing w:line="360" w:lineRule="auto"/>
        <w:jc w:val="both"/>
        <w:rPr>
          <w:rFonts w:ascii="Arial" w:hAnsi="Arial"/>
          <w:noProof w:val="0"/>
          <w:rtl/>
        </w:rPr>
      </w:pPr>
    </w:p>
    <w:p w:rsidR="00FB380F" w:rsidRPr="00FB380F" w:rsidRDefault="00E84F44" w:rsidP="00FB380F">
      <w:pPr>
        <w:spacing w:line="360" w:lineRule="auto"/>
        <w:jc w:val="both"/>
        <w:rPr>
          <w:rFonts w:ascii="Arial" w:hAnsi="Arial"/>
          <w:noProof w:val="0"/>
          <w:rtl/>
        </w:rPr>
      </w:pPr>
      <w:r>
        <w:rPr>
          <w:rFonts w:ascii="Arial" w:hAnsi="Arial" w:hint="cs"/>
          <w:noProof w:val="0"/>
          <w:rtl/>
        </w:rPr>
        <w:t>6</w:t>
      </w:r>
      <w:r w:rsidR="00FB380F" w:rsidRPr="00FB380F">
        <w:rPr>
          <w:rFonts w:ascii="Arial" w:hAnsi="Arial"/>
          <w:noProof w:val="0"/>
          <w:rtl/>
        </w:rPr>
        <w:t xml:space="preserve">. </w:t>
      </w:r>
      <w:r w:rsidR="0041580A">
        <w:rPr>
          <w:rFonts w:ascii="Arial" w:hAnsi="Arial"/>
          <w:noProof w:val="0"/>
          <w:rtl/>
        </w:rPr>
        <w:tab/>
      </w:r>
      <w:r w:rsidR="00FB380F" w:rsidRPr="00FB380F">
        <w:rPr>
          <w:rFonts w:ascii="Arial" w:hAnsi="Arial"/>
          <w:noProof w:val="0"/>
          <w:rtl/>
        </w:rPr>
        <w:t>על כן, מצאתי שהאיזון הנכון הוא כדלקמן:</w:t>
      </w:r>
    </w:p>
    <w:p w:rsidR="00FB380F" w:rsidRPr="00FB380F" w:rsidRDefault="00FB380F" w:rsidP="00FB380F">
      <w:pPr>
        <w:spacing w:line="360" w:lineRule="auto"/>
        <w:jc w:val="both"/>
        <w:rPr>
          <w:rFonts w:ascii="Arial" w:hAnsi="Arial"/>
          <w:noProof w:val="0"/>
          <w:rtl/>
        </w:rPr>
      </w:pPr>
    </w:p>
    <w:p w:rsidR="00FB380F" w:rsidRPr="00FB380F" w:rsidRDefault="00766CBC" w:rsidP="00766CBC">
      <w:pPr>
        <w:spacing w:line="360" w:lineRule="auto"/>
        <w:jc w:val="both"/>
        <w:rPr>
          <w:rFonts w:ascii="Arial" w:hAnsi="Arial"/>
          <w:noProof w:val="0"/>
          <w:rtl/>
        </w:rPr>
      </w:pPr>
      <w:r>
        <w:rPr>
          <w:rFonts w:ascii="Arial" w:hAnsi="Arial"/>
          <w:noProof w:val="0"/>
          <w:rtl/>
        </w:rPr>
        <w:t>(א)</w:t>
      </w:r>
      <w:r>
        <w:rPr>
          <w:rFonts w:ascii="Arial" w:hAnsi="Arial"/>
          <w:noProof w:val="0"/>
          <w:rtl/>
        </w:rPr>
        <w:tab/>
      </w:r>
      <w:r w:rsidR="00FB380F" w:rsidRPr="00FB380F">
        <w:rPr>
          <w:rFonts w:ascii="Arial" w:hAnsi="Arial"/>
          <w:noProof w:val="0"/>
          <w:rtl/>
        </w:rPr>
        <w:t xml:space="preserve">הדיונים יתקיימו בדלתיים פתוחות. זאת בהעדר הוראה בהירה המקנה סמכות לבית המשפט להורות על סגירת הדלתות ובהעדר טיעון מספק בנושא, וכן לאור החשיבות שבפומביות הדיון. </w:t>
      </w:r>
    </w:p>
    <w:p w:rsidR="00FB380F" w:rsidRPr="00FB380F" w:rsidRDefault="00FB380F" w:rsidP="00FB380F">
      <w:pPr>
        <w:spacing w:line="360" w:lineRule="auto"/>
        <w:jc w:val="both"/>
        <w:rPr>
          <w:rFonts w:ascii="Arial" w:hAnsi="Arial"/>
          <w:noProof w:val="0"/>
          <w:rtl/>
        </w:rPr>
      </w:pPr>
    </w:p>
    <w:p w:rsidR="00FB380F" w:rsidRPr="00FB380F" w:rsidRDefault="00FB380F" w:rsidP="00E84F44">
      <w:pPr>
        <w:spacing w:line="360" w:lineRule="auto"/>
        <w:jc w:val="both"/>
        <w:rPr>
          <w:rFonts w:ascii="Arial" w:hAnsi="Arial"/>
          <w:noProof w:val="0"/>
          <w:rtl/>
        </w:rPr>
      </w:pPr>
      <w:r w:rsidRPr="00381FD2">
        <w:rPr>
          <w:rFonts w:ascii="Arial" w:hAnsi="Arial"/>
          <w:noProof w:val="0"/>
          <w:rtl/>
        </w:rPr>
        <w:t>(ב)</w:t>
      </w:r>
      <w:r w:rsidR="00766CBC" w:rsidRPr="00381FD2">
        <w:rPr>
          <w:rFonts w:ascii="Arial" w:hAnsi="Arial"/>
          <w:noProof w:val="0"/>
          <w:rtl/>
        </w:rPr>
        <w:tab/>
      </w:r>
      <w:r w:rsidRPr="00381FD2">
        <w:rPr>
          <w:rFonts w:ascii="Arial" w:hAnsi="Arial"/>
          <w:noProof w:val="0"/>
          <w:rtl/>
        </w:rPr>
        <w:t xml:space="preserve">יחד עם זאת, מכוח סעיף 70(ד) לחוק, מוטל איסור פרסום על </w:t>
      </w:r>
      <w:r w:rsidR="00E84F44" w:rsidRPr="00381FD2">
        <w:rPr>
          <w:rFonts w:ascii="Arial" w:hAnsi="Arial" w:hint="cs"/>
          <w:noProof w:val="0"/>
          <w:rtl/>
        </w:rPr>
        <w:t>שמות הצדדים ב</w:t>
      </w:r>
      <w:r w:rsidR="00DE07F8" w:rsidRPr="00381FD2">
        <w:rPr>
          <w:rFonts w:ascii="Arial" w:hAnsi="Arial" w:hint="cs"/>
          <w:noProof w:val="0"/>
          <w:rtl/>
        </w:rPr>
        <w:t>הליך</w:t>
      </w:r>
      <w:r w:rsidRPr="00381FD2">
        <w:rPr>
          <w:rFonts w:ascii="Arial" w:hAnsi="Arial"/>
          <w:noProof w:val="0"/>
          <w:rtl/>
        </w:rPr>
        <w:t>.</w:t>
      </w:r>
      <w:r w:rsidRPr="00FB380F">
        <w:rPr>
          <w:rFonts w:ascii="Arial" w:hAnsi="Arial"/>
          <w:noProof w:val="0"/>
          <w:rtl/>
        </w:rPr>
        <w:t xml:space="preserve"> </w:t>
      </w:r>
    </w:p>
    <w:p w:rsidR="00FB380F" w:rsidRPr="00FB380F" w:rsidRDefault="00FB380F" w:rsidP="00FB380F">
      <w:pPr>
        <w:spacing w:line="360" w:lineRule="auto"/>
        <w:jc w:val="both"/>
        <w:rPr>
          <w:rFonts w:ascii="Arial" w:hAnsi="Arial"/>
          <w:noProof w:val="0"/>
          <w:rtl/>
        </w:rPr>
      </w:pPr>
    </w:p>
    <w:p w:rsidR="00FB380F" w:rsidRPr="00FB380F" w:rsidRDefault="00FB380F" w:rsidP="009E2851">
      <w:pPr>
        <w:spacing w:line="360" w:lineRule="auto"/>
        <w:jc w:val="both"/>
        <w:rPr>
          <w:rFonts w:ascii="Arial" w:hAnsi="Arial"/>
          <w:noProof w:val="0"/>
          <w:rtl/>
        </w:rPr>
      </w:pPr>
      <w:r w:rsidRPr="00FB380F">
        <w:rPr>
          <w:rFonts w:ascii="Arial" w:hAnsi="Arial"/>
          <w:noProof w:val="0"/>
          <w:rtl/>
        </w:rPr>
        <w:t>(</w:t>
      </w:r>
      <w:r w:rsidR="00381FD2">
        <w:rPr>
          <w:rFonts w:ascii="Arial" w:hAnsi="Arial" w:hint="cs"/>
          <w:noProof w:val="0"/>
          <w:rtl/>
        </w:rPr>
        <w:t>ג</w:t>
      </w:r>
      <w:r w:rsidRPr="00FB380F">
        <w:rPr>
          <w:rFonts w:ascii="Arial" w:hAnsi="Arial"/>
          <w:noProof w:val="0"/>
          <w:rtl/>
        </w:rPr>
        <w:t>)</w:t>
      </w:r>
      <w:r w:rsidR="00766CBC">
        <w:rPr>
          <w:rFonts w:ascii="Arial" w:hAnsi="Arial"/>
          <w:noProof w:val="0"/>
          <w:rtl/>
        </w:rPr>
        <w:tab/>
      </w:r>
      <w:r w:rsidRPr="00FB380F">
        <w:rPr>
          <w:rFonts w:ascii="Arial" w:hAnsi="Arial"/>
          <w:noProof w:val="0"/>
          <w:rtl/>
        </w:rPr>
        <w:t>סוגיית איסור הפרסום</w:t>
      </w:r>
      <w:r w:rsidR="0028701E">
        <w:rPr>
          <w:rFonts w:ascii="Arial" w:hAnsi="Arial" w:hint="cs"/>
          <w:noProof w:val="0"/>
          <w:rtl/>
        </w:rPr>
        <w:t xml:space="preserve"> </w:t>
      </w:r>
      <w:r w:rsidR="009E2851">
        <w:rPr>
          <w:rFonts w:ascii="Arial" w:hAnsi="Arial" w:hint="cs"/>
          <w:noProof w:val="0"/>
          <w:rtl/>
        </w:rPr>
        <w:t>ע</w:t>
      </w:r>
      <w:r w:rsidR="00DE07F8">
        <w:rPr>
          <w:rFonts w:ascii="Arial" w:hAnsi="Arial"/>
          <w:noProof w:val="0"/>
          <w:rtl/>
        </w:rPr>
        <w:t xml:space="preserve">שויה להיבחן בשנית בעת </w:t>
      </w:r>
      <w:r w:rsidR="00DE07F8">
        <w:rPr>
          <w:rFonts w:ascii="Arial" w:hAnsi="Arial" w:hint="cs"/>
          <w:noProof w:val="0"/>
          <w:rtl/>
        </w:rPr>
        <w:t>מתן פסק-הדין</w:t>
      </w:r>
      <w:r w:rsidRPr="00FB380F">
        <w:rPr>
          <w:rFonts w:ascii="Arial" w:hAnsi="Arial"/>
          <w:noProof w:val="0"/>
          <w:rtl/>
        </w:rPr>
        <w:t xml:space="preserve">. בעלי הדין רשאים לטעון בנושא בסיכומיהם. </w:t>
      </w:r>
    </w:p>
    <w:p w:rsidR="00FB380F" w:rsidRPr="00FB380F" w:rsidRDefault="00FB380F" w:rsidP="00FB380F">
      <w:pPr>
        <w:spacing w:line="360" w:lineRule="auto"/>
        <w:jc w:val="both"/>
        <w:rPr>
          <w:rFonts w:ascii="Arial" w:hAnsi="Arial"/>
          <w:noProof w:val="0"/>
          <w:rtl/>
        </w:rPr>
      </w:pPr>
    </w:p>
    <w:p w:rsidR="00694556" w:rsidRPr="00B95D6E" w:rsidRDefault="00E84F44" w:rsidP="00766CBC">
      <w:pPr>
        <w:spacing w:line="360" w:lineRule="auto"/>
        <w:jc w:val="both"/>
        <w:rPr>
          <w:rFonts w:ascii="Arial" w:hAnsi="Arial"/>
          <w:noProof w:val="0"/>
          <w:rtl/>
        </w:rPr>
      </w:pPr>
      <w:r>
        <w:rPr>
          <w:rFonts w:ascii="Arial" w:hAnsi="Arial" w:hint="cs"/>
          <w:noProof w:val="0"/>
          <w:rtl/>
        </w:rPr>
        <w:t>7</w:t>
      </w:r>
      <w:r w:rsidR="00FB380F" w:rsidRPr="00FB380F">
        <w:rPr>
          <w:rFonts w:ascii="Arial" w:hAnsi="Arial"/>
          <w:noProof w:val="0"/>
          <w:rtl/>
        </w:rPr>
        <w:t>.</w:t>
      </w:r>
      <w:r w:rsidR="00766CBC">
        <w:rPr>
          <w:rFonts w:ascii="Arial" w:hAnsi="Arial"/>
          <w:noProof w:val="0"/>
          <w:rtl/>
        </w:rPr>
        <w:tab/>
      </w:r>
      <w:r w:rsidR="00FB380F" w:rsidRPr="00FB380F">
        <w:rPr>
          <w:rFonts w:ascii="Arial" w:hAnsi="Arial"/>
          <w:noProof w:val="0"/>
          <w:rtl/>
        </w:rPr>
        <w:t>לאור העובדה שהתובעת הותירה את הנושא לשיקול דעת בית המשפט, מדובר בטעם מיוחד שלא לעשות צו להוצאות.</w:t>
      </w:r>
    </w:p>
    <w:p w:rsidR="00694556" w:rsidRPr="00B95D6E"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כ"ד אב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21 אוגוסט 2022</w:t>
          </w:r>
        </w:sdtContent>
      </w:sdt>
      <w:r w:rsidR="00005C8B">
        <w:rPr>
          <w:rFonts w:ascii="Arial" w:hAnsi="Arial"/>
          <w:noProof w:val="0"/>
          <w:rtl/>
        </w:rPr>
        <w:t>, בהעדר הצדדים.</w:t>
      </w:r>
    </w:p>
    <w:p w:rsidR="00C43648" w:rsidRDefault="00C33C9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93620951"/>
        </w:sdtPr>
        <w:sdtEndPr/>
        <w:sdtContent>
          <w:r w:rsidR="00C33C9A">
            <w:drawing>
              <wp:inline distT="0" distB="0" distL="0" distR="0" wp14:editId="50D07946">
                <wp:extent cx="126682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266825" cy="7334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766CBC">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9A" w:rsidRDefault="00C33C9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C33C9A">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C33C9A">
      <w:rPr>
        <w:rStyle w:val="ab"/>
        <w:rtl/>
      </w:rPr>
      <w:t>2</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9A" w:rsidRDefault="00C33C9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9A" w:rsidRDefault="00C33C9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645999">
      <w:trPr>
        <w:trHeight w:hRule="exact" w:val="426"/>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בהרצליה</w:t>
              </w:r>
            </w:p>
          </w:tc>
        </w:sdtContent>
      </w:sdt>
    </w:tr>
    <w:tr w:rsidR="00694556" w:rsidTr="00645999">
      <w:trPr>
        <w:trHeight w:val="337"/>
        <w:jc w:val="center"/>
      </w:trPr>
      <w:tc>
        <w:tcPr>
          <w:tcW w:w="8307" w:type="dxa"/>
        </w:tcPr>
        <w:p w:rsidR="008D10B2" w:rsidRPr="00645999" w:rsidRDefault="00C33C9A" w:rsidP="0028701E">
          <w:pPr>
            <w:rPr>
              <w:b/>
              <w:bCs/>
              <w:noProof w:val="0"/>
              <w:sz w:val="26"/>
              <w:szCs w:val="26"/>
              <w:rtl/>
            </w:rPr>
          </w:pPr>
          <w:sdt>
            <w:sdtPr>
              <w:rPr>
                <w:rtl/>
              </w:rPr>
              <w:alias w:val="1170"/>
              <w:tag w:val="1170"/>
              <w:id w:val="1066377040"/>
              <w:text w:multiLine="1"/>
            </w:sdtPr>
            <w:sdtEndPr/>
            <w:sdtContent>
              <w:r w:rsidR="000346CC">
                <w:rPr>
                  <w:b/>
                  <w:bCs/>
                  <w:noProof w:val="0"/>
                  <w:sz w:val="26"/>
                  <w:szCs w:val="26"/>
                  <w:rtl/>
                </w:rPr>
                <w:t>ת"א</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0346CC">
                <w:rPr>
                  <w:b/>
                  <w:bCs/>
                  <w:noProof w:val="0"/>
                  <w:sz w:val="26"/>
                  <w:szCs w:val="26"/>
                  <w:rtl/>
                </w:rPr>
                <w:t>27218-07-21</w:t>
              </w:r>
            </w:sdtContent>
          </w:sdt>
          <w:bookmarkEnd w:id="1"/>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28701E">
                <w:rPr>
                  <w:rFonts w:hint="cs"/>
                  <w:b/>
                  <w:bCs/>
                  <w:noProof w:val="0"/>
                  <w:sz w:val="26"/>
                  <w:szCs w:val="26"/>
                  <w:rtl/>
                </w:rPr>
                <w:t>פלונית</w:t>
              </w:r>
              <w:r w:rsidR="000346CC">
                <w:rPr>
                  <w:b/>
                  <w:bCs/>
                  <w:noProof w:val="0"/>
                  <w:sz w:val="26"/>
                  <w:szCs w:val="26"/>
                  <w:rtl/>
                </w:rPr>
                <w:t xml:space="preserve"> נ' </w:t>
              </w:r>
              <w:r w:rsidR="0028701E">
                <w:rPr>
                  <w:rFonts w:hint="cs"/>
                  <w:b/>
                  <w:bCs/>
                  <w:noProof w:val="0"/>
                  <w:sz w:val="26"/>
                  <w:szCs w:val="26"/>
                  <w:rtl/>
                </w:rPr>
                <w:t>פלוני</w:t>
              </w:r>
            </w:sdtContent>
          </w:sdt>
          <w:r w:rsidR="00CD516B">
            <w:rPr>
              <w:b/>
              <w:bCs/>
              <w:noProof w:val="0"/>
              <w:sz w:val="26"/>
              <w:szCs w:val="26"/>
              <w:rtl/>
            </w:rPr>
            <w:t xml:space="preserve"> </w:t>
          </w:r>
          <w:r w:rsidR="001173C6">
            <w:rPr>
              <w:sz w:val="20"/>
              <w:szCs w:val="20"/>
              <w:rtl/>
            </w:rPr>
            <w:t xml:space="preserve"> </w:t>
          </w:r>
        </w:p>
      </w:tc>
    </w:tr>
  </w:tbl>
  <w:p w:rsidR="00694556" w:rsidRDefault="00005C8B">
    <w:pPr>
      <w:pStyle w:val="a3"/>
      <w:rPr>
        <w:rFonts w:hint="cs"/>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9A" w:rsidRDefault="00C33C9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20"/>
  <w:characterSpacingControl w:val="doNotCompress"/>
  <w:hdrShapeDefaults>
    <o:shapedefaults v:ext="edit" spidmax="209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07DE0"/>
    <w:rsid w:val="000346CC"/>
    <w:rsid w:val="000529D2"/>
    <w:rsid w:val="000564AB"/>
    <w:rsid w:val="00064FBD"/>
    <w:rsid w:val="00082AB2"/>
    <w:rsid w:val="000906FE"/>
    <w:rsid w:val="000937B8"/>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91C82"/>
    <w:rsid w:val="001C4003"/>
    <w:rsid w:val="001D4DBF"/>
    <w:rsid w:val="001E75CA"/>
    <w:rsid w:val="002265FF"/>
    <w:rsid w:val="00235B97"/>
    <w:rsid w:val="00271B56"/>
    <w:rsid w:val="0028701E"/>
    <w:rsid w:val="002C344E"/>
    <w:rsid w:val="002E75E9"/>
    <w:rsid w:val="002F0B1E"/>
    <w:rsid w:val="00307A6A"/>
    <w:rsid w:val="00307C40"/>
    <w:rsid w:val="00320433"/>
    <w:rsid w:val="003230C7"/>
    <w:rsid w:val="00327E50"/>
    <w:rsid w:val="0033597A"/>
    <w:rsid w:val="00343D89"/>
    <w:rsid w:val="00362612"/>
    <w:rsid w:val="0036743F"/>
    <w:rsid w:val="003715DD"/>
    <w:rsid w:val="00381FD2"/>
    <w:rsid w:val="003823E0"/>
    <w:rsid w:val="003A31EC"/>
    <w:rsid w:val="003A4521"/>
    <w:rsid w:val="003B3E8D"/>
    <w:rsid w:val="003D1C8C"/>
    <w:rsid w:val="0040096C"/>
    <w:rsid w:val="00414F1F"/>
    <w:rsid w:val="0041580A"/>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11B90"/>
    <w:rsid w:val="00520898"/>
    <w:rsid w:val="00523621"/>
    <w:rsid w:val="00524986"/>
    <w:rsid w:val="005268F6"/>
    <w:rsid w:val="005341F5"/>
    <w:rsid w:val="00534284"/>
    <w:rsid w:val="00547DB7"/>
    <w:rsid w:val="005C0627"/>
    <w:rsid w:val="005F4F09"/>
    <w:rsid w:val="0061431B"/>
    <w:rsid w:val="00622BAA"/>
    <w:rsid w:val="006306CF"/>
    <w:rsid w:val="00644E9A"/>
    <w:rsid w:val="00645999"/>
    <w:rsid w:val="00671BD5"/>
    <w:rsid w:val="006805C1"/>
    <w:rsid w:val="00686C21"/>
    <w:rsid w:val="006931C1"/>
    <w:rsid w:val="00694556"/>
    <w:rsid w:val="006B7258"/>
    <w:rsid w:val="006C30C5"/>
    <w:rsid w:val="006D3B31"/>
    <w:rsid w:val="006E0D96"/>
    <w:rsid w:val="006E1A53"/>
    <w:rsid w:val="006F56E6"/>
    <w:rsid w:val="00704EDA"/>
    <w:rsid w:val="00721122"/>
    <w:rsid w:val="00734689"/>
    <w:rsid w:val="00753019"/>
    <w:rsid w:val="00754801"/>
    <w:rsid w:val="00761441"/>
    <w:rsid w:val="00766CBC"/>
    <w:rsid w:val="00795365"/>
    <w:rsid w:val="007A351D"/>
    <w:rsid w:val="007B7765"/>
    <w:rsid w:val="007C5BDD"/>
    <w:rsid w:val="007D45E3"/>
    <w:rsid w:val="007E6115"/>
    <w:rsid w:val="007F4609"/>
    <w:rsid w:val="00814468"/>
    <w:rsid w:val="008176A1"/>
    <w:rsid w:val="00820005"/>
    <w:rsid w:val="00841158"/>
    <w:rsid w:val="00844318"/>
    <w:rsid w:val="00851257"/>
    <w:rsid w:val="00863F5D"/>
    <w:rsid w:val="00870890"/>
    <w:rsid w:val="00873602"/>
    <w:rsid w:val="00875D12"/>
    <w:rsid w:val="0088479D"/>
    <w:rsid w:val="00891F42"/>
    <w:rsid w:val="00896889"/>
    <w:rsid w:val="008A59EE"/>
    <w:rsid w:val="008A6E97"/>
    <w:rsid w:val="008C5714"/>
    <w:rsid w:val="008D10B2"/>
    <w:rsid w:val="00903896"/>
    <w:rsid w:val="00906F3D"/>
    <w:rsid w:val="0094424E"/>
    <w:rsid w:val="00955642"/>
    <w:rsid w:val="009622DF"/>
    <w:rsid w:val="0096493F"/>
    <w:rsid w:val="00967DFF"/>
    <w:rsid w:val="00981AFD"/>
    <w:rsid w:val="00994341"/>
    <w:rsid w:val="009D1A48"/>
    <w:rsid w:val="009E1CE7"/>
    <w:rsid w:val="009E2851"/>
    <w:rsid w:val="009E4EA5"/>
    <w:rsid w:val="009F164B"/>
    <w:rsid w:val="009F323C"/>
    <w:rsid w:val="00A3392B"/>
    <w:rsid w:val="00A81988"/>
    <w:rsid w:val="00A85E34"/>
    <w:rsid w:val="00A87DF6"/>
    <w:rsid w:val="00A9144F"/>
    <w:rsid w:val="00A94B64"/>
    <w:rsid w:val="00AA3229"/>
    <w:rsid w:val="00AA7596"/>
    <w:rsid w:val="00AB5E52"/>
    <w:rsid w:val="00AC3B02"/>
    <w:rsid w:val="00AC3B7B"/>
    <w:rsid w:val="00AC5209"/>
    <w:rsid w:val="00AE0E34"/>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22D93"/>
    <w:rsid w:val="00C23458"/>
    <w:rsid w:val="00C31120"/>
    <w:rsid w:val="00C33C9A"/>
    <w:rsid w:val="00C34482"/>
    <w:rsid w:val="00C43648"/>
    <w:rsid w:val="00C50A9F"/>
    <w:rsid w:val="00C642FA"/>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07F8"/>
    <w:rsid w:val="00DE1E7D"/>
    <w:rsid w:val="00DE6BF6"/>
    <w:rsid w:val="00E1068A"/>
    <w:rsid w:val="00E25884"/>
    <w:rsid w:val="00E25B55"/>
    <w:rsid w:val="00E31C2B"/>
    <w:rsid w:val="00E5426A"/>
    <w:rsid w:val="00E54642"/>
    <w:rsid w:val="00E80CBE"/>
    <w:rsid w:val="00E84F44"/>
    <w:rsid w:val="00E9269D"/>
    <w:rsid w:val="00E962E3"/>
    <w:rsid w:val="00EB6C79"/>
    <w:rsid w:val="00EC37E9"/>
    <w:rsid w:val="00F038D8"/>
    <w:rsid w:val="00F06995"/>
    <w:rsid w:val="00F12D66"/>
    <w:rsid w:val="00F13623"/>
    <w:rsid w:val="00F44D1D"/>
    <w:rsid w:val="00F84B6D"/>
    <w:rsid w:val="00F957E8"/>
    <w:rsid w:val="00FA311A"/>
    <w:rsid w:val="00FA5FDA"/>
    <w:rsid w:val="00FA7FD0"/>
    <w:rsid w:val="00FB380F"/>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9921"/>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paragraph" w:styleId="5">
    <w:name w:val="heading 5"/>
    <w:basedOn w:val="a"/>
    <w:next w:val="a"/>
    <w:link w:val="50"/>
    <w:semiHidden/>
    <w:unhideWhenUsed/>
    <w:qFormat/>
    <w:rsid w:val="00FB380F"/>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50">
    <w:name w:val="כותרת 5 תו"/>
    <w:basedOn w:val="a0"/>
    <w:link w:val="5"/>
    <w:semiHidden/>
    <w:rsid w:val="00FB380F"/>
    <w:rPr>
      <w:rFonts w:asciiTheme="majorHAnsi" w:eastAsiaTheme="majorEastAsia" w:hAnsiTheme="majorHAnsi" w:cstheme="majorBidi"/>
      <w:noProof/>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278223">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4F434C" w:rsidP="004F434C">
          <w:pPr>
            <w:pStyle w:val="E460D38E05664FF79D4EFF282EF8EC9929"/>
          </w:pPr>
          <w:r>
            <w:rPr>
              <w:rFonts w:hint="cs"/>
              <w:rtl/>
            </w:rPr>
            <w:t xml:space="preserve">     </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673B50" w:rsidP="00673B50">
          <w:pPr>
            <w:pStyle w:val="4672CCA166BA4F0A892EB1D7BA0002CB3"/>
          </w:pPr>
          <w:r>
            <w:rPr>
              <w:b/>
              <w:bCs/>
              <w:noProof w:val="0"/>
              <w:sz w:val="26"/>
              <w:szCs w:val="26"/>
              <w:rtl/>
            </w:rPr>
            <w:t>שם תיק ללא שמות חסויים</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673B50" w:rsidP="00673B50">
          <w:pPr>
            <w:pStyle w:val="4DC45A2FD697422FAA3CD896A84FA7B43"/>
          </w:pPr>
          <w:r w:rsidRPr="00CD516B">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345C9D"/>
    <w:rsid w:val="0048651F"/>
    <w:rsid w:val="004B017A"/>
    <w:rsid w:val="004F434C"/>
    <w:rsid w:val="005157ED"/>
    <w:rsid w:val="00556D67"/>
    <w:rsid w:val="00673B50"/>
    <w:rsid w:val="00793995"/>
    <w:rsid w:val="007C6F98"/>
    <w:rsid w:val="007E254A"/>
    <w:rsid w:val="008B4366"/>
    <w:rsid w:val="009133C7"/>
    <w:rsid w:val="009178E4"/>
    <w:rsid w:val="00961B27"/>
    <w:rsid w:val="009A36E7"/>
    <w:rsid w:val="00AA7CE3"/>
    <w:rsid w:val="00B50DB2"/>
    <w:rsid w:val="00B72BC2"/>
    <w:rsid w:val="00B91FA3"/>
    <w:rsid w:val="00BE6557"/>
    <w:rsid w:val="00C96C06"/>
    <w:rsid w:val="00D24521"/>
    <w:rsid w:val="00D6580E"/>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F434C"/>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4F434C"/>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2637</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2022-08-21T12:32:00Z</cp:lastPrinted>
  <dcterms:created xsi:type="dcterms:W3CDTF">2022-08-25T08:25:00Z</dcterms:created>
  <dcterms:modified xsi:type="dcterms:W3CDTF">2022-08-25T08:25:00Z</dcterms:modified>
</cp:coreProperties>
</file>