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b"/>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יעל בלכר</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504413" w:rsidRDefault="00E06255" w:rsidP="00E06255">
                <w:pPr>
                  <w:suppressLineNumbers/>
                  <w:rPr>
                    <w:rFonts w:ascii="Arial" w:hAnsi="Arial"/>
                    <w:b/>
                    <w:bCs/>
                    <w:noProof w:val="0"/>
                    <w:sz w:val="26"/>
                    <w:szCs w:val="26"/>
                    <w:rtl/>
                  </w:rPr>
                </w:pPr>
                <w:r>
                  <w:rPr>
                    <w:rFonts w:ascii="Arial" w:hAnsi="Arial" w:hint="cs"/>
                    <w:b/>
                    <w:bCs/>
                    <w:noProof w:val="0"/>
                    <w:sz w:val="26"/>
                    <w:szCs w:val="26"/>
                    <w:rtl/>
                  </w:rPr>
                  <w:t>התובעת</w:t>
                </w:r>
                <w:r>
                  <w:rPr>
                    <w:rFonts w:ascii="Arial" w:hAnsi="Arial"/>
                    <w:b/>
                    <w:bCs/>
                    <w:noProof w:val="0"/>
                    <w:sz w:val="26"/>
                    <w:szCs w:val="26"/>
                    <w:rtl/>
                  </w:rPr>
                  <w:br/>
                </w:r>
                <w:r>
                  <w:rPr>
                    <w:rFonts w:ascii="Arial" w:hAnsi="Arial" w:hint="cs"/>
                    <w:b/>
                    <w:bCs/>
                    <w:noProof w:val="0"/>
                    <w:sz w:val="26"/>
                    <w:szCs w:val="26"/>
                    <w:rtl/>
                  </w:rPr>
                  <w:t>והנתבעת שכנגד 1</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D70485" w:rsidP="007C2453">
            <w:pPr>
              <w:suppressLineNumbers/>
              <w:rPr>
                <w:b/>
                <w:bCs/>
                <w:noProof w:val="0"/>
                <w:sz w:val="26"/>
                <w:szCs w:val="26"/>
              </w:rPr>
            </w:pP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424313">
                  <w:rPr>
                    <w:rFonts w:ascii="Arial" w:hAnsi="Arial" w:hint="eastAsia"/>
                    <w:b/>
                    <w:bCs/>
                    <w:noProof w:val="0"/>
                    <w:sz w:val="26"/>
                    <w:szCs w:val="26"/>
                    <w:rtl/>
                  </w:rPr>
                  <w:t>מרכזי מסחר (אזו-ריט) בע"מ</w:t>
                </w:r>
              </w:sdtContent>
            </w:sdt>
            <w:r w:rsidR="00B859C5">
              <w:rPr>
                <w:rFonts w:hint="cs"/>
                <w:rtl/>
              </w:rPr>
              <w:t xml:space="preserve"> </w:t>
            </w:r>
            <w:r w:rsidR="00E06255">
              <w:rPr>
                <w:rFonts w:ascii="Arial" w:hAnsi="Arial"/>
                <w:b/>
                <w:bCs/>
                <w:noProof w:val="0"/>
                <w:sz w:val="26"/>
                <w:szCs w:val="26"/>
                <w:rtl/>
              </w:rPr>
              <w:br/>
            </w:r>
            <w:r w:rsidR="00B859C5" w:rsidRPr="00E06255">
              <w:rPr>
                <w:rFonts w:ascii="Arial" w:hAnsi="Arial"/>
                <w:noProof w:val="0"/>
                <w:rtl/>
              </w:rPr>
              <w:t>ע"י ב"כ עוה"ד</w:t>
            </w:r>
            <w:r w:rsidR="00E06255" w:rsidRPr="00E06255">
              <w:rPr>
                <w:rFonts w:hint="cs"/>
                <w:noProof w:val="0"/>
                <w:rtl/>
              </w:rPr>
              <w:t xml:space="preserve"> יגאל דורון ועמית מנשה</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D70485" w:rsidP="00E06255">
            <w:pPr>
              <w:suppressLineNumbers/>
              <w:rPr>
                <w:rFonts w:ascii="Arial" w:hAnsi="Arial"/>
                <w:b/>
                <w:bCs/>
                <w:noProof w:val="0"/>
                <w:sz w:val="26"/>
                <w:szCs w:val="26"/>
              </w:rPr>
            </w:pPr>
            <w:sdt>
              <w:sdtPr>
                <w:rPr>
                  <w:b/>
                  <w:bCs/>
                  <w:rtl/>
                </w:rPr>
                <w:alias w:val="1184"/>
                <w:tag w:val="1184"/>
                <w:id w:val="-340621022"/>
                <w:text w:multiLine="1"/>
              </w:sdtPr>
              <w:sdtEndPr/>
              <w:sdtContent>
                <w:r w:rsidR="00E06255" w:rsidRPr="00E06255">
                  <w:rPr>
                    <w:rFonts w:ascii="Arial" w:hAnsi="Arial" w:hint="cs"/>
                    <w:b/>
                    <w:bCs/>
                    <w:noProof w:val="0"/>
                    <w:sz w:val="26"/>
                    <w:szCs w:val="26"/>
                    <w:rtl/>
                  </w:rPr>
                  <w:t>ה</w:t>
                </w:r>
                <w:r w:rsidR="00424313" w:rsidRPr="00E06255">
                  <w:rPr>
                    <w:rFonts w:ascii="Arial" w:hAnsi="Arial"/>
                    <w:b/>
                    <w:bCs/>
                    <w:noProof w:val="0"/>
                    <w:sz w:val="26"/>
                    <w:szCs w:val="26"/>
                    <w:rtl/>
                  </w:rPr>
                  <w:t>נתבע</w:t>
                </w:r>
                <w:r w:rsidR="00E06255" w:rsidRPr="00E06255">
                  <w:rPr>
                    <w:rFonts w:ascii="Arial" w:hAnsi="Arial" w:hint="cs"/>
                    <w:b/>
                    <w:bCs/>
                    <w:noProof w:val="0"/>
                    <w:sz w:val="26"/>
                    <w:szCs w:val="26"/>
                    <w:rtl/>
                  </w:rPr>
                  <w:t>ת</w:t>
                </w:r>
                <w:r w:rsidR="00E06255" w:rsidRPr="00E06255">
                  <w:rPr>
                    <w:rFonts w:ascii="Arial" w:hAnsi="Arial"/>
                    <w:b/>
                    <w:bCs/>
                    <w:noProof w:val="0"/>
                    <w:sz w:val="26"/>
                    <w:szCs w:val="26"/>
                    <w:rtl/>
                  </w:rPr>
                  <w:br/>
                </w:r>
                <w:r w:rsidR="00E06255" w:rsidRPr="00E06255">
                  <w:rPr>
                    <w:rFonts w:hint="cs"/>
                    <w:b/>
                    <w:bCs/>
                    <w:rtl/>
                  </w:rPr>
                  <w:t>והתובעת שכנגד</w:t>
                </w:r>
              </w:sdtContent>
            </w:sdt>
          </w:p>
        </w:tc>
        <w:tc>
          <w:tcPr>
            <w:tcW w:w="5571" w:type="dxa"/>
          </w:tcPr>
          <w:p w:rsidR="00CF6BB7" w:rsidRPr="009E461A" w:rsidRDefault="00D70485" w:rsidP="007C2453">
            <w:pPr>
              <w:suppressLineNumbers/>
              <w:rPr>
                <w:rtl/>
              </w:rPr>
            </w:pP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424313">
                  <w:rPr>
                    <w:rFonts w:ascii="Arial" w:hAnsi="Arial" w:hint="eastAsia"/>
                    <w:b/>
                    <w:bCs/>
                    <w:noProof w:val="0"/>
                    <w:sz w:val="26"/>
                    <w:szCs w:val="26"/>
                    <w:rtl/>
                  </w:rPr>
                  <w:t>המשביר 365 החזקות בע"מ</w:t>
                </w:r>
              </w:sdtContent>
            </w:sdt>
            <w:r w:rsidR="00B859C5">
              <w:rPr>
                <w:rFonts w:hint="cs"/>
                <w:rtl/>
              </w:rPr>
              <w:t xml:space="preserve"> </w:t>
            </w:r>
            <w:r w:rsidR="00E06255">
              <w:rPr>
                <w:rFonts w:ascii="Arial" w:hAnsi="Arial"/>
                <w:b/>
                <w:bCs/>
                <w:noProof w:val="0"/>
                <w:sz w:val="26"/>
                <w:szCs w:val="26"/>
                <w:rtl/>
              </w:rPr>
              <w:br/>
            </w:r>
            <w:r w:rsidR="00B859C5" w:rsidRPr="00E06255">
              <w:rPr>
                <w:rFonts w:ascii="Arial" w:hAnsi="Arial"/>
                <w:noProof w:val="0"/>
                <w:rtl/>
              </w:rPr>
              <w:t>ע"י ב"כ עוה"ד</w:t>
            </w:r>
            <w:r w:rsidR="00E06255">
              <w:rPr>
                <w:rFonts w:hint="cs"/>
                <w:rtl/>
              </w:rPr>
              <w:t xml:space="preserve"> מאיה נוסבאום רפפורט וניב אזובל</w:t>
            </w:r>
          </w:p>
        </w:tc>
      </w:tr>
      <w:tr w:rsidR="00CF6BB7" w:rsidTr="00280865">
        <w:trPr>
          <w:jc w:val="center"/>
        </w:trPr>
        <w:tc>
          <w:tcPr>
            <w:tcW w:w="8820" w:type="dxa"/>
            <w:gridSpan w:val="3"/>
          </w:tcPr>
          <w:p w:rsidR="00CF6BB7" w:rsidRPr="00E06255" w:rsidRDefault="00CF6BB7" w:rsidP="00D44968">
            <w:pPr>
              <w:suppressLineNumbers/>
              <w:rPr>
                <w:b/>
                <w:bCs/>
              </w:rPr>
            </w:pPr>
          </w:p>
          <w:p w:rsidR="00CF6BB7" w:rsidRPr="00E06255" w:rsidRDefault="00CF6BB7" w:rsidP="00D44968">
            <w:pPr>
              <w:suppressLineNumbers/>
              <w:rPr>
                <w:b/>
                <w:bCs/>
                <w:rtl/>
              </w:rPr>
            </w:pPr>
          </w:p>
          <w:p w:rsidR="00CF6BB7" w:rsidRPr="00E06255" w:rsidRDefault="00E06255" w:rsidP="00CD2861">
            <w:pPr>
              <w:suppressLineNumbers/>
              <w:rPr>
                <w:b/>
                <w:bCs/>
                <w:rtl/>
              </w:rPr>
            </w:pPr>
            <w:r w:rsidRPr="00E06255">
              <w:rPr>
                <w:rFonts w:hint="cs"/>
                <w:b/>
                <w:bCs/>
                <w:rtl/>
              </w:rPr>
              <w:t>הנתבעת שכנגד 2                                 מליסרון בע"מ</w:t>
            </w:r>
          </w:p>
        </w:tc>
      </w:tr>
      <w:tr w:rsidR="00CF6BB7">
        <w:trPr>
          <w:jc w:val="center"/>
        </w:trPr>
        <w:tc>
          <w:tcPr>
            <w:tcW w:w="3249" w:type="dxa"/>
            <w:gridSpan w:val="2"/>
          </w:tcPr>
          <w:p w:rsidR="00A46717" w:rsidRPr="00E06255" w:rsidRDefault="00A46717" w:rsidP="00A46717">
            <w:pPr>
              <w:rPr>
                <w:rFonts w:ascii="Arial" w:hAnsi="Arial"/>
                <w:b/>
                <w:bCs/>
                <w:noProof w:val="0"/>
                <w:sz w:val="26"/>
                <w:szCs w:val="26"/>
              </w:rPr>
            </w:pPr>
          </w:p>
        </w:tc>
        <w:tc>
          <w:tcPr>
            <w:tcW w:w="5571" w:type="dxa"/>
          </w:tcPr>
          <w:p w:rsidR="00A46717" w:rsidRPr="00E06255" w:rsidRDefault="00CD2861" w:rsidP="00A46717">
            <w:pPr>
              <w:rPr>
                <w:rFonts w:ascii="Arial" w:hAnsi="Arial"/>
                <w:b/>
                <w:bCs/>
                <w:noProof w:val="0"/>
                <w:sz w:val="26"/>
                <w:szCs w:val="26"/>
              </w:rPr>
            </w:pPr>
            <w:r w:rsidRPr="00E06255">
              <w:rPr>
                <w:rFonts w:ascii="Arial" w:hAnsi="Arial"/>
                <w:noProof w:val="0"/>
                <w:rtl/>
              </w:rPr>
              <w:t>ע"י ב"כ עוה"ד</w:t>
            </w:r>
            <w:r w:rsidRPr="00E06255">
              <w:rPr>
                <w:rFonts w:hint="cs"/>
                <w:noProof w:val="0"/>
                <w:rtl/>
              </w:rPr>
              <w:t xml:space="preserve"> יגאל דורון ועמית מנשה</w:t>
            </w:r>
          </w:p>
        </w:tc>
      </w:tr>
      <w:tr w:rsidR="004C17EE" w:rsidTr="00D620FD">
        <w:trPr>
          <w:jc w:val="center"/>
        </w:trPr>
        <w:tc>
          <w:tcPr>
            <w:tcW w:w="8820" w:type="dxa"/>
            <w:gridSpan w:val="3"/>
          </w:tcPr>
          <w:p w:rsidR="00504413" w:rsidRDefault="00504413">
            <w:pPr>
              <w:suppressLineNumbers/>
              <w:rPr>
                <w:rFonts w:ascii="Arial" w:hAnsi="Arial"/>
                <w:b/>
                <w:bCs/>
                <w:noProof w:val="0"/>
                <w:sz w:val="26"/>
                <w:szCs w:val="26"/>
                <w:rtl/>
              </w:rPr>
            </w:pPr>
          </w:p>
        </w:tc>
      </w:tr>
    </w:tbl>
    <w:p w:rsidR="0094424E" w:rsidRDefault="0094424E" w:rsidP="00D44968">
      <w:pPr>
        <w:suppressLineNumbers/>
        <w:rPr>
          <w:rtl/>
        </w:rPr>
      </w:pPr>
    </w:p>
    <w:tbl>
      <w:tblPr>
        <w:tblStyle w:val="ab"/>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CD2861" w:rsidRDefault="00CD2861" w:rsidP="00CD2861">
      <w:pPr>
        <w:spacing w:after="120" w:line="360" w:lineRule="auto"/>
        <w:ind w:left="-58"/>
        <w:jc w:val="both"/>
        <w:rPr>
          <w:rFonts w:ascii="David" w:hAnsi="David"/>
          <w:noProof w:val="0"/>
        </w:rPr>
      </w:pPr>
      <w:bookmarkStart w:id="0" w:name="NGCSBookmark"/>
      <w:bookmarkEnd w:id="0"/>
      <w:r>
        <w:rPr>
          <w:rFonts w:ascii="David" w:hAnsi="David"/>
          <w:rtl/>
        </w:rPr>
        <w:t xml:space="preserve">סכסוך בין צדדים להסכם שכירות לטווח ארוך בנכס מסחרי בכיכר ציון בירושלים. </w:t>
      </w:r>
    </w:p>
    <w:p w:rsidR="00CD2861" w:rsidRDefault="00CD2861" w:rsidP="00CD2861">
      <w:pPr>
        <w:spacing w:after="120" w:line="360" w:lineRule="auto"/>
        <w:ind w:left="-58"/>
        <w:jc w:val="both"/>
        <w:rPr>
          <w:rFonts w:ascii="David" w:hAnsi="David"/>
        </w:rPr>
      </w:pPr>
      <w:r>
        <w:rPr>
          <w:rFonts w:ascii="David" w:hAnsi="David"/>
          <w:b/>
          <w:bCs/>
          <w:rtl/>
        </w:rPr>
        <w:t xml:space="preserve">התביעה </w:t>
      </w:r>
      <w:r>
        <w:rPr>
          <w:rFonts w:ascii="David" w:hAnsi="David" w:hint="cs"/>
          <w:b/>
          <w:bCs/>
          <w:rtl/>
        </w:rPr>
        <w:t>ה</w:t>
      </w:r>
      <w:r>
        <w:rPr>
          <w:rFonts w:ascii="David" w:hAnsi="David"/>
          <w:b/>
          <w:bCs/>
          <w:rtl/>
        </w:rPr>
        <w:t>עיקרית</w:t>
      </w:r>
      <w:r>
        <w:rPr>
          <w:rFonts w:ascii="David" w:hAnsi="David"/>
          <w:rtl/>
        </w:rPr>
        <w:t xml:space="preserve">, בסך של כ- 12 מיליון ₪, הוגשה על ידי המשכירה כנגד השוכרת, בגין אי תשלום מלוא דמי השכירות בתקופה שמחודש מרץ 2020 ועד להגשת התביעה. ברקע הדברים, הקלות שביקשה השוכרת בתקופת מגפת הקורונה. השאלה העיקרית היא האם </w:t>
      </w:r>
      <w:r>
        <w:rPr>
          <w:rFonts w:ascii="David" w:hAnsi="David" w:hint="cs"/>
          <w:rtl/>
        </w:rPr>
        <w:t xml:space="preserve">המשא ומתן </w:t>
      </w:r>
      <w:r>
        <w:rPr>
          <w:rFonts w:ascii="David" w:hAnsi="David"/>
          <w:rtl/>
        </w:rPr>
        <w:t xml:space="preserve">השתכלל </w:t>
      </w:r>
      <w:r>
        <w:rPr>
          <w:rFonts w:ascii="David" w:hAnsi="David" w:hint="cs"/>
          <w:rtl/>
        </w:rPr>
        <w:t>לה</w:t>
      </w:r>
      <w:r>
        <w:rPr>
          <w:rFonts w:ascii="David" w:hAnsi="David"/>
          <w:rtl/>
        </w:rPr>
        <w:t xml:space="preserve">סכמה מחייבת בדבר מתן הנחות לשוכרת אם לאו. </w:t>
      </w:r>
    </w:p>
    <w:p w:rsidR="00CD2861" w:rsidRDefault="00CD2861" w:rsidP="00CD2861">
      <w:pPr>
        <w:spacing w:after="120" w:line="360" w:lineRule="auto"/>
        <w:ind w:left="-58"/>
        <w:jc w:val="both"/>
        <w:rPr>
          <w:rFonts w:ascii="David" w:hAnsi="David"/>
          <w:rtl/>
        </w:rPr>
      </w:pPr>
      <w:r>
        <w:rPr>
          <w:rFonts w:ascii="David" w:hAnsi="David"/>
          <w:b/>
          <w:bCs/>
          <w:rtl/>
        </w:rPr>
        <w:t>התביעה שכנגד</w:t>
      </w:r>
      <w:r>
        <w:rPr>
          <w:rFonts w:ascii="David" w:hAnsi="David"/>
          <w:rtl/>
        </w:rPr>
        <w:t xml:space="preserve">, בסך של כ- 17 מיליון ₪, היא תביעת השוכרת להשבת סכומים ששילמה לפי הטענה ביתר כדמי שכירות, בשל כך ששטח המושכר בפועל קטן מזה שהובטח בהסכם השכירות. </w:t>
      </w:r>
    </w:p>
    <w:p w:rsidR="00CD2861" w:rsidRPr="00426427" w:rsidRDefault="00CD2861" w:rsidP="00CD2861">
      <w:pPr>
        <w:spacing w:after="120" w:line="360" w:lineRule="auto"/>
        <w:jc w:val="both"/>
        <w:rPr>
          <w:rFonts w:ascii="David" w:hAnsi="David"/>
          <w:b/>
          <w:bCs/>
          <w:sz w:val="28"/>
          <w:szCs w:val="28"/>
          <w:u w:val="single"/>
          <w:rtl/>
        </w:rPr>
      </w:pPr>
      <w:r>
        <w:rPr>
          <w:rFonts w:ascii="David" w:hAnsi="David"/>
          <w:b/>
          <w:bCs/>
          <w:u w:val="single"/>
          <w:rtl/>
        </w:rPr>
        <w:br/>
      </w:r>
      <w:r w:rsidRPr="00426427">
        <w:rPr>
          <w:rFonts w:ascii="David" w:hAnsi="David"/>
          <w:b/>
          <w:bCs/>
          <w:sz w:val="28"/>
          <w:szCs w:val="28"/>
        </w:rPr>
        <w:t xml:space="preserve"> I</w:t>
      </w:r>
      <w:r w:rsidRPr="00426427">
        <w:rPr>
          <w:rFonts w:ascii="David" w:hAnsi="David"/>
          <w:b/>
          <w:bCs/>
          <w:sz w:val="28"/>
          <w:szCs w:val="28"/>
          <w:rtl/>
        </w:rPr>
        <w:t xml:space="preserve">– </w:t>
      </w:r>
      <w:r w:rsidRPr="00426427">
        <w:rPr>
          <w:rFonts w:ascii="David" w:hAnsi="David"/>
          <w:b/>
          <w:bCs/>
          <w:sz w:val="28"/>
          <w:szCs w:val="28"/>
          <w:u w:val="single"/>
          <w:rtl/>
        </w:rPr>
        <w:t xml:space="preserve">רקע עובדתי: הסכם השכירות והנפשות הפועלות </w:t>
      </w: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המושכר מצוי במקרקעין הידועים כגוש 30035 חלקות 45 ו-46 ברח' יפו 39 בכיכר ציון בירושלים (</w:t>
      </w:r>
      <w:r>
        <w:rPr>
          <w:rFonts w:ascii="David" w:hAnsi="David"/>
          <w:b/>
          <w:bCs/>
          <w:rtl/>
        </w:rPr>
        <w:t>המושכר</w:t>
      </w:r>
      <w:r>
        <w:rPr>
          <w:rFonts w:ascii="David" w:hAnsi="David"/>
          <w:rtl/>
        </w:rPr>
        <w:t xml:space="preserve"> או </w:t>
      </w:r>
      <w:r>
        <w:rPr>
          <w:rFonts w:ascii="David" w:hAnsi="David"/>
          <w:b/>
          <w:bCs/>
          <w:rtl/>
        </w:rPr>
        <w:t>הנכס</w:t>
      </w:r>
      <w:r>
        <w:rPr>
          <w:rFonts w:ascii="David" w:hAnsi="David"/>
          <w:rtl/>
        </w:rPr>
        <w:t>). המשכירה (</w:t>
      </w:r>
      <w:r>
        <w:rPr>
          <w:rFonts w:ascii="David" w:hAnsi="David"/>
          <w:b/>
          <w:bCs/>
          <w:rtl/>
        </w:rPr>
        <w:t xml:space="preserve">התובעת </w:t>
      </w:r>
      <w:r>
        <w:rPr>
          <w:rFonts w:ascii="David" w:hAnsi="David"/>
          <w:rtl/>
        </w:rPr>
        <w:t>או</w:t>
      </w:r>
      <w:r>
        <w:rPr>
          <w:rFonts w:ascii="David" w:hAnsi="David"/>
          <w:b/>
          <w:bCs/>
          <w:rtl/>
        </w:rPr>
        <w:t xml:space="preserve"> אזו-ריט</w:t>
      </w:r>
      <w:r>
        <w:rPr>
          <w:rFonts w:ascii="David" w:hAnsi="David"/>
          <w:rtl/>
        </w:rPr>
        <w:t>), חברה פרטית מקבוצת מליסרון בע"מ (הנתבעת שכנגד 2) (</w:t>
      </w:r>
      <w:r>
        <w:rPr>
          <w:rFonts w:ascii="David" w:hAnsi="David"/>
          <w:b/>
          <w:bCs/>
          <w:rtl/>
        </w:rPr>
        <w:t>מליסרון)</w:t>
      </w:r>
      <w:r>
        <w:rPr>
          <w:rFonts w:ascii="David" w:hAnsi="David"/>
          <w:rtl/>
        </w:rPr>
        <w:t xml:space="preserve">, היא הבעלים של המושכר.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מר אופיר שריד הוא מנכ"ל קבוצת מליסרון החל מנובמבר 2019</w:t>
      </w:r>
      <w:r>
        <w:rPr>
          <w:rFonts w:ascii="David" w:hAnsi="David" w:hint="cs"/>
          <w:rtl/>
        </w:rPr>
        <w:t>.</w:t>
      </w:r>
      <w:r>
        <w:rPr>
          <w:rFonts w:ascii="David" w:hAnsi="David"/>
          <w:rtl/>
        </w:rPr>
        <w:t xml:space="preserve"> קודם למועד זה כיהן כ- </w:t>
      </w:r>
      <w:r>
        <w:rPr>
          <w:rFonts w:ascii="David" w:hAnsi="David"/>
        </w:rPr>
        <w:t>CFO</w:t>
      </w:r>
      <w:r>
        <w:rPr>
          <w:rFonts w:ascii="David" w:hAnsi="David"/>
          <w:rtl/>
        </w:rPr>
        <w:t xml:space="preserve"> </w:t>
      </w:r>
      <w:r>
        <w:rPr>
          <w:rFonts w:ascii="David" w:hAnsi="David" w:hint="cs"/>
          <w:rtl/>
        </w:rPr>
        <w:t>(</w:t>
      </w:r>
      <w:r>
        <w:rPr>
          <w:rFonts w:ascii="David" w:hAnsi="David" w:hint="cs"/>
          <w:b/>
          <w:bCs/>
          <w:rtl/>
        </w:rPr>
        <w:t>שריד</w:t>
      </w:r>
      <w:r>
        <w:rPr>
          <w:rFonts w:ascii="David" w:hAnsi="David" w:hint="cs"/>
          <w:rtl/>
        </w:rPr>
        <w:t xml:space="preserve"> או </w:t>
      </w:r>
      <w:r>
        <w:rPr>
          <w:rFonts w:ascii="David" w:hAnsi="David" w:hint="cs"/>
          <w:b/>
          <w:bCs/>
          <w:rtl/>
        </w:rPr>
        <w:t>אופיר</w:t>
      </w:r>
      <w:r>
        <w:rPr>
          <w:rFonts w:ascii="David" w:hAnsi="David" w:hint="cs"/>
          <w:rtl/>
        </w:rPr>
        <w:t>). עו"ד גיא כשר הוא חבר הנהלת מליסרון והיועץ המשפטי הפנימי של הקבוצה (</w:t>
      </w:r>
      <w:r>
        <w:rPr>
          <w:rFonts w:ascii="David" w:hAnsi="David" w:hint="cs"/>
          <w:b/>
          <w:bCs/>
          <w:rtl/>
        </w:rPr>
        <w:t>עו"ד כשר</w:t>
      </w:r>
      <w:r>
        <w:rPr>
          <w:rFonts w:ascii="David" w:hAnsi="David" w:hint="cs"/>
          <w:rtl/>
        </w:rPr>
        <w:t xml:space="preserve"> או </w:t>
      </w:r>
      <w:r>
        <w:rPr>
          <w:rFonts w:ascii="David" w:hAnsi="David" w:hint="cs"/>
          <w:b/>
          <w:bCs/>
          <w:rtl/>
        </w:rPr>
        <w:t>גיא</w:t>
      </w:r>
      <w:r>
        <w:rPr>
          <w:rFonts w:ascii="David" w:hAnsi="David" w:hint="cs"/>
          <w:rtl/>
        </w:rPr>
        <w:t>). גב' זהורית כהן היא מנהלת תיקי שוכרים במליסרון (</w:t>
      </w:r>
      <w:r>
        <w:rPr>
          <w:rFonts w:ascii="David" w:hAnsi="David" w:hint="cs"/>
          <w:b/>
          <w:bCs/>
          <w:rtl/>
        </w:rPr>
        <w:t>כהן</w:t>
      </w:r>
      <w:r>
        <w:rPr>
          <w:rFonts w:ascii="David" w:hAnsi="David" w:hint="cs"/>
          <w:rtl/>
        </w:rPr>
        <w:t xml:space="preserve"> או </w:t>
      </w:r>
      <w:r>
        <w:rPr>
          <w:rFonts w:ascii="David" w:hAnsi="David" w:hint="cs"/>
          <w:b/>
          <w:bCs/>
          <w:rtl/>
        </w:rPr>
        <w:t>זהורית</w:t>
      </w:r>
      <w:r>
        <w:rPr>
          <w:rFonts w:ascii="David" w:hAnsi="David" w:hint="cs"/>
          <w:rtl/>
        </w:rPr>
        <w:t>). הנ"ל פעלו מטעם התובעת ומליסרון באירועים הנדונים, והגישו תצהירים מטעמן.</w:t>
      </w:r>
    </w:p>
    <w:p w:rsidR="00CD2861" w:rsidRDefault="00CD2861" w:rsidP="00CD2861">
      <w:pPr>
        <w:spacing w:line="360" w:lineRule="auto"/>
        <w:jc w:val="both"/>
        <w:rPr>
          <w:rFonts w:ascii="David" w:hAnsi="David"/>
        </w:rPr>
      </w:pPr>
    </w:p>
    <w:p w:rsidR="00CD2861" w:rsidRDefault="00CD2861" w:rsidP="00BF775D">
      <w:pPr>
        <w:pStyle w:val="af"/>
        <w:numPr>
          <w:ilvl w:val="0"/>
          <w:numId w:val="2"/>
        </w:numPr>
        <w:spacing w:before="0" w:after="0" w:line="360" w:lineRule="auto"/>
        <w:ind w:left="509" w:hanging="567"/>
        <w:jc w:val="both"/>
        <w:rPr>
          <w:rFonts w:ascii="David" w:hAnsi="David"/>
          <w:rtl/>
        </w:rPr>
      </w:pPr>
      <w:r>
        <w:rPr>
          <w:rFonts w:ascii="David" w:hAnsi="David"/>
          <w:rtl/>
        </w:rPr>
        <w:lastRenderedPageBreak/>
        <w:t>הנתבעת היא חברה ציבורית המפעילה רשת בתי כלבו בארץ ומוכרת בשם "המשביר לצרכן" (</w:t>
      </w:r>
      <w:r>
        <w:rPr>
          <w:rFonts w:ascii="David" w:hAnsi="David"/>
          <w:b/>
          <w:bCs/>
          <w:rtl/>
        </w:rPr>
        <w:t>המשביר</w:t>
      </w:r>
      <w:r>
        <w:rPr>
          <w:rFonts w:ascii="David" w:hAnsi="David"/>
          <w:rtl/>
        </w:rPr>
        <w:t>). מר רמי שביט הוא בעל השליטה ומנכ"ל המשביר (</w:t>
      </w:r>
      <w:r>
        <w:rPr>
          <w:rFonts w:ascii="David" w:hAnsi="David"/>
          <w:b/>
          <w:bCs/>
          <w:rtl/>
        </w:rPr>
        <w:t>שביט</w:t>
      </w:r>
      <w:r>
        <w:rPr>
          <w:rFonts w:ascii="David" w:hAnsi="David"/>
          <w:rtl/>
        </w:rPr>
        <w:t xml:space="preserve"> או </w:t>
      </w:r>
      <w:r>
        <w:rPr>
          <w:rFonts w:ascii="David" w:hAnsi="David"/>
          <w:b/>
          <w:bCs/>
          <w:rtl/>
        </w:rPr>
        <w:t>רמי</w:t>
      </w:r>
      <w:r>
        <w:rPr>
          <w:rFonts w:ascii="David" w:hAnsi="David"/>
          <w:rtl/>
        </w:rPr>
        <w:t xml:space="preserve">). מר ניסים חסאן הוא המשנה למנכ"ל </w:t>
      </w:r>
      <w:r>
        <w:rPr>
          <w:rFonts w:ascii="David" w:hAnsi="David" w:hint="cs"/>
          <w:rtl/>
        </w:rPr>
        <w:t xml:space="preserve">המשביר </w:t>
      </w:r>
      <w:r>
        <w:rPr>
          <w:rFonts w:ascii="David" w:hAnsi="David"/>
          <w:rtl/>
        </w:rPr>
        <w:t>(</w:t>
      </w:r>
      <w:r>
        <w:rPr>
          <w:rFonts w:ascii="David" w:hAnsi="David"/>
          <w:b/>
          <w:bCs/>
          <w:rtl/>
        </w:rPr>
        <w:t>חסאן</w:t>
      </w:r>
      <w:r>
        <w:rPr>
          <w:rFonts w:ascii="David" w:hAnsi="David"/>
          <w:rtl/>
        </w:rPr>
        <w:t xml:space="preserve"> או </w:t>
      </w:r>
      <w:r>
        <w:rPr>
          <w:rFonts w:ascii="David" w:hAnsi="David"/>
          <w:b/>
          <w:bCs/>
          <w:rtl/>
        </w:rPr>
        <w:t>ניסים</w:t>
      </w:r>
      <w:r>
        <w:rPr>
          <w:rFonts w:ascii="David" w:hAnsi="David"/>
          <w:rtl/>
        </w:rPr>
        <w:t xml:space="preserve">). קודם לכן היה נושא משרה בחברה ואחראי, בין היתר, על תחום השכירות. עו"ד שירלי קוק, הייתה מנהלת הנכסים </w:t>
      </w:r>
      <w:r>
        <w:rPr>
          <w:rFonts w:ascii="David" w:hAnsi="David" w:hint="cs"/>
          <w:rtl/>
        </w:rPr>
        <w:t>במשביר</w:t>
      </w:r>
      <w:r>
        <w:rPr>
          <w:rFonts w:ascii="David" w:hAnsi="David"/>
          <w:rtl/>
        </w:rPr>
        <w:t xml:space="preserve"> החל משנת 2012, ומשמשת כיועצת המשפטית מחודש יולי 2019 (</w:t>
      </w:r>
      <w:r>
        <w:rPr>
          <w:rFonts w:ascii="David" w:hAnsi="David"/>
          <w:b/>
          <w:bCs/>
          <w:rtl/>
        </w:rPr>
        <w:t>עו"ד קוק</w:t>
      </w:r>
      <w:r>
        <w:rPr>
          <w:rFonts w:ascii="David" w:hAnsi="David"/>
          <w:rtl/>
        </w:rPr>
        <w:t xml:space="preserve"> או </w:t>
      </w:r>
      <w:r>
        <w:rPr>
          <w:rFonts w:ascii="David" w:hAnsi="David"/>
          <w:b/>
          <w:bCs/>
          <w:rtl/>
        </w:rPr>
        <w:t>שירלי</w:t>
      </w:r>
      <w:r>
        <w:rPr>
          <w:rFonts w:ascii="David" w:hAnsi="David"/>
          <w:rtl/>
        </w:rPr>
        <w:t>). הנ"ל פעלו מטעם המשביר באירועים הנדונים, והגישו תצהירים מטעמה.</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בין אזו-ריט למשביר הסכם שכירות מיום 10.3.2009, ולפיו שכרה המשביר את המושכר לתקופה בת 24 שנים ממועד פתיחת המושכר לקהל הרחב (20.10.2011), דהיינו: עד ליום 19.10.2035 (</w:t>
      </w:r>
      <w:r>
        <w:rPr>
          <w:rFonts w:ascii="David" w:hAnsi="David"/>
          <w:b/>
          <w:bCs/>
          <w:rtl/>
        </w:rPr>
        <w:t xml:space="preserve">הסכם השכירות </w:t>
      </w:r>
      <w:r>
        <w:rPr>
          <w:rFonts w:ascii="David" w:hAnsi="David"/>
          <w:rtl/>
        </w:rPr>
        <w:t>או</w:t>
      </w:r>
      <w:r>
        <w:rPr>
          <w:rFonts w:ascii="David" w:hAnsi="David"/>
          <w:b/>
          <w:bCs/>
          <w:rtl/>
        </w:rPr>
        <w:t xml:space="preserve"> ההסכם</w:t>
      </w:r>
      <w:r>
        <w:rPr>
          <w:rFonts w:ascii="David" w:hAnsi="David"/>
          <w:rtl/>
        </w:rPr>
        <w:t>, נספח 1 לתצהיר עו"ד כשר ולתצהיר שביט). דמי השכירות הועמדו על 8% מן הפדיון. נקבעו גם דמי שכירות מינימאליים בסך של 965,000 ₪ לחודש צמוד למדד, שיעלו ב- 10% מסכום דמי השכירות בחודש האחרון של תקופת השכירות שלפניה (נספח א' להסכם). עוד לפי ההסכם, המשכיר יקים במקרקעין מבנה שהמושכר יהיה חלק ממנו, בהתאם לתכניות המושכר, ברמת מעטפת ובתוספת דרגנועים שמקשרים בין הקומות. הוסכם גם שהמושכר יועמד לרשות המשביר לצורך ביצוע עבודות פנים על ידה, קודם לתחילת תקופת השכירות.</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bookmarkStart w:id="1" w:name="_Hlk193273283"/>
      <w:r>
        <w:rPr>
          <w:rFonts w:ascii="David" w:hAnsi="David"/>
          <w:rtl/>
        </w:rPr>
        <w:t xml:space="preserve">בכל הקשור לשטח המושכר וייעודו התכנוני, נקבע בסעיף 25.1 להסכם </w:t>
      </w:r>
      <w:r>
        <w:rPr>
          <w:rFonts w:ascii="David" w:hAnsi="David"/>
          <w:b/>
          <w:bCs/>
          <w:rtl/>
        </w:rPr>
        <w:t>תנאי מתלה</w:t>
      </w:r>
      <w:r>
        <w:rPr>
          <w:rFonts w:ascii="David" w:hAnsi="David"/>
          <w:rtl/>
        </w:rPr>
        <w:t xml:space="preserve"> (כך הוגדר התנאי בהסכם). התנאי המתלה לפרטיו רלבנטי במיוחד לתביעה שכנגד, אך הוא נדרש כחומר רקע גם לצורך התביעה העיקרית ועל כן יוצג כבר בשלב זה. זו לשונו:</w:t>
      </w:r>
    </w:p>
    <w:p w:rsidR="00CD2861" w:rsidRDefault="00CD2861" w:rsidP="00CD2861">
      <w:pPr>
        <w:spacing w:after="120" w:line="276" w:lineRule="auto"/>
        <w:ind w:left="720" w:right="720"/>
        <w:jc w:val="both"/>
        <w:rPr>
          <w:rFonts w:ascii="David" w:hAnsi="David"/>
          <w:b/>
          <w:bCs/>
          <w:rtl/>
        </w:rPr>
      </w:pPr>
    </w:p>
    <w:p w:rsidR="00CD2861" w:rsidRDefault="00CD2861" w:rsidP="00CD2861">
      <w:pPr>
        <w:spacing w:after="120" w:line="276" w:lineRule="auto"/>
        <w:ind w:left="1076" w:right="720"/>
        <w:jc w:val="both"/>
        <w:rPr>
          <w:rFonts w:ascii="David" w:hAnsi="David"/>
          <w:b/>
          <w:bCs/>
          <w:rtl/>
        </w:rPr>
      </w:pPr>
      <w:r>
        <w:rPr>
          <w:rFonts w:ascii="David" w:hAnsi="David"/>
          <w:b/>
          <w:bCs/>
          <w:rtl/>
        </w:rPr>
        <w:t xml:space="preserve">"25.1. למרות כל הוראות חוזה זה, השוכר מצהיר ומאשר שידוע לו כי נכון למועד חתימת חוזה זה </w:t>
      </w:r>
      <w:r>
        <w:rPr>
          <w:rFonts w:ascii="David" w:hAnsi="David"/>
          <w:b/>
          <w:bCs/>
          <w:u w:val="single"/>
          <w:rtl/>
        </w:rPr>
        <w:t>לא ניתן לעשות שימוש על פי התב"ע במלוא שטחי המושכר למטרת השכירות.</w:t>
      </w:r>
    </w:p>
    <w:p w:rsidR="00CD2861" w:rsidRDefault="00CD2861" w:rsidP="00CD2861">
      <w:pPr>
        <w:spacing w:line="276" w:lineRule="auto"/>
        <w:ind w:left="1076" w:right="720"/>
        <w:jc w:val="both"/>
        <w:rPr>
          <w:rFonts w:ascii="David" w:hAnsi="David"/>
          <w:b/>
          <w:bCs/>
        </w:rPr>
      </w:pPr>
      <w:r>
        <w:rPr>
          <w:rFonts w:ascii="David" w:hAnsi="David"/>
          <w:b/>
          <w:bCs/>
          <w:u w:val="single"/>
          <w:rtl/>
        </w:rPr>
        <w:t>מבלי לגרוע מהאמור לעיל, המשכיר יפעל כדי לנסות לגרום לכך שבמועד העמדת המושכר לצורך ביצוע עבודות השוכר ניתן יהיה להשתמש בלפחות בכ-5,600 מ"ר ברוטו משטחי המושכר למטרת השכירות</w:t>
      </w:r>
      <w:r>
        <w:rPr>
          <w:rFonts w:ascii="David" w:hAnsi="David"/>
          <w:b/>
          <w:bCs/>
          <w:rtl/>
        </w:rPr>
        <w:t xml:space="preserve"> (להלן – 'התנאי המתלה'). </w:t>
      </w:r>
      <w:r>
        <w:rPr>
          <w:rFonts w:ascii="David" w:hAnsi="David"/>
          <w:b/>
          <w:bCs/>
          <w:rtl/>
        </w:rPr>
        <w:tab/>
      </w:r>
      <w:r>
        <w:rPr>
          <w:rFonts w:ascii="David" w:hAnsi="David"/>
          <w:b/>
          <w:bCs/>
          <w:rtl/>
        </w:rPr>
        <w:br/>
      </w:r>
      <w:r>
        <w:rPr>
          <w:rFonts w:ascii="David" w:hAnsi="David"/>
          <w:b/>
          <w:bCs/>
          <w:rtl/>
        </w:rPr>
        <w:br/>
      </w:r>
      <w:r>
        <w:rPr>
          <w:rFonts w:ascii="David" w:hAnsi="David"/>
          <w:b/>
          <w:bCs/>
          <w:u w:val="single"/>
          <w:rtl/>
        </w:rPr>
        <w:t>במקרה שהתנאי המתלה לא יתקיים עד למועד העמדת המושכר לצורך ביצוע עבודות השוכר כאמור</w:t>
      </w:r>
      <w:r>
        <w:rPr>
          <w:rFonts w:ascii="David" w:hAnsi="David"/>
          <w:b/>
          <w:bCs/>
          <w:rtl/>
        </w:rPr>
        <w:t xml:space="preserve">, יהיה המשכיר רשאי לדחות את המועד הנ"ל, לתקופות אשר לא יעלו במצטבר על שלושה חודשים, וזאת על ידי מסירת הודעה בכתב על כך לשוכר, </w:t>
      </w:r>
      <w:r>
        <w:rPr>
          <w:rFonts w:ascii="David" w:hAnsi="David"/>
          <w:b/>
          <w:bCs/>
          <w:u w:val="single"/>
          <w:rtl/>
        </w:rPr>
        <w:t>וככל שגם עד למועד תחילת תקופת השכירות הנדחה כאמור לא יתקיים התנאי המתלה, יהיה כל אחד מהצדדים רשאי לבטל חוזה זה על ידי מסירת הודעה בכתב על כך למשנהו</w:t>
      </w:r>
      <w:r>
        <w:rPr>
          <w:rFonts w:ascii="David" w:hAnsi="David"/>
          <w:b/>
          <w:bCs/>
          <w:rtl/>
        </w:rPr>
        <w:t xml:space="preserve">. בוטל חוזה שכירות זה בנסיבות כאמור לעיל, יהיה חוזה שכירות זה בטל ומבוטל כאילו לא נחתם ולא תנבענה למי מהצדדים זכויות ו/או התחייבויות כלשהן על פיו ולשוכר לא תהיה כל טענה ו/או דרישה ו/או תביעה כלפי המשכיר. </w:t>
      </w:r>
      <w:r>
        <w:rPr>
          <w:rFonts w:ascii="David" w:hAnsi="David"/>
          <w:b/>
          <w:bCs/>
          <w:u w:val="single"/>
          <w:rtl/>
        </w:rPr>
        <w:t xml:space="preserve">למען הסר </w:t>
      </w:r>
      <w:r>
        <w:rPr>
          <w:rFonts w:ascii="David" w:hAnsi="David"/>
          <w:b/>
          <w:bCs/>
          <w:u w:val="single"/>
          <w:rtl/>
        </w:rPr>
        <w:lastRenderedPageBreak/>
        <w:t>ספק מובהר כי המשכיר אינו מתחייב כי התנאי המתלה יתקיים, ובכל מקרה שהתנאי המתלה לא יתקיים מכל סיבה שהיא לשוכר לא תהיה כל טענה ו/או דרישה ו/או תביעה כלפי המשכיר</w:t>
      </w:r>
      <w:r>
        <w:rPr>
          <w:rFonts w:ascii="David" w:hAnsi="David"/>
          <w:b/>
          <w:bCs/>
          <w:rtl/>
        </w:rPr>
        <w:t xml:space="preserve">. </w:t>
      </w:r>
      <w:r>
        <w:rPr>
          <w:rFonts w:ascii="David" w:hAnsi="David"/>
          <w:b/>
          <w:bCs/>
          <w:u w:val="single"/>
          <w:rtl/>
        </w:rPr>
        <w:t>למען הסר ספק – מועד תחילת ביצוע עבודות השוכר לא יחול לפני קיום התנאי המתלה</w:t>
      </w:r>
      <w:r>
        <w:rPr>
          <w:rFonts w:ascii="David" w:hAnsi="David"/>
          <w:b/>
          <w:bCs/>
          <w:rtl/>
        </w:rPr>
        <w:t>."</w:t>
      </w:r>
    </w:p>
    <w:p w:rsidR="00CD2861" w:rsidRDefault="00CD2861" w:rsidP="00CD2861">
      <w:pPr>
        <w:spacing w:after="120" w:line="276" w:lineRule="auto"/>
        <w:ind w:left="720" w:right="720"/>
        <w:jc w:val="both"/>
        <w:rPr>
          <w:rFonts w:ascii="David" w:hAnsi="David"/>
          <w:b/>
          <w:bCs/>
          <w:rtl/>
        </w:rPr>
      </w:pPr>
    </w:p>
    <w:p w:rsidR="00CD2861" w:rsidRDefault="00CD2861" w:rsidP="00BF775D">
      <w:pPr>
        <w:spacing w:after="120" w:line="276" w:lineRule="auto"/>
        <w:ind w:left="509" w:right="720"/>
        <w:jc w:val="both"/>
        <w:rPr>
          <w:rFonts w:ascii="David" w:hAnsi="David"/>
          <w:rtl/>
        </w:rPr>
      </w:pPr>
      <w:r>
        <w:rPr>
          <w:rFonts w:ascii="David" w:hAnsi="David"/>
          <w:b/>
          <w:bCs/>
          <w:rtl/>
        </w:rPr>
        <w:t>הערה</w:t>
      </w:r>
      <w:r>
        <w:rPr>
          <w:rFonts w:ascii="David" w:hAnsi="David"/>
          <w:rtl/>
        </w:rPr>
        <w:t>: ההדגשות בקו בציטוט לעיל ולאורך פסק הדין, הן שלי – י'ב'.</w:t>
      </w:r>
    </w:p>
    <w:p w:rsidR="00CD2861" w:rsidRDefault="00CD2861" w:rsidP="00CD2861">
      <w:pPr>
        <w:spacing w:after="120" w:line="276" w:lineRule="auto"/>
        <w:ind w:left="720" w:right="720"/>
        <w:jc w:val="both"/>
        <w:rPr>
          <w:rFonts w:ascii="David" w:hAnsi="David"/>
          <w:b/>
          <w:bCs/>
          <w:rtl/>
        </w:rPr>
      </w:pPr>
    </w:p>
    <w:bookmarkEnd w:id="1"/>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אין מחלוקת כי חסאן חתם בהמשך הדרך על </w:t>
      </w:r>
      <w:r>
        <w:rPr>
          <w:rFonts w:ascii="David" w:hAnsi="David"/>
          <w:b/>
          <w:bCs/>
          <w:rtl/>
        </w:rPr>
        <w:t>מסמך מיום 17.3.2011</w:t>
      </w:r>
      <w:r>
        <w:rPr>
          <w:rFonts w:ascii="David" w:hAnsi="David"/>
          <w:rtl/>
        </w:rPr>
        <w:t xml:space="preserve"> (נספח 2 ל</w:t>
      </w:r>
      <w:r w:rsidR="00BF775D">
        <w:rPr>
          <w:rFonts w:ascii="David" w:hAnsi="David" w:hint="cs"/>
          <w:rtl/>
        </w:rPr>
        <w:t xml:space="preserve">תצהיר </w:t>
      </w:r>
      <w:r>
        <w:rPr>
          <w:rFonts w:ascii="David" w:hAnsi="David"/>
          <w:rtl/>
        </w:rPr>
        <w:t>עו"ד כשר או נספח 6 ל</w:t>
      </w:r>
      <w:r w:rsidR="00BF775D">
        <w:rPr>
          <w:rFonts w:ascii="David" w:hAnsi="David" w:hint="cs"/>
          <w:rtl/>
        </w:rPr>
        <w:t xml:space="preserve">תצהיר </w:t>
      </w:r>
      <w:r>
        <w:rPr>
          <w:rFonts w:ascii="David" w:hAnsi="David"/>
          <w:rtl/>
        </w:rPr>
        <w:t>חסאן), המורה כדלקמן:</w:t>
      </w:r>
    </w:p>
    <w:p w:rsidR="00CD2861" w:rsidRDefault="00CD2861" w:rsidP="00CD2861">
      <w:pPr>
        <w:spacing w:line="360" w:lineRule="auto"/>
        <w:jc w:val="both"/>
        <w:rPr>
          <w:rFonts w:ascii="David" w:hAnsi="David"/>
        </w:rPr>
      </w:pPr>
    </w:p>
    <w:p w:rsidR="00CD2861" w:rsidRDefault="00CD2861" w:rsidP="00CD2861">
      <w:pPr>
        <w:spacing w:line="276" w:lineRule="auto"/>
        <w:ind w:left="793" w:right="709"/>
        <w:jc w:val="both"/>
        <w:rPr>
          <w:rFonts w:ascii="David" w:hAnsi="David"/>
        </w:rPr>
      </w:pPr>
      <w:r>
        <w:rPr>
          <w:rFonts w:ascii="David" w:hAnsi="David"/>
          <w:rtl/>
        </w:rPr>
        <w:t>"</w:t>
      </w:r>
      <w:r>
        <w:rPr>
          <w:rFonts w:ascii="David" w:hAnsi="David"/>
          <w:b/>
          <w:bCs/>
          <w:rtl/>
        </w:rPr>
        <w:t xml:space="preserve">אנו מאשרים בזאת את </w:t>
      </w:r>
      <w:r>
        <w:rPr>
          <w:rFonts w:ascii="David" w:hAnsi="David"/>
          <w:b/>
          <w:bCs/>
          <w:u w:val="single"/>
          <w:rtl/>
        </w:rPr>
        <w:t>וית</w:t>
      </w:r>
      <w:r w:rsidR="00BF775D">
        <w:rPr>
          <w:rFonts w:ascii="David" w:hAnsi="David" w:hint="cs"/>
          <w:b/>
          <w:bCs/>
          <w:u w:val="single"/>
          <w:rtl/>
        </w:rPr>
        <w:t>ו</w:t>
      </w:r>
      <w:r>
        <w:rPr>
          <w:rFonts w:ascii="David" w:hAnsi="David"/>
          <w:b/>
          <w:bCs/>
          <w:u w:val="single"/>
          <w:rtl/>
        </w:rPr>
        <w:t>רנו על הוראת סעיף 25.1 להסכם השכירות ועל התנאי המתלה שנקבע בו</w:t>
      </w:r>
      <w:r>
        <w:rPr>
          <w:rFonts w:ascii="David" w:hAnsi="David"/>
          <w:b/>
          <w:bCs/>
          <w:rtl/>
        </w:rPr>
        <w:t xml:space="preserve">, </w:t>
      </w:r>
      <w:r>
        <w:rPr>
          <w:rFonts w:ascii="David" w:hAnsi="David"/>
          <w:b/>
          <w:bCs/>
          <w:u w:val="single"/>
          <w:rtl/>
        </w:rPr>
        <w:t>ומאשרים כי הסכם השכירות ביננו תקף באופן מלא ואינו מותלה</w:t>
      </w:r>
      <w:r>
        <w:rPr>
          <w:rFonts w:ascii="David" w:hAnsi="David"/>
          <w:b/>
          <w:bCs/>
          <w:rtl/>
        </w:rPr>
        <w:t xml:space="preserve"> </w:t>
      </w:r>
      <w:r>
        <w:rPr>
          <w:rFonts w:ascii="David" w:hAnsi="David"/>
          <w:b/>
          <w:bCs/>
          <w:u w:val="single"/>
          <w:rtl/>
        </w:rPr>
        <w:t>ואין ולא תהייה לנו כל דרישה או טענה כלפיכם בעתיד בקשר עם האמור בסעיף 25.1 הנ"ל</w:t>
      </w:r>
      <w:r>
        <w:rPr>
          <w:rFonts w:ascii="David" w:hAnsi="David"/>
          <w:b/>
          <w:bCs/>
          <w:rtl/>
        </w:rPr>
        <w:t xml:space="preserve">. </w:t>
      </w:r>
      <w:r>
        <w:rPr>
          <w:rFonts w:ascii="David" w:hAnsi="David"/>
          <w:b/>
          <w:bCs/>
          <w:rtl/>
        </w:rPr>
        <w:tab/>
      </w:r>
      <w:r>
        <w:rPr>
          <w:rFonts w:ascii="David" w:hAnsi="David"/>
          <w:b/>
          <w:bCs/>
          <w:rtl/>
        </w:rPr>
        <w:br/>
        <w:t>כן אנו מאשרים כי המושכר הועמד לידנו לצורך ביצוע עבודות השוכר ביום</w:t>
      </w:r>
      <w:r>
        <w:rPr>
          <w:rFonts w:ascii="David" w:hAnsi="David"/>
          <w:b/>
          <w:bCs/>
          <w:rtl/>
        </w:rPr>
        <w:tab/>
        <w:t xml:space="preserve">    </w:t>
      </w:r>
      <w:r>
        <w:rPr>
          <w:rFonts w:ascii="David" w:hAnsi="David"/>
          <w:rtl/>
        </w:rPr>
        <w:t xml:space="preserve"> [נראה כי היה רשום תאריך – י'ב']</w:t>
      </w:r>
      <w:r w:rsidR="00BF775D">
        <w:rPr>
          <w:rFonts w:ascii="David" w:hAnsi="David" w:hint="cs"/>
          <w:rtl/>
        </w:rPr>
        <w:t>"</w:t>
      </w:r>
      <w:r>
        <w:rPr>
          <w:rFonts w:ascii="David" w:hAnsi="David"/>
          <w:rtl/>
        </w:rPr>
        <w:t>.</w:t>
      </w:r>
      <w:r>
        <w:rPr>
          <w:rFonts w:ascii="David" w:hAnsi="David"/>
          <w:rtl/>
        </w:rPr>
        <w:tab/>
      </w:r>
      <w:r>
        <w:rPr>
          <w:rFonts w:ascii="David" w:hAnsi="David"/>
          <w:rtl/>
        </w:rPr>
        <w:br/>
      </w:r>
      <w:r>
        <w:rPr>
          <w:rFonts w:ascii="David" w:hAnsi="David"/>
          <w:rtl/>
        </w:rPr>
        <w:br/>
      </w:r>
    </w:p>
    <w:p w:rsidR="00CD2861" w:rsidRDefault="00CD2861" w:rsidP="00CD2861">
      <w:pPr>
        <w:spacing w:line="360" w:lineRule="auto"/>
        <w:ind w:left="509"/>
        <w:jc w:val="both"/>
        <w:rPr>
          <w:rFonts w:ascii="David" w:hAnsi="David"/>
          <w:rtl/>
        </w:rPr>
      </w:pPr>
      <w:r>
        <w:rPr>
          <w:rFonts w:ascii="David" w:hAnsi="David"/>
          <w:rtl/>
        </w:rPr>
        <w:t>התובעת מכנה את המסמך "</w:t>
      </w:r>
      <w:r>
        <w:rPr>
          <w:rFonts w:ascii="David" w:hAnsi="David"/>
          <w:b/>
          <w:bCs/>
          <w:rtl/>
        </w:rPr>
        <w:t>התיקון להסכם השכירות מיום 17.3.2011</w:t>
      </w:r>
      <w:r>
        <w:rPr>
          <w:rFonts w:ascii="David" w:hAnsi="David"/>
          <w:rtl/>
        </w:rPr>
        <w:t>" או "</w:t>
      </w:r>
      <w:r>
        <w:rPr>
          <w:rFonts w:ascii="David" w:hAnsi="David"/>
          <w:b/>
          <w:bCs/>
          <w:rtl/>
        </w:rPr>
        <w:t>התוספת להסכם מיום 17.3.2011</w:t>
      </w:r>
      <w:r>
        <w:rPr>
          <w:rFonts w:ascii="David" w:hAnsi="David"/>
          <w:rtl/>
        </w:rPr>
        <w:t>". המשביר, כאמור, אינה חולקת על כך שהמסמך נחתם על ידי חסאן, אך מעלה טענות שונות באשר לטיבו ומשמעותו או משקלו של זה, והוא מכונה על ידה בסיכומיה "</w:t>
      </w:r>
      <w:r>
        <w:rPr>
          <w:rFonts w:ascii="David" w:hAnsi="David"/>
          <w:b/>
          <w:bCs/>
          <w:rtl/>
        </w:rPr>
        <w:t>מסמך השימושים</w:t>
      </w:r>
      <w:r>
        <w:rPr>
          <w:rFonts w:ascii="David" w:hAnsi="David"/>
          <w:rtl/>
        </w:rPr>
        <w:t xml:space="preserve">". כל אחד מהצדדים בחר למסמך כינוי כלבבו, אך ברי כי אין בכינוי זה או אחר שבחרו לו הצדדים בסיכומיהם כאן, כדי לקבוע בדבר. המסמך יכונה על ידי </w:t>
      </w:r>
      <w:r>
        <w:rPr>
          <w:rFonts w:ascii="David" w:hAnsi="David"/>
          <w:b/>
          <w:bCs/>
          <w:rtl/>
        </w:rPr>
        <w:t>"המסמך מיום 17.3.2011</w:t>
      </w:r>
      <w:r>
        <w:rPr>
          <w:rFonts w:ascii="David" w:hAnsi="David"/>
          <w:rtl/>
        </w:rPr>
        <w:t>" או "</w:t>
      </w:r>
      <w:r>
        <w:rPr>
          <w:rFonts w:ascii="David" w:hAnsi="David"/>
          <w:b/>
          <w:bCs/>
          <w:rtl/>
        </w:rPr>
        <w:t>כתב הוויתור</w:t>
      </w:r>
      <w:r>
        <w:rPr>
          <w:rFonts w:ascii="David" w:hAnsi="David"/>
          <w:rtl/>
        </w:rPr>
        <w:t>".</w:t>
      </w:r>
    </w:p>
    <w:p w:rsidR="00CD2861" w:rsidRDefault="00CD2861" w:rsidP="00CD2861">
      <w:pPr>
        <w:spacing w:line="360" w:lineRule="auto"/>
        <w:jc w:val="both"/>
        <w:rPr>
          <w:rFonts w:ascii="David" w:hAnsi="David"/>
          <w:rtl/>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הונח המסד להמשך הדרך וכעת לתביעה בתיק העיקרי. אקדים לדיון בה עוד מספר הערות.</w:t>
      </w:r>
    </w:p>
    <w:p w:rsidR="00CD2861" w:rsidRDefault="00CD2861" w:rsidP="00CD2861">
      <w:pPr>
        <w:spacing w:line="360" w:lineRule="auto"/>
        <w:jc w:val="both"/>
        <w:rPr>
          <w:rFonts w:ascii="David" w:hAnsi="David"/>
        </w:rPr>
      </w:pPr>
    </w:p>
    <w:p w:rsidR="00CD2861" w:rsidRDefault="00CD2861" w:rsidP="00BF775D">
      <w:pPr>
        <w:pStyle w:val="af"/>
        <w:numPr>
          <w:ilvl w:val="0"/>
          <w:numId w:val="2"/>
        </w:numPr>
        <w:spacing w:before="0" w:after="0" w:line="360" w:lineRule="auto"/>
        <w:ind w:left="509" w:hanging="567"/>
        <w:jc w:val="both"/>
        <w:rPr>
          <w:rFonts w:ascii="David" w:hAnsi="David"/>
        </w:rPr>
      </w:pPr>
      <w:r>
        <w:rPr>
          <w:rFonts w:ascii="David" w:hAnsi="David"/>
          <w:b/>
          <w:bCs/>
          <w:u w:val="single"/>
          <w:rtl/>
        </w:rPr>
        <w:t>בהיבט הדיוני</w:t>
      </w:r>
      <w:r>
        <w:rPr>
          <w:rFonts w:ascii="David" w:hAnsi="David"/>
          <w:rtl/>
        </w:rPr>
        <w:t xml:space="preserve"> – התקיימו ארבעה דיוני הוכחות. מטעם אזו</w:t>
      </w:r>
      <w:r w:rsidR="00BF775D">
        <w:rPr>
          <w:rFonts w:ascii="David" w:hAnsi="David" w:hint="cs"/>
          <w:rtl/>
        </w:rPr>
        <w:t>-</w:t>
      </w:r>
      <w:r>
        <w:rPr>
          <w:rFonts w:ascii="David" w:hAnsi="David"/>
          <w:rtl/>
        </w:rPr>
        <w:t>ריט ומליסרון העידו (כסדרם): מר שריד, מר יורן וגב' כהן, עו"ד שקד, מר שופמן וגב' איסמאילוב. מר יורן ומר שופמן הגישו תצהירים הנוגעים לתביעה שכנגד בלבד. מטעם המשביר העידו (כסדרם): מר חסאן, עו"ד קוק ולבסוף, מר שביט. הצדדים הגישו סיכומים בכתב, תחילה בכובעם כתובעים ולאחר מכן בכובעם כנתבעים.</w:t>
      </w:r>
    </w:p>
    <w:p w:rsidR="00CD2861" w:rsidRDefault="00CD2861" w:rsidP="00CD2861">
      <w:pPr>
        <w:spacing w:line="360" w:lineRule="auto"/>
        <w:jc w:val="both"/>
        <w:rPr>
          <w:rFonts w:ascii="David" w:hAnsi="David"/>
          <w:rtl/>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ההפניה לתצהירים או לנספחיהם תעשה על דרך אזכור שמו של המצהיר ומספר הסעיף או העמוד הרלבנטיים בתצהירו. בציטוטים מהפרוטוקול או מכתבי בי דין, נזכרים העדים בשמותיהם הפרטיים, כפי שכונו שם על ידי הצדדים.</w:t>
      </w:r>
    </w:p>
    <w:p w:rsidR="00CD2861" w:rsidRDefault="00CD2861" w:rsidP="00CD2861">
      <w:pPr>
        <w:spacing w:line="360" w:lineRule="auto"/>
        <w:jc w:val="both"/>
        <w:rPr>
          <w:rFonts w:ascii="David" w:hAnsi="David"/>
        </w:rPr>
      </w:pPr>
    </w:p>
    <w:p w:rsidR="00CD2861" w:rsidRDefault="00CD2861" w:rsidP="00BF775D">
      <w:pPr>
        <w:pStyle w:val="af"/>
        <w:numPr>
          <w:ilvl w:val="0"/>
          <w:numId w:val="2"/>
        </w:numPr>
        <w:spacing w:before="0" w:after="0" w:line="360" w:lineRule="auto"/>
        <w:ind w:left="509" w:hanging="567"/>
        <w:jc w:val="both"/>
        <w:rPr>
          <w:rFonts w:ascii="David" w:hAnsi="David"/>
          <w:rtl/>
        </w:rPr>
      </w:pPr>
      <w:r>
        <w:rPr>
          <w:rFonts w:ascii="David" w:hAnsi="David"/>
          <w:rtl/>
        </w:rPr>
        <w:lastRenderedPageBreak/>
        <w:t xml:space="preserve">אעיר עוד כי לאורך כל ניהול ההליך, גם בתום שמיעת הראיות ואף לאחר שהוגשו הסיכומים, סברתי כי ראוי שהצדדים יסדירו בהסכמה את הסכסוך העסקי שביניהם, במיוחד לנוכח תקופת השכירות המכובדת שעוד נותרה בנכס בכיכר ציון (עד אוקטובר 2035) ומערכת היחסים הרחבה יותר בין הצדדים, שכוללת גם מושכרים נוספים של המשביר בקניוני מליסרון. עמדתי גם על כך שתידרש העדפת גרסה זו או אחרת </w:t>
      </w:r>
      <w:r w:rsidR="00BF775D">
        <w:rPr>
          <w:rFonts w:ascii="David" w:hAnsi="David" w:hint="cs"/>
          <w:rtl/>
        </w:rPr>
        <w:t>של מי מהעדים</w:t>
      </w:r>
      <w:r>
        <w:rPr>
          <w:rFonts w:ascii="David" w:hAnsi="David"/>
          <w:rtl/>
        </w:rPr>
        <w:t>, דבר שמטיבו עלול להיות לא נוח לבריות. לצערי, לא הסתייע הדבר ובשלה העת למתן פסק דין.</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b/>
          <w:bCs/>
          <w:rtl/>
        </w:rPr>
        <w:t>אקדים מסקנה לדיון ואציין בפתח הדיון כי על יסוד כל שבא לפניי, מצאתי לקבל את התביעה ולדחות את התביעה שכנגד. הכל כמפורט להלן.</w:t>
      </w:r>
    </w:p>
    <w:p w:rsidR="00CD2861" w:rsidRDefault="00CD2861" w:rsidP="00CD2861">
      <w:pPr>
        <w:spacing w:line="360" w:lineRule="auto"/>
        <w:jc w:val="both"/>
        <w:rPr>
          <w:rFonts w:ascii="David" w:hAnsi="David"/>
        </w:rPr>
      </w:pPr>
    </w:p>
    <w:p w:rsidR="00CD2861" w:rsidRPr="00426427" w:rsidRDefault="00CD2861" w:rsidP="00CD2861">
      <w:pPr>
        <w:jc w:val="both"/>
        <w:rPr>
          <w:rFonts w:ascii="David" w:hAnsi="David"/>
          <w:b/>
          <w:bCs/>
          <w:sz w:val="28"/>
          <w:szCs w:val="28"/>
          <w:u w:val="single"/>
        </w:rPr>
      </w:pPr>
      <w:r w:rsidRPr="00426427">
        <w:rPr>
          <w:rFonts w:ascii="David" w:hAnsi="David"/>
          <w:b/>
          <w:bCs/>
          <w:sz w:val="28"/>
          <w:szCs w:val="28"/>
        </w:rPr>
        <w:t>II</w:t>
      </w:r>
      <w:r w:rsidRPr="00426427">
        <w:rPr>
          <w:rFonts w:ascii="David" w:hAnsi="David"/>
          <w:b/>
          <w:bCs/>
          <w:sz w:val="28"/>
          <w:szCs w:val="28"/>
          <w:rtl/>
        </w:rPr>
        <w:t xml:space="preserve"> </w:t>
      </w:r>
      <w:r w:rsidRPr="00426427">
        <w:rPr>
          <w:rFonts w:ascii="David" w:hAnsi="David" w:hint="cs"/>
          <w:b/>
          <w:bCs/>
          <w:sz w:val="28"/>
          <w:szCs w:val="28"/>
          <w:rtl/>
        </w:rPr>
        <w:t xml:space="preserve">– </w:t>
      </w:r>
      <w:r w:rsidR="008E1A3A">
        <w:rPr>
          <w:rFonts w:ascii="David" w:hAnsi="David" w:hint="cs"/>
          <w:b/>
          <w:bCs/>
          <w:sz w:val="28"/>
          <w:szCs w:val="28"/>
          <w:u w:val="single"/>
          <w:rtl/>
        </w:rPr>
        <w:t xml:space="preserve">התביעה העיקרית, </w:t>
      </w:r>
      <w:r w:rsidRPr="00426427">
        <w:rPr>
          <w:rFonts w:ascii="David" w:hAnsi="David" w:hint="cs"/>
          <w:b/>
          <w:bCs/>
          <w:sz w:val="28"/>
          <w:szCs w:val="28"/>
          <w:u w:val="single"/>
          <w:rtl/>
        </w:rPr>
        <w:t>תביעת אזו-ריט בגין דמי שכירות</w:t>
      </w:r>
    </w:p>
    <w:p w:rsidR="00CD2861" w:rsidRDefault="00CD2861" w:rsidP="00CD2861">
      <w:pPr>
        <w:spacing w:line="276" w:lineRule="auto"/>
        <w:jc w:val="both"/>
        <w:rPr>
          <w:rFonts w:ascii="David" w:hAnsi="David"/>
          <w:rtl/>
        </w:rPr>
      </w:pPr>
    </w:p>
    <w:p w:rsidR="00CD2861" w:rsidRDefault="00CD2861" w:rsidP="00CD2861">
      <w:pPr>
        <w:pStyle w:val="af"/>
        <w:numPr>
          <w:ilvl w:val="0"/>
          <w:numId w:val="2"/>
        </w:numPr>
        <w:spacing w:before="0" w:after="0" w:line="360" w:lineRule="auto"/>
        <w:ind w:left="793" w:hanging="567"/>
        <w:jc w:val="both"/>
        <w:rPr>
          <w:rFonts w:ascii="David" w:hAnsi="David"/>
        </w:rPr>
      </w:pPr>
      <w:r>
        <w:rPr>
          <w:rFonts w:ascii="David" w:hAnsi="David"/>
          <w:rtl/>
        </w:rPr>
        <w:t xml:space="preserve">מהלך הדיון יהא על פי ראשי הפרקים כדלקמן: </w:t>
      </w:r>
      <w:r>
        <w:rPr>
          <w:rFonts w:ascii="David" w:hAnsi="David"/>
          <w:rtl/>
        </w:rPr>
        <w:tab/>
      </w:r>
      <w:r>
        <w:rPr>
          <w:rFonts w:ascii="David" w:hAnsi="David"/>
          <w:rtl/>
        </w:rPr>
        <w:br/>
      </w:r>
      <w:r>
        <w:rPr>
          <w:rFonts w:ascii="David" w:hAnsi="David"/>
          <w:rtl/>
        </w:rPr>
        <w:br/>
      </w:r>
      <w:r>
        <w:rPr>
          <w:rFonts w:ascii="David" w:hAnsi="David"/>
          <w:b/>
          <w:bCs/>
          <w:sz w:val="26"/>
          <w:szCs w:val="26"/>
          <w:rtl/>
        </w:rPr>
        <w:t xml:space="preserve">א. </w:t>
      </w:r>
      <w:r>
        <w:rPr>
          <w:rFonts w:ascii="David" w:hAnsi="David"/>
          <w:b/>
          <w:bCs/>
          <w:sz w:val="26"/>
          <w:szCs w:val="26"/>
          <w:u w:val="single"/>
          <w:rtl/>
        </w:rPr>
        <w:t>המחלוקת ועיקרי טענות הצדדים לפי כתבי הטענות</w:t>
      </w:r>
      <w:r>
        <w:rPr>
          <w:rFonts w:ascii="David" w:hAnsi="David"/>
          <w:b/>
          <w:bCs/>
          <w:sz w:val="26"/>
          <w:szCs w:val="26"/>
          <w:rtl/>
        </w:rPr>
        <w:t xml:space="preserve">. </w:t>
      </w:r>
      <w:r>
        <w:rPr>
          <w:rFonts w:ascii="David" w:hAnsi="David"/>
          <w:b/>
          <w:bCs/>
          <w:sz w:val="26"/>
          <w:szCs w:val="26"/>
          <w:rtl/>
        </w:rPr>
        <w:tab/>
      </w:r>
      <w:r>
        <w:rPr>
          <w:rFonts w:ascii="David" w:hAnsi="David"/>
          <w:rtl/>
        </w:rPr>
        <w:br/>
      </w:r>
      <w:r>
        <w:rPr>
          <w:rFonts w:ascii="David" w:hAnsi="David"/>
          <w:rtl/>
        </w:rPr>
        <w:tab/>
      </w:r>
      <w:r>
        <w:rPr>
          <w:rFonts w:ascii="David" w:hAnsi="David"/>
          <w:rtl/>
        </w:rPr>
        <w:br/>
      </w:r>
      <w:r>
        <w:rPr>
          <w:rFonts w:ascii="David" w:hAnsi="David"/>
          <w:b/>
          <w:bCs/>
          <w:sz w:val="26"/>
          <w:szCs w:val="26"/>
          <w:rtl/>
        </w:rPr>
        <w:t xml:space="preserve">ב. </w:t>
      </w:r>
      <w:r>
        <w:rPr>
          <w:rFonts w:ascii="David" w:hAnsi="David"/>
          <w:b/>
          <w:bCs/>
          <w:sz w:val="26"/>
          <w:szCs w:val="26"/>
          <w:u w:val="single"/>
          <w:rtl/>
        </w:rPr>
        <w:t>האירועים, המסמכים והטענות לפי הראיות</w:t>
      </w:r>
      <w:r>
        <w:rPr>
          <w:rFonts w:ascii="David" w:hAnsi="David"/>
          <w:sz w:val="26"/>
          <w:szCs w:val="26"/>
          <w:rtl/>
        </w:rPr>
        <w:t>.</w:t>
      </w:r>
      <w:r>
        <w:rPr>
          <w:rFonts w:ascii="David" w:hAnsi="David"/>
          <w:sz w:val="26"/>
          <w:szCs w:val="26"/>
          <w:rtl/>
        </w:rPr>
        <w:tab/>
      </w:r>
      <w:r>
        <w:rPr>
          <w:rFonts w:ascii="David" w:hAnsi="David"/>
          <w:sz w:val="26"/>
          <w:szCs w:val="26"/>
          <w:rtl/>
        </w:rPr>
        <w:br/>
      </w:r>
      <w:r>
        <w:rPr>
          <w:rFonts w:ascii="David" w:hAnsi="David"/>
          <w:b/>
          <w:bCs/>
          <w:rtl/>
        </w:rPr>
        <w:t>ב.1</w:t>
      </w:r>
      <w:r>
        <w:rPr>
          <w:rFonts w:ascii="David" w:hAnsi="David"/>
          <w:rtl/>
        </w:rPr>
        <w:t>. חילופי טיוטות תוספת להסכם.</w:t>
      </w:r>
      <w:r>
        <w:rPr>
          <w:rFonts w:ascii="David" w:hAnsi="David"/>
          <w:rtl/>
        </w:rPr>
        <w:tab/>
      </w:r>
      <w:r>
        <w:rPr>
          <w:rFonts w:ascii="David" w:hAnsi="David"/>
          <w:rtl/>
        </w:rPr>
        <w:br/>
      </w:r>
      <w:r>
        <w:rPr>
          <w:rFonts w:ascii="David" w:hAnsi="David"/>
          <w:b/>
          <w:bCs/>
          <w:rtl/>
        </w:rPr>
        <w:t>ב.2.</w:t>
      </w:r>
      <w:r>
        <w:rPr>
          <w:rFonts w:ascii="David" w:hAnsi="David"/>
          <w:rtl/>
        </w:rPr>
        <w:t xml:space="preserve"> סיכום הפגישה מיום 28.1.2021, נוסח 1.2.2021 (</w:t>
      </w:r>
      <w:r>
        <w:rPr>
          <w:rFonts w:ascii="David" w:hAnsi="David"/>
          <w:b/>
          <w:bCs/>
          <w:rtl/>
        </w:rPr>
        <w:t>סיכום 1.2.2021</w:t>
      </w:r>
      <w:r>
        <w:rPr>
          <w:rFonts w:ascii="David" w:hAnsi="David"/>
          <w:rtl/>
        </w:rPr>
        <w:t>).</w:t>
      </w:r>
      <w:r>
        <w:rPr>
          <w:rFonts w:ascii="David" w:hAnsi="David"/>
          <w:rtl/>
        </w:rPr>
        <w:tab/>
      </w:r>
      <w:r>
        <w:rPr>
          <w:rFonts w:ascii="David" w:hAnsi="David"/>
          <w:rtl/>
        </w:rPr>
        <w:br/>
      </w:r>
      <w:r>
        <w:rPr>
          <w:rFonts w:ascii="David" w:hAnsi="David"/>
          <w:b/>
          <w:bCs/>
          <w:rtl/>
        </w:rPr>
        <w:t>ב.3</w:t>
      </w:r>
      <w:r>
        <w:rPr>
          <w:rFonts w:ascii="David" w:hAnsi="David"/>
          <w:rtl/>
        </w:rPr>
        <w:t>. בעקבות סיכום 1.2.2021: התכתובת מיום 3.2.2021 (</w:t>
      </w:r>
      <w:r>
        <w:rPr>
          <w:rFonts w:ascii="David" w:hAnsi="David"/>
          <w:b/>
          <w:bCs/>
          <w:rtl/>
        </w:rPr>
        <w:t>התכתובת מיום 3.2.2021)</w:t>
      </w:r>
      <w:r>
        <w:rPr>
          <w:rFonts w:ascii="David" w:hAnsi="David"/>
          <w:rtl/>
        </w:rPr>
        <w:t>.</w:t>
      </w:r>
      <w:r>
        <w:rPr>
          <w:rFonts w:ascii="David" w:hAnsi="David"/>
          <w:rtl/>
        </w:rPr>
        <w:br/>
      </w:r>
      <w:r>
        <w:rPr>
          <w:rFonts w:ascii="David" w:hAnsi="David"/>
          <w:b/>
          <w:bCs/>
          <w:rtl/>
        </w:rPr>
        <w:t>ב.4.</w:t>
      </w:r>
      <w:r>
        <w:rPr>
          <w:rFonts w:ascii="David" w:hAnsi="David"/>
          <w:rtl/>
        </w:rPr>
        <w:t xml:space="preserve"> הערות עו"ד קוק מיום 15.2.2021 לסיכום 1.2.2021 (</w:t>
      </w:r>
      <w:r>
        <w:rPr>
          <w:rFonts w:ascii="David" w:hAnsi="David"/>
          <w:b/>
          <w:bCs/>
          <w:rtl/>
        </w:rPr>
        <w:t>הערות המשביר מ- 15.2.2021</w:t>
      </w:r>
      <w:r>
        <w:rPr>
          <w:rFonts w:ascii="David" w:hAnsi="David"/>
          <w:rtl/>
        </w:rPr>
        <w:t>).</w:t>
      </w:r>
    </w:p>
    <w:p w:rsidR="00CD2861" w:rsidRDefault="00CD2861" w:rsidP="00CD2861">
      <w:pPr>
        <w:spacing w:line="360" w:lineRule="auto"/>
        <w:ind w:left="793"/>
        <w:jc w:val="both"/>
        <w:rPr>
          <w:rFonts w:ascii="David" w:hAnsi="David"/>
          <w:rtl/>
        </w:rPr>
      </w:pPr>
      <w:r>
        <w:rPr>
          <w:rFonts w:ascii="David" w:hAnsi="David"/>
          <w:b/>
          <w:bCs/>
          <w:rtl/>
        </w:rPr>
        <w:t>ב.5.</w:t>
      </w:r>
      <w:r>
        <w:rPr>
          <w:rFonts w:ascii="David" w:hAnsi="David"/>
          <w:rtl/>
        </w:rPr>
        <w:t xml:space="preserve"> נוסח סיכום שני לפגישה מיום 28.1.2021, סיכום מיום 25.2.2021 (</w:t>
      </w:r>
      <w:r>
        <w:rPr>
          <w:rFonts w:ascii="David" w:hAnsi="David"/>
          <w:b/>
          <w:bCs/>
          <w:rtl/>
        </w:rPr>
        <w:t>סיכום 25.2.2021</w:t>
      </w:r>
      <w:r>
        <w:rPr>
          <w:rFonts w:ascii="David" w:hAnsi="David"/>
          <w:rtl/>
        </w:rPr>
        <w:t xml:space="preserve">). </w:t>
      </w:r>
    </w:p>
    <w:p w:rsidR="00CD2861" w:rsidRDefault="00CD2861" w:rsidP="00CD2861">
      <w:pPr>
        <w:spacing w:line="360" w:lineRule="auto"/>
        <w:ind w:left="793"/>
        <w:jc w:val="both"/>
        <w:rPr>
          <w:rFonts w:ascii="David" w:hAnsi="David"/>
          <w:rtl/>
        </w:rPr>
      </w:pPr>
      <w:r>
        <w:rPr>
          <w:rFonts w:ascii="David" w:hAnsi="David"/>
          <w:b/>
          <w:bCs/>
          <w:rtl/>
        </w:rPr>
        <w:t>ב.6.</w:t>
      </w:r>
      <w:r>
        <w:rPr>
          <w:rFonts w:ascii="David" w:hAnsi="David"/>
          <w:rtl/>
        </w:rPr>
        <w:t xml:space="preserve"> המשך השתלשלות האירועים עד להגשת התביעה.</w:t>
      </w:r>
    </w:p>
    <w:p w:rsidR="00CD2861" w:rsidRDefault="00CD2861" w:rsidP="00BF775D">
      <w:pPr>
        <w:spacing w:line="276" w:lineRule="auto"/>
        <w:ind w:left="793"/>
        <w:jc w:val="both"/>
        <w:rPr>
          <w:rFonts w:ascii="David" w:hAnsi="David"/>
          <w:rtl/>
        </w:rPr>
      </w:pPr>
    </w:p>
    <w:p w:rsidR="00CD2861" w:rsidRDefault="00CD2861" w:rsidP="00BF775D">
      <w:pPr>
        <w:spacing w:line="276" w:lineRule="auto"/>
        <w:ind w:left="793"/>
        <w:jc w:val="both"/>
        <w:rPr>
          <w:rFonts w:ascii="David" w:hAnsi="David"/>
          <w:b/>
          <w:bCs/>
          <w:sz w:val="26"/>
          <w:szCs w:val="26"/>
          <w:rtl/>
        </w:rPr>
      </w:pPr>
      <w:r>
        <w:rPr>
          <w:rFonts w:ascii="David" w:hAnsi="David"/>
          <w:b/>
          <w:bCs/>
          <w:sz w:val="26"/>
          <w:szCs w:val="26"/>
          <w:rtl/>
        </w:rPr>
        <w:t xml:space="preserve">ג. </w:t>
      </w:r>
      <w:r>
        <w:rPr>
          <w:rFonts w:ascii="David" w:hAnsi="David"/>
          <w:b/>
          <w:bCs/>
          <w:sz w:val="26"/>
          <w:szCs w:val="26"/>
          <w:u w:val="single"/>
          <w:rtl/>
        </w:rPr>
        <w:t>עיקרי טענות הצדדים על פי סיכומיהם</w:t>
      </w:r>
    </w:p>
    <w:p w:rsidR="00CD2861" w:rsidRDefault="00CD2861" w:rsidP="00BF775D">
      <w:pPr>
        <w:spacing w:line="360" w:lineRule="auto"/>
        <w:ind w:left="793"/>
        <w:jc w:val="both"/>
        <w:rPr>
          <w:rFonts w:ascii="David" w:hAnsi="David"/>
          <w:rtl/>
        </w:rPr>
      </w:pPr>
      <w:r>
        <w:rPr>
          <w:rFonts w:ascii="David" w:hAnsi="David"/>
          <w:b/>
          <w:bCs/>
          <w:rtl/>
        </w:rPr>
        <w:t>ג.1</w:t>
      </w:r>
      <w:r>
        <w:rPr>
          <w:rFonts w:ascii="David" w:hAnsi="David"/>
          <w:rtl/>
        </w:rPr>
        <w:t xml:space="preserve"> עיקרי טענות התובעת</w:t>
      </w:r>
    </w:p>
    <w:p w:rsidR="00CD2861" w:rsidRDefault="00CD2861" w:rsidP="00BF775D">
      <w:pPr>
        <w:spacing w:line="360" w:lineRule="auto"/>
        <w:ind w:left="793"/>
        <w:jc w:val="both"/>
        <w:rPr>
          <w:rFonts w:ascii="David" w:hAnsi="David"/>
          <w:rtl/>
        </w:rPr>
      </w:pPr>
      <w:r>
        <w:rPr>
          <w:rFonts w:ascii="David" w:hAnsi="David"/>
          <w:b/>
          <w:bCs/>
          <w:rtl/>
        </w:rPr>
        <w:t>ג.2</w:t>
      </w:r>
      <w:r>
        <w:rPr>
          <w:rFonts w:ascii="David" w:hAnsi="David"/>
          <w:rtl/>
        </w:rPr>
        <w:t xml:space="preserve"> עיקרי טענות המשביר</w:t>
      </w:r>
    </w:p>
    <w:p w:rsidR="00CD2861" w:rsidRDefault="00CD2861" w:rsidP="00BF775D">
      <w:pPr>
        <w:spacing w:line="276" w:lineRule="auto"/>
        <w:ind w:left="793"/>
        <w:jc w:val="both"/>
        <w:rPr>
          <w:rFonts w:ascii="David" w:hAnsi="David"/>
          <w:rtl/>
        </w:rPr>
      </w:pPr>
    </w:p>
    <w:p w:rsidR="00CD2861" w:rsidRDefault="00CD2861" w:rsidP="00BF775D">
      <w:pPr>
        <w:spacing w:line="276" w:lineRule="auto"/>
        <w:ind w:left="793"/>
        <w:jc w:val="both"/>
        <w:rPr>
          <w:rFonts w:ascii="David" w:hAnsi="David"/>
          <w:b/>
          <w:bCs/>
          <w:sz w:val="26"/>
          <w:szCs w:val="26"/>
          <w:rtl/>
        </w:rPr>
      </w:pPr>
      <w:r>
        <w:rPr>
          <w:rFonts w:ascii="David" w:hAnsi="David"/>
          <w:b/>
          <w:bCs/>
          <w:sz w:val="26"/>
          <w:szCs w:val="26"/>
          <w:rtl/>
        </w:rPr>
        <w:t xml:space="preserve">ד. </w:t>
      </w:r>
      <w:r>
        <w:rPr>
          <w:rFonts w:ascii="David" w:hAnsi="David"/>
          <w:b/>
          <w:bCs/>
          <w:sz w:val="26"/>
          <w:szCs w:val="26"/>
          <w:u w:val="single"/>
          <w:rtl/>
        </w:rPr>
        <w:t>דיון והכרעה</w:t>
      </w:r>
    </w:p>
    <w:p w:rsidR="00CD2861" w:rsidRDefault="00CD2861" w:rsidP="00BF775D">
      <w:pPr>
        <w:spacing w:line="360" w:lineRule="auto"/>
        <w:ind w:left="793"/>
        <w:jc w:val="both"/>
        <w:rPr>
          <w:rFonts w:ascii="David" w:hAnsi="David"/>
          <w:rtl/>
        </w:rPr>
      </w:pPr>
      <w:r>
        <w:rPr>
          <w:rFonts w:ascii="David" w:hAnsi="David"/>
          <w:b/>
          <w:bCs/>
          <w:rtl/>
        </w:rPr>
        <w:t xml:space="preserve">ד.1. </w:t>
      </w:r>
      <w:r>
        <w:rPr>
          <w:rFonts w:ascii="David" w:hAnsi="David"/>
          <w:rtl/>
        </w:rPr>
        <w:t xml:space="preserve">גרסה כבושה ושינוי חזית אסור בטענה שסיכום 25.2.2021 הוא הסכם מחייב, ובטענה שהמשביר הסכימה לתנאי הוויתור הכלול בו, ואף הוא התקיים. </w:t>
      </w:r>
    </w:p>
    <w:p w:rsidR="00CD2861" w:rsidRDefault="00CD2861" w:rsidP="00BF775D">
      <w:pPr>
        <w:spacing w:line="360" w:lineRule="auto"/>
        <w:ind w:left="793"/>
        <w:jc w:val="both"/>
        <w:rPr>
          <w:rFonts w:ascii="David" w:hAnsi="David"/>
          <w:rtl/>
        </w:rPr>
      </w:pPr>
      <w:r>
        <w:rPr>
          <w:rFonts w:ascii="David" w:hAnsi="David"/>
          <w:b/>
          <w:bCs/>
          <w:rtl/>
        </w:rPr>
        <w:t>ד.2</w:t>
      </w:r>
      <w:r>
        <w:rPr>
          <w:rFonts w:ascii="David" w:hAnsi="David"/>
          <w:rtl/>
        </w:rPr>
        <w:t>. גרסת הוויתור (הכבושה) אינה משכנעת לגופה.</w:t>
      </w:r>
      <w:r>
        <w:rPr>
          <w:rFonts w:ascii="David" w:hAnsi="David"/>
          <w:rtl/>
        </w:rPr>
        <w:tab/>
        <w:t xml:space="preserve"> </w:t>
      </w:r>
      <w:r>
        <w:rPr>
          <w:rFonts w:ascii="David" w:hAnsi="David"/>
          <w:rtl/>
        </w:rPr>
        <w:br/>
      </w:r>
      <w:r>
        <w:rPr>
          <w:rFonts w:ascii="David" w:hAnsi="David"/>
          <w:b/>
          <w:bCs/>
          <w:rtl/>
        </w:rPr>
        <w:t xml:space="preserve">ד.3. </w:t>
      </w:r>
      <w:r>
        <w:rPr>
          <w:rFonts w:ascii="David" w:hAnsi="David"/>
          <w:rtl/>
        </w:rPr>
        <w:t>התייחסות לטענות נוספות של המשביר.</w:t>
      </w:r>
      <w:r>
        <w:rPr>
          <w:rFonts w:ascii="David" w:hAnsi="David"/>
          <w:rtl/>
        </w:rPr>
        <w:tab/>
      </w:r>
      <w:r>
        <w:rPr>
          <w:rFonts w:ascii="David" w:hAnsi="David"/>
          <w:rtl/>
        </w:rPr>
        <w:br/>
      </w:r>
      <w:r>
        <w:rPr>
          <w:rFonts w:ascii="David" w:hAnsi="David"/>
          <w:b/>
          <w:bCs/>
          <w:rtl/>
        </w:rPr>
        <w:t>ד.4</w:t>
      </w:r>
      <w:r>
        <w:rPr>
          <w:rFonts w:ascii="David" w:hAnsi="David"/>
          <w:rtl/>
        </w:rPr>
        <w:t>. סכום החוב.</w:t>
      </w:r>
    </w:p>
    <w:p w:rsidR="008E1A3A" w:rsidRDefault="008E1A3A" w:rsidP="008E1A3A">
      <w:pPr>
        <w:spacing w:line="276" w:lineRule="auto"/>
        <w:ind w:left="793"/>
        <w:jc w:val="both"/>
        <w:rPr>
          <w:rFonts w:ascii="David" w:hAnsi="David"/>
          <w:rtl/>
        </w:rPr>
      </w:pPr>
    </w:p>
    <w:p w:rsidR="008E1A3A" w:rsidRPr="008E1A3A" w:rsidRDefault="008E1A3A" w:rsidP="008E1A3A">
      <w:pPr>
        <w:spacing w:line="360" w:lineRule="auto"/>
        <w:ind w:left="793"/>
        <w:jc w:val="both"/>
        <w:rPr>
          <w:rFonts w:ascii="David" w:hAnsi="David"/>
          <w:b/>
          <w:bCs/>
          <w:rtl/>
        </w:rPr>
      </w:pPr>
      <w:r w:rsidRPr="008E1A3A">
        <w:rPr>
          <w:rFonts w:ascii="David" w:hAnsi="David" w:hint="cs"/>
          <w:b/>
          <w:bCs/>
          <w:rtl/>
        </w:rPr>
        <w:t xml:space="preserve">ה. </w:t>
      </w:r>
      <w:r w:rsidRPr="008E1A3A">
        <w:rPr>
          <w:rFonts w:ascii="David" w:hAnsi="David" w:hint="cs"/>
          <w:b/>
          <w:bCs/>
          <w:u w:val="single"/>
          <w:rtl/>
        </w:rPr>
        <w:t>סיכום וסוף דבר</w:t>
      </w:r>
    </w:p>
    <w:p w:rsidR="00CD2861" w:rsidRDefault="00CD2861" w:rsidP="00CD2861">
      <w:pPr>
        <w:spacing w:line="360" w:lineRule="auto"/>
        <w:jc w:val="both"/>
        <w:rPr>
          <w:rFonts w:ascii="David" w:hAnsi="David"/>
          <w:rtl/>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אציין כבר כאן</w:t>
      </w:r>
      <w:r w:rsidR="00BF775D">
        <w:rPr>
          <w:rFonts w:ascii="David" w:hAnsi="David" w:hint="cs"/>
          <w:rtl/>
        </w:rPr>
        <w:t>,</w:t>
      </w:r>
      <w:r>
        <w:rPr>
          <w:rFonts w:ascii="David" w:hAnsi="David"/>
          <w:rtl/>
        </w:rPr>
        <w:t xml:space="preserve"> כי חל שינוי מהותי בטענות המשביר לאורך ניהול ההליך, הן בשלב הגשת הראיות והן בשלב החקירות הנגדיות והסיכומים. מכאן גם הצורך לעמוד על טענות המשביר בכל אחד משלבי הדיון (ובהתאם, החלוקה לראשי פרקים כמפורט לעיל).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עוד אציין כי סקירת כתבי הטענות והתצהירים שלהלן, על המסמכים שצורפו להם, היא חלק בלתי נפרד מההכרעה. מדובר בסקירה ביקורתית, הכוללת גם ניתוח של הדברים בראי טענות הצדדים והראיות; ויש עמה סיכומי ביניים, קביעות ומסקנות, שיידרשו לפרק הדיון וההכרעה.</w:t>
      </w:r>
    </w:p>
    <w:p w:rsidR="00CD2861" w:rsidRDefault="00CD2861" w:rsidP="00CD2861">
      <w:pPr>
        <w:pStyle w:val="af"/>
        <w:rPr>
          <w:rFonts w:ascii="David" w:hAnsi="David"/>
        </w:rPr>
      </w:pPr>
    </w:p>
    <w:p w:rsidR="00CD2861" w:rsidRDefault="00CD2861" w:rsidP="00BF775D">
      <w:pPr>
        <w:spacing w:line="276" w:lineRule="auto"/>
        <w:jc w:val="both"/>
        <w:rPr>
          <w:rFonts w:ascii="David" w:hAnsi="David"/>
          <w:sz w:val="26"/>
          <w:szCs w:val="26"/>
          <w:u w:val="single"/>
          <w:rtl/>
        </w:rPr>
      </w:pPr>
      <w:r>
        <w:rPr>
          <w:rFonts w:ascii="David" w:hAnsi="David"/>
          <w:b/>
          <w:bCs/>
          <w:sz w:val="26"/>
          <w:szCs w:val="26"/>
          <w:rtl/>
        </w:rPr>
        <w:t xml:space="preserve">א. </w:t>
      </w:r>
      <w:r>
        <w:rPr>
          <w:rFonts w:ascii="David" w:hAnsi="David"/>
          <w:b/>
          <w:bCs/>
          <w:sz w:val="26"/>
          <w:szCs w:val="26"/>
          <w:u w:val="single"/>
          <w:rtl/>
        </w:rPr>
        <w:t>המחלוקת ועיקרי טענות הצדדים לפי כתבי הטענות</w:t>
      </w:r>
      <w:r>
        <w:rPr>
          <w:rFonts w:ascii="David" w:hAnsi="David"/>
          <w:sz w:val="26"/>
          <w:szCs w:val="26"/>
          <w:rtl/>
        </w:rPr>
        <w:tab/>
      </w:r>
      <w:r>
        <w:rPr>
          <w:rFonts w:ascii="David" w:hAnsi="David"/>
          <w:sz w:val="26"/>
          <w:szCs w:val="26"/>
          <w:u w:val="single"/>
          <w:rtl/>
        </w:rPr>
        <w:br/>
      </w:r>
    </w:p>
    <w:p w:rsidR="00CD2861" w:rsidRDefault="00CD2861" w:rsidP="00BF775D">
      <w:pPr>
        <w:pStyle w:val="af"/>
        <w:numPr>
          <w:ilvl w:val="0"/>
          <w:numId w:val="2"/>
        </w:numPr>
        <w:spacing w:before="0" w:after="0" w:line="360" w:lineRule="auto"/>
        <w:ind w:left="509" w:hanging="567"/>
        <w:jc w:val="both"/>
        <w:rPr>
          <w:rFonts w:ascii="David" w:hAnsi="David"/>
        </w:rPr>
      </w:pPr>
      <w:r>
        <w:rPr>
          <w:rFonts w:ascii="David" w:hAnsi="David"/>
          <w:rtl/>
        </w:rPr>
        <w:t>על רקע מגבלות מגפת הקורונה פנתה המשביר לתובעת בבקשה לק</w:t>
      </w:r>
      <w:r w:rsidR="00BF775D">
        <w:rPr>
          <w:rFonts w:ascii="David" w:hAnsi="David" w:hint="cs"/>
          <w:rtl/>
        </w:rPr>
        <w:t>ב</w:t>
      </w:r>
      <w:r>
        <w:rPr>
          <w:rFonts w:ascii="David" w:hAnsi="David"/>
          <w:rtl/>
        </w:rPr>
        <w:t xml:space="preserve">ל </w:t>
      </w:r>
      <w:r w:rsidR="00BF775D">
        <w:rPr>
          <w:rFonts w:ascii="David" w:hAnsi="David" w:hint="cs"/>
          <w:rtl/>
        </w:rPr>
        <w:t xml:space="preserve">הקלה </w:t>
      </w:r>
      <w:r>
        <w:rPr>
          <w:rFonts w:ascii="David" w:hAnsi="David"/>
          <w:rtl/>
        </w:rPr>
        <w:t>בדמי השכירות. מהראיות עולה כי בין הצדדים התנהל משא ומתן ממושך למדי בעניין זה. בקווים כלליים,</w:t>
      </w:r>
      <w:r>
        <w:rPr>
          <w:rFonts w:ascii="David" w:hAnsi="David"/>
          <w:b/>
          <w:bCs/>
          <w:rtl/>
        </w:rPr>
        <w:t xml:space="preserve"> </w:t>
      </w:r>
      <w:r w:rsidRPr="00BF775D">
        <w:rPr>
          <w:rFonts w:ascii="David" w:hAnsi="David"/>
          <w:rtl/>
        </w:rPr>
        <w:t>כאמור, השאלה העומדת לפתחו של בית המשפט היא האם כטענת המשביר</w:t>
      </w:r>
      <w:r>
        <w:rPr>
          <w:rFonts w:ascii="David" w:hAnsi="David"/>
          <w:rtl/>
        </w:rPr>
        <w:t xml:space="preserve">, הגיעו הצדדים להסכמות מחייבות למתן הנחות והקלות למשביר בדמי השכירות (והמשביר פעלה ושילמה על פיהן, כך שלא נותר לה כל חוב); או שמא, כטענת התובעת, המשא ומתן כשל ולא הבשיל לכדי הסכמה מחייבת (כך שעומדת חובת התשלום לפי הסכם השכירות במלואה, ובהתאם על המשביר לשלם את הפרש דמי השכירות בתוספת ריבית פיגורים). </w:t>
      </w:r>
    </w:p>
    <w:p w:rsidR="00CD2861" w:rsidRDefault="00CD2861" w:rsidP="00CD2861">
      <w:pPr>
        <w:spacing w:line="360" w:lineRule="auto"/>
        <w:jc w:val="both"/>
        <w:rPr>
          <w:rFonts w:ascii="David" w:hAnsi="David"/>
        </w:rPr>
      </w:pPr>
    </w:p>
    <w:p w:rsidR="00CD2861" w:rsidRDefault="00CD2861" w:rsidP="009974EA">
      <w:pPr>
        <w:pStyle w:val="af"/>
        <w:numPr>
          <w:ilvl w:val="0"/>
          <w:numId w:val="2"/>
        </w:numPr>
        <w:spacing w:before="0" w:after="0" w:line="360" w:lineRule="auto"/>
        <w:ind w:left="509" w:hanging="567"/>
        <w:jc w:val="both"/>
        <w:rPr>
          <w:rFonts w:ascii="David" w:hAnsi="David"/>
        </w:rPr>
      </w:pPr>
      <w:r>
        <w:rPr>
          <w:rFonts w:ascii="David" w:hAnsi="David"/>
          <w:b/>
          <w:bCs/>
          <w:rtl/>
        </w:rPr>
        <w:t>לפי כתב התביעה</w:t>
      </w:r>
      <w:r>
        <w:rPr>
          <w:rFonts w:ascii="David" w:hAnsi="David"/>
          <w:rtl/>
        </w:rPr>
        <w:t xml:space="preserve">, המשביר הפסיקה לשלם את דמי השכירות על דעתה שלה, בחודש מרץ 2020, בתקופת מגבלות הקורונה. בפגישה </w:t>
      </w:r>
      <w:r w:rsidR="00BF775D">
        <w:rPr>
          <w:rFonts w:ascii="David" w:hAnsi="David" w:hint="cs"/>
          <w:rtl/>
        </w:rPr>
        <w:t xml:space="preserve">שנערכה </w:t>
      </w:r>
      <w:r>
        <w:rPr>
          <w:rFonts w:ascii="David" w:hAnsi="David"/>
          <w:rtl/>
        </w:rPr>
        <w:t xml:space="preserve">בחודש מאי 2020 ביקשה המשביר לקבל את ההנחה שמליסרון נתנה לשוכרים בקניוניה, אך הובהר לה שמדובר בהקלות לפנים משורת הדין שניתנות על ידי מליסרון לחנויות בקניונים בלבד, בעוד שהנכס המדובר הוא נכס </w:t>
      </w:r>
      <w:r>
        <w:rPr>
          <w:rFonts w:ascii="David" w:hAnsi="David"/>
        </w:rPr>
        <w:t>stand alone</w:t>
      </w:r>
      <w:r>
        <w:rPr>
          <w:rFonts w:ascii="David" w:hAnsi="David"/>
          <w:rtl/>
        </w:rPr>
        <w:t xml:space="preserve"> </w:t>
      </w:r>
      <w:r>
        <w:rPr>
          <w:rFonts w:ascii="David" w:hAnsi="David" w:hint="cs"/>
          <w:rtl/>
        </w:rPr>
        <w:t>המצוי ברחוב (להבדיל מהחנויות המצויות בקניון, על המגבלות הכרוכות בכך) ואף מנוהל על ידי המשביר (ולא על ידי חברת ניהול). כך הצטבר למשביר חוב דמי שכירות של מיליוני שקלים בשנים 2020-2021. התובעת הסכימה לוותר על חלק מהחוב בתמורה לכך שיהא בידה לפנות את המשביר מהמושכר לפי שיקול דעתה טרם תום תקופת השכירות בהסכם (שסיומה בשנת 2035), כדי שתוכל לקנות חופש פעולה בפיתוח עתידי של הנכס (</w:t>
      </w:r>
      <w:r>
        <w:rPr>
          <w:rFonts w:ascii="David" w:hAnsi="David" w:hint="cs"/>
          <w:b/>
          <w:bCs/>
          <w:rtl/>
        </w:rPr>
        <w:t>תנאי הפינוי</w:t>
      </w:r>
      <w:r>
        <w:rPr>
          <w:rFonts w:ascii="David" w:hAnsi="David" w:hint="cs"/>
          <w:rtl/>
        </w:rPr>
        <w:t>). חרף  תכתובות, פגישות וטיוטות רבות של תוספת להסכם שהוכנו בעקבותיה</w:t>
      </w:r>
      <w:r w:rsidR="00BF775D">
        <w:rPr>
          <w:rFonts w:ascii="David" w:hAnsi="David" w:hint="cs"/>
          <w:rtl/>
        </w:rPr>
        <w:t>ן</w:t>
      </w:r>
      <w:r>
        <w:rPr>
          <w:rFonts w:ascii="David" w:hAnsi="David" w:hint="cs"/>
          <w:rtl/>
        </w:rPr>
        <w:t>, המשא ומתן לא צלח. במהלכו, כך נטען, אף ניסתה המשביר להתנער מהמסמך מיום 17.3.2011. לאורך הדרך הבהירה התובעת למשביר,</w:t>
      </w:r>
      <w:r w:rsidR="009974EA">
        <w:rPr>
          <w:rFonts w:ascii="David" w:hAnsi="David" w:hint="cs"/>
          <w:rtl/>
        </w:rPr>
        <w:t xml:space="preserve"> </w:t>
      </w:r>
      <w:r>
        <w:rPr>
          <w:rFonts w:ascii="David" w:hAnsi="David" w:hint="cs"/>
          <w:rtl/>
        </w:rPr>
        <w:t xml:space="preserve">כי כל ההקלות בדמי השכירות כפופות לחתימה על הסכם מחייב, שלא נחתם. ב"שורה התחתונה" הצדדים לא הגיעו להסכמות נוכח אי הסכמת המשביר לשני התנאים שעליהם עמדה התובעת: </w:t>
      </w:r>
      <w:r>
        <w:rPr>
          <w:rFonts w:ascii="David" w:hAnsi="David" w:hint="cs"/>
          <w:u w:val="single"/>
          <w:rtl/>
        </w:rPr>
        <w:t>האחד</w:t>
      </w:r>
      <w:r>
        <w:rPr>
          <w:rFonts w:ascii="David" w:hAnsi="David" w:hint="cs"/>
          <w:rtl/>
        </w:rPr>
        <w:t xml:space="preserve"> הוא תנאי הפינוי הנזכר לעיל; ו</w:t>
      </w:r>
      <w:r>
        <w:rPr>
          <w:rFonts w:ascii="David" w:hAnsi="David" w:hint="cs"/>
          <w:u w:val="single"/>
          <w:rtl/>
        </w:rPr>
        <w:t>השני</w:t>
      </w:r>
      <w:r>
        <w:rPr>
          <w:rFonts w:ascii="David" w:hAnsi="David" w:hint="cs"/>
          <w:rtl/>
        </w:rPr>
        <w:t xml:space="preserve">, הוא ויתור המשביר על כל טענה בעניין שטח המושכר ודמי השכירות בקשר לכך, </w:t>
      </w:r>
      <w:r>
        <w:rPr>
          <w:rFonts w:ascii="David" w:hAnsi="David" w:hint="cs"/>
          <w:rtl/>
        </w:rPr>
        <w:lastRenderedPageBreak/>
        <w:t>לנוכח כתב הוויתור הנזכר לעיל שעליו חתם חסאן (</w:t>
      </w:r>
      <w:r>
        <w:rPr>
          <w:rFonts w:ascii="David" w:hAnsi="David" w:hint="cs"/>
          <w:b/>
          <w:bCs/>
          <w:rtl/>
        </w:rPr>
        <w:t>תנאי הוויתור על הטענות בעניין השטח</w:t>
      </w:r>
      <w:r>
        <w:rPr>
          <w:rFonts w:ascii="David" w:hAnsi="David" w:hint="cs"/>
          <w:rtl/>
        </w:rPr>
        <w:t xml:space="preserve"> או </w:t>
      </w:r>
      <w:r>
        <w:rPr>
          <w:rFonts w:ascii="David" w:hAnsi="David" w:hint="cs"/>
          <w:b/>
          <w:bCs/>
          <w:rtl/>
        </w:rPr>
        <w:t>תנאי הוויתור</w:t>
      </w:r>
      <w:r>
        <w:rPr>
          <w:rFonts w:ascii="David" w:hAnsi="David" w:hint="cs"/>
          <w:rtl/>
        </w:rPr>
        <w:t>). להלן יכונו שני התנאים הנ"ל יחדיו: "</w:t>
      </w:r>
      <w:r>
        <w:rPr>
          <w:rFonts w:ascii="David" w:hAnsi="David" w:hint="cs"/>
          <w:b/>
          <w:bCs/>
          <w:rtl/>
        </w:rPr>
        <w:t>שני התנאים</w:t>
      </w:r>
      <w:r>
        <w:rPr>
          <w:rFonts w:ascii="David" w:hAnsi="David" w:hint="cs"/>
          <w:rtl/>
        </w:rPr>
        <w:t xml:space="preserve">". הצדדים לא הגיעו להסכמות, הסכם לא נחתם, גובה דמי השכירות הקבוע בהסכם נותר על כנו, ויש לשלם את הפרש דמי השכירות בתוספת ריבית פיגורים כנקוב בהסכם, כך לפי כתב התביעה. </w:t>
      </w:r>
    </w:p>
    <w:p w:rsidR="00CD2861" w:rsidRDefault="00CD2861" w:rsidP="00CD2861">
      <w:pPr>
        <w:spacing w:line="360" w:lineRule="auto"/>
        <w:jc w:val="both"/>
        <w:rPr>
          <w:rFonts w:ascii="David" w:hAnsi="David"/>
        </w:rPr>
      </w:pPr>
    </w:p>
    <w:p w:rsidR="00CD2861" w:rsidRDefault="00CD2861" w:rsidP="009974EA">
      <w:pPr>
        <w:pStyle w:val="af"/>
        <w:numPr>
          <w:ilvl w:val="0"/>
          <w:numId w:val="2"/>
        </w:numPr>
        <w:spacing w:before="0" w:after="0" w:line="360" w:lineRule="auto"/>
        <w:ind w:left="509" w:hanging="567"/>
        <w:jc w:val="both"/>
        <w:rPr>
          <w:rFonts w:ascii="David" w:hAnsi="David"/>
        </w:rPr>
      </w:pPr>
      <w:r>
        <w:rPr>
          <w:rFonts w:ascii="David" w:hAnsi="David"/>
          <w:b/>
          <w:bCs/>
          <w:rtl/>
        </w:rPr>
        <w:t>בכתב ההגנה</w:t>
      </w:r>
      <w:r>
        <w:rPr>
          <w:rFonts w:ascii="David" w:hAnsi="David"/>
          <w:rtl/>
        </w:rPr>
        <w:t xml:space="preserve"> טענה המשביר, כי התובעת ניצלה את משבר הקורונה בחוסר תום לב, כדי לנסות לכפות עליה להתקשר בתוספת להסכם הכוללת את שני התנאים. זהו סניף הדגל של המשביר שהושקע בו כסף רב, וסילוקה ממנו בטרם תום תקופת השכירות, כך נטען, ה</w:t>
      </w:r>
      <w:r w:rsidR="009974EA">
        <w:rPr>
          <w:rFonts w:ascii="David" w:hAnsi="David" w:hint="cs"/>
          <w:rtl/>
        </w:rPr>
        <w:t>ו</w:t>
      </w:r>
      <w:r>
        <w:rPr>
          <w:rFonts w:ascii="David" w:hAnsi="David"/>
          <w:rtl/>
        </w:rPr>
        <w:t>א פגיעה כלכלית משמעותית. גם לתנאי הוויתור משמעות כלכלית כבדה, נוכח גביית יתר במשך למעלה מ- 10 שנים, בסכום של למעלה מ- 17 מיליון ₪ (שנתבע בתביעה שכנגד). נטען כי מדובר בהבחנה שלא כדין</w:t>
      </w:r>
      <w:r>
        <w:rPr>
          <w:rFonts w:ascii="David" w:hAnsi="David"/>
        </w:rPr>
        <w:t xml:space="preserve"> </w:t>
      </w:r>
      <w:r>
        <w:rPr>
          <w:rFonts w:ascii="David" w:hAnsi="David"/>
          <w:rtl/>
        </w:rPr>
        <w:t>בין הנכס בכיכר ציון למושכרים האחרים בקניונים, שקיבלו הנחות קורונה; וכי מליסרון מנצלת את כוחה בתחום הקניונים שלא כדין על מנת להכריח את שוכרי החנויות להסכים לתנאיה. לטענת המשביר, משסירבה לחתום על התוספת "המקפחת" הוגשה תביעה זו כנגדה כדי "להתנקם" בה ולפגוע בכיסה, וזאת "</w:t>
      </w:r>
      <w:r>
        <w:rPr>
          <w:rFonts w:ascii="David" w:hAnsi="David"/>
          <w:b/>
          <w:bCs/>
          <w:rtl/>
        </w:rPr>
        <w:t>בניגוד לכל ההסכמים של הצדדים מהשנתיים האחרונות, כפי שנקבעו בעל פה, בכתב והתנהגות, מכוחם שילמה הנתבעת לתובעת עשרות מיליוני שקלים, וזאת רק בשנתיים האחרונות</w:t>
      </w:r>
      <w:r>
        <w:rPr>
          <w:rFonts w:ascii="David" w:hAnsi="David"/>
          <w:rtl/>
        </w:rPr>
        <w:t>" (סעיף 9 לכתב ההגנה). לטענת המשביר</w:t>
      </w:r>
      <w:r w:rsidR="009974EA">
        <w:rPr>
          <w:rFonts w:ascii="David" w:hAnsi="David" w:hint="cs"/>
          <w:rtl/>
        </w:rPr>
        <w:t>,</w:t>
      </w:r>
      <w:r>
        <w:rPr>
          <w:rFonts w:ascii="David" w:hAnsi="David"/>
          <w:rtl/>
        </w:rPr>
        <w:t xml:space="preserve"> היא שילמה דמי שכירות בהתאם למוסכם ואין לה כל חוב. נטען כי לאחר שמליסרון "</w:t>
      </w:r>
      <w:r>
        <w:rPr>
          <w:rFonts w:ascii="David" w:hAnsi="David"/>
          <w:b/>
          <w:bCs/>
          <w:rtl/>
        </w:rPr>
        <w:t>זנחה</w:t>
      </w:r>
      <w:r>
        <w:rPr>
          <w:rFonts w:ascii="David" w:hAnsi="David"/>
          <w:rtl/>
        </w:rPr>
        <w:t xml:space="preserve">" את הרעיון הפסול של חתימה "על התוספת הלא חוקית", הצדדים המשיכו </w:t>
      </w:r>
      <w:r>
        <w:rPr>
          <w:rFonts w:ascii="David" w:hAnsi="David"/>
          <w:b/>
          <w:bCs/>
          <w:rtl/>
        </w:rPr>
        <w:t>"בהתנהלות העסקית הרגילה</w:t>
      </w:r>
      <w:r>
        <w:rPr>
          <w:rFonts w:ascii="David" w:hAnsi="David"/>
          <w:rtl/>
        </w:rPr>
        <w:t>" (סעיפים 83, 97 לכתב ההגנה). "</w:t>
      </w:r>
      <w:r>
        <w:rPr>
          <w:rFonts w:ascii="David" w:hAnsi="David"/>
          <w:b/>
          <w:bCs/>
          <w:rtl/>
        </w:rPr>
        <w:t xml:space="preserve">במסגרת אותן פגישות, שהרלוונטיות מביניהן התקיימו בחודשים </w:t>
      </w:r>
      <w:r>
        <w:rPr>
          <w:rFonts w:ascii="David" w:hAnsi="David"/>
          <w:b/>
          <w:bCs/>
          <w:u w:val="single"/>
          <w:rtl/>
        </w:rPr>
        <w:t>ינואר-פברואר 2021</w:t>
      </w:r>
      <w:r>
        <w:rPr>
          <w:rFonts w:ascii="David" w:hAnsi="David"/>
          <w:b/>
          <w:bCs/>
          <w:rtl/>
        </w:rPr>
        <w:t xml:space="preserve"> העלו הצדדים את מתווה המשך העסקים ביניהם מבלי להתנות את המשך השכירות של סניף כיכר ציון ... בחתימה על 'תוספת' כלשהי להסכם השכירות, וכמובן מבלי העמדת תניות למתן זכות לתובעת לסלק את המשביר מהנכס לאלתר. במסגרת הדיאלוג בין הצדדים, אישרה מליסרון הנחה </w:t>
      </w:r>
      <w:r>
        <w:rPr>
          <w:rFonts w:ascii="David" w:hAnsi="David"/>
          <w:b/>
          <w:bCs/>
          <w:u w:val="single"/>
          <w:rtl/>
        </w:rPr>
        <w:t>לכל חנויות השוכרים וגם לחנויות המשביר</w:t>
      </w:r>
      <w:r>
        <w:rPr>
          <w:rFonts w:ascii="David" w:hAnsi="David"/>
          <w:b/>
          <w:bCs/>
          <w:rtl/>
        </w:rPr>
        <w:t>, ובין היתר, לחנות הדגל של המשיב בכיכר ציון</w:t>
      </w:r>
      <w:r>
        <w:rPr>
          <w:rFonts w:ascii="David" w:hAnsi="David"/>
          <w:rtl/>
        </w:rPr>
        <w:t>" "</w:t>
      </w:r>
      <w:r>
        <w:rPr>
          <w:rFonts w:ascii="David" w:hAnsi="David"/>
          <w:b/>
          <w:bCs/>
          <w:rtl/>
        </w:rPr>
        <w:t>לגבי כיכר ציון, הגיעו הצדדים לסיכומים</w:t>
      </w:r>
      <w:r>
        <w:rPr>
          <w:rFonts w:ascii="David" w:hAnsi="David"/>
          <w:b/>
          <w:bCs/>
          <w:u w:val="single"/>
          <w:rtl/>
        </w:rPr>
        <w:t xml:space="preserve"> שהועלו על הכתב</w:t>
      </w:r>
      <w:r>
        <w:rPr>
          <w:rFonts w:ascii="David" w:hAnsi="David"/>
          <w:b/>
          <w:bCs/>
          <w:rtl/>
        </w:rPr>
        <w:t xml:space="preserve"> (נייר מכתבים רשמי של מליסרון!!) ...</w:t>
      </w:r>
      <w:r>
        <w:rPr>
          <w:rFonts w:ascii="David" w:hAnsi="David"/>
          <w:rtl/>
        </w:rPr>
        <w:t xml:space="preserve">" (סעיפים 98 ו- 100 שם, בהתאמה. ההדגשות בקו כאן, הן במקור). </w:t>
      </w:r>
    </w:p>
    <w:p w:rsidR="00CD2861" w:rsidRDefault="00CD2861" w:rsidP="00CD2861">
      <w:pPr>
        <w:spacing w:line="360" w:lineRule="auto"/>
        <w:jc w:val="both"/>
        <w:rPr>
          <w:rFonts w:ascii="David" w:hAnsi="David"/>
        </w:rPr>
      </w:pPr>
    </w:p>
    <w:p w:rsidR="00CD2861" w:rsidRDefault="00CD2861" w:rsidP="009974EA">
      <w:pPr>
        <w:pStyle w:val="af"/>
        <w:numPr>
          <w:ilvl w:val="0"/>
          <w:numId w:val="2"/>
        </w:numPr>
        <w:spacing w:before="0" w:after="0" w:line="360" w:lineRule="auto"/>
        <w:ind w:left="509" w:hanging="567"/>
        <w:jc w:val="both"/>
        <w:rPr>
          <w:rFonts w:ascii="David" w:hAnsi="David"/>
          <w:rtl/>
        </w:rPr>
      </w:pPr>
      <w:r>
        <w:rPr>
          <w:rFonts w:ascii="David" w:hAnsi="David"/>
          <w:rtl/>
        </w:rPr>
        <w:t xml:space="preserve">מהם </w:t>
      </w:r>
      <w:r>
        <w:rPr>
          <w:rFonts w:ascii="David" w:hAnsi="David"/>
          <w:b/>
          <w:bCs/>
          <w:rtl/>
        </w:rPr>
        <w:t xml:space="preserve">ה"סיכומים </w:t>
      </w:r>
      <w:r>
        <w:rPr>
          <w:rFonts w:ascii="David" w:hAnsi="David"/>
          <w:b/>
          <w:bCs/>
          <w:u w:val="single"/>
          <w:rtl/>
        </w:rPr>
        <w:t>שהועלו על הכתב</w:t>
      </w:r>
      <w:r>
        <w:rPr>
          <w:rFonts w:ascii="David" w:hAnsi="David"/>
          <w:b/>
          <w:bCs/>
          <w:rtl/>
        </w:rPr>
        <w:t xml:space="preserve"> (נייר מכתבים רשמי של מליסרון!!)</w:t>
      </w:r>
      <w:r>
        <w:rPr>
          <w:rFonts w:ascii="David" w:hAnsi="David"/>
          <w:rtl/>
        </w:rPr>
        <w:t>" כלשון כתב ההגנה? – בנספח 16 לכתב ההגנה צורף דוא"ל מיום 3.2.2021 ששלחה כהן לעו"ד קוק, ובו טבלת הנחות "מצב מעודכן". לטענת המשביר, טבלה זו מעגנת את ההסכמות בין הצדדים (</w:t>
      </w:r>
      <w:r>
        <w:rPr>
          <w:rFonts w:ascii="David" w:hAnsi="David"/>
          <w:b/>
          <w:bCs/>
          <w:rtl/>
        </w:rPr>
        <w:t xml:space="preserve">טבלת הנחות מיום 3.2.2021 </w:t>
      </w:r>
      <w:r>
        <w:rPr>
          <w:rFonts w:ascii="David" w:hAnsi="David"/>
          <w:rtl/>
        </w:rPr>
        <w:t>או</w:t>
      </w:r>
      <w:r>
        <w:rPr>
          <w:rFonts w:ascii="David" w:hAnsi="David"/>
          <w:b/>
          <w:bCs/>
          <w:rtl/>
        </w:rPr>
        <w:t xml:space="preserve"> טבלת ההנחות)</w:t>
      </w:r>
      <w:r>
        <w:rPr>
          <w:rFonts w:ascii="David" w:hAnsi="David"/>
          <w:rtl/>
        </w:rPr>
        <w:t xml:space="preserve">. נטען כי </w:t>
      </w:r>
      <w:r>
        <w:rPr>
          <w:rFonts w:ascii="David" w:hAnsi="David"/>
          <w:b/>
          <w:bCs/>
          <w:rtl/>
        </w:rPr>
        <w:t xml:space="preserve">"בסופו של יום", </w:t>
      </w:r>
      <w:r>
        <w:rPr>
          <w:rFonts w:ascii="David" w:hAnsi="David"/>
          <w:rtl/>
        </w:rPr>
        <w:t xml:space="preserve">לאחר שהתובעת ויתרה על רעיון החתימה על תוספת להסכם ובמסגרת המשך ההתנהלות העסקית הרגילה, הגיעו הצדדים להסכמות בדמות טבלת ההנחות (סעיף 97). להלן סעיף 104 לכתב ההגנה שהמשביר העתיקה אליו גם את טבלת ההנחות מיום 3.2.2021, כחלק בלתי נפרד </w:t>
      </w:r>
      <w:r w:rsidR="009974EA">
        <w:rPr>
          <w:rFonts w:ascii="David" w:hAnsi="David" w:hint="cs"/>
          <w:rtl/>
        </w:rPr>
        <w:t>ממנו</w:t>
      </w:r>
      <w:r>
        <w:rPr>
          <w:rFonts w:ascii="David" w:hAnsi="David"/>
          <w:rtl/>
        </w:rPr>
        <w:t>:</w:t>
      </w:r>
    </w:p>
    <w:p w:rsidR="00CD2861" w:rsidRDefault="00CD2861" w:rsidP="00CD2861">
      <w:pPr>
        <w:pStyle w:val="af"/>
        <w:rPr>
          <w:rFonts w:ascii="David" w:hAnsi="David"/>
          <w:b/>
          <w:bCs/>
        </w:rPr>
      </w:pPr>
    </w:p>
    <w:p w:rsidR="00CD2861" w:rsidRDefault="00CD2861" w:rsidP="00CD2861">
      <w:pPr>
        <w:spacing w:line="276" w:lineRule="auto"/>
        <w:ind w:left="1076" w:right="851"/>
        <w:jc w:val="both"/>
        <w:rPr>
          <w:rFonts w:ascii="David" w:hAnsi="David"/>
          <w:rtl/>
        </w:rPr>
      </w:pPr>
      <w:r>
        <w:rPr>
          <w:rFonts w:ascii="David" w:hAnsi="David"/>
          <w:b/>
          <w:bCs/>
          <w:rtl/>
        </w:rPr>
        <w:lastRenderedPageBreak/>
        <w:t xml:space="preserve">"104. בסופו של יום </w:t>
      </w:r>
      <w:r>
        <w:rPr>
          <w:rFonts w:ascii="David" w:hAnsi="David"/>
          <w:b/>
          <w:bCs/>
          <w:u w:val="single"/>
          <w:rtl/>
        </w:rPr>
        <w:t>הסכימו הצדדים (בחודש פברואר 21)</w:t>
      </w:r>
      <w:r>
        <w:rPr>
          <w:rFonts w:ascii="David" w:hAnsi="David"/>
          <w:b/>
          <w:bCs/>
          <w:rtl/>
        </w:rPr>
        <w:t xml:space="preserve"> למתן תשלום והנחות כדלקמן </w:t>
      </w:r>
      <w:r>
        <w:rPr>
          <w:rFonts w:ascii="David" w:hAnsi="David"/>
          <w:b/>
          <w:bCs/>
          <w:u w:val="single"/>
          <w:rtl/>
        </w:rPr>
        <w:t>לגבי חודשים מרץ 20 עד לחודש פברואר 21</w:t>
      </w:r>
      <w:r>
        <w:rPr>
          <w:rFonts w:ascii="David" w:hAnsi="David"/>
          <w:b/>
          <w:bCs/>
          <w:rtl/>
        </w:rPr>
        <w:t xml:space="preserve"> (וכפי שנרשם ע"י גב' זהורית כהן מנהלת תיקי שוכרים אצל מליסרון)</w:t>
      </w:r>
      <w:r>
        <w:rPr>
          <w:rFonts w:ascii="David" w:hAnsi="David"/>
          <w:rtl/>
        </w:rPr>
        <w:t>":</w:t>
      </w:r>
      <w:r>
        <w:rPr>
          <w:rFonts w:ascii="David" w:hAnsi="David"/>
          <w:b/>
          <w:bCs/>
          <w:rtl/>
        </w:rPr>
        <w:t xml:space="preserve"> </w:t>
      </w:r>
      <w:r>
        <w:rPr>
          <w:rFonts w:ascii="David" w:hAnsi="David"/>
          <w:b/>
          <w:bCs/>
          <w:rtl/>
        </w:rPr>
        <w:tab/>
      </w:r>
      <w:r>
        <w:rPr>
          <w:rFonts w:ascii="David" w:hAnsi="David"/>
          <w:b/>
          <w:bCs/>
          <w:rtl/>
        </w:rPr>
        <w:br/>
      </w:r>
    </w:p>
    <w:p w:rsidR="00CD2861" w:rsidRDefault="00CD2861" w:rsidP="00CD2861">
      <w:pPr>
        <w:spacing w:line="360" w:lineRule="auto"/>
        <w:jc w:val="center"/>
        <w:rPr>
          <w:rFonts w:ascii="David" w:hAnsi="David"/>
          <w:rtl/>
        </w:rPr>
      </w:pPr>
      <w:r>
        <w:rPr>
          <w:rFonts w:ascii="David" w:hAnsi="David"/>
          <w:rtl/>
        </w:rPr>
        <w:t xml:space="preserve"> </w:t>
      </w:r>
      <w:r>
        <w:rPr>
          <w:rFonts w:ascii="David" w:hAnsi="David"/>
        </w:rPr>
        <w:drawing>
          <wp:inline distT="0" distB="0" distL="0" distR="0">
            <wp:extent cx="5267325" cy="2962275"/>
            <wp:effectExtent l="0" t="0" r="9525" b="952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7325" cy="2962275"/>
                    </a:xfrm>
                    <a:prstGeom prst="rect">
                      <a:avLst/>
                    </a:prstGeom>
                    <a:noFill/>
                    <a:ln>
                      <a:noFill/>
                    </a:ln>
                  </pic:spPr>
                </pic:pic>
              </a:graphicData>
            </a:graphic>
          </wp:inline>
        </w:drawing>
      </w:r>
    </w:p>
    <w:p w:rsidR="00CD2861" w:rsidRDefault="00CD2861" w:rsidP="00CD2861">
      <w:pPr>
        <w:spacing w:line="360" w:lineRule="auto"/>
        <w:jc w:val="both"/>
        <w:rPr>
          <w:rFonts w:ascii="David" w:hAnsi="David"/>
          <w:rtl/>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b/>
          <w:bCs/>
          <w:rtl/>
        </w:rPr>
        <w:t>יוצא מן האמור, כי לגרסת המשביר בכתב ההגנה, בפברואר 2021 הושגה הסכמה להנחה לחודשים מרץ 2020 עד פברואר 2021, וזו עוגנה בטבלת ההנחות הנ"ל.</w:t>
      </w:r>
      <w:r>
        <w:rPr>
          <w:rFonts w:ascii="David" w:hAnsi="David"/>
          <w:rtl/>
        </w:rPr>
        <w:t xml:space="preserve"> לדידה, היא ביצעה את חלקה: שילמה את כל המגיע ממנה והעבירה קופונים תמורת ההנחה לחודש מרץ 2020 בסך של 660,919 ₪ (המשביר מפנה למכתב מליסרון מיום 6.7.2021, נספח 17 לכתב ההגנה); והתובעת מצדה, הוציאה חשבוניות מס והודעות זיכוי בהתאם (סעיפים 106-108 שם).</w:t>
      </w:r>
    </w:p>
    <w:p w:rsidR="00CD2861" w:rsidRDefault="00CD2861" w:rsidP="00CD2861">
      <w:pPr>
        <w:spacing w:line="360" w:lineRule="auto"/>
        <w:jc w:val="both"/>
        <w:rPr>
          <w:rFonts w:ascii="David" w:hAnsi="David"/>
        </w:rPr>
      </w:pPr>
    </w:p>
    <w:p w:rsidR="00CD2861" w:rsidRDefault="00CD2861" w:rsidP="009974EA">
      <w:pPr>
        <w:pStyle w:val="af"/>
        <w:numPr>
          <w:ilvl w:val="0"/>
          <w:numId w:val="2"/>
        </w:numPr>
        <w:spacing w:before="0" w:after="0" w:line="360" w:lineRule="auto"/>
        <w:ind w:left="509" w:hanging="567"/>
        <w:jc w:val="both"/>
        <w:rPr>
          <w:rFonts w:ascii="David" w:hAnsi="David"/>
          <w:rtl/>
        </w:rPr>
      </w:pPr>
      <w:r>
        <w:rPr>
          <w:rFonts w:ascii="David" w:hAnsi="David"/>
          <w:rtl/>
        </w:rPr>
        <w:t>בנוסף, "</w:t>
      </w:r>
      <w:r>
        <w:rPr>
          <w:rFonts w:ascii="David" w:hAnsi="David"/>
          <w:b/>
          <w:bCs/>
          <w:rtl/>
        </w:rPr>
        <w:t xml:space="preserve">לאחר הסיכומים מחודש ינואר-פברואר 21 המשיכו הצדדים-כמנהגם, את מערכת היחסים העסקית לגבי כלל החנויות. </w:t>
      </w:r>
      <w:r>
        <w:rPr>
          <w:rFonts w:ascii="David" w:hAnsi="David"/>
          <w:b/>
          <w:bCs/>
          <w:u w:val="single"/>
          <w:rtl/>
        </w:rPr>
        <w:t>בחודש יוני 21</w:t>
      </w:r>
      <w:r>
        <w:rPr>
          <w:rFonts w:ascii="David" w:hAnsi="David"/>
          <w:b/>
          <w:bCs/>
          <w:rtl/>
        </w:rPr>
        <w:t xml:space="preserve"> </w:t>
      </w:r>
      <w:r>
        <w:rPr>
          <w:rFonts w:ascii="David" w:hAnsi="David"/>
          <w:b/>
          <w:bCs/>
          <w:u w:val="single"/>
          <w:rtl/>
        </w:rPr>
        <w:t>הסכימו על פטור בתקופת הסגר במדינת ישראל של חודשים ינואר עד פברואר 21, ועל הנחה של 10% עד דצמבר 21</w:t>
      </w:r>
      <w:r>
        <w:rPr>
          <w:rFonts w:ascii="David" w:hAnsi="David"/>
          <w:b/>
          <w:bCs/>
          <w:rtl/>
        </w:rPr>
        <w:t xml:space="preserve">" </w:t>
      </w:r>
      <w:r>
        <w:rPr>
          <w:rFonts w:ascii="David" w:hAnsi="David"/>
          <w:rtl/>
        </w:rPr>
        <w:t>(סעיף 112 לכתב ההגנה. ההדגשות במקור) (</w:t>
      </w:r>
      <w:r>
        <w:rPr>
          <w:rFonts w:ascii="David" w:hAnsi="David"/>
          <w:b/>
          <w:bCs/>
          <w:rtl/>
        </w:rPr>
        <w:t>פרק ב' של ההסכמות</w:t>
      </w:r>
      <w:r>
        <w:rPr>
          <w:rFonts w:ascii="David" w:hAnsi="David"/>
          <w:rtl/>
        </w:rPr>
        <w:t>). "</w:t>
      </w:r>
      <w:r>
        <w:rPr>
          <w:rFonts w:ascii="David" w:hAnsi="David"/>
          <w:b/>
          <w:bCs/>
          <w:rtl/>
        </w:rPr>
        <w:t>הצדדים פעלו בהתאם להסכמות ובחודש יולי הוציאה מליסרון חשבוניות מתאימות</w:t>
      </w:r>
      <w:r>
        <w:rPr>
          <w:rFonts w:ascii="David" w:hAnsi="David"/>
          <w:rtl/>
        </w:rPr>
        <w:t xml:space="preserve">". כך, מציינת המשביר, בחשבונית מיום 22.6.2021 ניתן פטור מלא לתקופה שבין 1.2.2021 לבין 21.2.2021 ועל יתר ימי פברואר ניתנה הנחה </w:t>
      </w:r>
      <w:r w:rsidR="009974EA">
        <w:rPr>
          <w:rFonts w:ascii="David" w:hAnsi="David" w:hint="cs"/>
          <w:rtl/>
        </w:rPr>
        <w:t xml:space="preserve">בשיעור </w:t>
      </w:r>
      <w:r>
        <w:rPr>
          <w:rFonts w:ascii="David" w:hAnsi="David"/>
          <w:rtl/>
        </w:rPr>
        <w:t xml:space="preserve">של 10%. בחשבונית נוספת מיום 1.7.2021 ניתנה הנחה של 10% על חודש יולי 2021. אלא שהחל מחודש אוגוסט 2021, ולפי הטענה בניגוד להסכמות, ביטלה התובעת את ההנחה של 10% שהתחייבה לתת עד לסוף דצמבר 2021. נטען כי בכל התקופה האמורה ובין הסגרים, מליסרון ניסתה שוב ושוב "לדחוף" את התוספת להסכם, </w:t>
      </w:r>
      <w:r>
        <w:rPr>
          <w:rFonts w:ascii="David" w:hAnsi="David"/>
          <w:rtl/>
        </w:rPr>
        <w:lastRenderedPageBreak/>
        <w:t>והחל מחודש יולי 2021 זנחה את דרך הה</w:t>
      </w:r>
      <w:r w:rsidR="009974EA">
        <w:rPr>
          <w:rFonts w:ascii="David" w:hAnsi="David" w:hint="cs"/>
          <w:rtl/>
        </w:rPr>
        <w:t>י</w:t>
      </w:r>
      <w:r>
        <w:rPr>
          <w:rFonts w:ascii="David" w:hAnsi="David"/>
          <w:rtl/>
        </w:rPr>
        <w:t>דברות, ביקשה לכפות על המשביר לחתום על התוספת "בכוח הזרוע המשפטית" והורתה לתובעת לבטל את ההנחה</w:t>
      </w:r>
      <w:r w:rsidR="009974EA">
        <w:rPr>
          <w:rFonts w:ascii="David" w:hAnsi="David" w:hint="cs"/>
          <w:rtl/>
        </w:rPr>
        <w:t xml:space="preserve"> בשיעור של </w:t>
      </w:r>
      <w:r>
        <w:rPr>
          <w:rFonts w:ascii="David" w:hAnsi="David"/>
          <w:rtl/>
        </w:rPr>
        <w:t xml:space="preserve">10% (סעיפים 112-114 לכתב ההגנה. ראו מכתב התראה מ- 20.7.2021). </w:t>
      </w:r>
    </w:p>
    <w:p w:rsidR="00CD2861" w:rsidRDefault="00CD2861" w:rsidP="00CD2861">
      <w:pPr>
        <w:spacing w:line="360" w:lineRule="auto"/>
        <w:jc w:val="both"/>
        <w:rPr>
          <w:rFonts w:ascii="David" w:hAnsi="David"/>
        </w:rPr>
      </w:pPr>
    </w:p>
    <w:p w:rsidR="00CD2861" w:rsidRDefault="00CD2861" w:rsidP="009974EA">
      <w:pPr>
        <w:pStyle w:val="af"/>
        <w:numPr>
          <w:ilvl w:val="0"/>
          <w:numId w:val="2"/>
        </w:numPr>
        <w:spacing w:before="0" w:after="0" w:line="360" w:lineRule="auto"/>
        <w:ind w:left="509" w:hanging="567"/>
        <w:jc w:val="both"/>
        <w:rPr>
          <w:rFonts w:ascii="David" w:hAnsi="David"/>
        </w:rPr>
      </w:pPr>
      <w:r>
        <w:rPr>
          <w:rFonts w:ascii="David" w:hAnsi="David"/>
          <w:b/>
          <w:bCs/>
          <w:u w:val="single"/>
          <w:rtl/>
        </w:rPr>
        <w:t>לסיכום טענת המשביר</w:t>
      </w:r>
      <w:r>
        <w:rPr>
          <w:rFonts w:ascii="David" w:hAnsi="David"/>
          <w:u w:val="single"/>
          <w:rtl/>
        </w:rPr>
        <w:t xml:space="preserve"> </w:t>
      </w:r>
      <w:r>
        <w:rPr>
          <w:rFonts w:ascii="David" w:hAnsi="David"/>
          <w:b/>
          <w:bCs/>
          <w:u w:val="single"/>
          <w:rtl/>
        </w:rPr>
        <w:t>לפי כתב ההגנה</w:t>
      </w:r>
      <w:r>
        <w:rPr>
          <w:rFonts w:ascii="David" w:hAnsi="David"/>
          <w:rtl/>
        </w:rPr>
        <w:t xml:space="preserve">: </w:t>
      </w:r>
      <w:r>
        <w:rPr>
          <w:rFonts w:ascii="David" w:hAnsi="David"/>
          <w:rtl/>
        </w:rPr>
        <w:tab/>
      </w:r>
      <w:r>
        <w:rPr>
          <w:rFonts w:ascii="David" w:hAnsi="David"/>
          <w:rtl/>
        </w:rPr>
        <w:br/>
      </w:r>
      <w:r>
        <w:rPr>
          <w:rFonts w:ascii="David" w:hAnsi="David"/>
          <w:b/>
          <w:bCs/>
          <w:rtl/>
        </w:rPr>
        <w:t xml:space="preserve">(1) </w:t>
      </w:r>
      <w:r>
        <w:rPr>
          <w:rFonts w:ascii="David" w:hAnsi="David"/>
          <w:rtl/>
        </w:rPr>
        <w:t xml:space="preserve">לא נחתמה תוספת להסכם, שכן המשביר סירבה בתוקף לשני התנאים שעליהם עמדה התובעת - תנאי פינוי המושכר ותנאי הוויתור (ראו גם סעיף 7 לכתב ההגנה "עיקרי הדברים" שם </w:t>
      </w:r>
      <w:r w:rsidR="009974EA">
        <w:rPr>
          <w:rFonts w:ascii="David" w:hAnsi="David" w:hint="cs"/>
          <w:rtl/>
        </w:rPr>
        <w:t xml:space="preserve">נכתבו </w:t>
      </w:r>
      <w:r>
        <w:rPr>
          <w:rFonts w:ascii="David" w:hAnsi="David"/>
          <w:rtl/>
        </w:rPr>
        <w:t xml:space="preserve">הדברים באותיות קידוש לבנה); </w:t>
      </w:r>
      <w:r>
        <w:rPr>
          <w:rFonts w:ascii="David" w:hAnsi="David"/>
          <w:rtl/>
        </w:rPr>
        <w:tab/>
      </w:r>
      <w:r>
        <w:rPr>
          <w:rFonts w:ascii="David" w:hAnsi="David"/>
          <w:rtl/>
        </w:rPr>
        <w:br/>
      </w:r>
      <w:r>
        <w:rPr>
          <w:rFonts w:ascii="David" w:hAnsi="David"/>
          <w:b/>
          <w:bCs/>
          <w:rtl/>
        </w:rPr>
        <w:t>(2)</w:t>
      </w:r>
      <w:r>
        <w:rPr>
          <w:rFonts w:ascii="David" w:hAnsi="David"/>
          <w:rtl/>
        </w:rPr>
        <w:t xml:space="preserve"> לבסוף, כך נטען, מליסרון/אזו-ריט זנחו את רעיון התוספת להסכם, הצדדים המשיכו בהתנהלות עסקית רגילה, ועל יסוד פגישות </w:t>
      </w:r>
      <w:r w:rsidR="009974EA">
        <w:rPr>
          <w:rFonts w:ascii="David" w:hAnsi="David" w:hint="cs"/>
          <w:rtl/>
        </w:rPr>
        <w:t xml:space="preserve">שנערכו </w:t>
      </w:r>
      <w:r>
        <w:rPr>
          <w:rFonts w:ascii="David" w:hAnsi="David"/>
          <w:rtl/>
        </w:rPr>
        <w:t xml:space="preserve">בינואר ופברואר 2021, הגיעו בפברואר 2021 להסכמות עסקיות מחייבות שעוגנו בטבלת ההנחות מיום 3.2.2021, ביחס לתקופה שממרץ 2020 עד לפברואר 2021. </w:t>
      </w:r>
      <w:r>
        <w:rPr>
          <w:rFonts w:ascii="David" w:hAnsi="David"/>
          <w:b/>
          <w:bCs/>
          <w:rtl/>
        </w:rPr>
        <w:t>בכתב ההגנה נטען כי טבלת ההנחות מיום 3.2.2021 מגלמת הסכם מחייב</w:t>
      </w:r>
      <w:r>
        <w:rPr>
          <w:rFonts w:ascii="David" w:hAnsi="David"/>
          <w:rtl/>
        </w:rPr>
        <w:t xml:space="preserve">; </w:t>
      </w:r>
      <w:r>
        <w:rPr>
          <w:rFonts w:ascii="David" w:hAnsi="David"/>
          <w:rtl/>
        </w:rPr>
        <w:tab/>
      </w:r>
      <w:r>
        <w:rPr>
          <w:rFonts w:ascii="David" w:hAnsi="David"/>
          <w:rtl/>
        </w:rPr>
        <w:br/>
      </w:r>
      <w:r>
        <w:rPr>
          <w:rFonts w:ascii="David" w:hAnsi="David"/>
          <w:b/>
          <w:bCs/>
          <w:rtl/>
        </w:rPr>
        <w:t>(3)</w:t>
      </w:r>
      <w:r>
        <w:rPr>
          <w:rFonts w:ascii="David" w:hAnsi="David"/>
          <w:rtl/>
        </w:rPr>
        <w:t xml:space="preserve"> לאחר מכן "המשיכו הצדדים-כמנהגם", ובחודש יוני 2021 הגיעו להסכמות נוספות למתן פטור בסגר ינואר-פברואר 2021</w:t>
      </w:r>
      <w:r>
        <w:rPr>
          <w:rFonts w:ascii="David" w:hAnsi="David"/>
        </w:rPr>
        <w:t xml:space="preserve"> </w:t>
      </w:r>
      <w:r>
        <w:rPr>
          <w:rFonts w:ascii="David" w:hAnsi="David"/>
          <w:rtl/>
        </w:rPr>
        <w:t>והנחה של 10% עד דצמבר 2021 (פרק ב' של ההסכמות);</w:t>
      </w:r>
      <w:r>
        <w:rPr>
          <w:rFonts w:ascii="David" w:hAnsi="David"/>
          <w:rtl/>
        </w:rPr>
        <w:br/>
      </w:r>
      <w:r>
        <w:rPr>
          <w:rFonts w:ascii="David" w:hAnsi="David"/>
          <w:b/>
          <w:bCs/>
          <w:rtl/>
        </w:rPr>
        <w:t>(4)</w:t>
      </w:r>
      <w:r>
        <w:rPr>
          <w:rFonts w:ascii="David" w:hAnsi="David"/>
          <w:rtl/>
        </w:rPr>
        <w:t xml:space="preserve"> כל ההסכמות קוימו לטענת המשביר, בביצוע התשלומים ומתן קופונים, מכאן והנפקת חשבוניות מס והודעות זיכוי בהתאם, משם; באופן שמהווה אינדיקציה לקיומה של הסכמה; </w:t>
      </w:r>
      <w:r>
        <w:rPr>
          <w:rFonts w:ascii="David" w:hAnsi="David"/>
          <w:rtl/>
        </w:rPr>
        <w:br/>
      </w:r>
      <w:r>
        <w:rPr>
          <w:rFonts w:ascii="David" w:hAnsi="David"/>
          <w:b/>
          <w:bCs/>
          <w:rtl/>
        </w:rPr>
        <w:t>(5)</w:t>
      </w:r>
      <w:r>
        <w:rPr>
          <w:rFonts w:ascii="David" w:hAnsi="David"/>
          <w:rtl/>
        </w:rPr>
        <w:t xml:space="preserve"> כך, עד שהחליטו אזו-ריט/מליסרון לכפות על המשביר חתימה על אותה "תוספת לא חוקית", וההנחה המוסכמת </w:t>
      </w:r>
      <w:r w:rsidR="009974EA">
        <w:rPr>
          <w:rFonts w:ascii="David" w:hAnsi="David" w:hint="cs"/>
          <w:rtl/>
        </w:rPr>
        <w:t xml:space="preserve">בשיעור </w:t>
      </w:r>
      <w:r>
        <w:rPr>
          <w:rFonts w:ascii="David" w:hAnsi="David"/>
          <w:rtl/>
        </w:rPr>
        <w:t xml:space="preserve">של 10% שלה התחייבו עד דצמבר 2021, בוטלה, בניגוד להסכמות, החל מחודש אוגוסט 2021. </w:t>
      </w:r>
      <w:r>
        <w:rPr>
          <w:rFonts w:ascii="David" w:hAnsi="David"/>
          <w:rtl/>
        </w:rPr>
        <w:tab/>
      </w:r>
      <w:r>
        <w:rPr>
          <w:rFonts w:ascii="David" w:hAnsi="David"/>
          <w:rtl/>
        </w:rPr>
        <w:br/>
      </w:r>
      <w:r>
        <w:rPr>
          <w:rFonts w:ascii="David" w:hAnsi="David"/>
          <w:b/>
          <w:bCs/>
          <w:rtl/>
        </w:rPr>
        <w:br/>
        <w:t>בתמצית, על פי כתב ההגנה, ההסכמה הנטענת הושגה בשתי פעימות. הראשונה, בחודש פברואר 2021</w:t>
      </w:r>
      <w:r>
        <w:rPr>
          <w:rFonts w:ascii="David" w:hAnsi="David"/>
          <w:rtl/>
        </w:rPr>
        <w:t xml:space="preserve"> (עבור מרץ 2020-פברואר 2021) </w:t>
      </w:r>
      <w:r>
        <w:rPr>
          <w:rFonts w:ascii="David" w:hAnsi="David"/>
          <w:b/>
          <w:bCs/>
          <w:rtl/>
        </w:rPr>
        <w:t>ומעוגנת בטבלה מיום 3.2.2021;</w:t>
      </w:r>
      <w:r>
        <w:rPr>
          <w:rFonts w:ascii="David" w:hAnsi="David"/>
          <w:b/>
          <w:bCs/>
        </w:rPr>
        <w:t xml:space="preserve"> </w:t>
      </w:r>
      <w:r>
        <w:rPr>
          <w:rFonts w:ascii="David" w:hAnsi="David"/>
          <w:b/>
          <w:bCs/>
          <w:rtl/>
        </w:rPr>
        <w:t>והשניה, בדרך של המשך התנהלות עסקית, בחודש יוני 2021</w:t>
      </w:r>
      <w:r>
        <w:rPr>
          <w:rFonts w:ascii="David" w:hAnsi="David"/>
          <w:rtl/>
        </w:rPr>
        <w:t xml:space="preserve"> (שינוי ההסכמות לינואר-פברואר 2021 לכדי פטור ו- 10% הנחה עד דצמבר 2021, שבוטלה החל מאוגוסט).</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b/>
          <w:bCs/>
          <w:rtl/>
        </w:rPr>
        <w:t>בכתב התשובה</w:t>
      </w:r>
      <w:r>
        <w:rPr>
          <w:rFonts w:ascii="David" w:hAnsi="David"/>
          <w:rtl/>
        </w:rPr>
        <w:t xml:space="preserve"> טענה התובעת</w:t>
      </w:r>
      <w:r w:rsidR="009974EA">
        <w:rPr>
          <w:rFonts w:ascii="David" w:hAnsi="David" w:hint="cs"/>
          <w:rtl/>
        </w:rPr>
        <w:t>,</w:t>
      </w:r>
      <w:r>
        <w:rPr>
          <w:rFonts w:ascii="David" w:hAnsi="David"/>
          <w:rtl/>
        </w:rPr>
        <w:t xml:space="preserve"> כי הייתה נכונה ליתן למשביר הטבות מפליגות, וכי אין מקום לטענות בדבר ניצול מצוקה וחוסר תום לב בעמידתה על שני התנאים בתמורה לכך. נטען כי דווקא המשביר ניצלה ניצול ציני את רצונה הטוב במהלך המשא ומתן, שכאמור, לא הבשיל לכדי הסכם. החשבוניות שהופקו עם הכיתוב "הנחה -קורונה" אינן מלמדות שנכרת הסכם מחייב להקלות בדמי השכירות. ראשית, התובעת מחויבת להוציא חשבוניות מס בגין כל תשלום שקיבלה ושנית, באותה עת היו הצדדים במשא ומתן על חתימה על תוספת להסכם, והתובעת האמינה שאמנם ייחתם הסכם שיכלול את כל ההסכמות. התובעת חזרה והדגישה כל העת שכל הקלה, אם תינתן, כפופה לחתימה על מסמך שמאגד את ההסכמות, שלא נחתם. הוא הדין בעניין הקופונים. בעוד הצדדים מנהלים משא ומתן, פנתה המשביר להחיל עליה גם </w:t>
      </w:r>
      <w:r>
        <w:rPr>
          <w:rFonts w:ascii="David" w:hAnsi="David"/>
          <w:rtl/>
        </w:rPr>
        <w:lastRenderedPageBreak/>
        <w:t>את הסדר הקופונים שהנהיגה מליסרון בקניוניה וההנחה, בכפוף לקבלת הקופונים, נכללה אף היא בטיוטת התוספת להסכם שלא נחתמה (סעיף 2.1), כמחווה של רצון טוב ולאור כך שהתובעת ומליסרון סברו, כאמור, כי בסופו של דבר תחתם התוספת להסכם שמסדירה ומאגדת את כלל ההסכמות.</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b/>
          <w:bCs/>
          <w:rtl/>
        </w:rPr>
        <w:t xml:space="preserve">עד כאן מצב הדברים לפי </w:t>
      </w:r>
      <w:r>
        <w:rPr>
          <w:rFonts w:ascii="David" w:hAnsi="David"/>
          <w:b/>
          <w:bCs/>
          <w:u w:val="single"/>
          <w:rtl/>
        </w:rPr>
        <w:t>כתבי הטענות</w:t>
      </w:r>
      <w:r>
        <w:rPr>
          <w:rFonts w:ascii="David" w:hAnsi="David"/>
          <w:b/>
          <w:bCs/>
          <w:rtl/>
        </w:rPr>
        <w:t>. כעת לתיאור מהלך האירועים, התכתוב</w:t>
      </w:r>
      <w:r w:rsidR="007E1300">
        <w:rPr>
          <w:rFonts w:ascii="David" w:hAnsi="David" w:hint="cs"/>
          <w:b/>
          <w:bCs/>
          <w:rtl/>
        </w:rPr>
        <w:t>ו</w:t>
      </w:r>
      <w:r>
        <w:rPr>
          <w:rFonts w:ascii="David" w:hAnsi="David"/>
          <w:b/>
          <w:bCs/>
          <w:rtl/>
        </w:rPr>
        <w:t xml:space="preserve">ת בין הצדדים והמסמכים, לפי </w:t>
      </w:r>
      <w:r>
        <w:rPr>
          <w:rFonts w:ascii="David" w:hAnsi="David"/>
          <w:b/>
          <w:bCs/>
          <w:u w:val="single"/>
          <w:rtl/>
        </w:rPr>
        <w:t>תצהירי הצדדים</w:t>
      </w:r>
      <w:r>
        <w:rPr>
          <w:rFonts w:ascii="David" w:hAnsi="David"/>
          <w:b/>
          <w:bCs/>
          <w:rtl/>
        </w:rPr>
        <w:t xml:space="preserve"> וצרופותיהם</w:t>
      </w:r>
      <w:r>
        <w:rPr>
          <w:rFonts w:ascii="David" w:hAnsi="David"/>
          <w:rtl/>
        </w:rPr>
        <w:t>. כאמור, ועל כך עוד ארחיב בהמשך, בשלב הגשת הראיות חל שינוי בטענות המשביר. כמו בסקירת כתבי הטענות לעיל, גם בפרק זה יבואו תובנות ומסקנות שהולידה הסקירה, ואלה תשמשנה בהמשך הדרך.</w:t>
      </w:r>
    </w:p>
    <w:p w:rsidR="00CD2861" w:rsidRDefault="00CD2861" w:rsidP="00CD2861">
      <w:pPr>
        <w:spacing w:line="360" w:lineRule="auto"/>
        <w:jc w:val="both"/>
        <w:rPr>
          <w:rFonts w:ascii="David" w:hAnsi="David"/>
        </w:rPr>
      </w:pPr>
    </w:p>
    <w:p w:rsidR="00CD2861" w:rsidRDefault="00CD2861" w:rsidP="00CD2861">
      <w:pPr>
        <w:spacing w:line="276" w:lineRule="auto"/>
        <w:ind w:left="-58"/>
        <w:jc w:val="both"/>
        <w:rPr>
          <w:rFonts w:ascii="David" w:hAnsi="David"/>
          <w:b/>
          <w:bCs/>
          <w:sz w:val="26"/>
          <w:szCs w:val="26"/>
          <w:u w:val="single"/>
        </w:rPr>
      </w:pPr>
      <w:r>
        <w:rPr>
          <w:rFonts w:ascii="David" w:hAnsi="David"/>
          <w:b/>
          <w:bCs/>
          <w:sz w:val="26"/>
          <w:szCs w:val="26"/>
          <w:rtl/>
        </w:rPr>
        <w:t xml:space="preserve">ב. </w:t>
      </w:r>
      <w:r>
        <w:rPr>
          <w:rFonts w:ascii="David" w:hAnsi="David"/>
          <w:b/>
          <w:bCs/>
          <w:sz w:val="26"/>
          <w:szCs w:val="26"/>
          <w:u w:val="single"/>
          <w:rtl/>
        </w:rPr>
        <w:t xml:space="preserve">האירועים, המסמכים והטענות לפי הראיות </w:t>
      </w:r>
    </w:p>
    <w:p w:rsidR="00CD2861" w:rsidRDefault="00CD2861" w:rsidP="00CD2861">
      <w:pPr>
        <w:spacing w:line="276" w:lineRule="auto"/>
        <w:jc w:val="both"/>
        <w:rPr>
          <w:rFonts w:ascii="David" w:hAnsi="David"/>
        </w:rPr>
      </w:pPr>
    </w:p>
    <w:p w:rsidR="00CD2861" w:rsidRDefault="00CD2861" w:rsidP="00CD2861">
      <w:pPr>
        <w:spacing w:line="276" w:lineRule="auto"/>
        <w:jc w:val="both"/>
        <w:rPr>
          <w:rFonts w:ascii="David" w:hAnsi="David"/>
          <w:b/>
          <w:bCs/>
          <w:u w:val="single"/>
          <w:rtl/>
        </w:rPr>
      </w:pPr>
      <w:r>
        <w:rPr>
          <w:rFonts w:ascii="David" w:hAnsi="David"/>
          <w:b/>
          <w:bCs/>
          <w:rtl/>
        </w:rPr>
        <w:t xml:space="preserve">ב.1 </w:t>
      </w:r>
      <w:r>
        <w:rPr>
          <w:rFonts w:ascii="David" w:hAnsi="David"/>
          <w:b/>
          <w:bCs/>
          <w:u w:val="single"/>
          <w:rtl/>
        </w:rPr>
        <w:t xml:space="preserve">חילופי טיוטות תוספת להסכם </w:t>
      </w:r>
    </w:p>
    <w:p w:rsidR="00CD2861" w:rsidRDefault="00CD2861" w:rsidP="00CD2861">
      <w:pPr>
        <w:spacing w:line="276" w:lineRule="auto"/>
        <w:jc w:val="both"/>
        <w:rPr>
          <w:rFonts w:ascii="David" w:hAnsi="David"/>
          <w:rtl/>
        </w:rPr>
      </w:pPr>
    </w:p>
    <w:p w:rsidR="00CD2861" w:rsidRDefault="00CD2861" w:rsidP="00695FB6">
      <w:pPr>
        <w:pStyle w:val="af"/>
        <w:numPr>
          <w:ilvl w:val="0"/>
          <w:numId w:val="2"/>
        </w:numPr>
        <w:spacing w:before="0" w:after="0" w:line="360" w:lineRule="auto"/>
        <w:ind w:left="509" w:hanging="567"/>
        <w:jc w:val="both"/>
        <w:rPr>
          <w:rFonts w:ascii="David" w:hAnsi="David"/>
          <w:rtl/>
        </w:rPr>
      </w:pPr>
      <w:r>
        <w:rPr>
          <w:rFonts w:ascii="David" w:hAnsi="David"/>
          <w:rtl/>
        </w:rPr>
        <w:t xml:space="preserve">פגישה אחת </w:t>
      </w:r>
      <w:r w:rsidR="007E1300">
        <w:rPr>
          <w:rFonts w:ascii="David" w:hAnsi="David" w:hint="cs"/>
          <w:rtl/>
        </w:rPr>
        <w:t xml:space="preserve">בין הצדדים </w:t>
      </w:r>
      <w:r>
        <w:rPr>
          <w:rFonts w:ascii="David" w:hAnsi="David"/>
          <w:rtl/>
        </w:rPr>
        <w:t xml:space="preserve">קוימה ביום 21.5.2020 (חסאן, סעיף 61). פגישה נוספת נערכה בסביבות חודש אוגוסט 2020, והועברה למשביר </w:t>
      </w:r>
      <w:r>
        <w:rPr>
          <w:rFonts w:ascii="David" w:hAnsi="David"/>
          <w:b/>
          <w:bCs/>
          <w:rtl/>
        </w:rPr>
        <w:t>טיוטת תוספת ראשונה</w:t>
      </w:r>
      <w:r>
        <w:rPr>
          <w:rFonts w:ascii="David" w:hAnsi="David"/>
          <w:rtl/>
        </w:rPr>
        <w:t xml:space="preserve"> </w:t>
      </w:r>
      <w:r>
        <w:rPr>
          <w:rFonts w:ascii="David" w:hAnsi="David"/>
          <w:b/>
          <w:bCs/>
          <w:rtl/>
        </w:rPr>
        <w:t>(2.8.2020)</w:t>
      </w:r>
      <w:r>
        <w:rPr>
          <w:rFonts w:ascii="David" w:hAnsi="David"/>
          <w:rtl/>
        </w:rPr>
        <w:t xml:space="preserve"> להסכם השכירות (עו"ד כשר, נספח 11. את כל הטיוטות לתוספת הנזכרות בתת-פרק זה לפסק הדין, שלח עו"ד כשר). הטיוטה ערוכה </w:t>
      </w:r>
      <w:r>
        <w:rPr>
          <w:rFonts w:ascii="David" w:hAnsi="David"/>
          <w:u w:val="single"/>
          <w:rtl/>
        </w:rPr>
        <w:t>לפי מתווה שחוזר על עצמו בכל הטיוטות</w:t>
      </w:r>
      <w:r>
        <w:rPr>
          <w:rFonts w:ascii="David" w:hAnsi="David"/>
          <w:rtl/>
        </w:rPr>
        <w:t xml:space="preserve">, כדלקמן: צוין כחלק מתניות ההסכם, אישור סכום החוב </w:t>
      </w:r>
      <w:r w:rsidR="00695FB6">
        <w:rPr>
          <w:rFonts w:ascii="David" w:hAnsi="David" w:hint="cs"/>
          <w:rtl/>
        </w:rPr>
        <w:t>ממרץ 2020 ו</w:t>
      </w:r>
      <w:r>
        <w:rPr>
          <w:rFonts w:ascii="David" w:hAnsi="David"/>
          <w:rtl/>
        </w:rPr>
        <w:t xml:space="preserve">עד לחודש הרלבנטי למועד הטיוטה; פירוט ההקלה/הטבה בדמי השכירות תוך ציון סכום ההנחה הכולל (כולל לפי ההסכמה להנחה בחודשים הבאים); ופריסת תשלומים של יתרת החוב (לאחר ההנחה). הטיוטה הראשונה כללה את תנאי הפינוי. עו"ד קוק העבירה הערות ובין היתר, ביקשה להוסיף תנאי שלפיו ידוע לצדדים כי למשביר יש השגות לגבי שטח המושכר ודמי השכירות בשל כך. לתנאי הפינוי הוסיפה עו"ד קוק שינוי לפיו אם התובעת תעשה שימוש בזכות זו, דמי השכירות ממועד ההודעה ועד לפינוי, לא יעלו על 15% מהפדיון (דוא"ל מיום 17.8.2020, נספח 12 לעו"ד כשר או נספח 19 לעו"ד קוק). התובעת ביקשה מהמשביר הבהרות להערתה לגבי שטח המושכר, ועמדה על כך שהמשביר ויתרה על כל טענה בעניין זה בכתב הוויתור הנזכר לעיל. </w:t>
      </w:r>
      <w:r>
        <w:rPr>
          <w:rFonts w:ascii="David" w:hAnsi="David"/>
          <w:b/>
          <w:bCs/>
          <w:rtl/>
        </w:rPr>
        <w:t>מכאן ואילך, לאחר דין ודברים זה, התווסף בטיוטות הבאות גם תנאי הוויתור, ושני התנאים כהגדרתם לעיל מופיעים בכל הטיוטות.</w:t>
      </w:r>
      <w:r>
        <w:rPr>
          <w:rFonts w:ascii="David" w:hAnsi="David"/>
          <w:rtl/>
        </w:rPr>
        <w:t xml:space="preserve"> הטיוטה הראשונה לא נחתמה.</w:t>
      </w:r>
    </w:p>
    <w:p w:rsidR="00CD2861" w:rsidRDefault="00CD2861" w:rsidP="00CD2861">
      <w:pPr>
        <w:spacing w:line="360" w:lineRule="auto"/>
        <w:jc w:val="both"/>
        <w:rPr>
          <w:rFonts w:ascii="David" w:hAnsi="David"/>
        </w:rPr>
      </w:pPr>
    </w:p>
    <w:p w:rsidR="00CD2861" w:rsidRDefault="00CD2861" w:rsidP="00695FB6">
      <w:pPr>
        <w:pStyle w:val="af"/>
        <w:numPr>
          <w:ilvl w:val="0"/>
          <w:numId w:val="2"/>
        </w:numPr>
        <w:spacing w:before="0" w:after="0" w:line="360" w:lineRule="auto"/>
        <w:ind w:left="509" w:hanging="567"/>
        <w:jc w:val="both"/>
        <w:rPr>
          <w:rFonts w:ascii="David" w:hAnsi="David"/>
          <w:b/>
          <w:bCs/>
        </w:rPr>
      </w:pPr>
      <w:r>
        <w:rPr>
          <w:rFonts w:ascii="David" w:hAnsi="David"/>
          <w:rtl/>
        </w:rPr>
        <w:t xml:space="preserve">פגישה מיום 1.9.2020, הולידה </w:t>
      </w:r>
      <w:r>
        <w:rPr>
          <w:rFonts w:ascii="David" w:hAnsi="David"/>
          <w:b/>
          <w:bCs/>
          <w:rtl/>
        </w:rPr>
        <w:t>טיוטת תוספת שניה</w:t>
      </w:r>
      <w:r>
        <w:rPr>
          <w:rFonts w:ascii="David" w:hAnsi="David"/>
          <w:rtl/>
        </w:rPr>
        <w:t xml:space="preserve"> </w:t>
      </w:r>
      <w:r>
        <w:rPr>
          <w:rFonts w:ascii="David" w:hAnsi="David"/>
          <w:b/>
          <w:bCs/>
          <w:rtl/>
        </w:rPr>
        <w:t>(ספטמבר 2020</w:t>
      </w:r>
      <w:r>
        <w:rPr>
          <w:rFonts w:ascii="David" w:hAnsi="David"/>
          <w:rtl/>
        </w:rPr>
        <w:t>) (עו"ד כשר, נספח 13). לא הוטמ</w:t>
      </w:r>
      <w:r w:rsidR="00695FB6">
        <w:rPr>
          <w:rFonts w:ascii="David" w:hAnsi="David" w:hint="cs"/>
          <w:rtl/>
        </w:rPr>
        <w:t>ע</w:t>
      </w:r>
      <w:r>
        <w:rPr>
          <w:rFonts w:ascii="David" w:hAnsi="David"/>
          <w:rtl/>
        </w:rPr>
        <w:t>ו בה הערות המשביר הנזכרות לעיל. נכלל בה תחשיב חוב עדכני ובין היתר, הסכמה להארכת ההקלות עד לחודש מאי 2021. נוסח הכולל סימון שינויים ונוסח נקי לחתימה הועברו למשביר, אך עותק חתום לא הוחזר (ראו פניות שריד לחסאן מאוקטובר-דצמבר 2020; שריד, סעיפים 55-56). בפגישה מיום 14.12.2020 (ורק בה)</w:t>
      </w:r>
      <w:r>
        <w:rPr>
          <w:rFonts w:ascii="David" w:hAnsi="David"/>
        </w:rPr>
        <w:t xml:space="preserve"> </w:t>
      </w:r>
      <w:r>
        <w:rPr>
          <w:rFonts w:ascii="David" w:hAnsi="David"/>
          <w:rtl/>
        </w:rPr>
        <w:t xml:space="preserve">השתתף גם מר שביט </w:t>
      </w:r>
      <w:r>
        <w:rPr>
          <w:rFonts w:ascii="David" w:hAnsi="David"/>
          <w:rtl/>
        </w:rPr>
        <w:lastRenderedPageBreak/>
        <w:t xml:space="preserve">ולאחריה הועברה </w:t>
      </w:r>
      <w:r>
        <w:rPr>
          <w:rFonts w:ascii="David" w:hAnsi="David"/>
          <w:b/>
          <w:bCs/>
          <w:rtl/>
        </w:rPr>
        <w:t xml:space="preserve">טיוטת תוספת שלישית (דצמבר 2020) </w:t>
      </w:r>
      <w:r>
        <w:rPr>
          <w:rFonts w:ascii="David" w:hAnsi="David"/>
          <w:rtl/>
        </w:rPr>
        <w:t xml:space="preserve">(עו"ד כשר, נספח 14). גם כאן עודכנו סכומי החוב, ההנחות הן עד מאי 2021 תוך שניתנה הנחה משמעותית יותר לספטמבר-נובמבר 2020, ויתרת החוב נפרסה ל- 8 תשלומים. עו"ד קוק העבירה הערות לסעיף הפינוי (ודוק: הערות לנוסח, ולא מחיקה) ועמדה על ביטול תנאי הוויתור (ראו בהערותיה את מחיקת אזכורו של המסמך מיום 17.3.2011 מתניית "והואיל" שנועדה "להכשירו" כתוספת או שינוי להסכם השכירות). כן ביקשה לתאם פגישה לדון בהנחות לשנת 2021. בהמשך לכך עו"ד כשר העביר בחוזר </w:t>
      </w:r>
      <w:r>
        <w:rPr>
          <w:rFonts w:ascii="David" w:hAnsi="David"/>
          <w:b/>
          <w:bCs/>
          <w:rtl/>
        </w:rPr>
        <w:t>טיוטה רביעית (דצמבר 2020)</w:t>
      </w:r>
      <w:r>
        <w:rPr>
          <w:rFonts w:ascii="David" w:hAnsi="David"/>
          <w:rtl/>
        </w:rPr>
        <w:t xml:space="preserve"> שנגרעה ממנה שנת 2021 וציין כי "</w:t>
      </w:r>
      <w:r>
        <w:rPr>
          <w:rFonts w:ascii="David" w:hAnsi="David"/>
          <w:b/>
          <w:bCs/>
          <w:rtl/>
        </w:rPr>
        <w:t>על מנת לקבל את ההקלות לשנת 2020, הנכם מתבקשים לחתום על התוספת המצ"ב ולמסור את הצ'קים כנדרש"</w:t>
      </w:r>
      <w:r>
        <w:rPr>
          <w:rFonts w:ascii="David" w:hAnsi="David"/>
          <w:rtl/>
        </w:rPr>
        <w:t>. הערות אחרות של המשביר לא הוטמ</w:t>
      </w:r>
      <w:r w:rsidR="00695FB6">
        <w:rPr>
          <w:rFonts w:ascii="David" w:hAnsi="David" w:hint="cs"/>
          <w:rtl/>
        </w:rPr>
        <w:t>ע</w:t>
      </w:r>
      <w:r>
        <w:rPr>
          <w:rFonts w:ascii="David" w:hAnsi="David"/>
          <w:rtl/>
        </w:rPr>
        <w:t xml:space="preserve">ו בטיוטה המתוקנת. ביום 29.12.2020 נפגשו שריד, חסאן ועו"ד כשר, </w:t>
      </w:r>
      <w:r>
        <w:rPr>
          <w:rFonts w:ascii="David" w:hAnsi="David"/>
          <w:b/>
          <w:bCs/>
          <w:rtl/>
        </w:rPr>
        <w:t>וטיוטה חמישית (דצמבר 2020)</w:t>
      </w:r>
      <w:r>
        <w:rPr>
          <w:rFonts w:ascii="David" w:hAnsi="David"/>
          <w:rtl/>
        </w:rPr>
        <w:t xml:space="preserve"> יצאה לדרך</w:t>
      </w:r>
      <w:r>
        <w:rPr>
          <w:rFonts w:ascii="David" w:hAnsi="David"/>
          <w:b/>
          <w:bCs/>
        </w:rPr>
        <w:t xml:space="preserve"> </w:t>
      </w:r>
      <w:r>
        <w:rPr>
          <w:rFonts w:ascii="David" w:hAnsi="David"/>
          <w:rtl/>
        </w:rPr>
        <w:t xml:space="preserve">(עו"ד כשר, נספחים 15-17). בזו, בין היתר, בנוסף לעדכון החוב וההנחה, תוקן תנאי הפינוי בהמשך להערות המשביר, באופן שהתווספה אפשרות למשביר לבטל את הודעת הסיום של הסכם השכירות מטעם התובעת על ידי תשלום מלוא ההקלות וההטבות בדמי השכירות, בתוך 14 ימים מההודעה. נוספה </w:t>
      </w:r>
      <w:r w:rsidR="00695FB6">
        <w:rPr>
          <w:rFonts w:ascii="David" w:hAnsi="David" w:hint="cs"/>
          <w:rtl/>
        </w:rPr>
        <w:t xml:space="preserve">גם </w:t>
      </w:r>
      <w:r>
        <w:rPr>
          <w:rFonts w:ascii="David" w:hAnsi="David"/>
          <w:rtl/>
        </w:rPr>
        <w:t xml:space="preserve">התחייבות של התובעת, אם תחליט (לעת שינוי השימושים במושכר) כי רק שני </w:t>
      </w:r>
      <w:r w:rsidR="00695FB6">
        <w:rPr>
          <w:rFonts w:ascii="David" w:hAnsi="David" w:hint="cs"/>
          <w:rtl/>
        </w:rPr>
        <w:t>ה</w:t>
      </w:r>
      <w:r>
        <w:rPr>
          <w:rFonts w:ascii="David" w:hAnsi="David"/>
          <w:rtl/>
        </w:rPr>
        <w:t>מפלסים הראשונים או חלקם ישמשו למסחר - להודיע על כך למשביר, כדי שתוכל לשקול את שכירתם, וזאת ללא כל התחייבות מצד המשביר (סעיפים 5-7 לטיוטת התוספת).</w:t>
      </w:r>
    </w:p>
    <w:p w:rsidR="00CD2861" w:rsidRPr="00695FB6" w:rsidRDefault="00CD2861" w:rsidP="00CD2861">
      <w:pPr>
        <w:spacing w:line="360" w:lineRule="auto"/>
        <w:jc w:val="both"/>
        <w:rPr>
          <w:rFonts w:ascii="David" w:hAnsi="David"/>
          <w:b/>
          <w:bCs/>
        </w:rPr>
      </w:pPr>
    </w:p>
    <w:p w:rsidR="00CD2861" w:rsidRDefault="00CD2861" w:rsidP="00695FB6">
      <w:pPr>
        <w:pStyle w:val="af"/>
        <w:numPr>
          <w:ilvl w:val="0"/>
          <w:numId w:val="2"/>
        </w:numPr>
        <w:spacing w:before="0" w:after="0" w:line="360" w:lineRule="auto"/>
        <w:ind w:left="509" w:hanging="567"/>
        <w:jc w:val="both"/>
        <w:rPr>
          <w:rFonts w:ascii="David" w:hAnsi="David"/>
          <w:rtl/>
        </w:rPr>
      </w:pPr>
      <w:r>
        <w:rPr>
          <w:rFonts w:ascii="David" w:hAnsi="David"/>
          <w:rtl/>
        </w:rPr>
        <w:t>עו"ד קוק העירה גם לטיוטה החמישית (31.12.2020). שוב מחקה את הוויתור על הטענות בעניין השטח, והתבקשו שינויים נוספים בעניין תנאי הפינוי (עו"ד כשר, נספח 18). התובעת ראתה בכך התנערות מעקרונות הפשרה שסוכמו, ומר שריד הודיע כי "</w:t>
      </w:r>
      <w:r>
        <w:rPr>
          <w:rFonts w:ascii="David" w:hAnsi="David"/>
          <w:b/>
          <w:bCs/>
          <w:rtl/>
        </w:rPr>
        <w:t>התיקונים לא מקובלים. מאחר ואין ביננו הסכמות, אנחנו נמשיך עם קיום ההסכם ככתבו וכלשונו כפי שחתמתם עליו. נא העבירו את התשלומים בהתאם להסכם ובאופן מלא</w:t>
      </w:r>
      <w:r>
        <w:rPr>
          <w:rFonts w:ascii="David" w:hAnsi="David"/>
          <w:rtl/>
        </w:rPr>
        <w:t>" (דוא"ל מיום 1.1.2021, נספח 19 לעו"ד כשר. ראו גם הודעת ווטסאפ של שריד לחסאן, בנספח 5 עמ' 59 לשריד). בכל זאת המשיכו שריד וחסאן בתכתובת ביניהם (נספחים 6-8 לחסאן). גם זו לא הוביל</w:t>
      </w:r>
      <w:r w:rsidR="00695FB6">
        <w:rPr>
          <w:rFonts w:ascii="David" w:hAnsi="David" w:hint="cs"/>
          <w:rtl/>
        </w:rPr>
        <w:t>ה</w:t>
      </w:r>
      <w:r>
        <w:rPr>
          <w:rFonts w:ascii="David" w:hAnsi="David"/>
          <w:rtl/>
        </w:rPr>
        <w:t xml:space="preserve"> לחתימה על תוספת להסכם. </w:t>
      </w:r>
      <w:r>
        <w:rPr>
          <w:rFonts w:ascii="David" w:hAnsi="David"/>
          <w:u w:val="single"/>
          <w:rtl/>
        </w:rPr>
        <w:t>ביום 26.1.2021</w:t>
      </w:r>
      <w:r>
        <w:rPr>
          <w:rFonts w:ascii="David" w:hAnsi="David"/>
          <w:rtl/>
        </w:rPr>
        <w:t xml:space="preserve"> הודיע עו"ד כשר כי המשא ומתן כשל, ולאור זאת "</w:t>
      </w:r>
      <w:r>
        <w:rPr>
          <w:rFonts w:ascii="David" w:hAnsi="David"/>
          <w:b/>
          <w:bCs/>
          <w:rtl/>
        </w:rPr>
        <w:t>נא ראו הטיוטות שהועברו כבטלות ומבוטלות</w:t>
      </w:r>
      <w:r>
        <w:rPr>
          <w:rFonts w:ascii="David" w:hAnsi="David"/>
          <w:rtl/>
        </w:rPr>
        <w:t>" (נספח 14 לעו"ד קוק או נספח 21 לעו"ד כשר).</w:t>
      </w:r>
    </w:p>
    <w:p w:rsidR="00CD2861" w:rsidRDefault="00CD2861" w:rsidP="00CD2861">
      <w:pPr>
        <w:spacing w:line="360" w:lineRule="auto"/>
        <w:jc w:val="both"/>
        <w:rPr>
          <w:rFonts w:ascii="David" w:hAnsi="David"/>
        </w:rPr>
      </w:pPr>
    </w:p>
    <w:p w:rsidR="00CD2861" w:rsidRDefault="00CD2861" w:rsidP="00CD2861">
      <w:pPr>
        <w:spacing w:line="360" w:lineRule="auto"/>
        <w:jc w:val="both"/>
        <w:rPr>
          <w:rFonts w:ascii="David" w:hAnsi="David"/>
          <w:rtl/>
        </w:rPr>
      </w:pPr>
      <w:r>
        <w:rPr>
          <w:rFonts w:ascii="David" w:hAnsi="David"/>
          <w:b/>
          <w:bCs/>
          <w:rtl/>
        </w:rPr>
        <w:t xml:space="preserve">ב.2. </w:t>
      </w:r>
      <w:r>
        <w:rPr>
          <w:rFonts w:ascii="David" w:hAnsi="David"/>
          <w:b/>
          <w:bCs/>
          <w:u w:val="single"/>
          <w:rtl/>
        </w:rPr>
        <w:t>סיכום הפגישה מיום 28.1.2021 נוסח 1.2.2021</w:t>
      </w:r>
      <w:r>
        <w:rPr>
          <w:rFonts w:ascii="David" w:hAnsi="David"/>
          <w:u w:val="single"/>
          <w:rtl/>
        </w:rPr>
        <w:t xml:space="preserve"> (</w:t>
      </w:r>
      <w:r>
        <w:rPr>
          <w:rFonts w:ascii="David" w:hAnsi="David"/>
          <w:b/>
          <w:bCs/>
          <w:u w:val="single"/>
          <w:rtl/>
        </w:rPr>
        <w:t>סיכום 1.2.2021</w:t>
      </w:r>
      <w:r>
        <w:rPr>
          <w:rFonts w:ascii="David" w:hAnsi="David"/>
          <w:u w:val="single"/>
          <w:rtl/>
        </w:rPr>
        <w:t>)</w:t>
      </w:r>
      <w:r>
        <w:rPr>
          <w:rFonts w:ascii="David" w:hAnsi="David"/>
          <w:rtl/>
        </w:rPr>
        <w:tab/>
      </w:r>
      <w:r>
        <w:rPr>
          <w:rFonts w:ascii="David" w:hAnsi="David"/>
          <w:u w:val="single"/>
          <w:rtl/>
        </w:rPr>
        <w:br/>
      </w:r>
      <w:r>
        <w:rPr>
          <w:rFonts w:ascii="David" w:hAnsi="David"/>
          <w:rtl/>
        </w:rPr>
        <w:t>(חסאן, נספח 20; עו"ד קוק, נספח 25; כהן, נספח 14; עו"ד כשר, נספח 22).</w:t>
      </w:r>
    </w:p>
    <w:p w:rsidR="00CD2861" w:rsidRDefault="00CD2861" w:rsidP="00CD2861">
      <w:pPr>
        <w:jc w:val="both"/>
        <w:rPr>
          <w:rFonts w:ascii="David" w:hAnsi="David"/>
          <w:u w:val="single"/>
          <w:rtl/>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יומיים לאחר מכן, ביום 28.1.2021, התקיימה פגישה בה נדונו כל המושכרים ששוכרת המשביר ממליסרון (</w:t>
      </w:r>
      <w:r>
        <w:rPr>
          <w:rFonts w:ascii="David" w:hAnsi="David"/>
          <w:b/>
          <w:bCs/>
          <w:rtl/>
        </w:rPr>
        <w:t>הפגישה</w:t>
      </w:r>
      <w:r>
        <w:rPr>
          <w:rFonts w:ascii="David" w:hAnsi="David"/>
          <w:rtl/>
        </w:rPr>
        <w:t xml:space="preserve"> או </w:t>
      </w:r>
      <w:r>
        <w:rPr>
          <w:rFonts w:ascii="David" w:hAnsi="David"/>
          <w:b/>
          <w:bCs/>
          <w:rtl/>
        </w:rPr>
        <w:t>הפגישה מיום 28.1.2021</w:t>
      </w:r>
      <w:r>
        <w:rPr>
          <w:rFonts w:ascii="David" w:hAnsi="David"/>
          <w:rtl/>
        </w:rPr>
        <w:t xml:space="preserve">). לאחריה שלחה כהן מסמך סיכום פגישה מיום 1.2.2021 </w:t>
      </w:r>
      <w:bookmarkStart w:id="2" w:name="_Hlk194397153"/>
      <w:r>
        <w:rPr>
          <w:rFonts w:ascii="David" w:hAnsi="David"/>
          <w:rtl/>
        </w:rPr>
        <w:t xml:space="preserve">שיכונה, כאמור, </w:t>
      </w:r>
      <w:r>
        <w:rPr>
          <w:rFonts w:ascii="David" w:hAnsi="David"/>
          <w:b/>
          <w:bCs/>
          <w:rtl/>
        </w:rPr>
        <w:t>סיכום 1.2.2021</w:t>
      </w:r>
      <w:r>
        <w:rPr>
          <w:rFonts w:ascii="David" w:hAnsi="David"/>
          <w:rtl/>
        </w:rPr>
        <w:t>. כך נכתב שם לגבי הנכס הנדון:</w:t>
      </w:r>
      <w:r>
        <w:rPr>
          <w:rFonts w:ascii="David" w:hAnsi="David"/>
          <w:rtl/>
        </w:rPr>
        <w:tab/>
      </w:r>
    </w:p>
    <w:p w:rsidR="00CD2861" w:rsidRDefault="00CD2861" w:rsidP="00CD2861">
      <w:pPr>
        <w:spacing w:line="360" w:lineRule="auto"/>
        <w:jc w:val="both"/>
        <w:rPr>
          <w:rFonts w:ascii="David" w:hAnsi="David"/>
          <w:rtl/>
        </w:rPr>
      </w:pPr>
    </w:p>
    <w:p w:rsidR="008E1A3A" w:rsidRDefault="008E1A3A" w:rsidP="00CD2861">
      <w:pPr>
        <w:spacing w:line="360" w:lineRule="auto"/>
        <w:jc w:val="both"/>
        <w:rPr>
          <w:rFonts w:ascii="David" w:hAnsi="David"/>
        </w:rPr>
      </w:pPr>
    </w:p>
    <w:tbl>
      <w:tblPr>
        <w:tblStyle w:val="ab"/>
        <w:bidiVisual/>
        <w:tblW w:w="0" w:type="auto"/>
        <w:tblInd w:w="76" w:type="dxa"/>
        <w:tblLayout w:type="fixed"/>
        <w:tblLook w:val="04A0" w:firstRow="1" w:lastRow="0" w:firstColumn="1" w:lastColumn="0" w:noHBand="0" w:noVBand="1"/>
      </w:tblPr>
      <w:tblGrid>
        <w:gridCol w:w="8086"/>
      </w:tblGrid>
      <w:tr w:rsidR="00CD2861" w:rsidTr="00CD2861">
        <w:trPr>
          <w:trHeight w:val="6764"/>
        </w:trPr>
        <w:tc>
          <w:tcPr>
            <w:tcW w:w="8086" w:type="dxa"/>
            <w:tcBorders>
              <w:top w:val="single" w:sz="4" w:space="0" w:color="auto"/>
              <w:left w:val="single" w:sz="4" w:space="0" w:color="auto"/>
              <w:bottom w:val="single" w:sz="4" w:space="0" w:color="auto"/>
              <w:right w:val="single" w:sz="4" w:space="0" w:color="auto"/>
            </w:tcBorders>
          </w:tcPr>
          <w:bookmarkEnd w:id="2"/>
          <w:p w:rsidR="00CD2861" w:rsidRDefault="00CD2861">
            <w:pPr>
              <w:tabs>
                <w:tab w:val="left" w:pos="8306"/>
              </w:tabs>
              <w:spacing w:line="276" w:lineRule="auto"/>
              <w:ind w:left="360" w:right="321"/>
              <w:jc w:val="right"/>
              <w:rPr>
                <w:rFonts w:ascii="Garamond" w:eastAsia="Calibri" w:hAnsi="Garamond"/>
                <w:b/>
                <w:bCs/>
                <w:rtl/>
              </w:rPr>
            </w:pPr>
            <w:r>
              <w:rPr>
                <w:rFonts w:eastAsia="Calibri"/>
                <w:b/>
                <w:bCs/>
                <w:rtl/>
              </w:rPr>
              <w:br/>
              <w:t>1 פברואר 2021</w:t>
            </w:r>
          </w:p>
          <w:p w:rsidR="00CD2861" w:rsidRDefault="00CD2861">
            <w:pPr>
              <w:tabs>
                <w:tab w:val="left" w:pos="8306"/>
              </w:tabs>
              <w:spacing w:line="276" w:lineRule="auto"/>
              <w:ind w:left="360" w:right="321"/>
              <w:rPr>
                <w:rFonts w:eastAsia="Calibri"/>
                <w:b/>
                <w:bCs/>
                <w:rtl/>
              </w:rPr>
            </w:pPr>
          </w:p>
          <w:p w:rsidR="00CD2861" w:rsidRDefault="00CD2861">
            <w:pPr>
              <w:tabs>
                <w:tab w:val="left" w:pos="8306"/>
              </w:tabs>
              <w:spacing w:line="276" w:lineRule="auto"/>
              <w:ind w:left="360" w:right="321"/>
              <w:jc w:val="center"/>
              <w:rPr>
                <w:rFonts w:eastAsia="Calibri"/>
                <w:b/>
                <w:bCs/>
                <w:rtl/>
              </w:rPr>
            </w:pPr>
            <w:r>
              <w:rPr>
                <w:rFonts w:eastAsia="Calibri"/>
                <w:b/>
                <w:bCs/>
                <w:rtl/>
              </w:rPr>
              <w:t>המשביר לצרכן – סיכום פגישה מיום 28.1.2021</w:t>
            </w:r>
          </w:p>
          <w:p w:rsidR="00CD2861" w:rsidRDefault="00CD2861">
            <w:pPr>
              <w:tabs>
                <w:tab w:val="left" w:pos="8306"/>
              </w:tabs>
              <w:spacing w:line="276" w:lineRule="auto"/>
              <w:ind w:left="360" w:right="321"/>
              <w:jc w:val="center"/>
              <w:rPr>
                <w:rFonts w:eastAsia="Calibri"/>
                <w:rtl/>
              </w:rPr>
            </w:pPr>
            <w:r>
              <w:rPr>
                <w:rFonts w:eastAsia="Calibri"/>
                <w:rtl/>
              </w:rPr>
              <w:t>משתתפים: אופיר, גיא, זהורית, ניסים, שירלי</w:t>
            </w:r>
          </w:p>
          <w:p w:rsidR="00CD2861" w:rsidRDefault="00CD2861">
            <w:pPr>
              <w:tabs>
                <w:tab w:val="left" w:pos="8306"/>
              </w:tabs>
              <w:spacing w:line="276" w:lineRule="auto"/>
              <w:ind w:left="360" w:right="321"/>
              <w:rPr>
                <w:rFonts w:eastAsia="Calibri"/>
                <w:b/>
                <w:bCs/>
                <w:rtl/>
              </w:rPr>
            </w:pPr>
          </w:p>
          <w:p w:rsidR="00CD2861" w:rsidRDefault="00CD2861">
            <w:pPr>
              <w:tabs>
                <w:tab w:val="left" w:pos="8306"/>
              </w:tabs>
              <w:spacing w:line="276" w:lineRule="auto"/>
              <w:ind w:left="360" w:right="321"/>
              <w:rPr>
                <w:rFonts w:eastAsia="Calibri"/>
                <w:rtl/>
              </w:rPr>
            </w:pPr>
            <w:r>
              <w:rPr>
                <w:rFonts w:eastAsia="Calibri"/>
                <w:b/>
                <w:bCs/>
                <w:rtl/>
              </w:rPr>
              <w:t>כיכר ציון</w:t>
            </w:r>
            <w:r>
              <w:rPr>
                <w:rFonts w:eastAsia="Calibri"/>
                <w:b/>
                <w:bCs/>
                <w:rtl/>
              </w:rPr>
              <w:br/>
            </w:r>
            <w:r>
              <w:rPr>
                <w:rFonts w:eastAsia="Calibri"/>
                <w:rtl/>
              </w:rPr>
              <w:t>[</w:t>
            </w:r>
            <w:r>
              <w:rPr>
                <w:rFonts w:eastAsia="Calibri"/>
                <w:b/>
                <w:bCs/>
                <w:rtl/>
              </w:rPr>
              <w:t>שורה 1</w:t>
            </w:r>
            <w:r>
              <w:rPr>
                <w:rFonts w:eastAsia="Calibri"/>
                <w:rtl/>
              </w:rPr>
              <w:t xml:space="preserve">] קופונים בגין מחצית חודש מרץ 2020 – יועבר במיידי לשיווק. </w:t>
            </w:r>
          </w:p>
          <w:p w:rsidR="00CD2861" w:rsidRDefault="00CD2861">
            <w:pPr>
              <w:tabs>
                <w:tab w:val="left" w:pos="8306"/>
              </w:tabs>
              <w:spacing w:line="276" w:lineRule="auto"/>
              <w:ind w:left="360" w:right="321"/>
              <w:jc w:val="both"/>
              <w:rPr>
                <w:rFonts w:eastAsia="Calibri"/>
              </w:rPr>
            </w:pPr>
            <w:r>
              <w:rPr>
                <w:rFonts w:eastAsia="Calibri"/>
                <w:rtl/>
              </w:rPr>
              <w:t>[</w:t>
            </w:r>
            <w:r>
              <w:rPr>
                <w:rFonts w:eastAsia="Calibri"/>
                <w:b/>
                <w:bCs/>
                <w:rtl/>
              </w:rPr>
              <w:t>שורה 2</w:t>
            </w:r>
            <w:r>
              <w:rPr>
                <w:rFonts w:eastAsia="Calibri"/>
                <w:rtl/>
              </w:rPr>
              <w:t xml:space="preserve">] חוב בגין חודשים ינואר–פברואר 21' – ישולם במיידי. </w:t>
            </w:r>
          </w:p>
          <w:p w:rsidR="00CD2861" w:rsidRDefault="00CD2861">
            <w:pPr>
              <w:tabs>
                <w:tab w:val="left" w:pos="8306"/>
              </w:tabs>
              <w:spacing w:line="276" w:lineRule="auto"/>
              <w:ind w:left="360" w:right="321"/>
              <w:jc w:val="both"/>
              <w:rPr>
                <w:rFonts w:eastAsia="Calibri"/>
                <w:rtl/>
              </w:rPr>
            </w:pPr>
            <w:r>
              <w:rPr>
                <w:rFonts w:eastAsia="Calibri"/>
                <w:rtl/>
              </w:rPr>
              <w:t>[</w:t>
            </w:r>
            <w:r>
              <w:rPr>
                <w:rFonts w:eastAsia="Calibri"/>
                <w:b/>
                <w:bCs/>
                <w:rtl/>
              </w:rPr>
              <w:t>שורות 3-4</w:t>
            </w:r>
            <w:r>
              <w:rPr>
                <w:rFonts w:eastAsia="Calibri"/>
                <w:rtl/>
              </w:rPr>
              <w:t xml:space="preserve">] שטח המושכר – כפי שנקב[ע] בתיקון להסכם משנת 2011, אין טענות לגבי השטח או על דמי השכירות. </w:t>
            </w:r>
          </w:p>
          <w:p w:rsidR="00CD2861" w:rsidRDefault="00CD2861">
            <w:pPr>
              <w:tabs>
                <w:tab w:val="left" w:pos="8306"/>
              </w:tabs>
              <w:spacing w:line="276" w:lineRule="auto"/>
              <w:ind w:left="360" w:right="321"/>
              <w:rPr>
                <w:rFonts w:eastAsia="Calibri"/>
                <w:b/>
                <w:bCs/>
                <w:rtl/>
              </w:rPr>
            </w:pPr>
            <w:r>
              <w:rPr>
                <w:rFonts w:eastAsia="Calibri"/>
                <w:rtl/>
              </w:rPr>
              <w:t>[</w:t>
            </w:r>
            <w:r>
              <w:rPr>
                <w:rFonts w:eastAsia="Calibri"/>
                <w:b/>
                <w:bCs/>
                <w:rtl/>
              </w:rPr>
              <w:t>שורות 5-7</w:t>
            </w:r>
            <w:r>
              <w:rPr>
                <w:rFonts w:eastAsia="Calibri"/>
                <w:rtl/>
              </w:rPr>
              <w:t xml:space="preserve">] בכפוף לתשלום ולתנאים כאמור, חוב השוכר עד לתום 2020, בהתאם לחוזה השכירות אשר יעודכן בהנחות הבאות, – וישולם ב-8 תשלומים שווים, תשלום ראשון ז"פ 1.2.2021 </w:t>
            </w:r>
          </w:p>
          <w:p w:rsidR="00CD2861" w:rsidRDefault="00CD2861">
            <w:pPr>
              <w:spacing w:line="360" w:lineRule="auto"/>
              <w:rPr>
                <w:rFonts w:eastAsia="Calibri"/>
                <w:b/>
                <w:bCs/>
              </w:rPr>
            </w:pPr>
            <w:r>
              <w:rPr>
                <w:rFonts w:eastAsia="Calibri"/>
              </w:rPr>
              <w:drawing>
                <wp:inline distT="0" distB="0" distL="0" distR="0">
                  <wp:extent cx="5048250" cy="2543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8250" cy="2543175"/>
                          </a:xfrm>
                          <a:prstGeom prst="rect">
                            <a:avLst/>
                          </a:prstGeom>
                          <a:noFill/>
                          <a:ln>
                            <a:noFill/>
                          </a:ln>
                        </pic:spPr>
                      </pic:pic>
                    </a:graphicData>
                  </a:graphic>
                </wp:inline>
              </w:drawing>
            </w:r>
          </w:p>
        </w:tc>
      </w:tr>
    </w:tbl>
    <w:p w:rsidR="00CD2861" w:rsidRDefault="00CD2861" w:rsidP="00CD2861">
      <w:pPr>
        <w:spacing w:line="276" w:lineRule="auto"/>
        <w:jc w:val="both"/>
        <w:rPr>
          <w:rFonts w:ascii="Garamond" w:eastAsia="Calibri" w:hAnsi="Garamond"/>
          <w:rtl/>
        </w:rPr>
      </w:pPr>
      <w:r>
        <w:rPr>
          <w:rFonts w:eastAsia="Calibri"/>
          <w:b/>
          <w:bCs/>
          <w:rtl/>
          <w14:ligatures w14:val="standardContextual"/>
        </w:rPr>
        <w:br/>
      </w:r>
      <w:r>
        <w:rPr>
          <w:rFonts w:eastAsia="Calibri"/>
          <w:u w:val="single"/>
          <w:rtl/>
          <w14:ligatures w14:val="standardContextual"/>
        </w:rPr>
        <w:t>הערות למסמך</w:t>
      </w:r>
      <w:r>
        <w:rPr>
          <w:rFonts w:eastAsia="Calibri"/>
          <w:rtl/>
          <w14:ligatures w14:val="standardContextual"/>
        </w:rPr>
        <w:t>:</w:t>
      </w:r>
      <w:r>
        <w:rPr>
          <w:rFonts w:eastAsia="Calibri"/>
          <w:rtl/>
          <w14:ligatures w14:val="standardContextual"/>
        </w:rPr>
        <w:tab/>
      </w:r>
      <w:r>
        <w:rPr>
          <w:rFonts w:eastAsia="Calibri"/>
          <w:rtl/>
          <w14:ligatures w14:val="standardContextual"/>
        </w:rPr>
        <w:br/>
      </w:r>
      <w:r>
        <w:rPr>
          <w:rFonts w:eastAsia="Calibri"/>
          <w:rtl/>
        </w:rPr>
        <w:t xml:space="preserve">- המסמך כפי שצורף ע"י הצדדים נערך על נייר של מליסרון. </w:t>
      </w:r>
      <w:r>
        <w:rPr>
          <w:rFonts w:eastAsia="Calibri"/>
          <w:rtl/>
        </w:rPr>
        <w:tab/>
      </w:r>
    </w:p>
    <w:p w:rsidR="00CD2861" w:rsidRDefault="00CD2861" w:rsidP="00CD2861">
      <w:pPr>
        <w:spacing w:line="276" w:lineRule="auto"/>
        <w:jc w:val="both"/>
        <w:rPr>
          <w:rFonts w:ascii="David" w:eastAsiaTheme="minorHAnsi" w:hAnsi="David"/>
          <w:u w:val="single"/>
          <w:rtl/>
        </w:rPr>
      </w:pPr>
      <w:r>
        <w:rPr>
          <w:rFonts w:eastAsia="Calibri"/>
          <w:rtl/>
        </w:rPr>
        <w:t>- הטבלה שבמסמך הועתקה על ידי כתמונה מנספחי הצדדים.</w:t>
      </w:r>
      <w:r>
        <w:rPr>
          <w:rFonts w:eastAsia="Calibri"/>
          <w:rtl/>
        </w:rPr>
        <w:tab/>
      </w:r>
      <w:r>
        <w:rPr>
          <w:rFonts w:eastAsia="Calibri"/>
          <w:rtl/>
        </w:rPr>
        <w:br/>
        <w:t xml:space="preserve">- שורות 1-7 </w:t>
      </w:r>
      <w:r>
        <w:rPr>
          <w:rFonts w:eastAsia="Calibri"/>
          <w:rtl/>
          <w14:ligatures w14:val="standardContextual"/>
        </w:rPr>
        <w:t xml:space="preserve">(להלן: </w:t>
      </w:r>
      <w:r>
        <w:rPr>
          <w:rFonts w:eastAsia="Calibri"/>
          <w:b/>
          <w:bCs/>
          <w:rtl/>
          <w14:ligatures w14:val="standardContextual"/>
        </w:rPr>
        <w:t>תנאי ההנחות</w:t>
      </w:r>
      <w:r>
        <w:rPr>
          <w:rFonts w:eastAsia="Calibri"/>
          <w:rtl/>
          <w14:ligatures w14:val="standardContextual"/>
        </w:rPr>
        <w:t>)</w:t>
      </w:r>
      <w:r>
        <w:rPr>
          <w:rFonts w:eastAsia="Calibri"/>
          <w:rtl/>
        </w:rPr>
        <w:t xml:space="preserve"> הוקלדו על ידי (ולא הועתקו כתמונה), </w:t>
      </w:r>
      <w:r>
        <w:rPr>
          <w:rFonts w:eastAsia="Calibri"/>
          <w:rtl/>
          <w14:ligatures w14:val="standardContextual"/>
        </w:rPr>
        <w:t>ומספרי השורות [בסוגריים] הוספו לצורך התמצאות.</w:t>
      </w:r>
      <w:r>
        <w:rPr>
          <w:rFonts w:eastAsia="Calibri"/>
          <w:rtl/>
          <w14:ligatures w14:val="standardContextual"/>
        </w:rPr>
        <w:tab/>
      </w:r>
      <w:r>
        <w:rPr>
          <w:rFonts w:eastAsia="Calibri"/>
          <w:rtl/>
          <w14:ligatures w14:val="standardContextual"/>
        </w:rPr>
        <w:br/>
      </w: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b/>
          <w:bCs/>
          <w:rtl/>
        </w:rPr>
        <w:t>עינ</w:t>
      </w:r>
      <w:r w:rsidR="00695FB6">
        <w:rPr>
          <w:rFonts w:ascii="David" w:hAnsi="David" w:hint="cs"/>
          <w:b/>
          <w:bCs/>
          <w:rtl/>
        </w:rPr>
        <w:t>י</w:t>
      </w:r>
      <w:r>
        <w:rPr>
          <w:rFonts w:ascii="David" w:hAnsi="David"/>
          <w:b/>
          <w:bCs/>
          <w:rtl/>
        </w:rPr>
        <w:t xml:space="preserve">נו הרואות, אפוא, כי סיכום 1.2.2021 כולל גם את תנאי הוויתור </w:t>
      </w:r>
      <w:r>
        <w:rPr>
          <w:rFonts w:ascii="David" w:hAnsi="David"/>
          <w:rtl/>
        </w:rPr>
        <w:t>(שורות 3-4).</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 xml:space="preserve">יש לשים לב כי הטבלה הנ"ל </w:t>
      </w:r>
      <w:r>
        <w:rPr>
          <w:rFonts w:ascii="David" w:hAnsi="David"/>
          <w:u w:val="single"/>
          <w:rtl/>
        </w:rPr>
        <w:t>אינה</w:t>
      </w:r>
      <w:r>
        <w:rPr>
          <w:rFonts w:ascii="David" w:hAnsi="David"/>
          <w:rtl/>
        </w:rPr>
        <w:t xml:space="preserve"> זו שמופיעה בכתב ההגנה. הטבלה בכתב ההגנה היא טבלה מתוקנת שמאוחרת לה, אשר תוקנה בעקבות הערות המשביר. הטבלה המקורית שמצויה בסיכום 1.2.2021 הנ"ל ובכלל, סיכום 1.2.2021, אינם נזכרים בכתב ההגנה (כמו גם מסמכים אחרים כפי שיפורט, לרבות סיכום מאוחר יותר של אותה פגישה, סיכום מיום 25.2.2021).</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u w:val="single"/>
        </w:rPr>
      </w:pPr>
      <w:r>
        <w:rPr>
          <w:rFonts w:ascii="David" w:hAnsi="David"/>
          <w:rtl/>
        </w:rPr>
        <w:t>אעיר עוד, כי כפי שניתן לראות, בסיכום 1.2.2021 לא נזכר תנאי הפינוי. מליסרון ואזו-ריט טענו כי מדובר בישיבה עסקית ובסיכום מסחרי חלקי, שבו הועלו ונדונו רק העניינים שהמשביר ביקשה להעלותם; והנושא לא עלה כי המשביר לא ביקשה לדון בו, ומבחינת התובעת המשביר הסכימה לתנאי זה (ראו למשל עדות כהן בעמ' 164 ש' 23 - 165 ש' 18 וסעיפים 94-98 לסיכומי התובעת). זאת בהמשך לטענה כללית יותר של התובעת, כי כל ההסכמות המסחריות היו כפופות לחתימה על מסמך משפטי. המשביר מנגד טוענת כי זו ראיה לכך שאזו-ריט ומליסרון "ירדו" מהדרישה לתנאי הפינוי. הדברים מובאים לשלמות התמונה בלבד. שכן לא ראיתי כי הכרעה במחלוקת ספציפית זו דרושה לצורך הכרעה או שיש בהכרעה בה כדי לשנות מקביעותיי והכרעתי כמפורט בפסק הדין.</w:t>
      </w:r>
    </w:p>
    <w:p w:rsidR="00CD2861" w:rsidRDefault="00CD2861" w:rsidP="00CD2861">
      <w:pPr>
        <w:ind w:left="-58"/>
        <w:jc w:val="both"/>
        <w:rPr>
          <w:rFonts w:ascii="David" w:hAnsi="David"/>
          <w:u w:val="single"/>
        </w:rPr>
      </w:pPr>
    </w:p>
    <w:p w:rsidR="00CD2861" w:rsidRDefault="00CD2861" w:rsidP="00CD2861">
      <w:pPr>
        <w:ind w:left="-58"/>
        <w:jc w:val="both"/>
        <w:rPr>
          <w:rFonts w:ascii="David" w:hAnsi="David"/>
          <w:b/>
          <w:bCs/>
          <w:u w:val="single"/>
          <w:rtl/>
        </w:rPr>
      </w:pPr>
      <w:r>
        <w:rPr>
          <w:rFonts w:ascii="David" w:hAnsi="David"/>
          <w:b/>
          <w:bCs/>
          <w:rtl/>
        </w:rPr>
        <w:t xml:space="preserve">ב.3. </w:t>
      </w:r>
      <w:r>
        <w:rPr>
          <w:rFonts w:ascii="David" w:hAnsi="David"/>
          <w:b/>
          <w:bCs/>
          <w:u w:val="single"/>
          <w:rtl/>
        </w:rPr>
        <w:t>בעקבות סיכום 1.2.2021: התכתובת מיום 3.2.2021</w:t>
      </w:r>
      <w:r>
        <w:rPr>
          <w:rFonts w:ascii="David" w:hAnsi="David"/>
          <w:u w:val="single"/>
          <w:rtl/>
        </w:rPr>
        <w:t xml:space="preserve"> (</w:t>
      </w:r>
      <w:r>
        <w:rPr>
          <w:rFonts w:ascii="David" w:hAnsi="David"/>
          <w:b/>
          <w:bCs/>
          <w:u w:val="single"/>
          <w:rtl/>
        </w:rPr>
        <w:t>התכתובת מיום 3.2.2021)</w:t>
      </w:r>
    </w:p>
    <w:p w:rsidR="00CD2861" w:rsidRDefault="00CD2861" w:rsidP="00CD2861">
      <w:pPr>
        <w:ind w:left="-58"/>
        <w:jc w:val="both"/>
        <w:rPr>
          <w:rFonts w:ascii="David" w:hAnsi="David"/>
          <w:u w:val="single"/>
          <w:rtl/>
        </w:rPr>
      </w:pPr>
    </w:p>
    <w:p w:rsidR="00CD2861" w:rsidRDefault="00CD2861" w:rsidP="00695FB6">
      <w:pPr>
        <w:pStyle w:val="af"/>
        <w:numPr>
          <w:ilvl w:val="0"/>
          <w:numId w:val="2"/>
        </w:numPr>
        <w:spacing w:before="0" w:after="0" w:line="360" w:lineRule="auto"/>
        <w:ind w:left="509" w:hanging="567"/>
        <w:jc w:val="both"/>
        <w:rPr>
          <w:rFonts w:ascii="David" w:hAnsi="David"/>
        </w:rPr>
      </w:pPr>
      <w:r>
        <w:rPr>
          <w:rFonts w:ascii="David" w:hAnsi="David"/>
          <w:rtl/>
        </w:rPr>
        <w:t xml:space="preserve">עו"ד קוק העירה ביום 3.2.2021 לסיכום </w:t>
      </w:r>
      <w:r w:rsidR="00695FB6">
        <w:rPr>
          <w:rFonts w:ascii="David" w:hAnsi="David" w:hint="cs"/>
          <w:rtl/>
        </w:rPr>
        <w:t>1.2.2021</w:t>
      </w:r>
      <w:r>
        <w:rPr>
          <w:rFonts w:ascii="David" w:hAnsi="David"/>
          <w:rtl/>
        </w:rPr>
        <w:t xml:space="preserve">, הערות אלה: </w:t>
      </w:r>
    </w:p>
    <w:p w:rsidR="00CD2861" w:rsidRDefault="00CD2861" w:rsidP="00CD2861">
      <w:pPr>
        <w:spacing w:line="276" w:lineRule="auto"/>
        <w:ind w:left="1076" w:right="720"/>
        <w:jc w:val="both"/>
        <w:rPr>
          <w:rFonts w:ascii="David" w:hAnsi="David"/>
          <w:b/>
          <w:bCs/>
          <w:rtl/>
        </w:rPr>
      </w:pPr>
      <w:r>
        <w:rPr>
          <w:rFonts w:ascii="David" w:hAnsi="David"/>
          <w:rtl/>
        </w:rPr>
        <w:br/>
      </w:r>
      <w:r>
        <w:rPr>
          <w:rFonts w:ascii="David" w:hAnsi="David"/>
          <w:b/>
          <w:bCs/>
          <w:u w:val="single"/>
          <w:rtl/>
        </w:rPr>
        <w:t>"אני עדיין בודקת את הסיכום ששלחתם</w:t>
      </w:r>
      <w:r>
        <w:rPr>
          <w:rFonts w:ascii="David" w:hAnsi="David"/>
          <w:b/>
          <w:bCs/>
          <w:rtl/>
        </w:rPr>
        <w:t xml:space="preserve">. </w:t>
      </w:r>
    </w:p>
    <w:p w:rsidR="00CD2861" w:rsidRDefault="00CD2861" w:rsidP="00CD2861">
      <w:pPr>
        <w:spacing w:line="276" w:lineRule="auto"/>
        <w:ind w:left="1076" w:right="1276"/>
        <w:jc w:val="both"/>
        <w:rPr>
          <w:rFonts w:ascii="David" w:hAnsi="David"/>
          <w:rtl/>
        </w:rPr>
      </w:pPr>
      <w:r>
        <w:rPr>
          <w:rFonts w:ascii="David" w:hAnsi="David"/>
          <w:b/>
          <w:bCs/>
          <w:rtl/>
        </w:rPr>
        <w:t xml:space="preserve">במקביל רוצה להוציא לכם לבקשת אופיר את השיקים של כיכר ציון. </w:t>
      </w:r>
      <w:r>
        <w:rPr>
          <w:rFonts w:ascii="David" w:hAnsi="David"/>
          <w:b/>
          <w:bCs/>
          <w:rtl/>
        </w:rPr>
        <w:br/>
        <w:t xml:space="preserve">במרץ ההקלה היא 50% כנגד קופונים ולא 30%. </w:t>
      </w:r>
      <w:r>
        <w:rPr>
          <w:rFonts w:ascii="David" w:hAnsi="David"/>
          <w:b/>
          <w:bCs/>
          <w:rtl/>
        </w:rPr>
        <w:tab/>
      </w:r>
      <w:r>
        <w:rPr>
          <w:rFonts w:ascii="David" w:hAnsi="David"/>
          <w:b/>
          <w:bCs/>
          <w:u w:val="single"/>
          <w:rtl/>
        </w:rPr>
        <w:br/>
        <w:t>יתר ההתייחסות תועבר בהקדם</w:t>
      </w:r>
      <w:r>
        <w:rPr>
          <w:rFonts w:ascii="David" w:hAnsi="David"/>
          <w:b/>
          <w:bCs/>
          <w:rtl/>
        </w:rPr>
        <w:t>.</w:t>
      </w:r>
      <w:r>
        <w:rPr>
          <w:rFonts w:ascii="David" w:hAnsi="David"/>
          <w:b/>
          <w:bCs/>
          <w:rtl/>
        </w:rPr>
        <w:tab/>
      </w:r>
      <w:r>
        <w:rPr>
          <w:rFonts w:ascii="David" w:hAnsi="David"/>
          <w:b/>
          <w:bCs/>
          <w:rtl/>
        </w:rPr>
        <w:br/>
      </w:r>
      <w:r>
        <w:rPr>
          <w:rFonts w:ascii="David" w:hAnsi="David"/>
          <w:b/>
          <w:bCs/>
          <w:u w:val="single"/>
          <w:rtl/>
        </w:rPr>
        <w:t>אנא אישורך כדי שנכין את השיקים</w:t>
      </w:r>
      <w:r>
        <w:rPr>
          <w:rFonts w:ascii="David" w:hAnsi="David"/>
          <w:b/>
          <w:bCs/>
          <w:rtl/>
        </w:rPr>
        <w:t>."</w:t>
      </w:r>
      <w:r>
        <w:rPr>
          <w:rFonts w:ascii="David" w:hAnsi="David"/>
          <w:b/>
          <w:bCs/>
          <w:rtl/>
        </w:rPr>
        <w:tab/>
      </w:r>
      <w:r>
        <w:rPr>
          <w:rFonts w:ascii="David" w:hAnsi="David"/>
          <w:rtl/>
        </w:rPr>
        <w:br/>
        <w:t>(נספח 15 לתצהיר עו"ד קוק, בעמ' 83).</w:t>
      </w:r>
      <w:r>
        <w:rPr>
          <w:rFonts w:ascii="David" w:hAnsi="David"/>
          <w:rtl/>
        </w:rPr>
        <w:tab/>
      </w:r>
      <w:r>
        <w:rPr>
          <w:rFonts w:ascii="David" w:hAnsi="David"/>
          <w:rtl/>
        </w:rPr>
        <w:br/>
      </w: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 xml:space="preserve">במענה העבירה כהן בדוא"ל מיום 3.2.2021, טבלת הנחות מעודכנת, שבה ההנחה לחודש מרץ 2020 כנגד קופונים עומדת על 50% (ראו </w:t>
      </w:r>
      <w:r w:rsidR="00695FB6">
        <w:rPr>
          <w:rFonts w:ascii="David" w:hAnsi="David" w:hint="cs"/>
          <w:rtl/>
        </w:rPr>
        <w:t xml:space="preserve">לצורך השוואה </w:t>
      </w:r>
      <w:r>
        <w:rPr>
          <w:rFonts w:ascii="David" w:hAnsi="David"/>
          <w:rtl/>
        </w:rPr>
        <w:t xml:space="preserve">השורה הראשונה בטבלה לעיל, שבה צוין 30%). </w:t>
      </w:r>
      <w:r>
        <w:rPr>
          <w:rFonts w:ascii="David" w:hAnsi="David"/>
          <w:b/>
          <w:bCs/>
          <w:rtl/>
        </w:rPr>
        <w:t>הטבלה לאחר תיקונה, היא טבלת ההנחות מיום 3.2.2021 שהובאה בכתב ההגנה, ומגלמת לשיטת המשביר שם את ההסכמות המחייבות למתן הנחות למשביר</w:t>
      </w:r>
      <w:r>
        <w:rPr>
          <w:rFonts w:ascii="David" w:hAnsi="David"/>
          <w:rtl/>
        </w:rPr>
        <w:t>.</w:t>
      </w:r>
      <w:r>
        <w:rPr>
          <w:rFonts w:ascii="David" w:hAnsi="David"/>
          <w:rtl/>
        </w:rPr>
        <w:tab/>
      </w:r>
      <w:r>
        <w:rPr>
          <w:rFonts w:ascii="David" w:hAnsi="David"/>
          <w:rtl/>
        </w:rPr>
        <w:br/>
        <w:t xml:space="preserve">חשוב  לציין כי </w:t>
      </w:r>
      <w:r>
        <w:rPr>
          <w:rFonts w:ascii="David" w:hAnsi="David"/>
          <w:b/>
          <w:bCs/>
          <w:rtl/>
        </w:rPr>
        <w:t>בדוא"ל זה העבירה כהן למשביר את טבלת ההנחות המתוקנת מיום 3.2.2021 בלבד, ללא תנאי ההנחות שקדמו לטבלה בסיכום 1.2.2021 (שורות 1-7)</w:t>
      </w:r>
      <w:r>
        <w:rPr>
          <w:rFonts w:ascii="David" w:hAnsi="David"/>
          <w:rtl/>
        </w:rPr>
        <w:t>.</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בהמשך לטבלת ההנחות מיום 3.2.2021, שהיא כאמור טבלה מתוקנת לפי הערות המשביר, השיבה עו"ד קוק בו ביום:</w:t>
      </w:r>
      <w:r>
        <w:rPr>
          <w:rFonts w:ascii="David" w:hAnsi="David"/>
          <w:rtl/>
        </w:rPr>
        <w:tab/>
        <w:t xml:space="preserve"> </w:t>
      </w:r>
    </w:p>
    <w:p w:rsidR="00CD2861" w:rsidRDefault="00CD2861" w:rsidP="00CD2861">
      <w:pPr>
        <w:spacing w:line="276" w:lineRule="auto"/>
        <w:ind w:left="1076" w:right="720"/>
        <w:jc w:val="both"/>
        <w:rPr>
          <w:rFonts w:ascii="David" w:hAnsi="David"/>
          <w:b/>
          <w:bCs/>
        </w:rPr>
      </w:pPr>
      <w:r>
        <w:rPr>
          <w:rFonts w:ascii="David" w:hAnsi="David"/>
          <w:b/>
          <w:bCs/>
          <w:rtl/>
        </w:rPr>
        <w:br/>
        <w:t>"תודה</w:t>
      </w:r>
      <w:r>
        <w:rPr>
          <w:rFonts w:ascii="David" w:hAnsi="David"/>
          <w:b/>
          <w:bCs/>
          <w:rtl/>
        </w:rPr>
        <w:br/>
      </w:r>
      <w:r>
        <w:rPr>
          <w:rFonts w:ascii="David" w:hAnsi="David"/>
          <w:b/>
          <w:bCs/>
          <w:u w:val="single"/>
          <w:rtl/>
        </w:rPr>
        <w:t>שולחת לך שיקים עד סוף שנת 2020</w:t>
      </w:r>
      <w:r>
        <w:rPr>
          <w:rFonts w:ascii="David" w:hAnsi="David"/>
          <w:b/>
          <w:bCs/>
          <w:rtl/>
        </w:rPr>
        <w:t>.</w:t>
      </w:r>
    </w:p>
    <w:p w:rsidR="00CD2861" w:rsidRDefault="00CD2861" w:rsidP="00CD2861">
      <w:pPr>
        <w:spacing w:line="276" w:lineRule="auto"/>
        <w:ind w:left="1076" w:right="720"/>
        <w:jc w:val="both"/>
        <w:rPr>
          <w:rFonts w:ascii="David" w:hAnsi="David"/>
          <w:b/>
          <w:bCs/>
          <w:rtl/>
        </w:rPr>
      </w:pPr>
      <w:r>
        <w:rPr>
          <w:rFonts w:ascii="David" w:hAnsi="David"/>
          <w:b/>
          <w:bCs/>
          <w:rtl/>
        </w:rPr>
        <w:t>שנת 2021 תידון בסוף הסגר.</w:t>
      </w:r>
    </w:p>
    <w:p w:rsidR="00CD2861" w:rsidRDefault="00CD2861" w:rsidP="00CD2861">
      <w:pPr>
        <w:spacing w:line="276" w:lineRule="auto"/>
        <w:ind w:left="1076"/>
        <w:jc w:val="both"/>
        <w:rPr>
          <w:rFonts w:ascii="David" w:hAnsi="David"/>
          <w:b/>
          <w:bCs/>
          <w:rtl/>
        </w:rPr>
      </w:pPr>
      <w:r>
        <w:rPr>
          <w:rFonts w:ascii="David" w:hAnsi="David"/>
          <w:b/>
          <w:bCs/>
          <w:u w:val="single"/>
          <w:rtl/>
        </w:rPr>
        <w:t>יתר ההתייחסות שלנו לכלל סיכום הפגישה</w:t>
      </w:r>
      <w:r>
        <w:rPr>
          <w:rFonts w:ascii="David" w:hAnsi="David"/>
          <w:b/>
          <w:bCs/>
          <w:rtl/>
        </w:rPr>
        <w:t xml:space="preserve"> תועבר לאחר שתסתיים בדיקת החוב ושעומר ישלח נייר מעודכן"</w:t>
      </w:r>
      <w:r>
        <w:rPr>
          <w:rFonts w:ascii="David" w:hAnsi="David"/>
          <w:rtl/>
        </w:rPr>
        <w:t>.</w:t>
      </w:r>
      <w:r>
        <w:rPr>
          <w:rFonts w:ascii="David" w:hAnsi="David"/>
          <w:rtl/>
        </w:rPr>
        <w:tab/>
      </w:r>
      <w:r>
        <w:rPr>
          <w:rFonts w:ascii="David" w:hAnsi="David"/>
          <w:rtl/>
        </w:rPr>
        <w:br/>
        <w:t>(נספח 15 עמ' 82 לכהן, נספח 26 עמ' 184 לעו"ד קוק, ו- 25 לחסאן)</w:t>
      </w:r>
    </w:p>
    <w:p w:rsidR="00CD2861" w:rsidRDefault="00CD2861" w:rsidP="00CD2861">
      <w:pPr>
        <w:spacing w:line="360" w:lineRule="auto"/>
        <w:jc w:val="both"/>
        <w:rPr>
          <w:rFonts w:ascii="David" w:hAnsi="David"/>
          <w:rtl/>
        </w:rPr>
      </w:pPr>
    </w:p>
    <w:p w:rsidR="00CD2861" w:rsidRDefault="00CD2861" w:rsidP="00695FB6">
      <w:pPr>
        <w:pStyle w:val="af"/>
        <w:numPr>
          <w:ilvl w:val="0"/>
          <w:numId w:val="2"/>
        </w:numPr>
        <w:spacing w:before="0" w:after="0" w:line="360" w:lineRule="auto"/>
        <w:ind w:left="509" w:hanging="567"/>
        <w:jc w:val="both"/>
        <w:rPr>
          <w:rFonts w:ascii="David" w:hAnsi="David"/>
          <w:rtl/>
        </w:rPr>
      </w:pPr>
      <w:r>
        <w:rPr>
          <w:rFonts w:ascii="David" w:hAnsi="David"/>
          <w:b/>
          <w:bCs/>
          <w:u w:val="single"/>
          <w:rtl/>
        </w:rPr>
        <w:lastRenderedPageBreak/>
        <w:t>סיכום ומסקנות ביחס למצב הדברים עד כה (3.2.2021) לפי הראיות</w:t>
      </w:r>
      <w:r>
        <w:rPr>
          <w:rFonts w:ascii="David" w:hAnsi="David"/>
          <w:rtl/>
        </w:rPr>
        <w:t xml:space="preserve">: </w:t>
      </w:r>
      <w:r>
        <w:rPr>
          <w:rFonts w:ascii="David" w:hAnsi="David"/>
          <w:rtl/>
        </w:rPr>
        <w:tab/>
      </w:r>
      <w:r>
        <w:rPr>
          <w:rFonts w:ascii="David" w:hAnsi="David"/>
          <w:rtl/>
        </w:rPr>
        <w:br/>
      </w:r>
      <w:r>
        <w:rPr>
          <w:rFonts w:ascii="David" w:hAnsi="David"/>
          <w:b/>
          <w:bCs/>
          <w:rtl/>
        </w:rPr>
        <w:t>(1)</w:t>
      </w:r>
      <w:r>
        <w:rPr>
          <w:rFonts w:ascii="David" w:hAnsi="David"/>
          <w:rtl/>
        </w:rPr>
        <w:t xml:space="preserve"> לאחר הפגישה מיום 28.1.2021 העבירה כהן לאישור עו"ד קוק את סיכום 1.2.2021. בסיכום צוינו גם תנאים להנחות, ובהם תנאי הוויתור (שורות 1-7 שם).</w:t>
      </w:r>
      <w:r>
        <w:rPr>
          <w:rFonts w:ascii="David" w:hAnsi="David"/>
          <w:rtl/>
        </w:rPr>
        <w:tab/>
      </w:r>
      <w:r>
        <w:rPr>
          <w:rFonts w:ascii="David" w:hAnsi="David"/>
          <w:b/>
          <w:bCs/>
          <w:rtl/>
        </w:rPr>
        <w:br/>
        <w:t>(2)</w:t>
      </w:r>
      <w:r>
        <w:rPr>
          <w:rFonts w:ascii="David" w:hAnsi="David"/>
          <w:rtl/>
        </w:rPr>
        <w:t xml:space="preserve"> תחילה העירה עו"ד קוק לטבלת ההנחות שנכללה בסיכום </w:t>
      </w:r>
      <w:r>
        <w:rPr>
          <w:rFonts w:ascii="David" w:hAnsi="David"/>
          <w:u w:val="single"/>
          <w:rtl/>
        </w:rPr>
        <w:t>בלבד</w:t>
      </w:r>
      <w:r>
        <w:rPr>
          <w:rFonts w:ascii="David" w:hAnsi="David"/>
          <w:rtl/>
        </w:rPr>
        <w:t xml:space="preserve"> (העמדת שיעור ההנחה לחודש מרץ כנגד קופונים על 50%), תוך שביקשה לתקנה מידית, ובטרם שיועברו הערות המשביר לסיכום בכללותו, על מנת שהמשביר תמציא שיקים לתובעת;</w:t>
      </w:r>
      <w:r>
        <w:rPr>
          <w:rFonts w:ascii="David" w:hAnsi="David"/>
          <w:rtl/>
        </w:rPr>
        <w:tab/>
      </w:r>
      <w:r>
        <w:rPr>
          <w:rFonts w:ascii="David" w:hAnsi="David"/>
          <w:rtl/>
        </w:rPr>
        <w:br/>
      </w:r>
      <w:r>
        <w:rPr>
          <w:rFonts w:ascii="David" w:hAnsi="David"/>
          <w:b/>
          <w:bCs/>
          <w:rtl/>
        </w:rPr>
        <w:t>(3)</w:t>
      </w:r>
      <w:r>
        <w:rPr>
          <w:rFonts w:ascii="David" w:hAnsi="David"/>
          <w:rtl/>
        </w:rPr>
        <w:t xml:space="preserve"> כהן החזירה טבלה מתוקנת, היא טבלת ההנחות מיום 3.2.2021 שבכתב ההגנה, ואת הטבלה </w:t>
      </w:r>
      <w:r>
        <w:rPr>
          <w:rFonts w:ascii="David" w:hAnsi="David"/>
          <w:u w:val="single"/>
          <w:rtl/>
        </w:rPr>
        <w:t>בלבד</w:t>
      </w:r>
      <w:r>
        <w:rPr>
          <w:rFonts w:ascii="David" w:hAnsi="David"/>
          <w:rtl/>
        </w:rPr>
        <w:t xml:space="preserve"> (להבדיל מסיכום הפגישה כולו); והמשביר העבירה לתובעת שיקים.</w:t>
      </w:r>
      <w:r>
        <w:rPr>
          <w:rFonts w:ascii="David" w:hAnsi="David"/>
          <w:rtl/>
        </w:rPr>
        <w:tab/>
      </w:r>
      <w:r>
        <w:rPr>
          <w:rFonts w:ascii="David" w:hAnsi="David"/>
          <w:rtl/>
        </w:rPr>
        <w:br/>
      </w:r>
      <w:r>
        <w:rPr>
          <w:rFonts w:ascii="David" w:hAnsi="David"/>
          <w:b/>
          <w:bCs/>
          <w:rtl/>
        </w:rPr>
        <w:t>(4)</w:t>
      </w:r>
      <w:r>
        <w:rPr>
          <w:rFonts w:ascii="David" w:hAnsi="David"/>
          <w:rtl/>
        </w:rPr>
        <w:t xml:space="preserve"> ביום 3.2.2021, לאחר שהטבלה תוקנה ובד בבד עם העברת השיקים, ביקשה עו"ד קוק, לערוך שינוי נוסף ולמחוק את החודשים ינואר-פברואר 2021 מהטבלה, בשל רצון המשביר לדון בשנת 2021 בנפרד בסוף הסגר. </w:t>
      </w:r>
      <w:r>
        <w:rPr>
          <w:rFonts w:ascii="David" w:hAnsi="David"/>
          <w:rtl/>
        </w:rPr>
        <w:tab/>
      </w:r>
      <w:r>
        <w:rPr>
          <w:rFonts w:ascii="David" w:hAnsi="David"/>
          <w:rtl/>
        </w:rPr>
        <w:br/>
      </w:r>
      <w:r>
        <w:rPr>
          <w:rFonts w:ascii="David" w:hAnsi="David"/>
          <w:b/>
          <w:bCs/>
          <w:rtl/>
        </w:rPr>
        <w:t>(5)</w:t>
      </w:r>
      <w:r>
        <w:rPr>
          <w:rFonts w:ascii="David" w:hAnsi="David"/>
          <w:rtl/>
        </w:rPr>
        <w:t xml:space="preserve"> לצד האמור הודיעה עו"ד קוק במפורש - הן טרם שהועברה לה הטבלה המתוקנת והן לאחר שתוקנה ונמסרו לתובעת שיקים - כי לכלל סיכום הפגישה תבוא התייחסות המשביר בהמשך; וכי בהערות שהועברו עד כה אין, כדי למצות את הערות המשביר לסיכום 1.2.2021.</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b/>
          <w:bCs/>
          <w:rtl/>
        </w:rPr>
        <w:t xml:space="preserve">עולה מהמקובץ, כי על פי הודעות המשביר לתובעת </w:t>
      </w:r>
      <w:r>
        <w:rPr>
          <w:rFonts w:ascii="David" w:hAnsi="David"/>
          <w:b/>
          <w:bCs/>
          <w:u w:val="single"/>
          <w:rtl/>
        </w:rPr>
        <w:t>בכתב</w:t>
      </w:r>
      <w:r>
        <w:rPr>
          <w:rFonts w:ascii="David" w:hAnsi="David"/>
          <w:b/>
          <w:bCs/>
          <w:rtl/>
        </w:rPr>
        <w:t xml:space="preserve">, </w:t>
      </w:r>
      <w:r>
        <w:rPr>
          <w:rFonts w:ascii="David" w:hAnsi="David"/>
          <w:b/>
          <w:bCs/>
          <w:u w:val="single"/>
          <w:rtl/>
        </w:rPr>
        <w:t>לדידה של המשביר בזמן אמת</w:t>
      </w:r>
      <w:r>
        <w:rPr>
          <w:rFonts w:ascii="David" w:hAnsi="David"/>
          <w:b/>
          <w:bCs/>
          <w:rtl/>
        </w:rPr>
        <w:t xml:space="preserve">, העברת השיקים לתשלום דמי השכירות לשנת 2020 לפי טבלת ההנחות מיום 3.2.2021, אינה ממצה את הערות המשביר לסיכום 1.2.2021 ואין היא מלמדת על הסכמה של המשביר לסיכום על התנאים להנחה שבו, בכלל ועל הסכמתה לתנאי הוויתור, בפרט. לא ניתן, אפוא, ללמוד מהעברת השיקים על הסכמה של המשביר לתנאי הוויתור. גם אין להסיק ממסירת השיקים לתובעת, קבלתם בידה, הנפקת חשבוניות בגינם ופירעונם, כי הצדדים הגיעו להסכמות מחייבות למתן הנחות או על גמירות דעת מצדם להתקשר בהן. </w:t>
      </w:r>
    </w:p>
    <w:p w:rsidR="00CD2861" w:rsidRDefault="00CD2861" w:rsidP="00CD2861">
      <w:pPr>
        <w:spacing w:line="360" w:lineRule="auto"/>
        <w:jc w:val="both"/>
        <w:rPr>
          <w:rFonts w:ascii="David" w:hAnsi="David"/>
          <w:b/>
          <w:bCs/>
        </w:rPr>
      </w:pPr>
    </w:p>
    <w:p w:rsidR="00CD2861" w:rsidRDefault="00CD2861" w:rsidP="00CF29D9">
      <w:pPr>
        <w:pStyle w:val="af"/>
        <w:numPr>
          <w:ilvl w:val="0"/>
          <w:numId w:val="2"/>
        </w:numPr>
        <w:spacing w:before="0" w:after="0" w:line="360" w:lineRule="auto"/>
        <w:ind w:left="509" w:hanging="567"/>
        <w:jc w:val="both"/>
        <w:rPr>
          <w:rFonts w:ascii="David" w:hAnsi="David"/>
          <w:rtl/>
        </w:rPr>
      </w:pPr>
      <w:r>
        <w:rPr>
          <w:rFonts w:ascii="David" w:hAnsi="David"/>
          <w:b/>
          <w:bCs/>
          <w:rtl/>
        </w:rPr>
        <w:t>ועניין נוסף שראוי לתת עליו את הדעת</w:t>
      </w:r>
      <w:r>
        <w:rPr>
          <w:rFonts w:ascii="David" w:hAnsi="David"/>
          <w:rtl/>
        </w:rPr>
        <w:t xml:space="preserve"> – כפי שכבר נאמר, לבקשת עו"ד קוק בהערותיה הראשונות לסיכום 1.2.2021, כהן העבירה למשביר בדוא"ל מיום 3.2.2021 טבלת הנחות עדכנית; את הטבלה האמורה בלבד, ולא את סיכום הדיון כולו. בנסיבות אלה נעדרו מדוא"ל זה של כהן </w:t>
      </w:r>
      <w:r>
        <w:rPr>
          <w:rFonts w:ascii="David" w:hAnsi="David"/>
          <w:b/>
          <w:bCs/>
          <w:rtl/>
        </w:rPr>
        <w:t>התנאים להנחות</w:t>
      </w:r>
      <w:r>
        <w:rPr>
          <w:rFonts w:ascii="David" w:hAnsi="David"/>
          <w:rtl/>
        </w:rPr>
        <w:t xml:space="preserve"> שבסיכום 1.2.2021. </w:t>
      </w:r>
      <w:r w:rsidRPr="00CF29D9">
        <w:rPr>
          <w:rFonts w:ascii="David" w:hAnsi="David"/>
          <w:b/>
          <w:bCs/>
          <w:rtl/>
        </w:rPr>
        <w:t>בכתב ההגנה עשתה המשביר שימוש בטבלת ההנחות במנותק מסיכום 1.2.2021 שבגדרו היא באה</w:t>
      </w:r>
      <w:r>
        <w:rPr>
          <w:rFonts w:ascii="David" w:hAnsi="David"/>
          <w:rtl/>
        </w:rPr>
        <w:t xml:space="preserve">. </w:t>
      </w:r>
      <w:r w:rsidR="00CF29D9">
        <w:rPr>
          <w:rFonts w:ascii="David" w:hAnsi="David" w:hint="cs"/>
          <w:rtl/>
        </w:rPr>
        <w:t>יתר על כן, בכתב ההגנה של המשביר לא נזכרו כלל התנאים להנחות שבסיכום 1.2.2021 ולא צורפו לכתב ההגנה</w:t>
      </w:r>
      <w:r>
        <w:rPr>
          <w:rFonts w:ascii="David" w:hAnsi="David"/>
          <w:rtl/>
        </w:rPr>
        <w:t xml:space="preserve">, כאילו הטבלה עומדת בפני עצמה. כזכור, המשביר טענה בכתב ההגנה שטבלת ההנחות לבדה, ערומה מכל תנאי, מגלמת את ההסכמות המחייבות. סבורני שהדבר </w:t>
      </w:r>
      <w:r w:rsidR="00CF29D9">
        <w:rPr>
          <w:rFonts w:ascii="David" w:hAnsi="David" w:hint="cs"/>
          <w:rtl/>
        </w:rPr>
        <w:t xml:space="preserve">עולה </w:t>
      </w:r>
      <w:r>
        <w:rPr>
          <w:rFonts w:ascii="David" w:hAnsi="David"/>
          <w:rtl/>
        </w:rPr>
        <w:t xml:space="preserve">כדי </w:t>
      </w:r>
      <w:r>
        <w:rPr>
          <w:rFonts w:ascii="David" w:hAnsi="David"/>
          <w:b/>
          <w:bCs/>
          <w:rtl/>
        </w:rPr>
        <w:t>שימוש לא הוגן במסמכים במסגרת כתב ההגנה</w:t>
      </w:r>
      <w:r>
        <w:rPr>
          <w:rFonts w:ascii="David" w:hAnsi="David"/>
          <w:rtl/>
        </w:rPr>
        <w:t>, בניגוד לחובות בעלי הדין שעוגנו גם בתקנה 3(ב) לתקנות סדר הדין האזרחי, תשע"ט-2018 (</w:t>
      </w:r>
      <w:r>
        <w:rPr>
          <w:rFonts w:ascii="David" w:hAnsi="David"/>
          <w:b/>
          <w:bCs/>
          <w:rtl/>
        </w:rPr>
        <w:t>התקנות</w:t>
      </w:r>
      <w:r>
        <w:rPr>
          <w:rFonts w:ascii="David" w:hAnsi="David"/>
          <w:rtl/>
        </w:rPr>
        <w:t xml:space="preserve">). נדמה הדבר כניסיון (לא מוצלח) לבסס בדיעבד, במסגרת כתב ההגנה, את הטענה להסכמות מחייבות בדבר מתן הנחות למשביר בדמי השכירות, </w:t>
      </w:r>
      <w:r>
        <w:rPr>
          <w:rFonts w:ascii="David" w:hAnsi="David"/>
          <w:b/>
          <w:bCs/>
          <w:rtl/>
        </w:rPr>
        <w:t>בהתעלם מהתנאים להנח</w:t>
      </w:r>
      <w:r w:rsidR="00CF29D9">
        <w:rPr>
          <w:rFonts w:ascii="David" w:hAnsi="David" w:hint="cs"/>
          <w:b/>
          <w:bCs/>
          <w:rtl/>
        </w:rPr>
        <w:t>ות</w:t>
      </w:r>
      <w:r>
        <w:rPr>
          <w:rFonts w:ascii="David" w:hAnsi="David"/>
          <w:b/>
          <w:bCs/>
          <w:rtl/>
        </w:rPr>
        <w:t xml:space="preserve"> שבסיכום</w:t>
      </w:r>
      <w:r>
        <w:rPr>
          <w:rFonts w:ascii="David" w:hAnsi="David"/>
          <w:rtl/>
        </w:rPr>
        <w:t xml:space="preserve">. לא אוסיף עוד, שכן המשביר שינתה טעמה </w:t>
      </w:r>
      <w:r>
        <w:rPr>
          <w:rFonts w:ascii="David" w:hAnsi="David"/>
          <w:rtl/>
        </w:rPr>
        <w:lastRenderedPageBreak/>
        <w:t>ובהמשך הדרך לא טענה שטבלת ההנחות מיום 3.2.2021 היא ההסכם המחייב (כי אם סיכום 25.2.2021 שבו עוד ידובר), אך דומה כי ניתן לומר שהתנהלות זו אינה תורמת בנסיבות העניין למהימנות גרסת המשביר שלפיה נכרת בין הצדדים הסכם מחייב בדמות סיכום 25.2.2021 (ובכלל).</w:t>
      </w:r>
    </w:p>
    <w:p w:rsidR="00CD2861" w:rsidRDefault="00CD2861" w:rsidP="00CD2861">
      <w:pPr>
        <w:jc w:val="both"/>
        <w:rPr>
          <w:rFonts w:ascii="David" w:hAnsi="David"/>
          <w:u w:val="single"/>
          <w:rtl/>
        </w:rPr>
      </w:pPr>
    </w:p>
    <w:p w:rsidR="00CD2861" w:rsidRDefault="00CD2861" w:rsidP="00CD2861">
      <w:pPr>
        <w:spacing w:line="276" w:lineRule="auto"/>
        <w:jc w:val="both"/>
        <w:rPr>
          <w:rFonts w:ascii="David" w:hAnsi="David"/>
          <w:u w:val="single"/>
          <w:rtl/>
        </w:rPr>
      </w:pPr>
      <w:r>
        <w:rPr>
          <w:rFonts w:ascii="David" w:hAnsi="David"/>
          <w:u w:val="single"/>
          <w:rtl/>
        </w:rPr>
        <w:br/>
      </w:r>
      <w:r>
        <w:rPr>
          <w:rFonts w:ascii="David" w:hAnsi="David"/>
          <w:b/>
          <w:bCs/>
          <w:rtl/>
        </w:rPr>
        <w:t>ב.4</w:t>
      </w:r>
      <w:r>
        <w:rPr>
          <w:rFonts w:ascii="David" w:hAnsi="David"/>
          <w:rtl/>
        </w:rPr>
        <w:t xml:space="preserve">. </w:t>
      </w:r>
      <w:r>
        <w:rPr>
          <w:rFonts w:ascii="David" w:hAnsi="David"/>
          <w:b/>
          <w:bCs/>
          <w:u w:val="single"/>
          <w:rtl/>
        </w:rPr>
        <w:t>הערות עו"ד קוק מיום 15.2.2021 לסיכום 1.2.2021 (הערות המשביר מיום 15.2.2021</w:t>
      </w:r>
      <w:r>
        <w:rPr>
          <w:rFonts w:ascii="David" w:hAnsi="David"/>
          <w:u w:val="single"/>
          <w:rtl/>
        </w:rPr>
        <w:t>)</w:t>
      </w:r>
      <w:r>
        <w:rPr>
          <w:rFonts w:ascii="David" w:hAnsi="David"/>
          <w:rtl/>
        </w:rPr>
        <w:t xml:space="preserve">  </w:t>
      </w:r>
      <w:r>
        <w:rPr>
          <w:rFonts w:ascii="David" w:hAnsi="David"/>
          <w:rtl/>
        </w:rPr>
        <w:tab/>
      </w:r>
      <w:r>
        <w:rPr>
          <w:rFonts w:ascii="David" w:hAnsi="David"/>
          <w:u w:val="single"/>
          <w:rtl/>
        </w:rPr>
        <w:br/>
      </w:r>
      <w:r>
        <w:rPr>
          <w:rFonts w:ascii="David" w:hAnsi="David"/>
          <w:rtl/>
        </w:rPr>
        <w:t>(נספח 29 לעו"ד קוק או נספח 16 לכהן)</w:t>
      </w:r>
    </w:p>
    <w:p w:rsidR="00CD2861" w:rsidRDefault="00CD2861" w:rsidP="00CD2861">
      <w:pPr>
        <w:spacing w:line="276" w:lineRule="auto"/>
        <w:jc w:val="both"/>
        <w:rPr>
          <w:rFonts w:ascii="David" w:hAnsi="David"/>
          <w:u w:val="single"/>
          <w:rtl/>
        </w:rPr>
      </w:pPr>
    </w:p>
    <w:p w:rsidR="00CD2861" w:rsidRDefault="00CD2861" w:rsidP="00303A9C">
      <w:pPr>
        <w:pStyle w:val="af"/>
        <w:numPr>
          <w:ilvl w:val="0"/>
          <w:numId w:val="2"/>
        </w:numPr>
        <w:spacing w:before="0" w:after="0" w:line="360" w:lineRule="auto"/>
        <w:ind w:left="509" w:hanging="567"/>
        <w:jc w:val="both"/>
        <w:rPr>
          <w:rFonts w:ascii="David" w:hAnsi="David"/>
          <w:b/>
          <w:bCs/>
          <w:rtl/>
        </w:rPr>
      </w:pPr>
      <w:r>
        <w:rPr>
          <w:rFonts w:ascii="David" w:hAnsi="David"/>
          <w:rtl/>
        </w:rPr>
        <w:t>בדוא"ל מיום 15.2.2021 הוסיפה עו"ד קוק והעירה לתנאים להנחות שבראש סיכום 1.2.2021 (</w:t>
      </w:r>
      <w:r>
        <w:rPr>
          <w:rFonts w:ascii="David" w:hAnsi="David"/>
          <w:b/>
          <w:bCs/>
          <w:rtl/>
        </w:rPr>
        <w:t>הערות המשביר מיום 15.2.2021</w:t>
      </w:r>
      <w:r>
        <w:rPr>
          <w:rFonts w:ascii="David" w:hAnsi="David"/>
          <w:rtl/>
        </w:rPr>
        <w:t xml:space="preserve">). בין השאר, ביקשה </w:t>
      </w:r>
      <w:r>
        <w:rPr>
          <w:rFonts w:ascii="David" w:hAnsi="David"/>
          <w:u w:val="single"/>
          <w:rtl/>
        </w:rPr>
        <w:t>למחוק</w:t>
      </w:r>
      <w:r>
        <w:rPr>
          <w:rFonts w:ascii="David" w:hAnsi="David"/>
          <w:rtl/>
        </w:rPr>
        <w:t xml:space="preserve"> את תנאי הוויתור. התבקש למחוק גם את ההתייחסות לחוב ינואר-פברואר 2021 (בהמשך לבקשה לדון בשנת 2021 בנפרד). באשר לקופונים שבתמורה להנחה במרץ 2021 – ביקשה המשביר להוסיף בסיפא כי יועברו לשיווק: "</w:t>
      </w:r>
      <w:r>
        <w:rPr>
          <w:rFonts w:ascii="David" w:hAnsi="David"/>
          <w:b/>
          <w:bCs/>
          <w:rtl/>
        </w:rPr>
        <w:t>עם סיום הסגר</w:t>
      </w:r>
      <w:r>
        <w:rPr>
          <w:rFonts w:ascii="David" w:hAnsi="David"/>
          <w:rtl/>
        </w:rPr>
        <w:t xml:space="preserve">". </w:t>
      </w:r>
      <w:r>
        <w:rPr>
          <w:rFonts w:ascii="David" w:hAnsi="David"/>
          <w:rtl/>
        </w:rPr>
        <w:tab/>
      </w:r>
      <w:r>
        <w:rPr>
          <w:rFonts w:ascii="David" w:hAnsi="David"/>
          <w:rtl/>
        </w:rPr>
        <w:br/>
      </w:r>
      <w:r>
        <w:rPr>
          <w:rFonts w:ascii="David" w:hAnsi="David"/>
          <w:b/>
          <w:bCs/>
          <w:rtl/>
        </w:rPr>
        <w:br/>
        <w:t xml:space="preserve">עולה, אפוא, מהערות המשביר מיום 15.2.2021, כי בשלב זה של לוח הזמנים, </w:t>
      </w:r>
      <w:r w:rsidR="00303A9C">
        <w:rPr>
          <w:rFonts w:ascii="David" w:hAnsi="David" w:hint="cs"/>
          <w:b/>
          <w:bCs/>
          <w:rtl/>
        </w:rPr>
        <w:t xml:space="preserve">לא הייתה </w:t>
      </w:r>
      <w:r>
        <w:rPr>
          <w:rFonts w:ascii="David" w:hAnsi="David"/>
          <w:b/>
          <w:bCs/>
          <w:rtl/>
        </w:rPr>
        <w:t>הסכמה בין הצדדים לגבי התנאים למתן הנחות ו</w:t>
      </w:r>
      <w:r w:rsidR="00303A9C">
        <w:rPr>
          <w:rFonts w:ascii="David" w:hAnsi="David" w:hint="cs"/>
          <w:b/>
          <w:bCs/>
          <w:rtl/>
        </w:rPr>
        <w:t xml:space="preserve">לא הייתה </w:t>
      </w:r>
      <w:r>
        <w:rPr>
          <w:rFonts w:ascii="David" w:hAnsi="David"/>
          <w:b/>
          <w:bCs/>
          <w:rtl/>
        </w:rPr>
        <w:t>הסכמה של המשביר לתנאי הוויתור.</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 xml:space="preserve">כך עולה גם מתצהירי המשביר, שלפיהם ההסכמות שגובשו לא כללו הסכמה לתנאי הוויתור, והמשביר התנגדה לתנאי זה. בלשון עו"ד קוק, </w:t>
      </w:r>
      <w:r>
        <w:rPr>
          <w:rFonts w:ascii="David" w:hAnsi="David"/>
          <w:b/>
          <w:bCs/>
          <w:rtl/>
        </w:rPr>
        <w:t xml:space="preserve">מדובר ב"עניין [ש]כלל לא נדון </w:t>
      </w:r>
      <w:r>
        <w:rPr>
          <w:rFonts w:ascii="David" w:hAnsi="David"/>
          <w:rtl/>
        </w:rPr>
        <w:t>[בפגישה מיום 28.1.2021]</w:t>
      </w:r>
      <w:r>
        <w:rPr>
          <w:rFonts w:ascii="David" w:hAnsi="David"/>
          <w:b/>
          <w:bCs/>
          <w:rtl/>
        </w:rPr>
        <w:t xml:space="preserve"> ובוודאי לא יכול היה אפוא להיות תנאי" </w:t>
      </w:r>
      <w:r>
        <w:rPr>
          <w:rFonts w:ascii="David" w:hAnsi="David"/>
          <w:rtl/>
        </w:rPr>
        <w:t>(סעיף 69. ראו גם סעיף 64 לתצהיר שלפיו "</w:t>
      </w:r>
      <w:r>
        <w:rPr>
          <w:rFonts w:ascii="David" w:hAnsi="David"/>
          <w:b/>
          <w:bCs/>
          <w:rtl/>
        </w:rPr>
        <w:t>לא נדון כלל גם הוויתור של המשביר על טענת גביית היתר בשל חסר השטחים</w:t>
      </w:r>
      <w:r>
        <w:rPr>
          <w:rFonts w:ascii="David" w:hAnsi="David"/>
          <w:rtl/>
        </w:rPr>
        <w:t>"). חסאן הצהיר אף הוא כי</w:t>
      </w:r>
      <w:r>
        <w:rPr>
          <w:rFonts w:ascii="David" w:hAnsi="David"/>
          <w:b/>
          <w:bCs/>
          <w:rtl/>
        </w:rPr>
        <w:t xml:space="preserve"> </w:t>
      </w:r>
      <w:r>
        <w:rPr>
          <w:rFonts w:ascii="David" w:hAnsi="David"/>
          <w:rtl/>
        </w:rPr>
        <w:t>לאחר מסירת השיקים, "</w:t>
      </w:r>
      <w:r>
        <w:rPr>
          <w:rFonts w:ascii="David" w:hAnsi="David"/>
          <w:b/>
          <w:bCs/>
          <w:rtl/>
        </w:rPr>
        <w:t>העבירה עו"ד קוק את דיוקיה לסיכום הפגישה, שבעיקרם כללו הסרת הוויתור על טענת השטח, שלא היה ולא נברא"</w:t>
      </w:r>
      <w:r>
        <w:rPr>
          <w:rFonts w:ascii="David" w:hAnsi="David"/>
          <w:rtl/>
        </w:rPr>
        <w:t xml:space="preserve"> (סעיף 79).</w:t>
      </w:r>
    </w:p>
    <w:p w:rsidR="00CD2861" w:rsidRDefault="00CD2861" w:rsidP="00CD2861">
      <w:pPr>
        <w:spacing w:line="360" w:lineRule="auto"/>
        <w:jc w:val="both"/>
        <w:rPr>
          <w:rFonts w:ascii="David" w:hAnsi="David"/>
          <w:b/>
          <w:bCs/>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b/>
          <w:bCs/>
          <w:rtl/>
        </w:rPr>
        <w:t xml:space="preserve">ודוק: </w:t>
      </w:r>
      <w:r>
        <w:rPr>
          <w:rFonts w:ascii="David" w:hAnsi="David"/>
          <w:rtl/>
        </w:rPr>
        <w:t xml:space="preserve">לפי תצהיר עו"ד קוק, בשלב זה </w:t>
      </w:r>
      <w:r>
        <w:rPr>
          <w:rFonts w:eastAsia="Calibri"/>
          <w:rtl/>
        </w:rPr>
        <w:t>–</w:t>
      </w:r>
      <w:r>
        <w:rPr>
          <w:rFonts w:ascii="David" w:hAnsi="David"/>
          <w:rtl/>
        </w:rPr>
        <w:t xml:space="preserve"> עם העברת הערותיה מיום 15.2.2021 לסיכום 1.2.2021</w:t>
      </w:r>
      <w:r>
        <w:rPr>
          <w:rFonts w:eastAsia="Calibri"/>
          <w:rtl/>
        </w:rPr>
        <w:t xml:space="preserve"> – </w:t>
      </w:r>
      <w:r>
        <w:rPr>
          <w:rFonts w:ascii="David" w:hAnsi="David"/>
          <w:rtl/>
        </w:rPr>
        <w:t xml:space="preserve">התגבשה סופית ההסכמה המחייבת בין הצדדים ביחס להנחות בדמי שכירות למשביר; ולאחר מכן, אין דבר מלבד קיום ההסכמות הנטענות וחזרתה של התובעת מהן לאחר שקוימו. על פי תצהירה של עו"ד קוק, ההסכמות שגיבשו הצדדים בפגישה מיום 28.1.2021 הועלו על הכתב בסיכום הפגישה מיום 1.2.2021 (סעיף 65 לתצהיר ונספח 25 לו); וסיכום 1.2.2021 מעגן את ההסכמות המחייבות, בכפוף לתיקון טבלת ההנחות על פי בקשתה מיום 3.2.2021 ובכפוף להערותיה מיום 15.2.2021, שחתמו את העניין (סעיף 66, סעיף 69 שם ונספח 29, בהתאמה) (וראו גם חסאן שדבריו צוטטו לעיל). על מנת לסבר את האוזן אביא הדברים מתצהירה של עו"ד קוק: </w:t>
      </w:r>
    </w:p>
    <w:p w:rsidR="00CD2861" w:rsidRDefault="00CD2861" w:rsidP="00CD2861">
      <w:pPr>
        <w:pStyle w:val="af"/>
        <w:rPr>
          <w:rFonts w:ascii="David" w:hAnsi="David"/>
        </w:rPr>
      </w:pPr>
    </w:p>
    <w:p w:rsidR="00CD2861" w:rsidRDefault="00CD2861" w:rsidP="00CD2861">
      <w:pPr>
        <w:spacing w:line="276" w:lineRule="auto"/>
        <w:ind w:left="1076" w:right="851"/>
        <w:jc w:val="both"/>
        <w:rPr>
          <w:rFonts w:ascii="David" w:hAnsi="David"/>
          <w:rtl/>
        </w:rPr>
      </w:pPr>
      <w:r>
        <w:rPr>
          <w:rFonts w:ascii="David" w:hAnsi="David"/>
          <w:rtl/>
        </w:rPr>
        <w:lastRenderedPageBreak/>
        <w:t xml:space="preserve">"69. </w:t>
      </w:r>
      <w:r>
        <w:rPr>
          <w:rFonts w:ascii="David" w:hAnsi="David"/>
          <w:b/>
          <w:bCs/>
          <w:rtl/>
        </w:rPr>
        <w:t>לבקשת גב' כהן לאשר את סיכום הפגישה, ביום 15/2/2021 שלחתי את התייחסותי, אשר כללה בעיקר שתי הערות מהותיות: האחת, שהתשלומים עבור 2021 לא ישולמו מיידית (שכן כאמור, דובר על סיום הסגר) והשניה, ביחס להכפפת ההסדר לוויתור מצד המשביר על טענותיה לגביית יתר – עניין שכלל לא נדון ובוודאי לא יכול היה אפוא להיות תנאי</w:t>
      </w:r>
      <w:r>
        <w:rPr>
          <w:rFonts w:ascii="David" w:hAnsi="David"/>
          <w:rtl/>
        </w:rPr>
        <w:t>.</w:t>
      </w:r>
      <w:r>
        <w:rPr>
          <w:rFonts w:ascii="David" w:hAnsi="David"/>
          <w:rtl/>
        </w:rPr>
        <w:br/>
      </w:r>
      <w:r>
        <w:rPr>
          <w:rFonts w:ascii="David" w:hAnsi="David"/>
          <w:rtl/>
        </w:rPr>
        <w:br/>
        <w:t>70.</w:t>
      </w:r>
      <w:r>
        <w:rPr>
          <w:rFonts w:ascii="David" w:hAnsi="David"/>
          <w:b/>
          <w:bCs/>
          <w:rtl/>
        </w:rPr>
        <w:t xml:space="preserve"> והנה, רק לאחר שהמשביר קיימה את חלקה בהסכם, לפתע, חזרו על דרישתם לחתום על תוספת להסכם שתאפשר את גמישות הפינוי וויתור על טענות גביית היתר. כך, למעשה, חזרו בהן הנתבעות שכנגד מההסכמות שגובשו (וקוימו</w:t>
      </w:r>
      <w:r>
        <w:rPr>
          <w:rFonts w:ascii="David" w:hAnsi="David"/>
          <w:rtl/>
        </w:rPr>
        <w:t xml:space="preserve">)." </w:t>
      </w:r>
    </w:p>
    <w:p w:rsidR="00CD2861" w:rsidRDefault="00CD2861" w:rsidP="00CD2861">
      <w:pPr>
        <w:pStyle w:val="af"/>
        <w:rPr>
          <w:rFonts w:ascii="David" w:hAnsi="David"/>
        </w:rPr>
      </w:pPr>
    </w:p>
    <w:p w:rsidR="00CD2861" w:rsidRDefault="00CD2861" w:rsidP="00303A9C">
      <w:pPr>
        <w:spacing w:line="360" w:lineRule="auto"/>
        <w:ind w:left="509"/>
        <w:jc w:val="both"/>
        <w:rPr>
          <w:rFonts w:ascii="David" w:hAnsi="David"/>
          <w:rtl/>
        </w:rPr>
      </w:pPr>
      <w:r>
        <w:rPr>
          <w:rFonts w:ascii="David" w:hAnsi="David"/>
          <w:rtl/>
        </w:rPr>
        <w:t>קיום חלקה של המשביר בהסכם על פי התצהיר, הוא העברת ההמחאות והקופונים לפי טבלת ההנחות שהוצאו כנגדם חשבוניות זיכוי (סעיפים 67-68). וחזרת ה</w:t>
      </w:r>
      <w:r w:rsidR="00303A9C">
        <w:rPr>
          <w:rFonts w:ascii="David" w:hAnsi="David" w:hint="cs"/>
          <w:rtl/>
        </w:rPr>
        <w:t>תובעת</w:t>
      </w:r>
      <w:r>
        <w:rPr>
          <w:rFonts w:ascii="David" w:hAnsi="David"/>
          <w:rtl/>
        </w:rPr>
        <w:t xml:space="preserve"> מההסכמות, מהי? -  סעיף 70 הנ"ל מלמד כי הדרישה לוותר על הטענה לגביית יתר, מהווה אף היא, לפי הטענה, חזרה מן ההסכמות המחייבות שגובשו וקוימו.</w:t>
      </w:r>
      <w:r w:rsidR="00303A9C">
        <w:rPr>
          <w:rFonts w:ascii="David" w:hAnsi="David" w:hint="cs"/>
          <w:rtl/>
        </w:rPr>
        <w:t xml:space="preserve"> </w:t>
      </w:r>
      <w:r>
        <w:rPr>
          <w:rFonts w:ascii="David" w:hAnsi="David"/>
          <w:rtl/>
        </w:rPr>
        <w:t xml:space="preserve">כך גם תוארו הדברים </w:t>
      </w:r>
      <w:r>
        <w:rPr>
          <w:rFonts w:ascii="David" w:hAnsi="David"/>
          <w:b/>
          <w:bCs/>
          <w:rtl/>
        </w:rPr>
        <w:t>בתצהירו של חסאן</w:t>
      </w:r>
      <w:r>
        <w:rPr>
          <w:rFonts w:ascii="David" w:hAnsi="David"/>
          <w:rtl/>
        </w:rPr>
        <w:t xml:space="preserve"> (ראו במיוחד סעיפים 79-80).</w:t>
      </w:r>
    </w:p>
    <w:p w:rsidR="00CD2861" w:rsidRDefault="00CD2861" w:rsidP="00CD2861">
      <w:pPr>
        <w:spacing w:line="360" w:lineRule="auto"/>
        <w:ind w:left="509"/>
        <w:jc w:val="both"/>
        <w:rPr>
          <w:rFonts w:ascii="David" w:hAnsi="David"/>
          <w:rtl/>
        </w:rPr>
      </w:pPr>
    </w:p>
    <w:p w:rsidR="00CD2861" w:rsidRDefault="00CD2861" w:rsidP="00CD2861">
      <w:pPr>
        <w:pStyle w:val="af"/>
        <w:numPr>
          <w:ilvl w:val="0"/>
          <w:numId w:val="2"/>
        </w:numPr>
        <w:spacing w:before="0" w:after="0" w:line="360" w:lineRule="auto"/>
        <w:ind w:left="509" w:hanging="567"/>
        <w:jc w:val="both"/>
        <w:rPr>
          <w:rFonts w:ascii="David" w:hAnsi="David"/>
          <w:b/>
          <w:bCs/>
        </w:rPr>
      </w:pPr>
      <w:r>
        <w:rPr>
          <w:rFonts w:ascii="David" w:hAnsi="David"/>
          <w:b/>
          <w:bCs/>
          <w:rtl/>
        </w:rPr>
        <w:t>ועוד</w:t>
      </w:r>
      <w:r>
        <w:rPr>
          <w:rFonts w:ascii="David" w:hAnsi="David"/>
          <w:rtl/>
        </w:rPr>
        <w:t>: כאמור, מסמך ההערות מיום 15.2.2021 הוא המסמך האחרון שלו התייחסה עו"ד קוק בתצהירה, והמסמך האחרון שצורף לו (נספח 29). אין כל אזכור או התייחסות למסמכים מאוחרים יותר, כגון נוסח סיכום אותה פגישה מיום 25.2.2021. זאת, על אף שלפי גרסת עדי המשביר בחקירות הנגדיות ובסיכומיה, הטענה היא שסיכום 25.2.2021 הוא זה שמגלם את ההסכמות המחייבות (ולא סיכום 1.2.2021 עם "דיוקיה" של עו</w:t>
      </w:r>
      <w:r w:rsidR="00303A9C">
        <w:rPr>
          <w:rFonts w:ascii="David" w:hAnsi="David" w:hint="cs"/>
          <w:rtl/>
        </w:rPr>
        <w:t>"</w:t>
      </w:r>
      <w:r>
        <w:rPr>
          <w:rFonts w:ascii="David" w:hAnsi="David"/>
          <w:rtl/>
        </w:rPr>
        <w:t>ד קוק). אין גם התייחסות להתפתחות נוספת כלשהי בהסכמות המחייבות לאחר 15.2.2021 ואין בתצהיר עיגון לטענת המשביר בחקירות ובסיכומים, כי לאחר סיכום 25.2.2021 הסכימה המשביר לתנאי הוויתור.</w:t>
      </w:r>
    </w:p>
    <w:p w:rsidR="00CD2861" w:rsidRDefault="00CD2861" w:rsidP="00CD2861">
      <w:pPr>
        <w:spacing w:line="360" w:lineRule="auto"/>
        <w:jc w:val="both"/>
        <w:rPr>
          <w:rFonts w:ascii="David" w:hAnsi="David"/>
          <w:b/>
          <w:bCs/>
          <w:rtl/>
        </w:rPr>
      </w:pPr>
    </w:p>
    <w:p w:rsidR="00CD2861" w:rsidRDefault="00CD2861" w:rsidP="00303A9C">
      <w:pPr>
        <w:pStyle w:val="af"/>
        <w:numPr>
          <w:ilvl w:val="0"/>
          <w:numId w:val="2"/>
        </w:numPr>
        <w:spacing w:before="0" w:after="0" w:line="360" w:lineRule="auto"/>
        <w:ind w:left="509" w:hanging="567"/>
        <w:jc w:val="both"/>
        <w:rPr>
          <w:rFonts w:ascii="David" w:hAnsi="David"/>
        </w:rPr>
      </w:pPr>
      <w:r>
        <w:rPr>
          <w:rFonts w:ascii="David" w:hAnsi="David"/>
          <w:b/>
          <w:bCs/>
          <w:u w:val="single"/>
          <w:rtl/>
        </w:rPr>
        <w:t>סיכום ביניים ומסקנות: גרסת המשביר וטענותיה על פי התצהירים מטעמה</w:t>
      </w:r>
      <w:r>
        <w:rPr>
          <w:rFonts w:ascii="David" w:hAnsi="David"/>
          <w:rtl/>
        </w:rPr>
        <w:tab/>
      </w:r>
      <w:r>
        <w:rPr>
          <w:rFonts w:ascii="David" w:hAnsi="David"/>
          <w:b/>
          <w:bCs/>
          <w:rtl/>
        </w:rPr>
        <w:br/>
      </w:r>
      <w:r>
        <w:rPr>
          <w:rFonts w:ascii="David" w:hAnsi="David"/>
          <w:rtl/>
        </w:rPr>
        <w:t>(1)</w:t>
      </w:r>
      <w:r>
        <w:rPr>
          <w:rFonts w:ascii="David" w:hAnsi="David"/>
          <w:b/>
          <w:bCs/>
        </w:rPr>
        <w:t xml:space="preserve"> </w:t>
      </w:r>
      <w:r>
        <w:rPr>
          <w:rFonts w:ascii="David" w:hAnsi="David"/>
          <w:rtl/>
        </w:rPr>
        <w:t>לשיטת המשביר בתצהיריה,</w:t>
      </w:r>
      <w:r>
        <w:rPr>
          <w:rFonts w:ascii="David" w:hAnsi="David"/>
          <w:b/>
          <w:bCs/>
          <w:rtl/>
        </w:rPr>
        <w:t xml:space="preserve"> סיכום 1.2.2021 עם טבלת ההנחות המתוקנת מיום 3.2.2021, ובצירוף הערות המשביר מיום 15.2.2021</w:t>
      </w:r>
      <w:r>
        <w:rPr>
          <w:rFonts w:ascii="David" w:hAnsi="David"/>
          <w:rtl/>
        </w:rPr>
        <w:t xml:space="preserve"> – שלושת אלה יחדיו – מעגנים את ההסכמות בין הצדדים, ומהווים הסכם מחייב. </w:t>
      </w:r>
      <w:r>
        <w:rPr>
          <w:rFonts w:ascii="David" w:hAnsi="David"/>
          <w:rtl/>
        </w:rPr>
        <w:tab/>
      </w:r>
      <w:r>
        <w:rPr>
          <w:rFonts w:ascii="David" w:hAnsi="David"/>
          <w:rtl/>
        </w:rPr>
        <w:br/>
        <w:t xml:space="preserve">(2) על פי תצהירי המשביר, המסמך האחרון בתהליך גיבוש ההסכם המחייב, הוא הערות המשביר מיום 15.2.2021. </w:t>
      </w:r>
      <w:r>
        <w:rPr>
          <w:rFonts w:ascii="David" w:hAnsi="David"/>
          <w:b/>
          <w:bCs/>
          <w:rtl/>
        </w:rPr>
        <w:t>אין בתצהירי</w:t>
      </w:r>
      <w:r w:rsidR="00303A9C">
        <w:rPr>
          <w:rFonts w:ascii="David" w:hAnsi="David" w:hint="cs"/>
          <w:b/>
          <w:bCs/>
          <w:rtl/>
        </w:rPr>
        <w:t xml:space="preserve"> </w:t>
      </w:r>
      <w:r>
        <w:rPr>
          <w:rFonts w:ascii="David" w:hAnsi="David"/>
          <w:b/>
          <w:bCs/>
          <w:rtl/>
        </w:rPr>
        <w:t>ה</w:t>
      </w:r>
      <w:r w:rsidR="00303A9C">
        <w:rPr>
          <w:rFonts w:ascii="David" w:hAnsi="David" w:hint="cs"/>
          <w:b/>
          <w:bCs/>
          <w:rtl/>
        </w:rPr>
        <w:t>משביר</w:t>
      </w:r>
      <w:r>
        <w:rPr>
          <w:rFonts w:ascii="David" w:hAnsi="David"/>
          <w:b/>
          <w:bCs/>
          <w:rtl/>
        </w:rPr>
        <w:t xml:space="preserve"> כל אזכור או התייחסות לסיכום 25.2.2021 </w:t>
      </w:r>
      <w:r>
        <w:rPr>
          <w:rFonts w:ascii="David" w:hAnsi="David"/>
          <w:rtl/>
        </w:rPr>
        <w:t xml:space="preserve">של הפגישה מיום 28.1.2021. לפי </w:t>
      </w:r>
      <w:r w:rsidR="00303A9C">
        <w:rPr>
          <w:rFonts w:ascii="David" w:hAnsi="David" w:hint="cs"/>
          <w:rtl/>
        </w:rPr>
        <w:t>הנטען</w:t>
      </w:r>
      <w:r>
        <w:rPr>
          <w:rFonts w:ascii="David" w:hAnsi="David"/>
          <w:rtl/>
        </w:rPr>
        <w:t>, לאחר ההערות הנ"ל, ההסכמות קוימו ואז חזרה בה התובעת מהן בכך שדרשה לחתום על תוספת להסכם הכוללת את שני התנאים.</w:t>
      </w:r>
      <w:r>
        <w:rPr>
          <w:rFonts w:ascii="David" w:hAnsi="David"/>
          <w:rtl/>
        </w:rPr>
        <w:br/>
        <w:t xml:space="preserve">(3) על פי הערות המשביר מיום 15.2.2021 ותצהירי המשביר, ההסכמות שגובשו לא כללו הסכמה לתנאי הוויתור, </w:t>
      </w:r>
      <w:r w:rsidR="00303A9C">
        <w:rPr>
          <w:rFonts w:ascii="David" w:hAnsi="David" w:hint="cs"/>
          <w:rtl/>
        </w:rPr>
        <w:t xml:space="preserve">שכן </w:t>
      </w:r>
      <w:r>
        <w:rPr>
          <w:rFonts w:ascii="David" w:hAnsi="David"/>
          <w:rtl/>
        </w:rPr>
        <w:t>המשביר התנגדה כל העת לתנאי זה; ונטען כי עמידת התובעת עליו מנוגדת להסכמות המחייבות ובבחינת חזרה מהן לאחר שקוימו.</w:t>
      </w:r>
      <w:r>
        <w:rPr>
          <w:rFonts w:ascii="David" w:hAnsi="David"/>
          <w:rtl/>
        </w:rPr>
        <w:tab/>
      </w:r>
      <w:r>
        <w:rPr>
          <w:rFonts w:ascii="David" w:hAnsi="David"/>
          <w:rtl/>
        </w:rPr>
        <w:br/>
      </w:r>
      <w:r>
        <w:rPr>
          <w:rFonts w:ascii="David" w:hAnsi="David"/>
          <w:rtl/>
        </w:rPr>
        <w:lastRenderedPageBreak/>
        <w:t xml:space="preserve">(4) בתצהירי המשביר </w:t>
      </w:r>
      <w:r>
        <w:rPr>
          <w:rFonts w:ascii="David" w:hAnsi="David"/>
          <w:b/>
          <w:bCs/>
          <w:rtl/>
        </w:rPr>
        <w:t>לא נטען שהמשביר הסכימה לתנאי הוויתור בשלב כלשהו שלאחר הערות עו"ד קוק מיום 15.2.2021</w:t>
      </w:r>
      <w:r>
        <w:rPr>
          <w:rFonts w:ascii="David" w:hAnsi="David"/>
          <w:rtl/>
        </w:rPr>
        <w:t>. בוודאי שלא נטען שם כי הסכימו לכך לאחר סיכום 25.2.2021 (שכאמור, לא נזכר כלל בתצהירים), כפי שטענה המשביר בסיכומיה וכגרסת עדיה בחקירות הנגדיות.</w:t>
      </w:r>
      <w:r>
        <w:rPr>
          <w:rFonts w:ascii="David" w:hAnsi="David"/>
          <w:rtl/>
        </w:rPr>
        <w:tab/>
      </w:r>
      <w:r>
        <w:rPr>
          <w:rFonts w:ascii="David" w:hAnsi="David"/>
          <w:rtl/>
        </w:rPr>
        <w:br/>
        <w:t xml:space="preserve">(5) בתצהירי המשביר נטען כי ההסכמות קוימו בהמצאת השיקים והקופונים לפי טבלת ההנחות. </w:t>
      </w:r>
      <w:r>
        <w:rPr>
          <w:rFonts w:ascii="David" w:hAnsi="David"/>
          <w:b/>
          <w:bCs/>
          <w:rtl/>
        </w:rPr>
        <w:t xml:space="preserve">אין טענה שקוים על ידי המשביר גם תנאי הוויתור שבסיכום, </w:t>
      </w:r>
      <w:r>
        <w:rPr>
          <w:rFonts w:ascii="David" w:hAnsi="David"/>
          <w:rtl/>
        </w:rPr>
        <w:t xml:space="preserve">כגרסת עדי המשביר בחקירתם וטענתה בסיכומיה. </w:t>
      </w:r>
    </w:p>
    <w:p w:rsidR="00CD2861" w:rsidRDefault="00CD2861" w:rsidP="00CD2861">
      <w:pPr>
        <w:spacing w:line="360" w:lineRule="auto"/>
        <w:ind w:left="-58"/>
        <w:jc w:val="both"/>
        <w:rPr>
          <w:rFonts w:ascii="David" w:hAnsi="David"/>
        </w:rPr>
      </w:pPr>
      <w:r>
        <w:rPr>
          <w:rFonts w:ascii="David" w:hAnsi="David"/>
          <w:rtl/>
        </w:rPr>
        <w:tab/>
      </w:r>
    </w:p>
    <w:p w:rsidR="00CD2861" w:rsidRDefault="00CD2861" w:rsidP="004C4812">
      <w:pPr>
        <w:pStyle w:val="af"/>
        <w:numPr>
          <w:ilvl w:val="0"/>
          <w:numId w:val="2"/>
        </w:numPr>
        <w:spacing w:before="0" w:after="0" w:line="360" w:lineRule="auto"/>
        <w:ind w:left="509" w:hanging="567"/>
        <w:jc w:val="both"/>
        <w:rPr>
          <w:rFonts w:ascii="David" w:hAnsi="David"/>
        </w:rPr>
      </w:pPr>
      <w:r>
        <w:rPr>
          <w:rFonts w:ascii="David" w:hAnsi="David"/>
          <w:rtl/>
        </w:rPr>
        <w:t>אלא שכאמור, הערות המשביר מיום 15.2.2021 (לסיכום 1.2.2021), אינן השלב האחרון בחייו של סיכום הפגישה שהתקיימה ביום 28.1.2021. לאחר מכן העבירה התובעת למשביר נוסח חדש של סיכום הפגישה, סיכום 25.2.2021 (אשר לא נזכר בכתב ההגנה ובתצהירי המשביר), וזה הפך במהלך שמיעת הראיות ובסיכומי המשביר כמעט לחזות הכל. כפי שנראה, גם בסיכום 25.2.2021 עמדה התובעת על תנאי הוויתור כאחד התנאים להנחות; והמשביר טענה במהלך שמיעת הראיות ובסיכומיה, טענה חדשה ומפתיעה, כי גם לכך הסכימה ותנאי זה קוים. זאת, תוך הרחבת חזית אסורה ובניגוד לטענות בכתב ההגנה ובתצהיר</w:t>
      </w:r>
      <w:r w:rsidR="004C4812">
        <w:rPr>
          <w:rFonts w:ascii="David" w:hAnsi="David" w:hint="cs"/>
          <w:rtl/>
        </w:rPr>
        <w:t>י המשביר</w:t>
      </w:r>
      <w:r>
        <w:rPr>
          <w:rFonts w:ascii="David" w:hAnsi="David"/>
          <w:rtl/>
        </w:rPr>
        <w:t>. אעמוד על כך בפירוט במסגרת פרק הדיון ההכרעה. כעת, אשלים את פרישת הראיות שהוגשו והתמונה העולה מהן.</w:t>
      </w:r>
    </w:p>
    <w:p w:rsidR="00CD2861" w:rsidRDefault="00CD2861" w:rsidP="00CD2861">
      <w:pPr>
        <w:jc w:val="both"/>
        <w:rPr>
          <w:rFonts w:ascii="David" w:hAnsi="David"/>
          <w:u w:val="single"/>
          <w:rtl/>
        </w:rPr>
      </w:pPr>
    </w:p>
    <w:p w:rsidR="00CD2861" w:rsidRDefault="00CD2861" w:rsidP="00CD2861">
      <w:pPr>
        <w:jc w:val="both"/>
        <w:rPr>
          <w:rFonts w:ascii="David" w:hAnsi="David"/>
          <w:u w:val="single"/>
          <w:rtl/>
        </w:rPr>
      </w:pPr>
    </w:p>
    <w:p w:rsidR="00CD2861" w:rsidRDefault="00CD2861" w:rsidP="00CD2861">
      <w:pPr>
        <w:spacing w:line="276" w:lineRule="auto"/>
        <w:jc w:val="both"/>
        <w:rPr>
          <w:rFonts w:ascii="David" w:hAnsi="David"/>
          <w:rtl/>
        </w:rPr>
      </w:pPr>
      <w:r>
        <w:rPr>
          <w:rFonts w:ascii="David" w:hAnsi="David"/>
          <w:b/>
          <w:bCs/>
          <w:rtl/>
        </w:rPr>
        <w:t xml:space="preserve"> ב.5. </w:t>
      </w:r>
      <w:r>
        <w:rPr>
          <w:rFonts w:ascii="David" w:hAnsi="David"/>
          <w:b/>
          <w:bCs/>
          <w:u w:val="single"/>
          <w:rtl/>
        </w:rPr>
        <w:t>נוסח סיכום שני לפגישה מיום 28.1.2021 - סיכום מיום 25.2.2021 (סיכום 25.2.2021)</w:t>
      </w:r>
      <w:r>
        <w:rPr>
          <w:rFonts w:ascii="David" w:hAnsi="David"/>
          <w:b/>
          <w:bCs/>
          <w:u w:val="single"/>
          <w:rtl/>
        </w:rPr>
        <w:br/>
      </w:r>
      <w:r>
        <w:rPr>
          <w:rFonts w:ascii="David" w:hAnsi="David"/>
          <w:rtl/>
        </w:rPr>
        <w:t>(כהן, נספח 17).</w:t>
      </w:r>
    </w:p>
    <w:p w:rsidR="00CD2861" w:rsidRDefault="00CD2861" w:rsidP="00CD2861">
      <w:pPr>
        <w:spacing w:line="276" w:lineRule="auto"/>
        <w:jc w:val="both"/>
        <w:rPr>
          <w:rFonts w:ascii="David" w:hAnsi="David"/>
          <w:u w:val="single"/>
          <w:rtl/>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כפי שציינתי, בהמשך להערות המשביר מיום 15.2.201, שלחה כהן נוסח מתוקן הנושא תאריך 25.2.2021 של סיכום הישיבה מיום 28.1.2021. זהו הנוסח: </w:t>
      </w:r>
    </w:p>
    <w:p w:rsidR="00CD2861" w:rsidRDefault="00CD2861" w:rsidP="00CD2861">
      <w:pPr>
        <w:spacing w:line="360" w:lineRule="auto"/>
        <w:jc w:val="both"/>
        <w:rPr>
          <w:rFonts w:ascii="David" w:hAnsi="David"/>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4C4812" w:rsidRDefault="004C4812" w:rsidP="00CD2861">
      <w:pPr>
        <w:spacing w:line="360" w:lineRule="auto"/>
        <w:jc w:val="both"/>
        <w:rPr>
          <w:rFonts w:ascii="David" w:hAnsi="David"/>
          <w:rtl/>
        </w:rPr>
      </w:pPr>
    </w:p>
    <w:p w:rsidR="004C4812" w:rsidRDefault="004C4812" w:rsidP="00CD2861">
      <w:pPr>
        <w:spacing w:line="360" w:lineRule="auto"/>
        <w:jc w:val="both"/>
        <w:rPr>
          <w:rFonts w:ascii="David" w:hAnsi="David"/>
          <w:rtl/>
        </w:rPr>
      </w:pPr>
    </w:p>
    <w:p w:rsidR="004C4812" w:rsidRDefault="004C4812" w:rsidP="00CD2861">
      <w:pPr>
        <w:spacing w:line="360" w:lineRule="auto"/>
        <w:jc w:val="both"/>
        <w:rPr>
          <w:rFonts w:ascii="David" w:hAnsi="David"/>
          <w:rtl/>
        </w:rPr>
      </w:pPr>
    </w:p>
    <w:p w:rsidR="004C4812" w:rsidRDefault="004C4812" w:rsidP="00CD2861">
      <w:pPr>
        <w:spacing w:line="360" w:lineRule="auto"/>
        <w:jc w:val="both"/>
        <w:rPr>
          <w:rFonts w:ascii="David" w:hAnsi="David"/>
          <w:rtl/>
        </w:rPr>
      </w:pPr>
    </w:p>
    <w:p w:rsidR="004C4812" w:rsidRDefault="004C4812" w:rsidP="00CD2861">
      <w:pPr>
        <w:spacing w:line="360" w:lineRule="auto"/>
        <w:jc w:val="both"/>
        <w:rPr>
          <w:rFonts w:ascii="David" w:hAnsi="David"/>
          <w:rtl/>
        </w:rPr>
      </w:pPr>
    </w:p>
    <w:p w:rsidR="004C4812" w:rsidRDefault="004C4812" w:rsidP="00CD2861">
      <w:pPr>
        <w:spacing w:line="360" w:lineRule="auto"/>
        <w:jc w:val="both"/>
        <w:rPr>
          <w:rFonts w:ascii="David" w:hAnsi="David"/>
          <w:rtl/>
        </w:rPr>
      </w:pPr>
    </w:p>
    <w:p w:rsidR="004C4812" w:rsidRDefault="004C4812" w:rsidP="00CD2861">
      <w:pPr>
        <w:spacing w:line="360" w:lineRule="auto"/>
        <w:jc w:val="both"/>
        <w:rPr>
          <w:rFonts w:ascii="David" w:hAnsi="David"/>
          <w:rtl/>
        </w:rPr>
      </w:pPr>
    </w:p>
    <w:p w:rsidR="004C4812" w:rsidRDefault="004C4812" w:rsidP="00CD2861">
      <w:pPr>
        <w:spacing w:line="360" w:lineRule="auto"/>
        <w:jc w:val="both"/>
        <w:rPr>
          <w:rFonts w:ascii="David" w:hAnsi="David"/>
          <w:rtl/>
        </w:rPr>
      </w:pPr>
    </w:p>
    <w:p w:rsidR="004C4812" w:rsidRDefault="004C4812" w:rsidP="00CD2861">
      <w:pPr>
        <w:spacing w:line="360" w:lineRule="auto"/>
        <w:jc w:val="both"/>
        <w:rPr>
          <w:rFonts w:ascii="David" w:hAnsi="David"/>
          <w:rtl/>
        </w:rPr>
      </w:pPr>
    </w:p>
    <w:p w:rsidR="004C4812" w:rsidRDefault="004C4812" w:rsidP="00CD2861">
      <w:pPr>
        <w:spacing w:line="360" w:lineRule="auto"/>
        <w:jc w:val="both"/>
        <w:rPr>
          <w:rFonts w:ascii="David" w:hAnsi="David"/>
          <w:rtl/>
        </w:rPr>
      </w:pPr>
    </w:p>
    <w:p w:rsidR="00CD2861" w:rsidRDefault="00CD2861" w:rsidP="00CD2861">
      <w:pPr>
        <w:spacing w:line="360" w:lineRule="auto"/>
        <w:ind w:left="-58"/>
        <w:jc w:val="both"/>
        <w:rPr>
          <w:rFonts w:ascii="David" w:hAnsi="David"/>
          <w:rtl/>
        </w:rPr>
      </w:pPr>
      <w:r>
        <w:rPr>
          <w:rFonts w:ascii="Garamond" w:hAnsi="Garamond"/>
          <w:rtl/>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132715</wp:posOffset>
                </wp:positionV>
                <wp:extent cx="5248275" cy="4648200"/>
                <wp:effectExtent l="0" t="0" r="28575" b="19050"/>
                <wp:wrapNone/>
                <wp:docPr id="8" name="תיבת טקסט 8"/>
                <wp:cNvGraphicFramePr/>
                <a:graphic xmlns:a="http://schemas.openxmlformats.org/drawingml/2006/main">
                  <a:graphicData uri="http://schemas.microsoft.com/office/word/2010/wordprocessingShape">
                    <wps:wsp>
                      <wps:cNvSpPr txBox="1"/>
                      <wps:spPr>
                        <a:xfrm>
                          <a:off x="0" y="0"/>
                          <a:ext cx="5248275" cy="4648200"/>
                        </a:xfrm>
                        <a:prstGeom prst="rect">
                          <a:avLst/>
                        </a:prstGeom>
                        <a:solidFill>
                          <a:schemeClr val="lt1"/>
                        </a:solidFill>
                        <a:ln w="6350">
                          <a:solidFill>
                            <a:prstClr val="black"/>
                          </a:solidFill>
                        </a:ln>
                      </wps:spPr>
                      <wps:txbx>
                        <w:txbxContent>
                          <w:p w:rsidR="00CD2861" w:rsidRDefault="00CD2861" w:rsidP="00CD2861">
                            <w:pPr>
                              <w:jc w:val="both"/>
                            </w:pPr>
                            <w:r>
                              <w:rPr>
                                <w:rFonts w:asciiTheme="minorHAnsi" w:hAnsiTheme="minorHAnsi" w:cstheme="minorBidi"/>
                                <w:sz w:val="20"/>
                                <w:szCs w:val="20"/>
                              </w:rPr>
                              <w:drawing>
                                <wp:inline distT="0" distB="0" distL="0" distR="0">
                                  <wp:extent cx="4933950" cy="4581525"/>
                                  <wp:effectExtent l="0" t="0" r="0" b="9525"/>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33950" cy="45815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8" o:spid="_x0000_s1026" type="#_x0000_t202" style="position:absolute;left:0;text-align:left;margin-left:0;margin-top:10.45pt;width:413.25pt;height:36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" fillcolor="white [3201]" strokeweight=".5pt">
                <v:textbox>
                  <w:txbxContent>
                    <w:p w:rsidR="00CD2861" w:rsidRDefault="00CD2861" w:rsidP="00CD2861">
                      <w:pPr>
                        <w:jc w:val="both"/>
                      </w:pPr>
                      <w:r>
                        <w:rPr>
                          <w:rFonts w:asciiTheme="minorHAnsi" w:hAnsiTheme="minorHAnsi" w:cstheme="minorBidi"/>
                          <w:sz w:val="20"/>
                          <w:szCs w:val="20"/>
                        </w:rPr>
                        <w:drawing>
                          <wp:inline distT="0" distB="0" distL="0" distR="0">
                            <wp:extent cx="4933950" cy="4581525"/>
                            <wp:effectExtent l="0" t="0" r="0" b="9525"/>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33950" cy="4581525"/>
                                    </a:xfrm>
                                    <a:prstGeom prst="rect">
                                      <a:avLst/>
                                    </a:prstGeom>
                                    <a:noFill/>
                                    <a:ln>
                                      <a:noFill/>
                                    </a:ln>
                                  </pic:spPr>
                                </pic:pic>
                              </a:graphicData>
                            </a:graphic>
                          </wp:inline>
                        </w:drawing>
                      </w:r>
                    </w:p>
                  </w:txbxContent>
                </v:textbox>
                <w10:wrap anchorx="margin"/>
              </v:shape>
            </w:pict>
          </mc:Fallback>
        </mc:AlternateContent>
      </w:r>
      <w:r>
        <w:rPr>
          <w:rFonts w:ascii="David" w:hAnsi="David"/>
          <w:rtl/>
        </w:rPr>
        <w:t xml:space="preserve"> </w:t>
      </w:r>
    </w:p>
    <w:p w:rsidR="00CD2861" w:rsidRDefault="00CD2861" w:rsidP="00CD2861">
      <w:pPr>
        <w:spacing w:line="360" w:lineRule="auto"/>
        <w:ind w:left="-58"/>
        <w:jc w:val="both"/>
        <w:rPr>
          <w:rFonts w:ascii="David" w:hAnsi="David"/>
          <w:rtl/>
        </w:rPr>
      </w:pPr>
    </w:p>
    <w:p w:rsidR="00CD2861" w:rsidRDefault="00CD2861" w:rsidP="00CD2861">
      <w:pPr>
        <w:spacing w:line="360" w:lineRule="auto"/>
        <w:ind w:left="-58"/>
        <w:jc w:val="both"/>
        <w:rPr>
          <w:rFonts w:ascii="David" w:hAnsi="David"/>
          <w:rtl/>
        </w:rPr>
      </w:pPr>
    </w:p>
    <w:p w:rsidR="00CD2861" w:rsidRDefault="00CD2861" w:rsidP="00CD2861">
      <w:pPr>
        <w:spacing w:line="360" w:lineRule="auto"/>
        <w:ind w:left="-58"/>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r>
        <w:rPr>
          <w:rFonts w:ascii="David" w:hAnsi="David"/>
          <w:rtl/>
        </w:rPr>
        <w:t xml:space="preserve"> </w:t>
      </w:r>
    </w:p>
    <w:p w:rsidR="00CD2861" w:rsidRDefault="00CD2861" w:rsidP="00CD2861">
      <w:pPr>
        <w:spacing w:line="360" w:lineRule="auto"/>
        <w:ind w:left="-58"/>
        <w:jc w:val="both"/>
        <w:rPr>
          <w:rFonts w:ascii="David" w:hAnsi="David"/>
        </w:rPr>
      </w:pPr>
    </w:p>
    <w:p w:rsidR="00CD2861" w:rsidRDefault="00CD2861" w:rsidP="00CD2861">
      <w:pPr>
        <w:spacing w:line="360" w:lineRule="auto"/>
        <w:jc w:val="both"/>
        <w:rPr>
          <w:rFonts w:ascii="David" w:hAnsi="David"/>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4C4812">
      <w:pPr>
        <w:pStyle w:val="af"/>
        <w:numPr>
          <w:ilvl w:val="0"/>
          <w:numId w:val="2"/>
        </w:numPr>
        <w:spacing w:before="0" w:after="0" w:line="360" w:lineRule="auto"/>
        <w:ind w:left="509" w:hanging="567"/>
        <w:jc w:val="both"/>
        <w:rPr>
          <w:rFonts w:ascii="David" w:hAnsi="David"/>
          <w:b/>
          <w:bCs/>
          <w:rtl/>
        </w:rPr>
      </w:pPr>
      <w:r>
        <w:rPr>
          <w:rFonts w:ascii="David" w:hAnsi="David"/>
          <w:b/>
          <w:bCs/>
          <w:rtl/>
        </w:rPr>
        <w:t>סיכום 25.2.</w:t>
      </w:r>
      <w:r w:rsidR="008E1A3A">
        <w:rPr>
          <w:rFonts w:ascii="David" w:hAnsi="David" w:hint="cs"/>
          <w:b/>
          <w:bCs/>
          <w:rtl/>
        </w:rPr>
        <w:t>20</w:t>
      </w:r>
      <w:r>
        <w:rPr>
          <w:rFonts w:ascii="David" w:hAnsi="David"/>
          <w:b/>
          <w:bCs/>
          <w:rtl/>
        </w:rPr>
        <w:t>21 כולל, אפוא, אף הוא את כל תנאי ההנחות שבסיכום 1.2.2021, לרבות תנאי הוויתור</w:t>
      </w:r>
      <w:r>
        <w:rPr>
          <w:rFonts w:ascii="David" w:hAnsi="David"/>
          <w:rtl/>
        </w:rPr>
        <w:t>. כמו כן, הוטמ</w:t>
      </w:r>
      <w:r w:rsidR="004C4812">
        <w:rPr>
          <w:rFonts w:ascii="David" w:hAnsi="David" w:hint="cs"/>
          <w:rtl/>
        </w:rPr>
        <w:t>ע</w:t>
      </w:r>
      <w:r>
        <w:rPr>
          <w:rFonts w:ascii="David" w:hAnsi="David"/>
          <w:rtl/>
        </w:rPr>
        <w:t>ו בו הערות המשביר לסעיף 1 (</w:t>
      </w:r>
      <w:r w:rsidR="004C4812">
        <w:rPr>
          <w:rFonts w:ascii="David" w:hAnsi="David" w:hint="cs"/>
          <w:rtl/>
        </w:rPr>
        <w:t>הנחה של 50% במקום 30% ו</w:t>
      </w:r>
      <w:r>
        <w:rPr>
          <w:rFonts w:ascii="David" w:hAnsi="David"/>
          <w:rtl/>
        </w:rPr>
        <w:t xml:space="preserve">העברת הקופונים </w:t>
      </w:r>
      <w:r>
        <w:rPr>
          <w:rFonts w:ascii="David" w:hAnsi="David"/>
          <w:b/>
          <w:bCs/>
          <w:rtl/>
        </w:rPr>
        <w:t>"עם סיום הסגר"</w:t>
      </w:r>
      <w:r>
        <w:rPr>
          <w:rFonts w:ascii="David" w:hAnsi="David"/>
          <w:rtl/>
        </w:rPr>
        <w:t>). עודכנה טבלת ההנחות במחיקת שתי השורות האחרונות (חודשים ינואר-פברואר 2021), ומועד תשלום החוב לחודשים אלה בסעיף 2 "נשאר פתוח", נוכח בקשת המשביר ששנת 2021 תדון בנפרד. הערות אחרות של עו"ד קוק לא הוטמעו (ובכך נדחו). נקבע שם עוד בסעיף 4 לתנאים, כי ההנחות שבטבלה ניתנות "</w:t>
      </w:r>
      <w:r>
        <w:rPr>
          <w:rFonts w:ascii="David" w:hAnsi="David"/>
          <w:b/>
          <w:bCs/>
          <w:rtl/>
        </w:rPr>
        <w:t>בכפוף לתשלום ולתנאים כאמור בסעיפים 1-3</w:t>
      </w:r>
      <w:r>
        <w:rPr>
          <w:rFonts w:ascii="David" w:hAnsi="David"/>
          <w:rtl/>
        </w:rPr>
        <w:t xml:space="preserve">". </w:t>
      </w:r>
    </w:p>
    <w:p w:rsidR="00CD2861" w:rsidRDefault="00CD2861" w:rsidP="00CD2861">
      <w:pPr>
        <w:spacing w:line="360" w:lineRule="auto"/>
        <w:jc w:val="both"/>
        <w:rPr>
          <w:rFonts w:ascii="David" w:hAnsi="David"/>
          <w:b/>
          <w:bCs/>
          <w:rtl/>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כאמור, </w:t>
      </w:r>
      <w:r>
        <w:rPr>
          <w:rFonts w:ascii="David" w:hAnsi="David"/>
          <w:b/>
          <w:bCs/>
          <w:rtl/>
        </w:rPr>
        <w:t>בשונה מכתב ההגנה והתצהירים, בסיכומי המשביר (בהמשך לגרסת עדיה בחקירות הנגדיות), נטען כי סיכום 25.2.2021 הוא ההסכם המחייב.</w:t>
      </w:r>
      <w:r>
        <w:rPr>
          <w:rFonts w:ascii="David" w:hAnsi="David"/>
          <w:rtl/>
        </w:rPr>
        <w:t xml:space="preserve"> על פניו, מוקשית גרסה זו, כבר בשל כך שסיכום 25.2.2021 אף לא נזכר בכתב ההגנה ובתצהירים. בנוסף (וגם זאת </w:t>
      </w:r>
      <w:r>
        <w:rPr>
          <w:rFonts w:ascii="David" w:hAnsi="David"/>
          <w:rtl/>
        </w:rPr>
        <w:lastRenderedPageBreak/>
        <w:t xml:space="preserve">כבר ציינתי), משמעות הדבר היא שגם לגרסת המשביר (החדשה) תנאי הוויתור </w:t>
      </w:r>
      <w:r w:rsidR="004C4812">
        <w:rPr>
          <w:rFonts w:ascii="David" w:hAnsi="David" w:hint="cs"/>
          <w:rtl/>
        </w:rPr>
        <w:t xml:space="preserve">הוא </w:t>
      </w:r>
      <w:r>
        <w:rPr>
          <w:rFonts w:ascii="David" w:hAnsi="David"/>
          <w:rtl/>
        </w:rPr>
        <w:t>חלק מהתנאים למתן ההנחות, והמשביר אף טענה שהסכימה לתנאי זה בסופו של דבר. הכל בניגוד גמור לטענותיה בכתב ההגנה ובתצהירים מטעמה, כמו גם בתביעה שכנגד שהגישה.</w:t>
      </w:r>
    </w:p>
    <w:p w:rsidR="00CD2861" w:rsidRDefault="00CD2861" w:rsidP="00CD2861">
      <w:pPr>
        <w:spacing w:line="360" w:lineRule="auto"/>
        <w:jc w:val="both"/>
        <w:rPr>
          <w:rFonts w:ascii="David" w:hAnsi="David"/>
        </w:rPr>
      </w:pPr>
    </w:p>
    <w:p w:rsidR="00CD2861" w:rsidRDefault="00CD2861" w:rsidP="00CD2861">
      <w:pPr>
        <w:spacing w:line="276" w:lineRule="auto"/>
        <w:jc w:val="both"/>
        <w:rPr>
          <w:rFonts w:ascii="David" w:hAnsi="David"/>
          <w:rtl/>
        </w:rPr>
      </w:pPr>
      <w:r>
        <w:rPr>
          <w:rFonts w:ascii="David" w:hAnsi="David"/>
          <w:b/>
          <w:bCs/>
          <w:rtl/>
        </w:rPr>
        <w:t xml:space="preserve">ב.6. </w:t>
      </w:r>
      <w:r>
        <w:rPr>
          <w:rFonts w:ascii="David" w:hAnsi="David"/>
          <w:b/>
          <w:bCs/>
          <w:u w:val="single"/>
          <w:rtl/>
        </w:rPr>
        <w:t>המשך השתלשלות האירועים עד להגשת התביעה</w:t>
      </w:r>
    </w:p>
    <w:p w:rsidR="00CD2861" w:rsidRDefault="00CD2861" w:rsidP="00CD2861">
      <w:pPr>
        <w:pStyle w:val="af"/>
        <w:spacing w:line="276" w:lineRule="auto"/>
        <w:rPr>
          <w:rFonts w:ascii="David" w:hAnsi="David"/>
        </w:rPr>
      </w:pPr>
    </w:p>
    <w:p w:rsidR="00CD2861" w:rsidRDefault="00CD2861" w:rsidP="004C4812">
      <w:pPr>
        <w:pStyle w:val="af"/>
        <w:numPr>
          <w:ilvl w:val="0"/>
          <w:numId w:val="2"/>
        </w:numPr>
        <w:spacing w:before="0" w:after="0" w:line="360" w:lineRule="auto"/>
        <w:ind w:left="509" w:hanging="567"/>
        <w:jc w:val="both"/>
        <w:rPr>
          <w:rFonts w:ascii="David" w:hAnsi="David"/>
          <w:rtl/>
        </w:rPr>
      </w:pPr>
      <w:r>
        <w:rPr>
          <w:rFonts w:ascii="David" w:hAnsi="David"/>
          <w:rtl/>
        </w:rPr>
        <w:t xml:space="preserve">טרם שאשלים את תמונת המצב לפי הראיות לתקופה שעד להגשת התביעה, אביא בקצרה את עיקרי תצהירו של שריד, שלו צורפו מרבית המסמכים הרלבנטיים לעניין זה. נמצא כי לצד העברת הטיוטות ותכתובת הדוא"ל כמפורט לעיל, התקיימה לאורך כל הדרך, גם תכתובת בהודעות ווטצאפ בין חסאן ושריד, בעניינים שונים ומושכרים שונים (תדפיס תכתובת ווטצאפ לתקופה 9.8.2020 - 26.7.2021, צורף בנספח 5 לשריד. להלן: </w:t>
      </w:r>
      <w:r>
        <w:rPr>
          <w:rFonts w:ascii="David" w:hAnsi="David"/>
          <w:b/>
          <w:bCs/>
          <w:rtl/>
        </w:rPr>
        <w:t>תכתובת הווטצאפ</w:t>
      </w:r>
      <w:r>
        <w:rPr>
          <w:rFonts w:ascii="David" w:hAnsi="David"/>
          <w:rtl/>
        </w:rPr>
        <w:t xml:space="preserve"> ו- </w:t>
      </w:r>
      <w:r>
        <w:rPr>
          <w:rFonts w:ascii="David" w:hAnsi="David"/>
          <w:b/>
          <w:bCs/>
          <w:rtl/>
        </w:rPr>
        <w:t>הודעה</w:t>
      </w:r>
      <w:r>
        <w:rPr>
          <w:rFonts w:ascii="David" w:hAnsi="David"/>
          <w:rtl/>
        </w:rPr>
        <w:t xml:space="preserve">, לפי העניין). חלק ניכר מהתכתובת בין השניים מפורט בתצהירו של שריד (למשל סעיפים 55-60, 85-87 לתצהיר). אפתח, אפוא, בעיקרי תצהירו של שריד ולאחר מכן אפרט חלק מתכתובת זו. </w:t>
      </w:r>
    </w:p>
    <w:p w:rsidR="00CD2861" w:rsidRDefault="00CD2861" w:rsidP="00CD2861">
      <w:pPr>
        <w:spacing w:line="360" w:lineRule="auto"/>
        <w:jc w:val="both"/>
        <w:rPr>
          <w:rFonts w:ascii="David" w:hAnsi="David"/>
        </w:rPr>
      </w:pPr>
    </w:p>
    <w:p w:rsidR="00CD2861" w:rsidRDefault="00CD2861" w:rsidP="004C4812">
      <w:pPr>
        <w:pStyle w:val="af"/>
        <w:numPr>
          <w:ilvl w:val="0"/>
          <w:numId w:val="2"/>
        </w:numPr>
        <w:spacing w:before="0" w:after="0" w:line="360" w:lineRule="auto"/>
        <w:ind w:left="509" w:hanging="567"/>
        <w:jc w:val="both"/>
        <w:rPr>
          <w:rFonts w:ascii="David" w:hAnsi="David"/>
          <w:rtl/>
        </w:rPr>
      </w:pPr>
      <w:r>
        <w:rPr>
          <w:rFonts w:ascii="David" w:hAnsi="David"/>
          <w:b/>
          <w:bCs/>
          <w:rtl/>
        </w:rPr>
        <w:t xml:space="preserve">תצהירו של שריד </w:t>
      </w:r>
      <w:r>
        <w:rPr>
          <w:rFonts w:ascii="David" w:hAnsi="David"/>
          <w:rtl/>
        </w:rPr>
        <w:t>חוזר בעיקרו על הטענות בכתב התביעה (וכך גם תצהירי העדים האחרים). הוא נערך (כמצופה) בזיקה למחלוקת כפי שעלתה מכתב ההגנה. שריד הצהיר כי היה נכון להסכים ליתן למשביר הנחות מפליגות בדמי השכירות, אך זאת רק במסגרת הסדר כולל, שמתייחס גם לחובות המשביר במושכרים האחרים, בכפוף לתנאי הפינוי, ומעת שהועלתה הטענה לגבי גביית דמי שכירות ביתר בשל הטענות לגבי שטח ה</w:t>
      </w:r>
      <w:r w:rsidR="004C4812">
        <w:rPr>
          <w:rFonts w:ascii="David" w:hAnsi="David" w:hint="cs"/>
          <w:rtl/>
        </w:rPr>
        <w:t>נכס</w:t>
      </w:r>
      <w:r>
        <w:rPr>
          <w:rFonts w:ascii="David" w:hAnsi="David"/>
          <w:rtl/>
        </w:rPr>
        <w:t xml:space="preserve"> - גם בכפוף לתנאי הוויתור. לפי תצהירו, עם העברת הטיוטה השניה שכללה את תנאי הוויתור, החל המשביר בתהליך של משיכת זמן, הן בעניין טיוטות התוספת והן, במקביל, בהתנהלות של חסאן מולו. שריד התייחס גם </w:t>
      </w:r>
      <w:r>
        <w:rPr>
          <w:rFonts w:ascii="David" w:hAnsi="David"/>
          <w:b/>
          <w:bCs/>
          <w:rtl/>
        </w:rPr>
        <w:t>לפגישה מיום 28.1.2021</w:t>
      </w:r>
      <w:r>
        <w:rPr>
          <w:rFonts w:ascii="David" w:hAnsi="David"/>
          <w:rtl/>
        </w:rPr>
        <w:t xml:space="preserve"> והצהיר כי גם בה עמד על כך שכל ההקלות כפופות להסדר כולל ולחתימה על תוספת להסכם שתעגן את התנאים למתן ההנחות; וכי להנחות שלהן הסכים ניתן אישור עקרוני בלבד, שכפוף לעמידה בתנאים, לרבות תשלום מלוא חובות המשביר בכל המושכרים (בהתחשב בהנחות). עוד הצהיר כי הערות המשביר לסיכום הפגישה עיקרו מתוכן את שדובר, ולאחריו גם מיהרה המשביר לאמץ חלקים ממנו שהיו נוחים לה וליישם הנחות באופן חד-צדדי. שריד הצהיר כי </w:t>
      </w:r>
      <w:r>
        <w:rPr>
          <w:rFonts w:ascii="David" w:hAnsi="David"/>
          <w:b/>
          <w:bCs/>
          <w:rtl/>
        </w:rPr>
        <w:t>בפגישה נוספת מיום 14.4.2021</w:t>
      </w:r>
      <w:r>
        <w:rPr>
          <w:rFonts w:ascii="David" w:hAnsi="David"/>
          <w:rtl/>
        </w:rPr>
        <w:t xml:space="preserve"> שקיים עם המשביר בעניין חובותיה הכספיים המצטברים למליסרון, ביקשה המשביר בדיעבד להגדיל את ההנחה לכדי פטור מלא לסגר ינואר 2021 עד 21.2.2021, והנחות נוספות עד מאי 2021. גם לכך הסכים בכפוף להסדר כולל, והנחה את כהן להוציא </w:t>
      </w:r>
      <w:r>
        <w:rPr>
          <w:rFonts w:ascii="David" w:hAnsi="David"/>
          <w:b/>
          <w:bCs/>
          <w:rtl/>
        </w:rPr>
        <w:t>טיוטת תוספת</w:t>
      </w:r>
      <w:r>
        <w:rPr>
          <w:rFonts w:ascii="David" w:hAnsi="David"/>
          <w:rtl/>
        </w:rPr>
        <w:t xml:space="preserve"> </w:t>
      </w:r>
      <w:r>
        <w:rPr>
          <w:rFonts w:ascii="David" w:hAnsi="David"/>
          <w:b/>
          <w:bCs/>
          <w:rtl/>
        </w:rPr>
        <w:t>שישית</w:t>
      </w:r>
      <w:r>
        <w:rPr>
          <w:rFonts w:ascii="David" w:hAnsi="David"/>
          <w:rtl/>
        </w:rPr>
        <w:t xml:space="preserve"> בהתאם לה, וכן טבלת אקסל הכוללת את תחשיב החוב המלא לאותו מועד וסכום ההנחות לאותו מועד (נספח 13 לשריד. צורף גם כנספח 22 לכהן וראו גם תצהירה בעניין זה, סעיף 80</w:t>
      </w:r>
      <w:r w:rsidRPr="004C4812">
        <w:rPr>
          <w:rFonts w:ascii="David" w:hAnsi="David"/>
          <w:rtl/>
        </w:rPr>
        <w:t>. הנחה של כ- 8.8 מיליון ₪ לחודשים מרץ 2020 עד מאי 2021 כולל; הסכום כולל מע"מ. בטיוטה עצמה מצוין סכום ההנחה ללא מע"מ, למעלה מ- 7.5 מיליון ₪). אלא שאז, לדידו של שריד</w:t>
      </w:r>
      <w:r>
        <w:rPr>
          <w:rFonts w:ascii="David" w:hAnsi="David"/>
          <w:rtl/>
        </w:rPr>
        <w:t xml:space="preserve">, בניגוד </w:t>
      </w:r>
      <w:r>
        <w:rPr>
          <w:rFonts w:ascii="David" w:hAnsi="David"/>
          <w:rtl/>
        </w:rPr>
        <w:lastRenderedPageBreak/>
        <w:t xml:space="preserve">לדברים שנאמרו בישיבה, השיב חסאן כי הנוסח לא מוסכם. תוארה בתצהירו של שריד גם </w:t>
      </w:r>
      <w:r>
        <w:rPr>
          <w:rFonts w:ascii="David" w:hAnsi="David"/>
          <w:b/>
          <w:bCs/>
          <w:rtl/>
        </w:rPr>
        <w:t>פגישה נוספת בין השניים מיום 21.6.2021</w:t>
      </w:r>
      <w:r>
        <w:rPr>
          <w:rFonts w:ascii="David" w:hAnsi="David"/>
          <w:rtl/>
        </w:rPr>
        <w:t xml:space="preserve"> </w:t>
      </w:r>
      <w:r w:rsidRPr="004C4812">
        <w:rPr>
          <w:rFonts w:ascii="David" w:hAnsi="David"/>
          <w:rtl/>
        </w:rPr>
        <w:t xml:space="preserve">שבמסגרתה הוא הסכים, בכפוף להסדר כולל, להגדיל שוב את ההנחה החל מחודש מרץ </w:t>
      </w:r>
      <w:r w:rsidR="004C4812">
        <w:rPr>
          <w:rFonts w:ascii="David" w:hAnsi="David" w:hint="cs"/>
          <w:rtl/>
        </w:rPr>
        <w:t xml:space="preserve">2020 </w:t>
      </w:r>
      <w:r w:rsidRPr="004C4812">
        <w:rPr>
          <w:rFonts w:ascii="David" w:hAnsi="David"/>
          <w:rtl/>
        </w:rPr>
        <w:t>ועד לפגישה, כך שתעמוד על סך של למעלה מ- 9.87 מיליון ₪ בתוספת מע"מ. למרות זאת, המשביר, "</w:t>
      </w:r>
      <w:r w:rsidRPr="004C4812">
        <w:rPr>
          <w:rFonts w:ascii="David" w:hAnsi="David"/>
          <w:b/>
          <w:bCs/>
          <w:rtl/>
        </w:rPr>
        <w:t>כדרכה</w:t>
      </w:r>
      <w:r>
        <w:rPr>
          <w:rFonts w:ascii="David" w:hAnsi="David"/>
          <w:rtl/>
        </w:rPr>
        <w:t>", כך הצהיר, "</w:t>
      </w:r>
      <w:r>
        <w:rPr>
          <w:rFonts w:ascii="David" w:hAnsi="David"/>
          <w:b/>
          <w:bCs/>
          <w:rtl/>
        </w:rPr>
        <w:t>המשיכה בעשיית דין עצמית, על אף נכונותי כל העת ללכת לקראתה. מחד, למשוך זמן. מאידך, לא לשלם</w:t>
      </w:r>
      <w:r>
        <w:rPr>
          <w:rFonts w:ascii="David" w:hAnsi="David"/>
          <w:rtl/>
        </w:rPr>
        <w:t xml:space="preserve">" (סעיף 131). גם נוסח </w:t>
      </w:r>
      <w:r>
        <w:rPr>
          <w:rFonts w:ascii="David" w:hAnsi="David"/>
          <w:b/>
          <w:bCs/>
          <w:rtl/>
        </w:rPr>
        <w:t>הטיוטה השביעית</w:t>
      </w:r>
      <w:r>
        <w:rPr>
          <w:rFonts w:ascii="David" w:hAnsi="David"/>
          <w:rtl/>
        </w:rPr>
        <w:t xml:space="preserve"> שהועברה לאחר הפגישה מיוני</w:t>
      </w:r>
      <w:r w:rsidR="004C4812">
        <w:rPr>
          <w:rFonts w:ascii="David" w:hAnsi="David" w:hint="cs"/>
          <w:rtl/>
        </w:rPr>
        <w:t xml:space="preserve"> 2020</w:t>
      </w:r>
      <w:r>
        <w:rPr>
          <w:rFonts w:ascii="David" w:hAnsi="David"/>
          <w:rtl/>
        </w:rPr>
        <w:t>, לא נחתם ו"</w:t>
      </w:r>
      <w:r>
        <w:rPr>
          <w:rFonts w:ascii="David" w:hAnsi="David"/>
          <w:b/>
          <w:bCs/>
          <w:rtl/>
        </w:rPr>
        <w:t>נענה בהבטחות שווא והתייחסות בלתי מתקבלת על הדעת</w:t>
      </w:r>
      <w:r>
        <w:rPr>
          <w:rFonts w:ascii="David" w:hAnsi="David"/>
          <w:rtl/>
        </w:rPr>
        <w:t>". כך, עד שכלו מבחינת שריד (והתובעת ומליסרון) כל הקיצי</w:t>
      </w:r>
      <w:r w:rsidR="004C4812">
        <w:rPr>
          <w:rFonts w:ascii="David" w:hAnsi="David" w:hint="cs"/>
          <w:rtl/>
        </w:rPr>
        <w:t>ן</w:t>
      </w:r>
      <w:r>
        <w:rPr>
          <w:rFonts w:ascii="David" w:hAnsi="David"/>
          <w:rtl/>
        </w:rPr>
        <w:t>.</w:t>
      </w:r>
    </w:p>
    <w:p w:rsidR="00CD2861" w:rsidRDefault="00CD2861" w:rsidP="00CD2861">
      <w:pPr>
        <w:spacing w:line="360" w:lineRule="auto"/>
        <w:jc w:val="both"/>
        <w:rPr>
          <w:rFonts w:ascii="David" w:hAnsi="David"/>
        </w:rPr>
      </w:pPr>
    </w:p>
    <w:p w:rsidR="00CD2861" w:rsidRDefault="00CD2861" w:rsidP="00673CF6">
      <w:pPr>
        <w:pStyle w:val="af"/>
        <w:numPr>
          <w:ilvl w:val="0"/>
          <w:numId w:val="2"/>
        </w:numPr>
        <w:spacing w:before="0" w:after="0" w:line="360" w:lineRule="auto"/>
        <w:ind w:left="509" w:hanging="567"/>
        <w:jc w:val="both"/>
        <w:rPr>
          <w:rFonts w:ascii="David" w:hAnsi="David"/>
        </w:rPr>
      </w:pPr>
      <w:r>
        <w:rPr>
          <w:rFonts w:ascii="David" w:hAnsi="David"/>
          <w:rtl/>
        </w:rPr>
        <w:t>כעת להתנהלות הצדדים כפי שהיא עולה בעיקר מהמסמכים שצורפו לתצהירי התובעת (אזכיר כי מתצהירי המשביר נעלמו גם ההערות עו"ד קוק מיום 15.</w:t>
      </w:r>
      <w:r w:rsidR="00673CF6">
        <w:rPr>
          <w:rFonts w:ascii="David" w:hAnsi="David" w:hint="cs"/>
          <w:rtl/>
        </w:rPr>
        <w:t>2</w:t>
      </w:r>
      <w:r>
        <w:rPr>
          <w:rFonts w:ascii="David" w:hAnsi="David"/>
          <w:rtl/>
        </w:rPr>
        <w:t>.2021 וסיכום 25.</w:t>
      </w:r>
      <w:r w:rsidR="004C4812">
        <w:rPr>
          <w:rFonts w:ascii="David" w:hAnsi="David" w:hint="cs"/>
          <w:rtl/>
        </w:rPr>
        <w:t>2</w:t>
      </w:r>
      <w:r>
        <w:rPr>
          <w:rFonts w:ascii="David" w:hAnsi="David"/>
          <w:rtl/>
        </w:rPr>
        <w:t xml:space="preserve">.2021). קצרה היריעה מלהכיל את כלל התכתובת שבין חסאן לשריד שהתקיימה, כאמור, לאורך תקופה ארוכה (גם במקביל לטיוטות התוספת הנזכרות לעיל). אפרט כאן רק חלק ממנה, הנוגע לכיכר ציון באספקלריה של טענות הצדדים, החל מאמצע מרץ 2021.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לאחר שכהן העבירה למשביר את סיכום 25.2.2021, היא פנתה למשביר בכתב פעמיים, בבקשה שיאשרו סיכום זה (דוא"ל מיום 3.3.2021 לעו"ד קוק ולחסאן ודוא"ל מיום 4.4.2021 לחסאן, נספחים 18-19 לכהן). פניות אלה לא זכו לכל תגובה ומכל מקום, מסמך חתום או מענה מאשר בחוזר, לא הועברו על ידי המשביר לתובעת.</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עוד לאחר סיכום 25.2.2021, חסאן ביקש משריד לקיים פגישה נוספת. בהודעה מיום 16.3.2021 דרש שריד כי התשלום השוטף ישולם מידית כרגיל "</w:t>
      </w:r>
      <w:r>
        <w:rPr>
          <w:rFonts w:ascii="David" w:hAnsi="David"/>
          <w:b/>
          <w:bCs/>
          <w:rtl/>
        </w:rPr>
        <w:t>אני לא מחכה לפגישה לגבי התשלום השוטף</w:t>
      </w:r>
      <w:r>
        <w:rPr>
          <w:rFonts w:ascii="David" w:hAnsi="David"/>
          <w:rtl/>
        </w:rPr>
        <w:t>" והוסיף כי "</w:t>
      </w:r>
      <w:r>
        <w:rPr>
          <w:rFonts w:ascii="David" w:hAnsi="David"/>
          <w:b/>
          <w:bCs/>
          <w:rtl/>
        </w:rPr>
        <w:t>לגבי תשלומי העבר פרסנו והקלנו</w:t>
      </w:r>
      <w:r>
        <w:rPr>
          <w:rFonts w:ascii="David" w:hAnsi="David"/>
          <w:rtl/>
        </w:rPr>
        <w:t>". עוד כתב שריד: "</w:t>
      </w:r>
      <w:r>
        <w:rPr>
          <w:rFonts w:ascii="David" w:hAnsi="David"/>
          <w:b/>
          <w:bCs/>
          <w:rtl/>
        </w:rPr>
        <w:t xml:space="preserve">והכל תלוי עדין בחתימה שלכם על אי השגה </w:t>
      </w:r>
      <w:r>
        <w:rPr>
          <w:rFonts w:ascii="David" w:hAnsi="David"/>
          <w:rtl/>
        </w:rPr>
        <w:t xml:space="preserve">[תנאי הוויתור – י'ב'] </w:t>
      </w:r>
      <w:r>
        <w:rPr>
          <w:rFonts w:ascii="David" w:hAnsi="David"/>
          <w:b/>
          <w:bCs/>
          <w:rtl/>
        </w:rPr>
        <w:t xml:space="preserve">ועל אפשרות שלנו לשחרר אותכם מהנכס </w:t>
      </w:r>
      <w:r>
        <w:rPr>
          <w:rFonts w:ascii="David" w:hAnsi="David"/>
          <w:rtl/>
        </w:rPr>
        <w:t>[תנאי הפינוי – י'ב']</w:t>
      </w:r>
      <w:r>
        <w:rPr>
          <w:rFonts w:ascii="David" w:hAnsi="David"/>
          <w:b/>
          <w:bCs/>
          <w:rtl/>
        </w:rPr>
        <w:t>. ההקלות תלויות בשני התנאים הללו, אי השגה ושחרור מוקדם</w:t>
      </w:r>
      <w:r>
        <w:rPr>
          <w:rFonts w:ascii="David" w:hAnsi="David"/>
          <w:rtl/>
        </w:rPr>
        <w:t>". חסאן משיב: "</w:t>
      </w:r>
      <w:r>
        <w:rPr>
          <w:rFonts w:ascii="David" w:hAnsi="David"/>
          <w:b/>
          <w:bCs/>
          <w:rtl/>
        </w:rPr>
        <w:t>אחי אנחנו כבר אחרי      השוטף מטופל מיידית</w:t>
      </w:r>
      <w:r>
        <w:rPr>
          <w:rFonts w:ascii="David" w:hAnsi="David"/>
          <w:rtl/>
        </w:rPr>
        <w:t>" [הרווח במקור] וכי "</w:t>
      </w:r>
      <w:r>
        <w:rPr>
          <w:rFonts w:ascii="David" w:hAnsi="David"/>
          <w:b/>
          <w:bCs/>
          <w:rtl/>
        </w:rPr>
        <w:t>הפגישה היא על רעיון אחר</w:t>
      </w:r>
      <w:r>
        <w:rPr>
          <w:rFonts w:ascii="David" w:hAnsi="David"/>
          <w:rtl/>
        </w:rPr>
        <w:t xml:space="preserve">".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ביום 5.4.2021, הודיעה כהן לחסאן כי "</w:t>
      </w:r>
      <w:r>
        <w:rPr>
          <w:rFonts w:ascii="David" w:hAnsi="David"/>
          <w:b/>
          <w:bCs/>
          <w:rtl/>
        </w:rPr>
        <w:t>מאחר וטרם חתמתם על תוספת להסכם המסדירה את ההנחה, לא אושר לקזז הנחה 10%. יש להשלים את ההפרש</w:t>
      </w:r>
      <w:r>
        <w:rPr>
          <w:rFonts w:ascii="David" w:hAnsi="David"/>
          <w:rtl/>
        </w:rPr>
        <w:t>" (נספח 20 לכהן בעמ' 108)</w:t>
      </w:r>
    </w:p>
    <w:p w:rsidR="00CD2861" w:rsidRDefault="00CD2861" w:rsidP="00CD2861">
      <w:pPr>
        <w:spacing w:line="360" w:lineRule="auto"/>
        <w:jc w:val="both"/>
        <w:rPr>
          <w:rFonts w:ascii="David" w:hAnsi="David"/>
        </w:rPr>
      </w:pPr>
    </w:p>
    <w:p w:rsidR="00CD2861" w:rsidRDefault="00CD2861" w:rsidP="00673CF6">
      <w:pPr>
        <w:pStyle w:val="af"/>
        <w:numPr>
          <w:ilvl w:val="0"/>
          <w:numId w:val="2"/>
        </w:numPr>
        <w:spacing w:before="0" w:after="0" w:line="360" w:lineRule="auto"/>
        <w:ind w:left="509" w:hanging="567"/>
        <w:jc w:val="both"/>
        <w:rPr>
          <w:rFonts w:ascii="David" w:hAnsi="David"/>
          <w:rtl/>
        </w:rPr>
      </w:pPr>
      <w:r>
        <w:rPr>
          <w:rFonts w:ascii="David" w:hAnsi="David"/>
          <w:rtl/>
        </w:rPr>
        <w:t>כאמור, שריד וחסאן נפגשו ביום 14.4.2021, וביום 3.5.</w:t>
      </w:r>
      <w:r w:rsidR="00673CF6">
        <w:rPr>
          <w:rFonts w:ascii="David" w:hAnsi="David" w:hint="cs"/>
          <w:rtl/>
        </w:rPr>
        <w:t>2021</w:t>
      </w:r>
      <w:r>
        <w:rPr>
          <w:rFonts w:ascii="David" w:hAnsi="David"/>
          <w:rtl/>
        </w:rPr>
        <w:t xml:space="preserve"> העבירה כהן לעו"ד קוק, לבקשת שריד, טיוטת </w:t>
      </w:r>
      <w:r>
        <w:rPr>
          <w:rFonts w:ascii="David" w:hAnsi="David"/>
          <w:b/>
          <w:bCs/>
          <w:rtl/>
        </w:rPr>
        <w:t xml:space="preserve">תוספת שישית (מאי 2021) </w:t>
      </w:r>
      <w:r>
        <w:rPr>
          <w:rFonts w:ascii="David" w:hAnsi="David"/>
          <w:rtl/>
        </w:rPr>
        <w:t xml:space="preserve">(נספח 13 לשריד, וס' 117 שם). לפי תצהיר שריד בפגישה זו ביקש חסאן להגדיל את ההקלות לכדי פטור לסגר ינואר פברואר 2021 וכן הנחה </w:t>
      </w:r>
      <w:r>
        <w:rPr>
          <w:rFonts w:ascii="David" w:hAnsi="David"/>
          <w:rtl/>
        </w:rPr>
        <w:lastRenderedPageBreak/>
        <w:t>עד סוף מאי, ושריד הסכים בכפוף להסדר כולל והסכמה לשני התנאים (טיוטת התוספת אכן משקפת זאת).</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חסאן השיב בדוא"ל מיום 3.5.2021 כך: </w:t>
      </w:r>
      <w:r>
        <w:rPr>
          <w:rFonts w:ascii="David" w:hAnsi="David"/>
          <w:b/>
          <w:bCs/>
          <w:rtl/>
        </w:rPr>
        <w:t>"צר לי ששוב חוזרים לנוסח שלא סוכם. אגיע אליכם שוב על מנת ללבן את הנושא שוב"</w:t>
      </w:r>
      <w:r>
        <w:rPr>
          <w:rFonts w:ascii="David" w:hAnsi="David"/>
          <w:rtl/>
        </w:rPr>
        <w:t>. שריד משיב בו ביום: "</w:t>
      </w:r>
      <w:r>
        <w:rPr>
          <w:rFonts w:ascii="David" w:hAnsi="David"/>
          <w:b/>
          <w:bCs/>
          <w:rtl/>
        </w:rPr>
        <w:t>... זה הנוסח שאנחנו מציעים, חזרתי על זה בפגישתנו יותר מפעם אחת. אתם מקבלים הנחה של מיליונים וזה לא בא ללא התחייבויות חדשות מצדכם. כל מה שנאמר בפגישה העליתי על הכתב. אני חוזר על זה כבר 4 פגישות</w:t>
      </w:r>
      <w:r>
        <w:rPr>
          <w:rFonts w:ascii="David" w:hAnsi="David"/>
          <w:rtl/>
        </w:rPr>
        <w:t>". חסאן עונה: "</w:t>
      </w:r>
      <w:r>
        <w:rPr>
          <w:rFonts w:ascii="David" w:hAnsi="David"/>
          <w:b/>
          <w:bCs/>
          <w:rtl/>
        </w:rPr>
        <w:t>אני רוצה לקנות את הבניין</w:t>
      </w:r>
      <w:r>
        <w:rPr>
          <w:rFonts w:ascii="David" w:hAnsi="David"/>
          <w:rtl/>
        </w:rPr>
        <w:t>" ו"</w:t>
      </w:r>
      <w:r>
        <w:rPr>
          <w:rFonts w:ascii="David" w:hAnsi="David"/>
          <w:b/>
          <w:bCs/>
          <w:rtl/>
        </w:rPr>
        <w:t>נשב שבוע הבא ונתקדם</w:t>
      </w:r>
      <w:r>
        <w:rPr>
          <w:rFonts w:ascii="David" w:hAnsi="David"/>
          <w:rtl/>
        </w:rPr>
        <w:t xml:space="preserve">" (שריד, נספח 14).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בתווך היו התכתבויות נוספות שלא אפרט מפאת קוצר היריעה. בהודעה מיום 19.5.2021 אומר שריד: "</w:t>
      </w:r>
      <w:r>
        <w:rPr>
          <w:rFonts w:ascii="David" w:hAnsi="David"/>
          <w:b/>
          <w:bCs/>
          <w:rtl/>
        </w:rPr>
        <w:t>... כיכר ציון לא שילמת את השוטף כלומר את מאי. מעבר לכך אני מדגיש שוב כי כל עוד לא חתמתם על התוספת להסכם שנשלחה אליכם – אין שום הקלות. אין לכם הנחות לא בכיכר ציון ולא בחדרה. חשוב שיהיה ברור כי ההנחות תלויות בקיום כל הסעיפים על פי התוספת</w:t>
      </w:r>
      <w:r>
        <w:rPr>
          <w:rFonts w:ascii="David" w:hAnsi="David"/>
          <w:rtl/>
        </w:rPr>
        <w:t xml:space="preserve">" (עמ' 64-65). חסאן השיב </w:t>
      </w:r>
      <w:r>
        <w:rPr>
          <w:rFonts w:ascii="David" w:hAnsi="David"/>
          <w:b/>
          <w:bCs/>
          <w:rtl/>
        </w:rPr>
        <w:t>"כיכר ציון עבר אתמול ..."</w:t>
      </w:r>
      <w:r>
        <w:rPr>
          <w:rFonts w:ascii="David" w:hAnsi="David"/>
          <w:rtl/>
        </w:rPr>
        <w:t xml:space="preserve"> וגם מיד, בהודעה נוספת, </w:t>
      </w:r>
      <w:r>
        <w:rPr>
          <w:rFonts w:ascii="David" w:hAnsi="David"/>
          <w:b/>
          <w:bCs/>
          <w:rtl/>
        </w:rPr>
        <w:t>"ביום ראשון ... אני אצלך לקפה"</w:t>
      </w:r>
      <w:r>
        <w:rPr>
          <w:rFonts w:ascii="David" w:hAnsi="David"/>
          <w:rtl/>
        </w:rPr>
        <w:t xml:space="preserve">. </w:t>
      </w:r>
    </w:p>
    <w:p w:rsidR="00CD2861" w:rsidRDefault="00CD2861" w:rsidP="00CD2861">
      <w:pPr>
        <w:spacing w:line="360" w:lineRule="auto"/>
        <w:jc w:val="both"/>
        <w:rPr>
          <w:rFonts w:ascii="David" w:hAnsi="David"/>
        </w:rPr>
      </w:pPr>
    </w:p>
    <w:p w:rsidR="00CD2861" w:rsidRDefault="00CD2861" w:rsidP="00673CF6">
      <w:pPr>
        <w:pStyle w:val="af"/>
        <w:numPr>
          <w:ilvl w:val="0"/>
          <w:numId w:val="2"/>
        </w:numPr>
        <w:spacing w:before="0" w:after="0" w:line="360" w:lineRule="auto"/>
        <w:ind w:left="509" w:hanging="567"/>
        <w:jc w:val="both"/>
        <w:rPr>
          <w:rFonts w:ascii="David" w:hAnsi="David"/>
          <w:rtl/>
        </w:rPr>
      </w:pPr>
      <w:r>
        <w:rPr>
          <w:rFonts w:ascii="David" w:hAnsi="David"/>
          <w:rtl/>
        </w:rPr>
        <w:t xml:space="preserve">כעבור עוד 5 ימים, ביום 24.5.2021, פנה שריד לחסאן ושאל: </w:t>
      </w:r>
      <w:r>
        <w:rPr>
          <w:rFonts w:ascii="David" w:hAnsi="David"/>
          <w:b/>
          <w:bCs/>
          <w:rtl/>
        </w:rPr>
        <w:t>"כיכר ציון? היום אתה מביא חתום?"</w:t>
      </w:r>
      <w:r>
        <w:rPr>
          <w:rtl/>
        </w:rPr>
        <w:t>,</w:t>
      </w:r>
      <w:r>
        <w:rPr>
          <w:rFonts w:ascii="David" w:hAnsi="David"/>
          <w:rtl/>
        </w:rPr>
        <w:t xml:space="preserve"> וזה השיב "</w:t>
      </w:r>
      <w:r>
        <w:rPr>
          <w:rFonts w:ascii="David" w:hAnsi="David"/>
          <w:b/>
          <w:bCs/>
          <w:rtl/>
        </w:rPr>
        <w:t>אשב עם רמי מחר</w:t>
      </w:r>
      <w:r>
        <w:rPr>
          <w:rFonts w:ascii="David" w:hAnsi="David"/>
          <w:rtl/>
        </w:rPr>
        <w:t xml:space="preserve">". בחלוף יומיים, ביום 26.5.2021, מוסיף שריד כי אם התוספת לא תחתם </w:t>
      </w:r>
      <w:r w:rsidR="00673CF6">
        <w:rPr>
          <w:rFonts w:ascii="David" w:hAnsi="David" w:hint="cs"/>
          <w:rtl/>
        </w:rPr>
        <w:t xml:space="preserve">באותו </w:t>
      </w:r>
      <w:r>
        <w:rPr>
          <w:rFonts w:ascii="David" w:hAnsi="David"/>
          <w:rtl/>
        </w:rPr>
        <w:t>היום, ההצעה בטלה ולא תהיה בתוקף.</w:t>
      </w:r>
      <w:r>
        <w:rPr>
          <w:rFonts w:ascii="David" w:hAnsi="David"/>
          <w:b/>
          <w:bCs/>
          <w:rtl/>
        </w:rPr>
        <w:t xml:space="preserve"> </w:t>
      </w:r>
      <w:r>
        <w:rPr>
          <w:rFonts w:ascii="David" w:hAnsi="David"/>
          <w:rtl/>
        </w:rPr>
        <w:t>חסאן השיב כי הוא בבית חולים ויתקשר בערב. לא כך קרה וביום 30.5.2021 בצהריים שריד הודיע כי הוא מעביר את העניין  לטיפול משפטי. חסאן השיב: "</w:t>
      </w:r>
      <w:r>
        <w:rPr>
          <w:rFonts w:ascii="David" w:hAnsi="David"/>
          <w:b/>
          <w:bCs/>
          <w:rtl/>
        </w:rPr>
        <w:t>היי תודה אני בסדר חוזר מחר למסלול אדאג לסיים את מה שישבנו השבוע</w:t>
      </w:r>
      <w:r>
        <w:rPr>
          <w:rFonts w:ascii="David" w:hAnsi="David"/>
          <w:rtl/>
        </w:rPr>
        <w:t>" "</w:t>
      </w:r>
      <w:r>
        <w:rPr>
          <w:rFonts w:ascii="David" w:hAnsi="David"/>
          <w:b/>
          <w:bCs/>
          <w:rtl/>
        </w:rPr>
        <w:t>ותפסיק עם הה</w:t>
      </w:r>
      <w:r w:rsidR="00673CF6">
        <w:rPr>
          <w:rFonts w:ascii="David" w:hAnsi="David" w:hint="cs"/>
          <w:b/>
          <w:bCs/>
          <w:rtl/>
        </w:rPr>
        <w:t>ו</w:t>
      </w:r>
      <w:r>
        <w:rPr>
          <w:rFonts w:ascii="David" w:hAnsi="David"/>
          <w:b/>
          <w:bCs/>
          <w:rtl/>
        </w:rPr>
        <w:t>דעות האלה אני ואתה לא שם</w:t>
      </w:r>
      <w:r>
        <w:rPr>
          <w:rFonts w:ascii="David" w:hAnsi="David"/>
          <w:rtl/>
        </w:rPr>
        <w:t>". לנוכח תשובתו זו הוסיף שריד "</w:t>
      </w:r>
      <w:r>
        <w:rPr>
          <w:rFonts w:ascii="David" w:hAnsi="David"/>
          <w:b/>
          <w:bCs/>
          <w:rtl/>
        </w:rPr>
        <w:t>אז תחתום כבר!!</w:t>
      </w:r>
      <w:r>
        <w:rPr>
          <w:rFonts w:ascii="David" w:hAnsi="David"/>
          <w:rtl/>
        </w:rPr>
        <w:t>" (כל הנ"ל בעמ' 65). ביום 6.6.2021 שוב שואל שריד "</w:t>
      </w:r>
      <w:r>
        <w:rPr>
          <w:rFonts w:ascii="David" w:hAnsi="David"/>
          <w:b/>
          <w:bCs/>
          <w:rtl/>
        </w:rPr>
        <w:t>מתי חותם על כיכר ציון</w:t>
      </w:r>
      <w:r>
        <w:rPr>
          <w:rFonts w:ascii="David" w:hAnsi="David"/>
          <w:rtl/>
        </w:rPr>
        <w:t>" וחסאן משיב "</w:t>
      </w:r>
      <w:r>
        <w:rPr>
          <w:rFonts w:ascii="David" w:hAnsi="David"/>
          <w:b/>
          <w:bCs/>
          <w:rtl/>
        </w:rPr>
        <w:t>בסדר חבר, רמי חוזר אשב איתו ונסיים את הפרשה</w:t>
      </w:r>
      <w:r>
        <w:rPr>
          <w:rFonts w:ascii="David" w:hAnsi="David"/>
          <w:rtl/>
        </w:rPr>
        <w:t xml:space="preserve">" (עמ' 66). </w:t>
      </w:r>
    </w:p>
    <w:p w:rsidR="00CD2861" w:rsidRDefault="00CD2861" w:rsidP="00CD2861">
      <w:pPr>
        <w:spacing w:line="360" w:lineRule="auto"/>
        <w:jc w:val="both"/>
        <w:rPr>
          <w:rFonts w:ascii="David" w:hAnsi="David"/>
        </w:rPr>
      </w:pPr>
    </w:p>
    <w:p w:rsidR="00CD2861" w:rsidRDefault="00CD2861" w:rsidP="00673CF6">
      <w:pPr>
        <w:pStyle w:val="af"/>
        <w:numPr>
          <w:ilvl w:val="0"/>
          <w:numId w:val="2"/>
        </w:numPr>
        <w:spacing w:before="0" w:after="0" w:line="360" w:lineRule="auto"/>
        <w:ind w:left="509" w:hanging="567"/>
        <w:jc w:val="both"/>
        <w:rPr>
          <w:rFonts w:ascii="David" w:hAnsi="David"/>
          <w:rtl/>
        </w:rPr>
      </w:pPr>
      <w:r>
        <w:rPr>
          <w:rFonts w:ascii="David" w:hAnsi="David"/>
          <w:rtl/>
        </w:rPr>
        <w:t xml:space="preserve">פגישה נוספת ביניהם נערכה ביום 21.6.2021 ובעקבותיה שלחה כהן לחסאן טיוטת </w:t>
      </w:r>
      <w:r>
        <w:rPr>
          <w:rFonts w:ascii="David" w:hAnsi="David"/>
          <w:b/>
          <w:bCs/>
          <w:rtl/>
        </w:rPr>
        <w:t>תוספת שביעית (יוני 2021)</w:t>
      </w:r>
      <w:r>
        <w:rPr>
          <w:rFonts w:ascii="David" w:hAnsi="David"/>
          <w:rtl/>
        </w:rPr>
        <w:t xml:space="preserve"> (דוא"ל מאותו יום, נספח 15 לשריד). שריד ציין כי התבקשה הנחה עד למועד הפגישה וגם לכך הסכים באותם תנאים (ואכן, ראו התוספת). גם תוספת זו לא נחתמה על ידי המשביר. שוב לווה הדבר בתכתובת ווטצאפ, שבה מבקש שריד מחסאן לחתום על התוספת. כותב שריד ביום 21.6.2021: "</w:t>
      </w:r>
      <w:r>
        <w:rPr>
          <w:rFonts w:ascii="David" w:hAnsi="David"/>
          <w:b/>
          <w:bCs/>
          <w:rtl/>
        </w:rPr>
        <w:t>התוספת של כיכר ציון אצלך ... נוסח אחרון בהחלט</w:t>
      </w:r>
      <w:r>
        <w:rPr>
          <w:rFonts w:ascii="David" w:hAnsi="David"/>
          <w:rtl/>
        </w:rPr>
        <w:t>" וחסאן משיב: "</w:t>
      </w:r>
      <w:r>
        <w:rPr>
          <w:rFonts w:ascii="David" w:hAnsi="David"/>
          <w:b/>
          <w:bCs/>
          <w:rtl/>
        </w:rPr>
        <w:t>תודה,  מחר בחופש עם הילדים, יום ד' אשב על זה</w:t>
      </w:r>
      <w:r>
        <w:rPr>
          <w:rFonts w:ascii="David" w:hAnsi="David"/>
          <w:rtl/>
        </w:rPr>
        <w:t>". חלפו תשעה ימים, וביום 30.62021 כותב שריד:"</w:t>
      </w:r>
      <w:r>
        <w:rPr>
          <w:rFonts w:ascii="David" w:hAnsi="David"/>
          <w:b/>
          <w:bCs/>
          <w:rtl/>
        </w:rPr>
        <w:t>??</w:t>
      </w:r>
      <w:r>
        <w:rPr>
          <w:rFonts w:ascii="David" w:hAnsi="David"/>
          <w:rtl/>
        </w:rPr>
        <w:t>" "</w:t>
      </w:r>
      <w:r>
        <w:rPr>
          <w:rFonts w:ascii="David" w:hAnsi="David"/>
          <w:b/>
          <w:bCs/>
          <w:rtl/>
        </w:rPr>
        <w:t>לא קיבלתי כלום</w:t>
      </w:r>
      <w:r>
        <w:rPr>
          <w:rFonts w:ascii="David" w:hAnsi="David"/>
          <w:rtl/>
        </w:rPr>
        <w:t>" "</w:t>
      </w:r>
      <w:r>
        <w:rPr>
          <w:rFonts w:ascii="David" w:hAnsi="David"/>
          <w:b/>
          <w:bCs/>
          <w:rtl/>
        </w:rPr>
        <w:t>לא לשנות אפילו פסיק</w:t>
      </w:r>
      <w:r>
        <w:rPr>
          <w:rFonts w:ascii="David" w:hAnsi="David"/>
          <w:rtl/>
        </w:rPr>
        <w:t>" "</w:t>
      </w:r>
      <w:r>
        <w:rPr>
          <w:rFonts w:ascii="David" w:hAnsi="David"/>
          <w:b/>
          <w:bCs/>
          <w:rtl/>
        </w:rPr>
        <w:t>למה לא שלחת אתמול</w:t>
      </w:r>
      <w:r>
        <w:rPr>
          <w:rFonts w:ascii="David" w:hAnsi="David"/>
          <w:rtl/>
        </w:rPr>
        <w:t>". חסאן משיב: "</w:t>
      </w:r>
      <w:r>
        <w:rPr>
          <w:rFonts w:ascii="David" w:hAnsi="David"/>
          <w:b/>
          <w:bCs/>
          <w:rtl/>
        </w:rPr>
        <w:t>הלכתי מוקדם אני עם גב תחתון תפוס אחזור ואטפל מייד</w:t>
      </w:r>
      <w:r>
        <w:rPr>
          <w:rFonts w:ascii="David" w:hAnsi="David"/>
          <w:rtl/>
        </w:rPr>
        <w:t xml:space="preserve">" בסביבות </w:t>
      </w:r>
      <w:r>
        <w:rPr>
          <w:rFonts w:ascii="David" w:hAnsi="David"/>
          <w:rtl/>
        </w:rPr>
        <w:lastRenderedPageBreak/>
        <w:t>15:30 שואל שריד לשלומו וחסאן משיב "</w:t>
      </w:r>
      <w:r>
        <w:rPr>
          <w:rFonts w:ascii="David" w:hAnsi="David"/>
          <w:b/>
          <w:bCs/>
          <w:rtl/>
        </w:rPr>
        <w:t>... תן לי קצת לנוח</w:t>
      </w:r>
      <w:r>
        <w:rPr>
          <w:rFonts w:ascii="David" w:hAnsi="David"/>
          <w:rtl/>
        </w:rPr>
        <w:t>" ו"</w:t>
      </w:r>
      <w:r>
        <w:rPr>
          <w:rFonts w:ascii="David" w:hAnsi="David"/>
          <w:b/>
          <w:bCs/>
          <w:rtl/>
        </w:rPr>
        <w:t>סגרתי לך את הקופונים כמו שביקשת</w:t>
      </w:r>
      <w:r>
        <w:rPr>
          <w:rFonts w:ascii="David" w:hAnsi="David"/>
          <w:rtl/>
        </w:rPr>
        <w:t xml:space="preserve">". למחרת 1.7.2021 בסביבות 15:50 שואל שריד </w:t>
      </w:r>
      <w:r>
        <w:rPr>
          <w:rFonts w:ascii="David" w:hAnsi="David"/>
          <w:b/>
          <w:bCs/>
          <w:rtl/>
        </w:rPr>
        <w:t>"נו? טרם קיבלתי</w:t>
      </w:r>
      <w:r>
        <w:rPr>
          <w:rFonts w:ascii="David" w:hAnsi="David"/>
          <w:rtl/>
        </w:rPr>
        <w:t>".</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אחרי שבוע נוסף, ביום 7.7.2021 בשעה 12:16 שריד מציין:</w:t>
      </w:r>
      <w:r>
        <w:rPr>
          <w:rFonts w:ascii="David" w:hAnsi="David"/>
          <w:b/>
          <w:bCs/>
          <w:rtl/>
        </w:rPr>
        <w:t xml:space="preserve"> "נעלמת?" </w:t>
      </w:r>
      <w:r>
        <w:rPr>
          <w:rFonts w:ascii="David" w:hAnsi="David"/>
          <w:rtl/>
        </w:rPr>
        <w:t>וחסאן משיב</w:t>
      </w:r>
      <w:r>
        <w:rPr>
          <w:rFonts w:ascii="David" w:hAnsi="David"/>
          <w:b/>
          <w:bCs/>
          <w:rtl/>
        </w:rPr>
        <w:t xml:space="preserve"> </w:t>
      </w:r>
      <w:r>
        <w:rPr>
          <w:rFonts w:ascii="David" w:hAnsi="David"/>
          <w:rtl/>
        </w:rPr>
        <w:t>אחרי כשעה</w:t>
      </w:r>
      <w:r>
        <w:rPr>
          <w:rFonts w:ascii="David" w:hAnsi="David"/>
          <w:b/>
          <w:bCs/>
          <w:rtl/>
        </w:rPr>
        <w:t>, "כרגע הגעתי אחזור אליך אחה"צ"</w:t>
      </w:r>
      <w:r>
        <w:rPr>
          <w:rFonts w:ascii="David" w:hAnsi="David"/>
          <w:rtl/>
        </w:rPr>
        <w:t xml:space="preserve"> (עמ' 66-67). חסאן לא חזר לשריד, וביום 8.7.2021 בשעה 11:24 כתב לו שריד: "</w:t>
      </w:r>
      <w:r>
        <w:rPr>
          <w:rFonts w:ascii="David" w:hAnsi="David"/>
          <w:b/>
          <w:bCs/>
          <w:rtl/>
        </w:rPr>
        <w:t>החלטת מה אתה עושה? חותם או לא חותם. רק תן תשובה ברורה</w:t>
      </w:r>
      <w:r>
        <w:rPr>
          <w:rFonts w:ascii="David" w:hAnsi="David"/>
          <w:rtl/>
        </w:rPr>
        <w:t>". חסאן משיב אחרי כשלוש שעות, "</w:t>
      </w:r>
      <w:r>
        <w:rPr>
          <w:rFonts w:ascii="David" w:hAnsi="David"/>
          <w:b/>
          <w:bCs/>
          <w:rtl/>
        </w:rPr>
        <w:t>שבוע מגיע לסגור איתך</w:t>
      </w:r>
      <w:r>
        <w:rPr>
          <w:rFonts w:ascii="David" w:hAnsi="David"/>
          <w:rtl/>
        </w:rPr>
        <w:t>" ו- "</w:t>
      </w:r>
      <w:r>
        <w:rPr>
          <w:rFonts w:ascii="David" w:hAnsi="David"/>
          <w:b/>
          <w:bCs/>
          <w:rtl/>
        </w:rPr>
        <w:t>תן לי קצת חופש מכם</w:t>
      </w:r>
      <w:r>
        <w:rPr>
          <w:rFonts w:ascii="David" w:hAnsi="David"/>
          <w:rtl/>
        </w:rPr>
        <w:t>". שריד בחוזר: "</w:t>
      </w:r>
      <w:r>
        <w:rPr>
          <w:rFonts w:ascii="David" w:hAnsi="David"/>
          <w:b/>
          <w:bCs/>
          <w:rtl/>
        </w:rPr>
        <w:t>היו לך חודשים רבים. אני מבין שאתם לא חותמים. אני מעביר עכשיו לטיפול משפטי. הטיוטה שנשלחה לך מבוטלת. בהתאם ההקלות מעולם לא נכנסו לתוקף ואנחנו דורשים את סילוק החוב המלא – באופן מידי</w:t>
      </w:r>
      <w:r>
        <w:rPr>
          <w:rFonts w:ascii="David" w:hAnsi="David"/>
          <w:rtl/>
        </w:rPr>
        <w:t>". חסאן משיב: "</w:t>
      </w:r>
      <w:r>
        <w:rPr>
          <w:rFonts w:ascii="David" w:hAnsi="David"/>
          <w:b/>
          <w:bCs/>
          <w:rtl/>
        </w:rPr>
        <w:t>ספור עד 10 לא מתאים לך חוזר ביום א' ונדבר</w:t>
      </w:r>
      <w:r>
        <w:rPr>
          <w:rFonts w:ascii="David" w:hAnsi="David"/>
          <w:rtl/>
        </w:rPr>
        <w:t>" ושריד כותב: "</w:t>
      </w:r>
      <w:r>
        <w:rPr>
          <w:rFonts w:ascii="David" w:hAnsi="David"/>
          <w:b/>
          <w:bCs/>
          <w:rtl/>
        </w:rPr>
        <w:t>ספרתי עד 10, 20, 30, 4,000,000 ... ולא התקדמת ... לגבי כיכר ציון כבר לא ניפגש. העברתי את זה לטיפול משפטי. אתה לא יכול להגיד שלא ניסיתי את כל האפשריות. אני שם את זה ברור כי אין שום הסכמה או הקלה כל שהיא לגבי 2020 ו- 2021</w:t>
      </w:r>
      <w:r>
        <w:rPr>
          <w:rFonts w:ascii="David" w:hAnsi="David"/>
          <w:rtl/>
        </w:rPr>
        <w:t xml:space="preserve">" (ראו עמ' 68-69). </w:t>
      </w:r>
    </w:p>
    <w:p w:rsidR="00CD2861" w:rsidRDefault="00CD2861" w:rsidP="00CD2861">
      <w:pPr>
        <w:spacing w:line="360" w:lineRule="auto"/>
        <w:jc w:val="both"/>
        <w:rPr>
          <w:rFonts w:ascii="David" w:hAnsi="David"/>
        </w:rPr>
      </w:pPr>
    </w:p>
    <w:p w:rsidR="00CD2861" w:rsidRDefault="00CD2861" w:rsidP="00CD2861">
      <w:pPr>
        <w:spacing w:line="276" w:lineRule="auto"/>
        <w:ind w:left="-58"/>
        <w:jc w:val="both"/>
        <w:rPr>
          <w:rFonts w:ascii="David" w:hAnsi="David"/>
          <w:rtl/>
        </w:rPr>
      </w:pPr>
      <w:r>
        <w:rPr>
          <w:rFonts w:ascii="David" w:hAnsi="David"/>
          <w:b/>
          <w:bCs/>
          <w:u w:val="single"/>
          <w:rtl/>
        </w:rPr>
        <w:t>סיכום ביניים נוסף ומסקנות</w:t>
      </w:r>
      <w:r>
        <w:rPr>
          <w:rFonts w:ascii="David" w:hAnsi="David"/>
          <w:rtl/>
        </w:rPr>
        <w:t xml:space="preserve">; </w:t>
      </w:r>
      <w:r>
        <w:rPr>
          <w:rFonts w:ascii="David" w:hAnsi="David"/>
          <w:rtl/>
        </w:rPr>
        <w:tab/>
      </w:r>
    </w:p>
    <w:p w:rsidR="00CD2861" w:rsidRDefault="00CD2861" w:rsidP="00CD2861">
      <w:pPr>
        <w:spacing w:line="276" w:lineRule="auto"/>
        <w:ind w:left="-58"/>
        <w:jc w:val="both"/>
        <w:rPr>
          <w:rFonts w:ascii="David" w:hAnsi="David"/>
          <w:rtl/>
        </w:rPr>
      </w:pPr>
    </w:p>
    <w:p w:rsidR="00CD2861" w:rsidRDefault="00CD2861" w:rsidP="00673CF6">
      <w:pPr>
        <w:pStyle w:val="af"/>
        <w:numPr>
          <w:ilvl w:val="0"/>
          <w:numId w:val="2"/>
        </w:numPr>
        <w:spacing w:before="0" w:after="0" w:line="360" w:lineRule="auto"/>
        <w:ind w:left="509" w:hanging="567"/>
        <w:jc w:val="both"/>
        <w:rPr>
          <w:rFonts w:ascii="David" w:hAnsi="David"/>
        </w:rPr>
      </w:pPr>
      <w:r>
        <w:rPr>
          <w:rFonts w:ascii="David" w:hAnsi="David"/>
          <w:rtl/>
        </w:rPr>
        <w:t>ניתן לסכם את הדברים ולומר כי על רקע בקשת המשביר להנחות והקלות בדמי השכירות, התנהל בין הצדדים החל ממאי 2020 משא ומתן ממושך של מספר חודשים ביחס לנוסח תוספת להסכם (חמש טיוטות), בריטואל חוזר של פגישות וטיוטות שהועברו למשביר ולא נחתמו, עד שביום 26.1.2021 הודיע עו"ד כשר כי הן מבוטלות. מיד לאחר מכן, בתוך יומיים, כבר ביום 28.1.2021, התקיימה הפגישה המדוברת, שהסיכום הראשון לה יצא ממליסרון למשביר ביום 1.2.202</w:t>
      </w:r>
      <w:r w:rsidR="00673CF6">
        <w:rPr>
          <w:rFonts w:ascii="David" w:hAnsi="David" w:hint="cs"/>
          <w:rtl/>
        </w:rPr>
        <w:t>1</w:t>
      </w:r>
      <w:r>
        <w:rPr>
          <w:rFonts w:ascii="David" w:hAnsi="David"/>
          <w:rtl/>
        </w:rPr>
        <w:t>. בהמשך (לאחר הערות המשביר מיום 15.2.202</w:t>
      </w:r>
      <w:r w:rsidR="00673CF6">
        <w:rPr>
          <w:rFonts w:ascii="David" w:hAnsi="David" w:hint="cs"/>
          <w:rtl/>
        </w:rPr>
        <w:t>1</w:t>
      </w:r>
      <w:r>
        <w:rPr>
          <w:rFonts w:ascii="David" w:hAnsi="David"/>
          <w:rtl/>
        </w:rPr>
        <w:t>)</w:t>
      </w:r>
      <w:r>
        <w:rPr>
          <w:rFonts w:ascii="David" w:hAnsi="David"/>
        </w:rPr>
        <w:t xml:space="preserve"> </w:t>
      </w:r>
      <w:r>
        <w:rPr>
          <w:rFonts w:ascii="David" w:hAnsi="David"/>
          <w:rtl/>
        </w:rPr>
        <w:t xml:space="preserve">הוציאה התובעת נוסח סיכום שני של אותה פגישה, שעל פי טענת המשביר (הכבושה) הוא ההסכם המחייב - סיכום 25.2.2021. בקשות כהן מהמשביר לאשר את הסיכום לא זכו למענה. בהודעה מיום 16.3.2021 שריד מציין (בין היתר) כי כל ההנחות תלויות עדיין בהסכמה של המשביר לשני התנאים, וביום 5.4.2021 מודיעה כהן שלא ניתן לאשר הנחה של 10% ויש להשלים ולשלם את ההפרש, כיוון שהמשביר טרם חתמה על התוספת להסכם שמסדירה את ההנחה. לאחר פגישת שריד וחסאן באמצע אפריל 2021 הועברה טיוטת תוספת (שישית) ממאי 2021. הריטואל של פגישה נוספת לאחר טיוטה שלא נחתמה חוזר גם בשלהי מאי, וטיוטה נוספת (שביעית) מיוני 2021 יוצאת לדרך. שתי טיוטות התוספת האחרונות כוללות אף הן את שני התנאים. שתיהן כוללות את ההנחות מלכתחילה, כלומר גם את אלה הכלולות בסיכום 25.2.2021, וזאת תוך הארכת תקופת ההנחה עד לפגישה. </w:t>
      </w:r>
      <w:r>
        <w:rPr>
          <w:rFonts w:ascii="David" w:hAnsi="David"/>
          <w:rtl/>
        </w:rPr>
        <w:tab/>
      </w:r>
    </w:p>
    <w:p w:rsidR="00CD2861" w:rsidRDefault="00CD2861" w:rsidP="00CD2861">
      <w:pPr>
        <w:spacing w:line="360" w:lineRule="auto"/>
        <w:jc w:val="both"/>
        <w:rPr>
          <w:rFonts w:ascii="David" w:hAnsi="David"/>
        </w:rPr>
      </w:pPr>
    </w:p>
    <w:p w:rsidR="00CD2861" w:rsidRDefault="00CD2861" w:rsidP="00673CF6">
      <w:pPr>
        <w:pStyle w:val="af"/>
        <w:numPr>
          <w:ilvl w:val="0"/>
          <w:numId w:val="2"/>
        </w:numPr>
        <w:spacing w:before="0" w:after="0" w:line="360" w:lineRule="auto"/>
        <w:ind w:left="509" w:hanging="567"/>
        <w:jc w:val="both"/>
        <w:rPr>
          <w:rFonts w:ascii="David" w:hAnsi="David"/>
        </w:rPr>
      </w:pPr>
      <w:r>
        <w:rPr>
          <w:rFonts w:ascii="David" w:hAnsi="David"/>
          <w:rtl/>
        </w:rPr>
        <w:lastRenderedPageBreak/>
        <w:t>ראינו גם בתכתובת הנ"ל כי שריד חוזר ומבהיר שההנחות כולן כפופות (בין היתר)</w:t>
      </w:r>
      <w:r>
        <w:rPr>
          <w:rFonts w:ascii="David" w:hAnsi="David"/>
        </w:rPr>
        <w:t xml:space="preserve"> </w:t>
      </w:r>
      <w:r>
        <w:rPr>
          <w:rFonts w:ascii="David" w:hAnsi="David"/>
          <w:rtl/>
        </w:rPr>
        <w:t>להסכמה לשני התנאים ואף לחתימה על התוספת. שריד חוזר ושואל מתי תחתום המשביר על התוספת. נוסח התוספות והתכתובת בין שריד וחסאן תומכים בגרסת התובעת, שלפיה ציינה לאורך כל הדרך שכלל ההנחות כפופות באופן מהותי להסכמת המשביר לשני התנאים – תנאי הפינוי ותנאי הוויתור, ואף לחתימה על הסכם שיעגן זאת; גרסה שעדי התובעת חזרו עליה בחקירתם, ועמדה בהצלחה במבחן החקירות הנגדיות.</w:t>
      </w:r>
      <w:r>
        <w:rPr>
          <w:rFonts w:ascii="David" w:hAnsi="David"/>
          <w:rtl/>
        </w:rPr>
        <w:tab/>
      </w:r>
      <w:r>
        <w:rPr>
          <w:rFonts w:ascii="David" w:hAnsi="David"/>
          <w:rtl/>
        </w:rPr>
        <w:br/>
      </w:r>
      <w:r>
        <w:rPr>
          <w:rFonts w:ascii="David" w:hAnsi="David"/>
          <w:rtl/>
        </w:rPr>
        <w:br/>
        <w:t xml:space="preserve">לגרסתו הקוהרנטית של </w:t>
      </w:r>
      <w:r>
        <w:rPr>
          <w:rFonts w:ascii="David" w:hAnsi="David"/>
          <w:u w:val="single"/>
          <w:rtl/>
        </w:rPr>
        <w:t>שריד</w:t>
      </w:r>
      <w:r>
        <w:rPr>
          <w:rFonts w:ascii="David" w:hAnsi="David"/>
          <w:rtl/>
        </w:rPr>
        <w:t xml:space="preserve"> לגבי תנאי הפינוי ותנאי הוויתור, שעליהם עמד, לרבות החתימה על התוספת; כמו גם לגבי הריטואל של פגישות נוספות לאחר כל טיוטת תוספת או סיכום, בקשה להרחבת ההנחות לתקופות נוספות, תחושה של הסכמה בפגישה שהתבדתה באי-חתימה והעלאת דרישות או טענות נוספות, ותקווה שלבסוף ייחתם הסכם, ראו למשל (ולא רק): בעמ' 57 ש' 19- עמ' 58 ש' 12, עמ' 59 ש' 15 – עמ' 60 ש' 18, עמ' 66 ש' 2-6, עמ' 68 ש' 3-20, עמ' 80, עמ' 88. בחקירתה הנגדית של </w:t>
      </w:r>
      <w:r>
        <w:rPr>
          <w:rFonts w:ascii="David" w:hAnsi="David"/>
          <w:u w:val="single"/>
          <w:rtl/>
        </w:rPr>
        <w:t>כהן</w:t>
      </w:r>
      <w:r>
        <w:rPr>
          <w:rFonts w:ascii="David" w:hAnsi="David"/>
          <w:rtl/>
        </w:rPr>
        <w:t xml:space="preserve"> בעמ' 138 ש' 2-13, בעמ' 161 ש' 6 – עמ' 162 ש' 1, עמ' 163 ש' 12-22, עמ' 165 ש' 6-13, עמ' 167 ש' 2-8). בחקירתו של </w:t>
      </w:r>
      <w:r>
        <w:rPr>
          <w:rFonts w:ascii="David" w:hAnsi="David"/>
          <w:u w:val="single"/>
          <w:rtl/>
        </w:rPr>
        <w:t>עו"ד כשר</w:t>
      </w:r>
      <w:r>
        <w:rPr>
          <w:rFonts w:ascii="David" w:hAnsi="David"/>
          <w:rtl/>
        </w:rPr>
        <w:t xml:space="preserve"> בעמ' 205 ש' 14-23 בעמ' 214 ש' 6-15, עמ' 216 ש' 11-24, עמ' 218.</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תשובותיו של חסאן להודעות שריד הובאו לעיל כלשונן, ונדמה כי הן מדברות בעד עצמן. קשה שלא להתרשם מהתנ</w:t>
      </w:r>
      <w:r w:rsidRPr="00673CF6">
        <w:rPr>
          <w:rFonts w:ascii="David" w:hAnsi="David"/>
          <w:rtl/>
        </w:rPr>
        <w:t>הלות של דחיינות וגרירת רגליים מצדו (ומצד המשביר). רושם זה</w:t>
      </w:r>
      <w:r w:rsidR="00673CF6">
        <w:rPr>
          <w:rFonts w:ascii="David" w:hAnsi="David" w:hint="cs"/>
          <w:rtl/>
        </w:rPr>
        <w:t>,</w:t>
      </w:r>
      <w:r w:rsidRPr="00673CF6">
        <w:rPr>
          <w:rFonts w:ascii="David" w:hAnsi="David"/>
          <w:rtl/>
        </w:rPr>
        <w:t xml:space="preserve"> יש לומר, לא קהה במסגרת החקירה הנגדית של חסאן (וראו ההתייחסות לחקירתו בהמשך). נראה כי ביקש "למש</w:t>
      </w:r>
      <w:r>
        <w:rPr>
          <w:rFonts w:ascii="David" w:hAnsi="David"/>
          <w:rtl/>
        </w:rPr>
        <w:t xml:space="preserve">וך את הזמן" תוך כדי "קביעת עובדות בשטח", בדרך של תשלום דמי שכירות מופחתים במהלך המשא ומתן המתמשך, ותוך בקשה להאריך את תקופת ההנחות בהתאם; ומכל מקום, זו התוצאה בפועל של ההתנהלות. </w:t>
      </w:r>
      <w:r>
        <w:rPr>
          <w:rFonts w:ascii="David" w:hAnsi="David"/>
          <w:b/>
          <w:bCs/>
          <w:rtl/>
        </w:rPr>
        <w:t xml:space="preserve">לא מצאתי בתשובות חסאן בהודעות ששלח לשריד או במקום אחר בהתכתבות שבין חסאן ושריד (ובכלל בין הצדדים), בזמן אמת, טענה שההנחות שבסיכום 25.2.2021 (או סיכום 1.2.2021) לא צריכות להיכלל בתוספת להסכם, מהטעם שכבר עוגנו (לשיטת המשביר) בהסכם מחייב שקוים, או הערה דומה אחרת. כמו כן, לא עולה מתשובותיו של חסאן בזמן אמת הסכמה לתנאי הוויתור. אף ההפך הוא הנכון </w:t>
      </w:r>
      <w:r>
        <w:rPr>
          <w:rFonts w:ascii="David" w:hAnsi="David"/>
          <w:rtl/>
        </w:rPr>
        <w:t>(ראו למשל דוא"ל</w:t>
      </w:r>
      <w:r w:rsidR="00673CF6">
        <w:rPr>
          <w:rFonts w:ascii="David" w:hAnsi="David" w:hint="cs"/>
          <w:rtl/>
        </w:rPr>
        <w:t xml:space="preserve"> מיום</w:t>
      </w:r>
      <w:r>
        <w:rPr>
          <w:rFonts w:ascii="David" w:hAnsi="David"/>
          <w:rtl/>
        </w:rPr>
        <w:t xml:space="preserve"> 3.5.2021).</w:t>
      </w:r>
      <w:r>
        <w:rPr>
          <w:rFonts w:ascii="David" w:hAnsi="David"/>
          <w:rtl/>
        </w:rPr>
        <w:tab/>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 xml:space="preserve">למותר לציין, כי לעת הגשת הסיכומים אין חולק כי לכל הפחות ואליבא דכולי עלמא, הסכמת המשביר לתנאי הוויתור, היא תנאי למתן הנחות בדמי השכירות למשביר. כך גם לגרסת המשביר בסיכומים. תנאי זה כלול בסיכום 25.2.2021 שמגלם לשיטת המשביר בסיכומיה את ההסכם המחייב, והמשביר אף טענה שם </w:t>
      </w:r>
      <w:r w:rsidRPr="00673CF6">
        <w:rPr>
          <w:rFonts w:ascii="David" w:hAnsi="David"/>
          <w:rtl/>
        </w:rPr>
        <w:t>כי התנאי קוים על ידה. כפי שיפורט להלן, קבעתי כי לא נכרת הסכם למתן הנחות למשביר בהעדר הסכמות וגמירות דעת להתקשר בהסכם, וגם דחיתי את הטענה שתנאי הוויתור קוים.</w:t>
      </w:r>
      <w:r>
        <w:rPr>
          <w:rFonts w:ascii="David" w:hAnsi="David"/>
          <w:rtl/>
        </w:rPr>
        <w:t xml:space="preserve"> משכך, התייתר הצורך לדון גם בשאלה אם תנאי </w:t>
      </w:r>
      <w:r>
        <w:rPr>
          <w:rFonts w:ascii="David" w:hAnsi="David"/>
          <w:rtl/>
        </w:rPr>
        <w:lastRenderedPageBreak/>
        <w:t>הפינוי מהווה אף הוא חלק מהתנאים המחייבים למתן הנחות למשביר בדמי השכירות או בשאלה אם נדרשת חתימה על התוספת כתנאי להשתכללות ההסכם.</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אציין עוד כי אין מחלוקת שהחל ממרץ 2021 שילמה המשביר את דמי השכירות השוטפים כפי שנקבעו בהסכם השכירות, בניכוי של 10% (ראו סעיף 79 לסיכומי המשביר). זאת, אף שגם לשיטתה, לא הייתה הסכמה לגבי הנחה זו. להזכיר, סיכום 25.2.2021 מתייחס רק לשנת 2021. עוד אתייחס לכך בהמשך.</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החל מיום 20 ליולי 2021 כבר "דיברו" הצדדים במכתבי התראה ומענה להם, באמצעות באי כוחם. אחרי פגישה נוספת שכשלה מיום 10.10.2021 (שריד, סעיף 137), הוגשה תביעה זו ביום 11.11.2021.</w:t>
      </w:r>
    </w:p>
    <w:p w:rsidR="00CD2861" w:rsidRDefault="00CD2861" w:rsidP="00CD2861">
      <w:pPr>
        <w:spacing w:line="360" w:lineRule="auto"/>
        <w:jc w:val="both"/>
        <w:rPr>
          <w:rFonts w:ascii="David" w:hAnsi="David"/>
        </w:rPr>
      </w:pPr>
      <w:r>
        <w:rPr>
          <w:rFonts w:ascii="David" w:hAnsi="David"/>
          <w:rtl/>
        </w:rPr>
        <w:t xml:space="preserve">  </w:t>
      </w: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 xml:space="preserve">כעת לטענות הצדדים בסיכומים. </w:t>
      </w:r>
    </w:p>
    <w:p w:rsidR="00CD2861" w:rsidRDefault="00CD2861" w:rsidP="00CD2861">
      <w:pPr>
        <w:spacing w:line="360" w:lineRule="auto"/>
        <w:jc w:val="both"/>
        <w:rPr>
          <w:rFonts w:ascii="David" w:hAnsi="David"/>
          <w:b/>
          <w:bCs/>
          <w:u w:val="single"/>
        </w:rPr>
      </w:pPr>
      <w:r>
        <w:rPr>
          <w:rFonts w:ascii="David" w:hAnsi="David"/>
          <w:rtl/>
        </w:rPr>
        <w:t xml:space="preserve"> </w:t>
      </w:r>
    </w:p>
    <w:p w:rsidR="00CD2861" w:rsidRDefault="00CD2861" w:rsidP="00CD2861">
      <w:pPr>
        <w:spacing w:line="276" w:lineRule="auto"/>
        <w:ind w:left="-58"/>
        <w:jc w:val="both"/>
        <w:rPr>
          <w:rFonts w:ascii="David" w:hAnsi="David"/>
          <w:b/>
          <w:bCs/>
          <w:sz w:val="26"/>
          <w:szCs w:val="26"/>
          <w:u w:val="single"/>
          <w:rtl/>
        </w:rPr>
      </w:pPr>
      <w:r>
        <w:rPr>
          <w:rFonts w:ascii="David" w:hAnsi="David"/>
          <w:b/>
          <w:bCs/>
          <w:sz w:val="26"/>
          <w:szCs w:val="26"/>
          <w:rtl/>
        </w:rPr>
        <w:t xml:space="preserve">ג. </w:t>
      </w:r>
      <w:r>
        <w:rPr>
          <w:rFonts w:ascii="David" w:hAnsi="David"/>
          <w:b/>
          <w:bCs/>
          <w:sz w:val="26"/>
          <w:szCs w:val="26"/>
          <w:u w:val="single"/>
          <w:rtl/>
        </w:rPr>
        <w:t>עיקרי המחלוקת וטענות הצדדים בסיכומיהם</w:t>
      </w:r>
    </w:p>
    <w:p w:rsidR="00CD2861" w:rsidRDefault="00CD2861" w:rsidP="00CD2861">
      <w:pPr>
        <w:spacing w:line="276" w:lineRule="auto"/>
        <w:ind w:left="-58"/>
        <w:jc w:val="both"/>
        <w:rPr>
          <w:rFonts w:ascii="David" w:hAnsi="David"/>
          <w:b/>
          <w:bCs/>
          <w:u w:val="single"/>
          <w:rtl/>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b/>
          <w:bCs/>
          <w:rtl/>
        </w:rPr>
        <w:t>השאלה העיקרית המתעוררת בגדר תביעה זו היא האם נכרת בין הצדדים הסכם מחייב שמכוחו זכאית המשביר להנחות בדמי שכירות, החל מחודש מרץ 2020</w:t>
      </w:r>
      <w:r>
        <w:rPr>
          <w:rFonts w:ascii="David" w:hAnsi="David"/>
          <w:rtl/>
        </w:rPr>
        <w:t>. המשביר (בסיכומיה) טוענת כי נכרת הסכם כאמור. נטען כי ההסכם גובש בפגישה מיום 18.1.2021 ועוגן בסיכום הפגישה מיום 25.2.2021, הוא נספח 17 לתצהיר כהן. התובעת</w:t>
      </w:r>
      <w:r>
        <w:rPr>
          <w:rFonts w:ascii="David" w:hAnsi="David"/>
          <w:b/>
          <w:bCs/>
          <w:rtl/>
        </w:rPr>
        <w:t xml:space="preserve"> </w:t>
      </w:r>
      <w:r>
        <w:rPr>
          <w:rFonts w:ascii="David" w:hAnsi="David"/>
          <w:rtl/>
        </w:rPr>
        <w:t>טוענת שהסכם שכזה לא נכרת, ועל כן ובהתאם להסכם השכירות, המשביר חייבת לשלם את מלוא דמי השכירות ובצירוף ריבית פיגורים לפי ההסכם.</w:t>
      </w:r>
    </w:p>
    <w:p w:rsidR="00CD2861" w:rsidRDefault="00CD2861" w:rsidP="00CD2861">
      <w:pPr>
        <w:spacing w:line="276" w:lineRule="auto"/>
        <w:jc w:val="both"/>
        <w:rPr>
          <w:rFonts w:ascii="David" w:hAnsi="David"/>
          <w:u w:val="single"/>
        </w:rPr>
      </w:pPr>
      <w:r>
        <w:rPr>
          <w:rFonts w:ascii="David" w:hAnsi="David"/>
          <w:rtl/>
        </w:rPr>
        <w:br/>
      </w:r>
      <w:r>
        <w:rPr>
          <w:rFonts w:ascii="David" w:hAnsi="David"/>
          <w:b/>
          <w:bCs/>
          <w:u w:val="single"/>
          <w:rtl/>
        </w:rPr>
        <w:t>ג.1 עיקרי טענות התובעת</w:t>
      </w:r>
    </w:p>
    <w:p w:rsidR="00CD2861" w:rsidRDefault="00CD2861" w:rsidP="00CD2861">
      <w:pPr>
        <w:spacing w:line="276" w:lineRule="auto"/>
        <w:jc w:val="both"/>
        <w:rPr>
          <w:rFonts w:ascii="David" w:hAnsi="David"/>
          <w:u w:val="single"/>
          <w:rtl/>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b/>
          <w:bCs/>
          <w:rtl/>
        </w:rPr>
        <w:t xml:space="preserve">לטענת התובעת בסיכומיה </w:t>
      </w:r>
      <w:r>
        <w:rPr>
          <w:rFonts w:ascii="David" w:hAnsi="David"/>
          <w:rtl/>
        </w:rPr>
        <w:t xml:space="preserve">יש לקבל את התביעה. גרסת התובעת כי לא נכרת בין הצדדים הסכם הוכחה כנדרש, ונסמכת בעיקר על מסמכים ותיעוד מזמן אמת, כמו גם על סתירות בחקירת עדי המשביר שהתגלו כלא אמינים, בעוד שעדות עדיה הייתה קוהרנטית ואמינה ולא נסתרה כלל. </w:t>
      </w:r>
    </w:p>
    <w:p w:rsidR="00CD2861" w:rsidRDefault="00CD2861" w:rsidP="00CD2861">
      <w:pPr>
        <w:spacing w:line="360" w:lineRule="auto"/>
        <w:jc w:val="both"/>
        <w:rPr>
          <w:rFonts w:ascii="David" w:hAnsi="David"/>
          <w:b/>
          <w:bCs/>
        </w:rPr>
      </w:pPr>
    </w:p>
    <w:p w:rsidR="00CD2861" w:rsidRDefault="00CD2861" w:rsidP="00673CF6">
      <w:pPr>
        <w:pStyle w:val="af"/>
        <w:numPr>
          <w:ilvl w:val="0"/>
          <w:numId w:val="2"/>
        </w:numPr>
        <w:spacing w:before="0" w:after="0" w:line="360" w:lineRule="auto"/>
        <w:ind w:left="509" w:hanging="567"/>
        <w:jc w:val="both"/>
        <w:rPr>
          <w:rFonts w:ascii="David" w:hAnsi="David"/>
          <w:rtl/>
        </w:rPr>
      </w:pPr>
      <w:r>
        <w:rPr>
          <w:rFonts w:ascii="David" w:hAnsi="David"/>
          <w:rtl/>
        </w:rPr>
        <w:t xml:space="preserve">לטענת התובעת, גרסת המשביר כי נכרת בין הצדדים הסכם שמקנה לה הנחה בדמי השכירות, הומצאה בדיעבד ונטענה לראשונה רק ביום 27.7.2021, במענה למכתב ההתראה שטרם הגשת תביעה זו. עד אז לא טענה המשביר שנחתם הסכם או שהושגה הסכמה מחייבת למתן הנחות. זאת, על אף הזדמנויות למכביר שהיו בידה, לפי הטענה, לטעון זאת (ופורטו בסיכומי התובעת). עוד נטען כי גרסת המשביר בעניין זה התפתחה והשתנתה לאורך ניהול ההליך. בכתב ההגנה באה גרסה עמומה. נאמר שההסכם נכרת בחודש פברואר 2021, בהמשך </w:t>
      </w:r>
      <w:r>
        <w:rPr>
          <w:rFonts w:ascii="David" w:hAnsi="David"/>
          <w:rtl/>
        </w:rPr>
        <w:lastRenderedPageBreak/>
        <w:t>לפגישות שהתקיימו בחודשים ינואר-פברואר 2021. בתצהיר עו"ד קוק נכתב, תוך שמירת "מרווח טיעון" לעתיד, כי בהמשך לפגישה מיום 28.1.2021 הוציאה כהן טיוטת סיכום דיון מיום 1.2.2021 שעו"ד קוק העירה לו ביום 15.2.2021; ומיד בהמשך נכתב שם, כי המשביר קיימה את חלקה בהסכם והתובעת התנערה ממנו. משתמע משם כי ההסכם הנטען נקשר בין 28.1.</w:t>
      </w:r>
      <w:r w:rsidR="00673CF6">
        <w:rPr>
          <w:rFonts w:ascii="David" w:hAnsi="David" w:hint="cs"/>
          <w:rtl/>
        </w:rPr>
        <w:t>2021</w:t>
      </w:r>
      <w:r>
        <w:rPr>
          <w:rFonts w:ascii="David" w:hAnsi="David"/>
          <w:rtl/>
        </w:rPr>
        <w:t xml:space="preserve"> לבין 15.2.2021. בשלב ההוכחות - לאחר שהמשביר הבינה כי לא תוכל להמשיך להתעלם מסיכום 25.2.2021, שמעיד על העדר הסכמות בין הצדדים - ביצעה המשביר שינוי חזית של ממש, שהתובעת התנגדה ומתנגדת לו, וצצה גרסה חדשה מנוגדת לקודמותיה, לפיה ההסכמות המחייבות עוגנו בסיכום 25.2.2021. </w:t>
      </w:r>
    </w:p>
    <w:p w:rsidR="00CD2861" w:rsidRDefault="00CD2861" w:rsidP="00CD2861">
      <w:pPr>
        <w:spacing w:line="360" w:lineRule="auto"/>
        <w:jc w:val="both"/>
        <w:rPr>
          <w:rFonts w:ascii="David" w:hAnsi="David"/>
        </w:rPr>
      </w:pPr>
    </w:p>
    <w:p w:rsidR="00CD2861" w:rsidRDefault="00CD2861" w:rsidP="00673CF6">
      <w:pPr>
        <w:pStyle w:val="af"/>
        <w:numPr>
          <w:ilvl w:val="0"/>
          <w:numId w:val="2"/>
        </w:numPr>
        <w:spacing w:before="0" w:after="0" w:line="360" w:lineRule="auto"/>
        <w:ind w:left="509" w:hanging="567"/>
        <w:jc w:val="both"/>
        <w:rPr>
          <w:rFonts w:ascii="David" w:hAnsi="David"/>
          <w:rtl/>
        </w:rPr>
      </w:pPr>
      <w:r>
        <w:rPr>
          <w:rFonts w:ascii="David" w:hAnsi="David"/>
          <w:rtl/>
        </w:rPr>
        <w:t>התובעת טוענת עוד, כי שינוי הגרסה הציב את המשביר בפני קושי חדש, שכן סיכום 25.2.2021 כולל את תנאי הוויתור, שהמשביר התנגדה לו כל העת</w:t>
      </w:r>
      <w:r w:rsidR="00673CF6">
        <w:rPr>
          <w:rFonts w:ascii="David" w:hAnsi="David" w:hint="cs"/>
          <w:rtl/>
        </w:rPr>
        <w:t xml:space="preserve"> וטענה</w:t>
      </w:r>
      <w:r>
        <w:rPr>
          <w:rFonts w:ascii="David" w:hAnsi="David"/>
          <w:rtl/>
        </w:rPr>
        <w:t xml:space="preserve"> בכתב ההגנה ובתצהיריה, </w:t>
      </w:r>
      <w:r w:rsidR="00673CF6">
        <w:rPr>
          <w:rFonts w:ascii="David" w:hAnsi="David" w:hint="cs"/>
          <w:rtl/>
        </w:rPr>
        <w:t xml:space="preserve">כי </w:t>
      </w:r>
      <w:r>
        <w:rPr>
          <w:rFonts w:ascii="David" w:hAnsi="David"/>
          <w:rtl/>
        </w:rPr>
        <w:t>היא מעולם לא הסכימה לו. כדי להתגבר על כך טענה המשביר כי בהמשך הדרך (לא הובהר מתי), המשביר הסכימה לתנאי הוויתור. טענה חדשה זו גם סותרת את כתב התביעה שכנגד, המבוסס על הטענה לשטח החסר. שינוי החזית אסור כשלעצמו ופוסל את הגרסה המאוחרת ובכל מקרה, לטענת התובעת, הגרסה נסתרת מהראיות האובייקטיביות. לטענת התובעת גרסה זו, שבאה לראשונה בחקירות, היא פרי תאום בהכנה לחקירות, לנוכח סיכום 25.2.2021; היא הומצאה בדיעבד, אין לה זכר בתצהירים, וסותרת את התצהירים ואמירות אחרות של עדי המשביר בחקירתם; ומשתלבת, כך נטען, בדרכם של האחרונים, שהרבו לטעון בחקירתם לסיכומים בעל פה כדי לעקוף מסמכים. כך נהגו לפי הטענה גם בניסיון להתמודד עם קושי אחר שעוררה הגרסה החדשה - העובדה שהמשביר התבקשה לא פעם לאשר את סיכום 25.2.2021, אך נמנעה מלעשות זאת. עדי המשביר טענו שהסיכום אושר בדרך אחרת. אך המשביר לא טענה בזמן אמת שכבר קיים הסכם מחייב ועל כן אין היא נדרשת לחתום על הסכם וכיוצ"ב טענות. כמו כן, סיכום 25.2.2021 דן רק בשנת 2020, בעוד ש</w:t>
      </w:r>
      <w:r w:rsidR="00673CF6">
        <w:rPr>
          <w:rFonts w:ascii="David" w:hAnsi="David" w:hint="cs"/>
          <w:rtl/>
        </w:rPr>
        <w:t>ב</w:t>
      </w:r>
      <w:r>
        <w:rPr>
          <w:rFonts w:ascii="David" w:hAnsi="David"/>
          <w:rtl/>
        </w:rPr>
        <w:t xml:space="preserve">פועל המשביר נטלה לה הנחות עד לחודש נובמבר 2021, כך שתוכן ההסכם הנטען אינו תואם את התנהגות המשביר בפועל, ומוכיח אף הוא שלא נקשר הסכם.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בנוסף טוענת התובעת כי סיכום 25.2.2021 הוא סיכום מסחרי לא ממצה, של פגישה שבה הועלו אך ורק נושאים שהנתבעת, אשר יזמה את הפגישה, בחרה להעלות. לכן גם לא עלה שם נושא הפינוי. אין זה סיכום משפטי מחייב כי אם סיכום מסחרי (כפי שגם ציינה עו"ד קוק בסעיף 64 לתצהיר). התובעת הקפידה כל העת לשלוח הסכם משפטי לחתימה לצורך גיבוש הסכמות מחייבות, קרי: תוספת להסכם שמנוסחת על ידי עורך דין. זאת, הן קודם לפגישה מיום 28.1.2021 והן לאחריה, בכל פעם שחשבה שיש התקדמות במשא ומתן. כן חזרה התובעת על טענותיה בכתב התשובה כי בנסיבות העניין, אין בשיקים בקופונים ובחשבוניות שהוצאו כדי ללמד על גיבוש הסכמה מחייבת. נטען גם כי לא הוכח שנמסרו קופונים לצורך קיום הסיכום, אם נמסרו - לא נמסרו במועד הנקוב בו, ועו"ד קוק אף העידה שהם בוטלו.</w:t>
      </w:r>
    </w:p>
    <w:p w:rsidR="00CD2861" w:rsidRDefault="00CD2861" w:rsidP="00CD2861">
      <w:pPr>
        <w:spacing w:line="360" w:lineRule="auto"/>
        <w:jc w:val="both"/>
        <w:rPr>
          <w:rFonts w:ascii="David" w:hAnsi="David"/>
        </w:rPr>
      </w:pPr>
    </w:p>
    <w:p w:rsidR="00CD2861" w:rsidRDefault="00CD2861" w:rsidP="00CD2861">
      <w:pPr>
        <w:spacing w:line="276" w:lineRule="auto"/>
        <w:ind w:left="-58"/>
        <w:jc w:val="both"/>
        <w:rPr>
          <w:rFonts w:ascii="David" w:hAnsi="David"/>
          <w:b/>
          <w:bCs/>
          <w:u w:val="single"/>
        </w:rPr>
      </w:pPr>
      <w:r>
        <w:rPr>
          <w:rFonts w:ascii="David" w:hAnsi="David"/>
          <w:b/>
          <w:bCs/>
          <w:u w:val="single"/>
          <w:rtl/>
        </w:rPr>
        <w:t>ג.2 עיקרי טענות המשביר</w:t>
      </w:r>
    </w:p>
    <w:p w:rsidR="00CD2861" w:rsidRDefault="00CD2861" w:rsidP="00CD2861">
      <w:pPr>
        <w:pStyle w:val="af"/>
        <w:spacing w:line="276" w:lineRule="auto"/>
        <w:rPr>
          <w:rFonts w:ascii="David" w:hAnsi="David"/>
          <w:b/>
          <w:bCs/>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b/>
          <w:bCs/>
          <w:rtl/>
        </w:rPr>
        <w:t>המשביר בסיכומיה</w:t>
      </w:r>
      <w:r>
        <w:rPr>
          <w:rFonts w:ascii="David" w:hAnsi="David"/>
          <w:rtl/>
        </w:rPr>
        <w:t xml:space="preserve"> כינתה את סיכום 25.2.2021 (נספח 17 לכהן) "</w:t>
      </w:r>
      <w:r>
        <w:rPr>
          <w:rFonts w:ascii="David" w:hAnsi="David"/>
          <w:b/>
          <w:bCs/>
          <w:rtl/>
        </w:rPr>
        <w:t>מסמך הסיכום</w:t>
      </w:r>
      <w:r>
        <w:rPr>
          <w:rFonts w:ascii="David" w:hAnsi="David"/>
          <w:rtl/>
        </w:rPr>
        <w:t>" או "</w:t>
      </w:r>
      <w:r>
        <w:rPr>
          <w:rFonts w:ascii="David" w:hAnsi="David"/>
          <w:b/>
          <w:bCs/>
          <w:rtl/>
        </w:rPr>
        <w:t>סיכום אזוריט</w:t>
      </w:r>
      <w:r>
        <w:rPr>
          <w:rFonts w:ascii="David" w:hAnsi="David"/>
          <w:rtl/>
        </w:rPr>
        <w:t>". את הפגישה מיום 28.1.2021</w:t>
      </w:r>
      <w:r>
        <w:rPr>
          <w:rFonts w:ascii="David" w:hAnsi="David"/>
          <w:b/>
          <w:bCs/>
          <w:rtl/>
        </w:rPr>
        <w:t xml:space="preserve"> </w:t>
      </w:r>
      <w:r>
        <w:rPr>
          <w:rFonts w:ascii="David" w:hAnsi="David"/>
          <w:rtl/>
        </w:rPr>
        <w:t>כינתה "</w:t>
      </w:r>
      <w:r>
        <w:rPr>
          <w:rFonts w:ascii="David" w:hAnsi="David"/>
          <w:b/>
          <w:bCs/>
          <w:rtl/>
        </w:rPr>
        <w:t>פגישת ינואר</w:t>
      </w:r>
      <w:r>
        <w:rPr>
          <w:rFonts w:ascii="David" w:hAnsi="David"/>
          <w:rtl/>
        </w:rPr>
        <w:t>".</w:t>
      </w:r>
      <w:r>
        <w:rPr>
          <w:rFonts w:ascii="David" w:hAnsi="David"/>
          <w:b/>
          <w:bCs/>
          <w:rtl/>
        </w:rPr>
        <w:t xml:space="preserve"> </w:t>
      </w:r>
      <w:r>
        <w:rPr>
          <w:rFonts w:ascii="David" w:hAnsi="David"/>
          <w:rtl/>
        </w:rPr>
        <w:t>לשיטתה שם, השאלה שבמחלוקת היא "</w:t>
      </w:r>
      <w:r>
        <w:rPr>
          <w:rFonts w:ascii="David" w:hAnsi="David"/>
          <w:b/>
          <w:bCs/>
          <w:rtl/>
        </w:rPr>
        <w:t>האם סיכום אזוריט מהווה הסכם מחייב ככזה, או שמא הפיכתו להסכם מחייב חייבה חתימה על 'הסכם משפטי', כהגדרת אזוריט"?</w:t>
      </w:r>
      <w:r>
        <w:rPr>
          <w:rFonts w:ascii="David" w:hAnsi="David"/>
          <w:rtl/>
        </w:rPr>
        <w:t xml:space="preserve"> ולטענתה, במענה לשאלה זו, "</w:t>
      </w:r>
      <w:r>
        <w:rPr>
          <w:rFonts w:ascii="David" w:hAnsi="David"/>
          <w:b/>
          <w:bCs/>
          <w:rtl/>
        </w:rPr>
        <w:t>הצדדים גמרו בדעתם להתקשר בהסכם שגובש בפגישת ינואר</w:t>
      </w:r>
      <w:r>
        <w:rPr>
          <w:rFonts w:ascii="David" w:hAnsi="David"/>
          <w:rtl/>
        </w:rPr>
        <w:t xml:space="preserve"> </w:t>
      </w:r>
      <w:r>
        <w:rPr>
          <w:rFonts w:ascii="David" w:hAnsi="David"/>
          <w:b/>
          <w:bCs/>
          <w:rtl/>
        </w:rPr>
        <w:t>ועוגן בסיכום אזוריט</w:t>
      </w:r>
      <w:r>
        <w:rPr>
          <w:rFonts w:ascii="David" w:hAnsi="David"/>
          <w:rtl/>
        </w:rPr>
        <w:t xml:space="preserve">."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לטענת המשביר, אין יסוד לטענה כי גיבוש ההסכמות מותנה בחתימה על תוספת להסכם. "</w:t>
      </w:r>
      <w:r>
        <w:rPr>
          <w:rFonts w:ascii="David" w:hAnsi="David"/>
          <w:b/>
          <w:bCs/>
          <w:rtl/>
        </w:rPr>
        <w:t>תוכנו וסגנונו של סיכום אזוריט מלמדים על קיומו של הסכם מלא</w:t>
      </w:r>
      <w:r>
        <w:rPr>
          <w:rFonts w:ascii="David" w:hAnsi="David"/>
          <w:rtl/>
        </w:rPr>
        <w:t>" שכן לא צוין בו כי ההסכמות מותנות בחתימה על הסכם משפטי (כפי שנרשם למשל באותו סיכום ביחס להסכמות מסוימות במושכרים אחרים); העובדה שמדובר בסיכום מסחרי, אין בה כדי לגרוע מתוקפו המשפטי; וגם קיום הסיכום בפועל מהווה אינדיקציה לגמירות הדעת להתקשר בהסכמות הכלולות בו.  כך, מלוא התשלומים לפי ההסכמות בפגישת ינואר שולמו וחשבון המשביר זוכה בהתאם (ולא "על חשבון"). כמו כן, נמסרו קופונים בגובה מחצית דמי השכירות לחודש מרץ 2020 ולשיטת המשביר, אף די בדרישת התובעת לקופונים כשלעצמה כדי ללמד על אומד דעתה של התובעת וגמירות הדעת מצדה  להתקשר בסיכום המחייב.</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לטענת המשביר בסיכומיה היא קיימה גם את תנאי הוויתור על הטענות בעניין השטח – במה דברים אמורים? סיכום 25.2.2021, כך נטען, הוא קבלה מלאה של הערות עו"ד קוק מיום 15.2.2021 (לנוסח 1.2.2021 של הסיכום), זולת תנאי הוויתור. לטענתה, תנאי זה "לא דובר ולא הוסכם" בישיבה ולכן נמחק ע"י עו"ד קוק בהערותיה. עם זאת  לפי הטענה בסיכומים "</w:t>
      </w:r>
      <w:r>
        <w:rPr>
          <w:rFonts w:ascii="David" w:hAnsi="David"/>
          <w:b/>
          <w:bCs/>
          <w:rtl/>
        </w:rPr>
        <w:t>על אף שהדבר לא דובר ולא הוסכם, למן קבלת סיכום אזוריט כהגדרתו, לא דחתה המשביר את תנאי ויתור השטח, לא תבעה מכוח טענותיה מאומה ולא העלתה זאת עד להגשת התביעה שבכותרת ..."</w:t>
      </w:r>
      <w:r>
        <w:rPr>
          <w:rFonts w:ascii="David" w:hAnsi="David"/>
          <w:rtl/>
        </w:rPr>
        <w:t xml:space="preserve">. עוד נטען שם, כי התובעת בטענתה שהמשביר מעולם לא הסכימה לתנאי זה, מטעה ביחס לציר הזמן. הנושא אמנם לא נדון בישיבה ולא היה חלק מההסכמה, אך כפי שטענו עדי המשביר "... </w:t>
      </w:r>
      <w:r>
        <w:rPr>
          <w:rFonts w:ascii="David" w:hAnsi="David"/>
          <w:b/>
          <w:bCs/>
          <w:rtl/>
        </w:rPr>
        <w:t>משעה שהגיעו הצדדים להבנות רחבות ביחס לתקופת הקורונה וההנחות, כיבדה המשביר את סיכום אזוריט לעניין תנאי ויתור השטח, הגם שלא נידון (ובשפה החוזית, קיבלה קיבול בשינוי שנעשה על ידי אזוריט). [...] כל שטוענת המשביר, שהיא לא נתנה הסכמתה מעולם, לא דנה בכך בפגישת ינואר [...] ובכל זאת תנאי זה מצא דרכו לסיכום אזוריט ובעל כורחה, התקבל על ידי המשביר. כל ניסיון לעוות את הדברים ולציירם כסתירה הוא ניסיון פסול ובהכרח מיותר</w:t>
      </w:r>
      <w:r>
        <w:rPr>
          <w:rFonts w:ascii="David" w:hAnsi="David"/>
          <w:rtl/>
        </w:rPr>
        <w:t>" (סעיף 44 לסיכומים).</w:t>
      </w:r>
    </w:p>
    <w:p w:rsidR="00CD2861" w:rsidRDefault="00CD2861" w:rsidP="00CD2861">
      <w:pPr>
        <w:spacing w:line="360" w:lineRule="auto"/>
        <w:jc w:val="both"/>
        <w:rPr>
          <w:rFonts w:ascii="David" w:hAnsi="David"/>
        </w:rPr>
      </w:pPr>
    </w:p>
    <w:p w:rsidR="00CD2861" w:rsidRDefault="00CD2861" w:rsidP="00673CF6">
      <w:pPr>
        <w:pStyle w:val="af"/>
        <w:numPr>
          <w:ilvl w:val="0"/>
          <w:numId w:val="2"/>
        </w:numPr>
        <w:spacing w:before="0" w:after="0" w:line="360" w:lineRule="auto"/>
        <w:ind w:left="509" w:hanging="567"/>
        <w:jc w:val="both"/>
        <w:rPr>
          <w:rFonts w:ascii="David" w:hAnsi="David"/>
          <w:rtl/>
        </w:rPr>
      </w:pPr>
      <w:r>
        <w:rPr>
          <w:rFonts w:ascii="David" w:hAnsi="David"/>
          <w:rtl/>
        </w:rPr>
        <w:lastRenderedPageBreak/>
        <w:t xml:space="preserve">נטען כי אף תכתובת הווטצאפ בין שריד לחסאן מלמדת על גמירות דעת מלאה וכריתת הסכם ללא צורך בהסכם נוסף. כמו כן, לטענת המשביר, אין כל משמעות לאי אישור סיכום הפגישה במענה לפניות כהן. דומה הדבר, כך נטען, לדין החל ביחס לשכלולו הסכם בהעדר חתימה, עד שלשיטת המשביר, פסק הדין בע"א 692/86 </w:t>
      </w:r>
      <w:r>
        <w:rPr>
          <w:rFonts w:ascii="David" w:hAnsi="David"/>
          <w:b/>
          <w:bCs/>
          <w:rtl/>
        </w:rPr>
        <w:t>בוטקובסקי נ' גת</w:t>
      </w:r>
      <w:r>
        <w:rPr>
          <w:rFonts w:ascii="David" w:hAnsi="David"/>
          <w:rtl/>
        </w:rPr>
        <w:t>, כאילו נכתב לעניינ</w:t>
      </w:r>
      <w:r w:rsidR="00B709D9">
        <w:rPr>
          <w:rFonts w:ascii="David" w:hAnsi="David" w:hint="cs"/>
          <w:rtl/>
        </w:rPr>
        <w:t>נ</w:t>
      </w:r>
      <w:r>
        <w:rPr>
          <w:rFonts w:ascii="David" w:hAnsi="David"/>
          <w:rtl/>
        </w:rPr>
        <w:t>ו. המשביר בסיכומיה סבורה כי גם כאן (כמו באותו עניין)</w:t>
      </w:r>
      <w:r>
        <w:rPr>
          <w:rFonts w:ascii="David" w:hAnsi="David"/>
        </w:rPr>
        <w:t xml:space="preserve"> </w:t>
      </w:r>
      <w:r>
        <w:rPr>
          <w:rFonts w:ascii="David" w:hAnsi="David"/>
          <w:rtl/>
        </w:rPr>
        <w:t>הנסיבות שאפפו את כתיבת המסמך והתנהגות הצדדים, מעידים שבעריכתו נשלמה כריתת החוזה; ודרישת האישור של הסיכום היא יותר עניין של "סדר וארגון" ואינה בעלת משמעות משעה שההסכם קוים.</w:t>
      </w:r>
    </w:p>
    <w:p w:rsidR="00CD2861" w:rsidRDefault="00CD2861" w:rsidP="00CD2861">
      <w:pPr>
        <w:spacing w:line="360" w:lineRule="auto"/>
        <w:jc w:val="both"/>
        <w:rPr>
          <w:rFonts w:ascii="David" w:hAnsi="David"/>
        </w:rPr>
      </w:pPr>
    </w:p>
    <w:p w:rsidR="00CD2861" w:rsidRDefault="00CD2861" w:rsidP="00B709D9">
      <w:pPr>
        <w:pStyle w:val="af"/>
        <w:numPr>
          <w:ilvl w:val="0"/>
          <w:numId w:val="2"/>
        </w:numPr>
        <w:spacing w:before="0" w:after="0" w:line="360" w:lineRule="auto"/>
        <w:ind w:left="509" w:hanging="567"/>
        <w:jc w:val="both"/>
        <w:rPr>
          <w:rFonts w:ascii="David" w:hAnsi="David"/>
          <w:rtl/>
        </w:rPr>
      </w:pPr>
      <w:r>
        <w:rPr>
          <w:rFonts w:ascii="David" w:hAnsi="David"/>
          <w:rtl/>
        </w:rPr>
        <w:t>אשר למה שכינתה המשביר "דיאלוג המאוחר" או "הדיאלוג המתחדש" בין הצדדים באפריל-מאי 2021 (לאחר סיכום 25.2.2021), אשר במסגרתו הועברו טיוטות התוספת השישית והשביעית להסכם (בחודשים מאי ויוני 2021, בהתאמה)</w:t>
      </w:r>
      <w:r>
        <w:rPr>
          <w:rFonts w:ascii="David" w:hAnsi="David"/>
        </w:rPr>
        <w:t xml:space="preserve"> </w:t>
      </w:r>
      <w:r>
        <w:rPr>
          <w:rFonts w:ascii="David" w:hAnsi="David"/>
          <w:rtl/>
        </w:rPr>
        <w:t xml:space="preserve">– לטענת המשביר, אין במשא ומתן זה כדי לגרוע מכך שסיכום 25.2.2021 הוא הסכם מחייב. נטען כי למן הודעת עו"ד כשר מיום 26.1.2021 שהטיוטות מבוטלות, לא עמדה כל תוספת על הפרק; והדרישה לחתום על תוספת להסכם התעוררה שוב סביב החזרה לשולחן הדיונים באפריל-מאי 2021, בשל </w:t>
      </w:r>
      <w:r w:rsidR="00B709D9">
        <w:rPr>
          <w:rFonts w:ascii="David" w:hAnsi="David" w:hint="cs"/>
          <w:rtl/>
        </w:rPr>
        <w:t xml:space="preserve">בקשת </w:t>
      </w:r>
      <w:r>
        <w:rPr>
          <w:rFonts w:ascii="David" w:hAnsi="David"/>
          <w:rtl/>
        </w:rPr>
        <w:t>המשביר לקבל "</w:t>
      </w:r>
      <w:r>
        <w:rPr>
          <w:rFonts w:ascii="David" w:hAnsi="David"/>
          <w:b/>
          <w:bCs/>
          <w:rtl/>
        </w:rPr>
        <w:t>הנחת שוטף</w:t>
      </w:r>
      <w:r>
        <w:rPr>
          <w:rFonts w:ascii="David" w:hAnsi="David"/>
          <w:rtl/>
        </w:rPr>
        <w:t>" בשיעור של 10% בתשלומים השוטפים המשולמים מדי חודשו בחודשו, לאחר הסדרת נושא הקורונה, החל מחודש מרץ 2021 ועד סוף דצמבר 2021, שלגביה הודיעה מליסרון כי תינתן רק בכפוף לחתימה על התוספת. זאת, להבדיל מ"</w:t>
      </w:r>
      <w:r>
        <w:rPr>
          <w:rFonts w:ascii="David" w:hAnsi="David"/>
          <w:b/>
          <w:bCs/>
          <w:rtl/>
        </w:rPr>
        <w:t>תשלומי הקורונה</w:t>
      </w:r>
      <w:r>
        <w:rPr>
          <w:rFonts w:ascii="David" w:hAnsi="David"/>
          <w:rtl/>
        </w:rPr>
        <w:t>" "שהוסדרו במלואם" לרבות ינואר-פברואר 2021. בהמשך לכך, כך לטענת המשביר, יש לדחות את טענת התובעת שכל ההנחות היו מותנות בחתימה על התוספת והסכמה לתנאים שהציבה. כמו גם את טענת התובעת שלמשביר היו הזדמנויות רבות לטעון לקיומו של הסכם והיא לא עשתה כן. הזדמנויות אלה אינן רלבנטיות לשיטת המשביר להסכם 25.2.2021. באשר לעובדה שטיוטות התוספת (כולן)</w:t>
      </w:r>
      <w:r>
        <w:rPr>
          <w:rFonts w:ascii="David" w:hAnsi="David"/>
        </w:rPr>
        <w:t xml:space="preserve"> </w:t>
      </w:r>
      <w:r>
        <w:rPr>
          <w:rFonts w:ascii="David" w:hAnsi="David"/>
          <w:rtl/>
        </w:rPr>
        <w:t>מתייחסות לכלל ההנחות החל ממרץ 2020, לרבות ל"תשלומי הקורונה", ציינה המשביר כי "</w:t>
      </w:r>
      <w:r>
        <w:rPr>
          <w:rFonts w:ascii="David" w:hAnsi="David"/>
          <w:b/>
          <w:bCs/>
          <w:rtl/>
        </w:rPr>
        <w:t>כל שניתן להניח הוא ש'על הדרך' מתייחסים גם להנחות עבר, אבל אין בכך כדי להוריד כהוא זה מהסכם שהתגבש וקיום</w:t>
      </w:r>
      <w:r>
        <w:rPr>
          <w:rFonts w:ascii="David" w:hAnsi="David"/>
          <w:rtl/>
        </w:rPr>
        <w:t>" (סעיף 91 לסיכומים).</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המשביר טענה גם כי החוב שנתבע לא הוכח. על מנת שלא להלאות בחזרה על הדברים,  טענות מפורטות יותר יבואו לפי העניין והצורך במסגרת הדיון בסכום החוב.</w:t>
      </w:r>
    </w:p>
    <w:p w:rsidR="00CD2861" w:rsidRDefault="00CD2861" w:rsidP="00CD2861">
      <w:pPr>
        <w:spacing w:line="360" w:lineRule="auto"/>
        <w:jc w:val="both"/>
        <w:rPr>
          <w:rFonts w:ascii="David" w:hAnsi="David"/>
        </w:rPr>
      </w:pPr>
    </w:p>
    <w:p w:rsidR="00CD2861" w:rsidRDefault="00CD2861" w:rsidP="00CD2861">
      <w:pPr>
        <w:jc w:val="both"/>
        <w:rPr>
          <w:rFonts w:ascii="David" w:hAnsi="David"/>
          <w:b/>
          <w:bCs/>
          <w:sz w:val="26"/>
          <w:szCs w:val="26"/>
          <w:u w:val="single"/>
          <w:rtl/>
        </w:rPr>
      </w:pPr>
      <w:r>
        <w:rPr>
          <w:rFonts w:ascii="David" w:hAnsi="David"/>
          <w:b/>
          <w:bCs/>
          <w:sz w:val="26"/>
          <w:szCs w:val="26"/>
          <w:u w:val="single"/>
          <w:rtl/>
        </w:rPr>
        <w:t>ד. תביעת אזו-ריט – דיון והכרעה</w:t>
      </w:r>
    </w:p>
    <w:p w:rsidR="00CD2861" w:rsidRDefault="00CD2861" w:rsidP="00CD2861">
      <w:pPr>
        <w:jc w:val="both"/>
        <w:rPr>
          <w:rFonts w:ascii="David" w:hAnsi="David"/>
          <w:b/>
          <w:bCs/>
          <w:u w:val="single"/>
          <w:rtl/>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b/>
          <w:bCs/>
          <w:rtl/>
        </w:rPr>
        <w:t>כאמור, לאחר ששמעתי את הראיות ועיינתי בכל החומר שהונח לפניי, אני מקבלת את התביעה בתיק העיקרי</w:t>
      </w:r>
      <w:r>
        <w:rPr>
          <w:rFonts w:ascii="David" w:hAnsi="David"/>
          <w:rtl/>
        </w:rPr>
        <w:t>. להלן נימוקיי;</w:t>
      </w:r>
    </w:p>
    <w:p w:rsidR="00CD2861" w:rsidRDefault="00CD2861" w:rsidP="00CD2861">
      <w:pPr>
        <w:spacing w:line="360" w:lineRule="auto"/>
        <w:jc w:val="both"/>
        <w:rPr>
          <w:rFonts w:ascii="David" w:hAnsi="David"/>
        </w:rPr>
      </w:pPr>
    </w:p>
    <w:p w:rsidR="00CD2861" w:rsidRDefault="00CD2861" w:rsidP="00B709D9">
      <w:pPr>
        <w:pStyle w:val="af"/>
        <w:numPr>
          <w:ilvl w:val="0"/>
          <w:numId w:val="2"/>
        </w:numPr>
        <w:spacing w:before="0" w:after="0" w:line="360" w:lineRule="auto"/>
        <w:ind w:left="509" w:hanging="567"/>
        <w:jc w:val="both"/>
        <w:rPr>
          <w:rFonts w:ascii="David" w:hAnsi="David"/>
        </w:rPr>
      </w:pPr>
      <w:r>
        <w:rPr>
          <w:rFonts w:ascii="David" w:hAnsi="David"/>
          <w:rtl/>
        </w:rPr>
        <w:t xml:space="preserve">אני מעדיפה את גרסת אזו-ריט ומליסרון, שהוכחה כדבעי, ולפיה במסגרת המשא ומתן שהתנהל בין הצדדים לא הושגו הסכמות שהבשילו לכדי הסכם מחייב למתן הנחות למשביר </w:t>
      </w:r>
      <w:r>
        <w:rPr>
          <w:rFonts w:ascii="David" w:hAnsi="David"/>
          <w:rtl/>
        </w:rPr>
        <w:lastRenderedPageBreak/>
        <w:t>בתשלום דמי השכירות. גרסה זו הייתה קוהרנטית, עמדה במבחן החקירה הנגדית ומתיישבת עם כלל הראיות, המסמכים והתנהלות הצדדים בזמן אמת. מאידך גיסא, גרסת המשביר (בחקירות הנגדיות של עדיה ובסיכומיה), כי הצדדים גמרו בדעתם להתקשר בסיכום 25.2.2021, שמעגן הסכמות שגובשו בפגישה מיום 28.1.2021; וטענתה כי אף הסכימה לוותר על טענותיה בעניין שטח המושכר ותנאי זה קוים אף הוא</w:t>
      </w:r>
      <w:r>
        <w:rPr>
          <w:rFonts w:ascii="David" w:hAnsi="David"/>
          <w:b/>
          <w:bCs/>
          <w:rtl/>
        </w:rPr>
        <w:t xml:space="preserve"> – </w:t>
      </w:r>
      <w:r>
        <w:rPr>
          <w:rFonts w:ascii="David" w:hAnsi="David"/>
          <w:rtl/>
        </w:rPr>
        <w:t>לא הייתה משכנעת. מעבר לכך שמדובר בשינוי חזית אסור, המצדיק כשלעצמו את דחיית הגרסה, גרסת המשביר לא הייתה מהימנה עליי, לוקה בחוסר קוהרנטי</w:t>
      </w:r>
      <w:r w:rsidR="00B709D9">
        <w:rPr>
          <w:rFonts w:ascii="David" w:hAnsi="David" w:hint="cs"/>
          <w:rtl/>
        </w:rPr>
        <w:t>ו</w:t>
      </w:r>
      <w:r>
        <w:rPr>
          <w:rFonts w:ascii="David" w:hAnsi="David"/>
          <w:rtl/>
        </w:rPr>
        <w:t>ת ואינה עולה בקנה אחד עם כלל הראיות. זוהי גרסה כבושה וניכר היה כי מדובר בגרסה מתגלגלת שהתפתחה במהלך ניהול ההליך, וביתר שאת במסגרת החקירות הנגדיות של עדי המשביר. דומני</w:t>
      </w:r>
      <w:r w:rsidR="00B709D9">
        <w:rPr>
          <w:rFonts w:ascii="David" w:hAnsi="David" w:hint="cs"/>
          <w:rtl/>
        </w:rPr>
        <w:t>,</w:t>
      </w:r>
      <w:r>
        <w:rPr>
          <w:rFonts w:ascii="David" w:hAnsi="David"/>
          <w:rtl/>
        </w:rPr>
        <w:t xml:space="preserve"> כי </w:t>
      </w:r>
      <w:r w:rsidR="00B709D9">
        <w:rPr>
          <w:rFonts w:ascii="David" w:hAnsi="David" w:hint="cs"/>
          <w:rtl/>
        </w:rPr>
        <w:t xml:space="preserve">הדברים עולים בברור </w:t>
      </w:r>
      <w:r>
        <w:rPr>
          <w:rFonts w:ascii="David" w:hAnsi="David"/>
          <w:rtl/>
        </w:rPr>
        <w:t>כבר מתוך שהובא עד כאן. אולם לא אסתפק בכך ואוסיף ואפרט להלן.</w:t>
      </w:r>
    </w:p>
    <w:p w:rsidR="00CD2861" w:rsidRDefault="00CD2861" w:rsidP="00CD2861">
      <w:pPr>
        <w:spacing w:line="360" w:lineRule="auto"/>
        <w:jc w:val="both"/>
        <w:rPr>
          <w:rFonts w:ascii="David" w:hAnsi="David"/>
        </w:rPr>
      </w:pPr>
    </w:p>
    <w:p w:rsidR="00CD2861" w:rsidRDefault="00CD2861" w:rsidP="00CD2861">
      <w:pPr>
        <w:spacing w:line="276" w:lineRule="auto"/>
        <w:ind w:left="-58"/>
        <w:jc w:val="both"/>
        <w:rPr>
          <w:rFonts w:ascii="David" w:hAnsi="David"/>
          <w:u w:val="single"/>
        </w:rPr>
      </w:pPr>
      <w:r>
        <w:rPr>
          <w:rFonts w:ascii="David" w:hAnsi="David"/>
          <w:b/>
          <w:bCs/>
          <w:rtl/>
        </w:rPr>
        <w:t xml:space="preserve">ד.1 </w:t>
      </w:r>
      <w:r>
        <w:rPr>
          <w:rFonts w:ascii="David" w:hAnsi="David"/>
          <w:b/>
          <w:bCs/>
          <w:u w:val="single"/>
          <w:rtl/>
        </w:rPr>
        <w:t>גרסה כבושה ושינוי חזית אסור בטענה שסיכום 25.2.2021 הוא הסכם מחייב; ובטענה שהמשביר הסכימה לתנאי הוויתור הכלול בו, ואף הוא התקיים</w:t>
      </w:r>
      <w:r>
        <w:rPr>
          <w:rFonts w:ascii="David" w:hAnsi="David"/>
          <w:u w:val="single"/>
          <w:rtl/>
        </w:rPr>
        <w:t xml:space="preserve"> </w:t>
      </w:r>
    </w:p>
    <w:p w:rsidR="00CD2861" w:rsidRDefault="00CD2861" w:rsidP="00CD2861">
      <w:pPr>
        <w:spacing w:line="276" w:lineRule="auto"/>
        <w:ind w:left="-58"/>
        <w:jc w:val="both"/>
        <w:rPr>
          <w:rFonts w:ascii="David" w:hAnsi="David"/>
          <w:u w:val="single"/>
          <w:rtl/>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מכל שהובא לעיל בסקירת כתבי הטענות, התצהירים והמסמכים, ברי כי גרסת המשביר בסיכומיה היא שינוי חזית. לנוחות הדיון אקבץ כאן שוב את עיקרי הדברים.</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b/>
          <w:bCs/>
          <w:rtl/>
        </w:rPr>
        <w:t>גרסה ראשונה</w:t>
      </w:r>
      <w:r>
        <w:rPr>
          <w:rFonts w:ascii="David" w:hAnsi="David"/>
          <w:rtl/>
        </w:rPr>
        <w:t xml:space="preserve"> באה </w:t>
      </w:r>
      <w:r>
        <w:rPr>
          <w:rFonts w:ascii="David" w:hAnsi="David"/>
          <w:b/>
          <w:bCs/>
          <w:u w:val="single"/>
          <w:rtl/>
        </w:rPr>
        <w:t>כתב ההגנה</w:t>
      </w:r>
      <w:r>
        <w:rPr>
          <w:rFonts w:ascii="David" w:hAnsi="David"/>
          <w:rtl/>
        </w:rPr>
        <w:t>. הרחבתי בתיאור טענות המשביר בכתב ההגנה, ולא בכדי. לפי כתב ההגנה לאורך כל הדרך עמדה המשביר בתוקף על סירובה לשני התנאים, עד שלבסוף נזנח הניסיון "הפסול" להחתים את המשביר על תוספת להסכם, ומשנזנח, על יסוד פגישות בחודשים ינואר-פברואר 2021 - הגיעו הצדדים, בחודש פברואר</w:t>
      </w:r>
      <w:r w:rsidR="00B709D9">
        <w:rPr>
          <w:rFonts w:ascii="David" w:hAnsi="David" w:hint="cs"/>
          <w:rtl/>
        </w:rPr>
        <w:t xml:space="preserve"> 2021</w:t>
      </w:r>
      <w:r>
        <w:rPr>
          <w:rFonts w:ascii="David" w:hAnsi="David"/>
          <w:rtl/>
        </w:rPr>
        <w:t xml:space="preserve">, להסכמות עסקיות מחייבות שעוגנו </w:t>
      </w:r>
      <w:r>
        <w:rPr>
          <w:rFonts w:ascii="David" w:hAnsi="David"/>
          <w:b/>
          <w:bCs/>
          <w:rtl/>
        </w:rPr>
        <w:t>בטבלת ההנחות מיום 3.2.2021</w:t>
      </w:r>
      <w:r>
        <w:rPr>
          <w:rFonts w:ascii="David" w:hAnsi="David"/>
          <w:rtl/>
        </w:rPr>
        <w:t>, לחודשים מרץ 2020 עד פברואר 2021. אחר כך, במסגרת</w:t>
      </w:r>
      <w:r>
        <w:rPr>
          <w:rFonts w:ascii="David" w:hAnsi="David"/>
          <w:b/>
          <w:bCs/>
          <w:rtl/>
        </w:rPr>
        <w:t xml:space="preserve"> פרק ב' של ההסכמות</w:t>
      </w:r>
      <w:r>
        <w:rPr>
          <w:rFonts w:ascii="David" w:hAnsi="David"/>
          <w:rtl/>
        </w:rPr>
        <w:t>, "המשיכו הצדדים-כמנהגם", ו</w:t>
      </w:r>
      <w:r>
        <w:rPr>
          <w:rFonts w:ascii="David" w:hAnsi="David"/>
          <w:b/>
          <w:bCs/>
          <w:rtl/>
        </w:rPr>
        <w:t>בחודש יוני 2021</w:t>
      </w:r>
      <w:r>
        <w:rPr>
          <w:rFonts w:ascii="David" w:hAnsi="David"/>
          <w:rtl/>
        </w:rPr>
        <w:t>, סוכם על פטור בתקופת הסגר בינואר-פברואר 2021</w:t>
      </w:r>
      <w:r>
        <w:rPr>
          <w:rFonts w:ascii="David" w:hAnsi="David"/>
        </w:rPr>
        <w:t xml:space="preserve"> </w:t>
      </w:r>
      <w:r>
        <w:rPr>
          <w:rFonts w:ascii="David" w:hAnsi="David"/>
          <w:rtl/>
        </w:rPr>
        <w:t xml:space="preserve">והנחה של 10% עד סוף 2021. בסוף יולי חזרה בה מליסרון מההסכמות, ניסתה לכפות על המשביר את התוספת על שני התנאים, וביטלה את ההנחות עד לסוף 2021 (ס' 114 לכתב ההגנה). </w:t>
      </w:r>
    </w:p>
    <w:p w:rsidR="00CD2861" w:rsidRDefault="00CD2861" w:rsidP="00CD2861">
      <w:pPr>
        <w:spacing w:line="360" w:lineRule="auto"/>
        <w:jc w:val="both"/>
        <w:rPr>
          <w:rFonts w:ascii="David" w:hAnsi="David"/>
        </w:rPr>
      </w:pPr>
    </w:p>
    <w:p w:rsidR="00CD2861" w:rsidRDefault="00CD2861" w:rsidP="00B709D9">
      <w:pPr>
        <w:pStyle w:val="af"/>
        <w:numPr>
          <w:ilvl w:val="0"/>
          <w:numId w:val="2"/>
        </w:numPr>
        <w:spacing w:before="0" w:after="0" w:line="360" w:lineRule="auto"/>
        <w:ind w:left="509" w:hanging="567"/>
        <w:jc w:val="both"/>
        <w:rPr>
          <w:rFonts w:ascii="David" w:hAnsi="David"/>
          <w:rtl/>
        </w:rPr>
      </w:pPr>
      <w:r>
        <w:rPr>
          <w:rFonts w:ascii="David" w:hAnsi="David"/>
          <w:b/>
          <w:bCs/>
          <w:rtl/>
        </w:rPr>
        <w:t>גרסה שניה</w:t>
      </w:r>
      <w:r>
        <w:rPr>
          <w:rFonts w:ascii="David" w:hAnsi="David"/>
          <w:rtl/>
        </w:rPr>
        <w:t xml:space="preserve"> מצויה </w:t>
      </w:r>
      <w:r>
        <w:rPr>
          <w:rFonts w:ascii="David" w:hAnsi="David"/>
          <w:b/>
          <w:bCs/>
          <w:u w:val="single"/>
          <w:rtl/>
        </w:rPr>
        <w:t>בתצהירים</w:t>
      </w:r>
      <w:r>
        <w:rPr>
          <w:rFonts w:ascii="David" w:hAnsi="David"/>
          <w:rtl/>
        </w:rPr>
        <w:t xml:space="preserve">. גם בתצהירים נטען שהמשביר לא הסכימה מעולם לתנאי הוויתור; כי הושגו הסכמות עסקיות מחייבות שאינן כוללות תנאי זה, והתובעת התנערה מההסכמות לאחר שפעלו לפיהם. </w:t>
      </w:r>
      <w:r>
        <w:rPr>
          <w:rFonts w:ascii="David" w:hAnsi="David"/>
          <w:b/>
          <w:bCs/>
          <w:rtl/>
        </w:rPr>
        <w:t xml:space="preserve">הגרסאות שונות </w:t>
      </w:r>
      <w:r>
        <w:rPr>
          <w:rFonts w:ascii="David" w:hAnsi="David"/>
          <w:rtl/>
        </w:rPr>
        <w:t>בעניינים הבאים: (</w:t>
      </w:r>
      <w:r>
        <w:rPr>
          <w:rFonts w:ascii="David" w:hAnsi="David"/>
          <w:b/>
          <w:bCs/>
          <w:rtl/>
        </w:rPr>
        <w:t>1</w:t>
      </w:r>
      <w:r>
        <w:rPr>
          <w:rFonts w:ascii="David" w:hAnsi="David"/>
          <w:rtl/>
        </w:rPr>
        <w:t>) לפי התצהירים, ההסכמות המחייבות מעוגנות בסיכום 1.2.20</w:t>
      </w:r>
      <w:r w:rsidR="00B709D9">
        <w:rPr>
          <w:rFonts w:ascii="David" w:hAnsi="David" w:hint="cs"/>
          <w:rtl/>
        </w:rPr>
        <w:t>2</w:t>
      </w:r>
      <w:r>
        <w:rPr>
          <w:rFonts w:ascii="David" w:hAnsi="David"/>
          <w:rtl/>
        </w:rPr>
        <w:t>1, בצירוף טבלת ההנחות מיום 3.2.2021 והערות המשביר מיום 15.2.2021. בעוד שבכתב ההגנה נטען, כי הן מעוגנות בטבלת ההנחות כשהיא לבדה. (</w:t>
      </w:r>
      <w:r>
        <w:rPr>
          <w:rFonts w:ascii="David" w:hAnsi="David"/>
          <w:b/>
          <w:bCs/>
          <w:rtl/>
        </w:rPr>
        <w:t>2</w:t>
      </w:r>
      <w:r>
        <w:rPr>
          <w:rFonts w:ascii="David" w:hAnsi="David"/>
          <w:rtl/>
        </w:rPr>
        <w:t xml:space="preserve">) נפקד מהתצהירים תיאור פרק ב' של ההסכמות הנטענות כפי שהופיע בכתב ההגנה. למעשה, אין למשביר בתצהיריה כל גרסה באשר להנחות לשנת 2021. אזכיר שוב כי סיכום 1.2.2021 כלל מלכתחילה רק את ינואר-פברואר 2021 ולבקשת המשביר הוסרו אף הם </w:t>
      </w:r>
      <w:r>
        <w:rPr>
          <w:rFonts w:ascii="David" w:hAnsi="David"/>
          <w:rtl/>
        </w:rPr>
        <w:lastRenderedPageBreak/>
        <w:t>מהטבלה (ואינם מצויים גם בסיכום 25.2.2021). עובדה זו, יש לומר, מקשה, גם היא, כשלעצמה, על קבלת גרסתה של המשביר לגופה. עוד יש לציין את המובן מאליו, כי חילופי ב"כ המשביר בשלב שלאחר הגשת כתבי הטענות, אינם יכולים להצדיק שינויי גרסה או הרחבת חזית.</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b/>
          <w:bCs/>
          <w:u w:val="single"/>
          <w:rtl/>
        </w:rPr>
        <w:t>בסיכומים</w:t>
      </w:r>
      <w:r>
        <w:rPr>
          <w:rFonts w:ascii="David" w:hAnsi="David"/>
        </w:rPr>
        <w:t xml:space="preserve"> </w:t>
      </w:r>
      <w:r>
        <w:rPr>
          <w:rFonts w:ascii="David" w:hAnsi="David"/>
          <w:rtl/>
        </w:rPr>
        <w:t xml:space="preserve">באה גרסה נוספת, </w:t>
      </w:r>
      <w:r>
        <w:rPr>
          <w:rFonts w:ascii="David" w:hAnsi="David"/>
          <w:b/>
          <w:bCs/>
          <w:rtl/>
        </w:rPr>
        <w:t>גרסה שלישית</w:t>
      </w:r>
      <w:r>
        <w:rPr>
          <w:rFonts w:ascii="David" w:hAnsi="David"/>
          <w:rtl/>
        </w:rPr>
        <w:t>, שיסודה בגרסת עדי המשביר בחקירות הנגדיות. זו שונה מקודמותיה בעיקר בשני אלה: (</w:t>
      </w:r>
      <w:r>
        <w:rPr>
          <w:rFonts w:ascii="David" w:hAnsi="David"/>
          <w:b/>
          <w:bCs/>
          <w:rtl/>
        </w:rPr>
        <w:t>1</w:t>
      </w:r>
      <w:r>
        <w:rPr>
          <w:rFonts w:ascii="David" w:hAnsi="David"/>
          <w:rtl/>
        </w:rPr>
        <w:t>) בשונה מכתב ההגנה והתצהירים, בסיכומים נטען כי "</w:t>
      </w:r>
      <w:r>
        <w:rPr>
          <w:rFonts w:ascii="David" w:hAnsi="David"/>
          <w:b/>
          <w:bCs/>
          <w:rtl/>
        </w:rPr>
        <w:t>הצדדים גמרו בדעתם להתקשר בהסכם שגובש בפגישה ינואר</w:t>
      </w:r>
      <w:r>
        <w:rPr>
          <w:rFonts w:ascii="David" w:hAnsi="David"/>
          <w:rtl/>
        </w:rPr>
        <w:t xml:space="preserve"> [הפגישה מיום 28.1.2021] </w:t>
      </w:r>
      <w:r>
        <w:rPr>
          <w:rFonts w:ascii="David" w:hAnsi="David"/>
          <w:b/>
          <w:bCs/>
          <w:rtl/>
        </w:rPr>
        <w:t>ועוגן בסיכום אזוריט</w:t>
      </w:r>
      <w:r>
        <w:rPr>
          <w:rFonts w:ascii="David" w:hAnsi="David"/>
          <w:rtl/>
        </w:rPr>
        <w:t xml:space="preserve"> [סיכום 25.2.2021]." (</w:t>
      </w:r>
      <w:r>
        <w:rPr>
          <w:rFonts w:ascii="David" w:hAnsi="David"/>
          <w:b/>
          <w:bCs/>
          <w:rtl/>
        </w:rPr>
        <w:t>2</w:t>
      </w:r>
      <w:r>
        <w:rPr>
          <w:rFonts w:ascii="David" w:hAnsi="David"/>
          <w:rtl/>
        </w:rPr>
        <w:t xml:space="preserve">) כאמור, תנאי הוויתור הוא תנאי להנחות לפי סיכום 25.2.2021 ובהמשך לכך, טענה המשביר בסיכומיה כי הסכימה גם לתנאי הוויתור, ואף הוא קוים (ראו פרק </w:t>
      </w:r>
      <w:r>
        <w:rPr>
          <w:rFonts w:ascii="David" w:hAnsi="David"/>
        </w:rPr>
        <w:t>IV</w:t>
      </w:r>
      <w:r>
        <w:rPr>
          <w:rFonts w:ascii="David" w:hAnsi="David"/>
          <w:rtl/>
        </w:rPr>
        <w:t xml:space="preserve"> לסיכומים: "</w:t>
      </w:r>
      <w:r>
        <w:rPr>
          <w:rFonts w:ascii="David" w:hAnsi="David"/>
          <w:b/>
          <w:bCs/>
          <w:rtl/>
        </w:rPr>
        <w:t>הוכח, כי גם הוויתור על תנאי השטח – קוים(!)</w:t>
      </w:r>
      <w:r>
        <w:rPr>
          <w:rFonts w:ascii="David" w:hAnsi="David"/>
          <w:rtl/>
        </w:rPr>
        <w:t>".</w:t>
      </w:r>
      <w:r>
        <w:rPr>
          <w:rFonts w:ascii="David" w:hAnsi="David"/>
          <w:b/>
          <w:bCs/>
          <w:rtl/>
        </w:rPr>
        <w:t xml:space="preserve"> </w:t>
      </w:r>
      <w:r>
        <w:rPr>
          <w:rFonts w:ascii="David" w:hAnsi="David"/>
          <w:rtl/>
        </w:rPr>
        <w:t>שינוי החזית בסיכומים</w:t>
      </w:r>
      <w:r>
        <w:rPr>
          <w:rFonts w:ascii="David" w:hAnsi="David"/>
        </w:rPr>
        <w:t xml:space="preserve"> </w:t>
      </w:r>
      <w:r>
        <w:rPr>
          <w:rFonts w:ascii="David" w:hAnsi="David"/>
          <w:rtl/>
        </w:rPr>
        <w:t xml:space="preserve">הוא, אפוא, כפול ובחלקו אף מכופל, הן </w:t>
      </w:r>
      <w:r>
        <w:rPr>
          <w:rFonts w:ascii="David" w:hAnsi="David"/>
          <w:b/>
          <w:bCs/>
          <w:rtl/>
        </w:rPr>
        <w:t>בטענה שסיכום 25.2.2021 של הפגישה מיום 28.1.2021 הוא הסכם מחייב שמעגן את הסכמות הצדדים שגובשו בפגישה</w:t>
      </w:r>
      <w:r>
        <w:rPr>
          <w:rFonts w:ascii="David" w:hAnsi="David"/>
          <w:rtl/>
        </w:rPr>
        <w:t xml:space="preserve"> (ולא טבלת ההנחות מיום 3.2.2021, כגרסת כתב ההגנה, או סיכום 28.1.2021 בצירוף טבלת ההנחות וההערות מיום 15.2.2021, כגרסת התצהירים); והן </w:t>
      </w:r>
      <w:r>
        <w:rPr>
          <w:rFonts w:ascii="David" w:hAnsi="David"/>
          <w:b/>
          <w:bCs/>
          <w:rtl/>
        </w:rPr>
        <w:t xml:space="preserve">בטענה שהמשביר הסכימה לוותר על טענותיה בעניין השטח ואף תנאי זה קוים </w:t>
      </w:r>
      <w:r>
        <w:rPr>
          <w:rFonts w:ascii="David" w:hAnsi="David"/>
          <w:rtl/>
        </w:rPr>
        <w:t>(בניגוד לגרסה האחידה בעניין זה, בכתב ההגנה ובתצהירים, כי המשביר מעולם לא הסכימה לכך). המשביר טענה בסיכומיה כי התובעת בהתייחסותה לעניין זה, מטעה ביחס לציר הזמן, שכן המשביר אמנם התנגדה לתנאי זה והנושא אף לא נדון בישיבה מיום 28.1.2021, אך התנגדותה לתנאי הוסרה בהמשך הדרך, והיא הסכימה לו. אני דוחה את הטענה, שעה שבכתב ההגנה או בתצהירים (ועד שהועלתה הטענה לראשונה במסגרת החקירות הנגדיות), לא הועלתה הטענה שהמשביר הסכימה בשלב כלשהו לתנאי הוויתור, ולו ברמז. לאבחנה הנטענת על פני ציר הזמן אין זכר בכתב ההגנה או בתצהירים, אין היא מעוגנת בחומר הראיות כדבעי (אם בכלל) ולא הוכחה. למצער, מדובר כפי שכבר ציינתי, בהרחבת חזית אסורה.</w:t>
      </w:r>
    </w:p>
    <w:p w:rsidR="00CD2861" w:rsidRDefault="00CD2861" w:rsidP="00CD2861">
      <w:pPr>
        <w:spacing w:line="360" w:lineRule="auto"/>
        <w:jc w:val="both"/>
        <w:rPr>
          <w:rFonts w:ascii="David" w:hAnsi="David"/>
        </w:rPr>
      </w:pPr>
    </w:p>
    <w:p w:rsidR="00CD2861" w:rsidRDefault="00CD2861" w:rsidP="00B709D9">
      <w:pPr>
        <w:pStyle w:val="af"/>
        <w:numPr>
          <w:ilvl w:val="0"/>
          <w:numId w:val="2"/>
        </w:numPr>
        <w:spacing w:before="0" w:after="0" w:line="360" w:lineRule="auto"/>
        <w:ind w:left="509" w:hanging="567"/>
        <w:jc w:val="both"/>
        <w:rPr>
          <w:rFonts w:ascii="David" w:hAnsi="David"/>
          <w:rtl/>
        </w:rPr>
      </w:pPr>
      <w:r>
        <w:rPr>
          <w:rFonts w:ascii="David" w:hAnsi="David"/>
          <w:rtl/>
        </w:rPr>
        <w:t xml:space="preserve">ודוק: </w:t>
      </w:r>
      <w:r>
        <w:rPr>
          <w:rFonts w:ascii="David" w:hAnsi="David"/>
          <w:b/>
          <w:bCs/>
          <w:rtl/>
        </w:rPr>
        <w:t>סיכום 25.2.2021 לא נזכר בכתב ההגנה</w:t>
      </w:r>
      <w:r>
        <w:rPr>
          <w:rFonts w:ascii="David" w:hAnsi="David"/>
          <w:rtl/>
        </w:rPr>
        <w:t xml:space="preserve">. </w:t>
      </w:r>
      <w:r>
        <w:rPr>
          <w:rFonts w:ascii="David" w:hAnsi="David"/>
          <w:b/>
          <w:bCs/>
          <w:rtl/>
        </w:rPr>
        <w:t xml:space="preserve">הוא לא נזכר גם בתצהירי המשביר </w:t>
      </w:r>
      <w:r>
        <w:rPr>
          <w:rFonts w:ascii="David" w:hAnsi="David"/>
          <w:rtl/>
        </w:rPr>
        <w:t>(הגם שבשלב שהוגשו כבר צורף סיכום זה בנספח 17 לתצהיר כהן);</w:t>
      </w:r>
      <w:r>
        <w:rPr>
          <w:rFonts w:ascii="David" w:hAnsi="David"/>
          <w:b/>
          <w:bCs/>
          <w:rtl/>
        </w:rPr>
        <w:t xml:space="preserve"> ובוודאי שלא יוחסה לו שם חשיבות מיוחדת כלשהי, אם בכלל.</w:t>
      </w:r>
      <w:r>
        <w:rPr>
          <w:rFonts w:ascii="David" w:hAnsi="David"/>
          <w:rtl/>
        </w:rPr>
        <w:t xml:space="preserve"> </w:t>
      </w:r>
      <w:r>
        <w:rPr>
          <w:rFonts w:ascii="David" w:hAnsi="David"/>
          <w:b/>
          <w:bCs/>
          <w:rtl/>
        </w:rPr>
        <w:t>במהלך החקירות הנגדיות של עדי המשביר ובמיוחד בסיכומיה, סיכום 25.2.2021 הפך כמעט חזות הכל.</w:t>
      </w:r>
      <w:r>
        <w:rPr>
          <w:rFonts w:ascii="David" w:hAnsi="David"/>
          <w:rtl/>
        </w:rPr>
        <w:t xml:space="preserve"> להזכיר, תיאור המסמכים והתכתובות בין הצדדים לאחר הפגישה מיום 28.1.2021 בתצהירי המשביר, מסתיים בהערות מיום 15.2.2021 לסיכום 1.2.2021. זהו שינוי חזית חד ולא "רק" "העברת המשקל" ממסמך זה לאחר וכיוצ"ב או דקדוקי עניות של "יום ושעה בו נולד ההסכם" (כטענת המשביר בסיכומים). לפי סיכומי המשביר, סיכום 25.2.2021 הוא</w:t>
      </w:r>
      <w:r w:rsidR="00B709D9">
        <w:rPr>
          <w:rFonts w:ascii="David" w:hAnsi="David" w:hint="cs"/>
          <w:rtl/>
        </w:rPr>
        <w:t xml:space="preserve"> בוודאי</w:t>
      </w:r>
      <w:r>
        <w:rPr>
          <w:rFonts w:ascii="David" w:hAnsi="David"/>
          <w:rtl/>
        </w:rPr>
        <w:t xml:space="preserve"> מסמך מהותי שצריך היה להזכיר במפורש בכתב ההגנה ואף לצרפו (ראו תקנות 13(ב), 14, 15(א)(1) לתקנות). מכל מקום, הטענה שסיכום 25.2.2021 הוא הסכם מחייב</w:t>
      </w:r>
      <w:r>
        <w:rPr>
          <w:rFonts w:ascii="David" w:hAnsi="David"/>
          <w:b/>
          <w:bCs/>
          <w:rtl/>
        </w:rPr>
        <w:t xml:space="preserve">, </w:t>
      </w:r>
      <w:r>
        <w:rPr>
          <w:rFonts w:ascii="David" w:hAnsi="David"/>
          <w:rtl/>
        </w:rPr>
        <w:t xml:space="preserve">לא מתיישבת עם ההתעלמות ממנו עד למועד שהחליטה </w:t>
      </w:r>
      <w:r>
        <w:rPr>
          <w:rFonts w:ascii="David" w:hAnsi="David"/>
          <w:rtl/>
        </w:rPr>
        <w:lastRenderedPageBreak/>
        <w:t xml:space="preserve">המשביר להפנות אליו את הזרקור לראשונה במהלך החקירות הנגדיות. </w:t>
      </w:r>
      <w:r>
        <w:rPr>
          <w:rFonts w:ascii="David" w:hAnsi="David"/>
          <w:b/>
          <w:bCs/>
          <w:rtl/>
        </w:rPr>
        <w:t xml:space="preserve">היעדרו מטענות המשביר בכתב ההגנה וההתעלמות ממנו גם בתצהיריה, מדברים בעד עצמם ומחזקים את המסקנה כי בזמן אמת (ואף עד לשלב מאוחר בהליך), לא סברה המשביר </w:t>
      </w:r>
      <w:r w:rsidR="00B709D9">
        <w:rPr>
          <w:rFonts w:ascii="David" w:hAnsi="David" w:hint="cs"/>
          <w:b/>
          <w:bCs/>
          <w:rtl/>
        </w:rPr>
        <w:t>ש</w:t>
      </w:r>
      <w:r>
        <w:rPr>
          <w:rFonts w:ascii="David" w:hAnsi="David"/>
          <w:b/>
          <w:bCs/>
          <w:rtl/>
        </w:rPr>
        <w:t xml:space="preserve">מסמך זה מעגן הסכמות מחייבות שהושגו בין הצדדים (שכלל לא עלה בידה להוכיח </w:t>
      </w:r>
      <w:r w:rsidR="00B709D9">
        <w:rPr>
          <w:rFonts w:ascii="David" w:hAnsi="David" w:hint="cs"/>
          <w:b/>
          <w:bCs/>
          <w:rtl/>
        </w:rPr>
        <w:t xml:space="preserve">כי אמנם </w:t>
      </w:r>
      <w:r>
        <w:rPr>
          <w:rFonts w:ascii="David" w:hAnsi="David"/>
          <w:b/>
          <w:bCs/>
          <w:rtl/>
        </w:rPr>
        <w:t>הושגו)</w:t>
      </w:r>
      <w:r>
        <w:rPr>
          <w:rFonts w:ascii="David" w:hAnsi="David"/>
          <w:rtl/>
        </w:rPr>
        <w:t xml:space="preserve">.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אדייק ואציין כי לסיכום 25.2.2021 יש נוכחות עקיפה בכתב ההגנה. אך זאת באופן שפועל לרעת המשביר. כך; בכתב ההגנה נטען שמליסרון ניסתה בחוסר תום לב "</w:t>
      </w:r>
      <w:r>
        <w:rPr>
          <w:rFonts w:ascii="David" w:hAnsi="David"/>
          <w:b/>
          <w:bCs/>
          <w:rtl/>
        </w:rPr>
        <w:t>במסגרת סיכומי הפגישות משנת 2021</w:t>
      </w:r>
      <w:r>
        <w:rPr>
          <w:rFonts w:ascii="David" w:hAnsi="David"/>
          <w:rtl/>
        </w:rPr>
        <w:t>" "לדחוף" סעיף חדש בעניין שטח המושכר לאחר שהיא הבינה שקיימת בעיה עם השטח (סעיפים 102-103). לביסוס הטענה הפנתה המשביר ל"</w:t>
      </w:r>
      <w:r>
        <w:rPr>
          <w:rFonts w:ascii="David" w:hAnsi="David"/>
          <w:b/>
          <w:bCs/>
          <w:rtl/>
        </w:rPr>
        <w:t>העתק צילומי מטיוטת סיכום פגישה שהוחלפו בין הצדדים במהלך חודשים ינואר עד פברואר 2021</w:t>
      </w:r>
      <w:r>
        <w:rPr>
          <w:rFonts w:ascii="David" w:hAnsi="David"/>
          <w:rtl/>
        </w:rPr>
        <w:t xml:space="preserve">" שבנספח 15 לכתב ההגנה. מצוי שם מסמך אחד בלבד, </w:t>
      </w:r>
      <w:r>
        <w:rPr>
          <w:rFonts w:ascii="David" w:hAnsi="David"/>
          <w:b/>
          <w:bCs/>
          <w:rtl/>
        </w:rPr>
        <w:t>נושא תאריך 25.2.2021</w:t>
      </w:r>
      <w:r>
        <w:rPr>
          <w:rFonts w:ascii="David" w:hAnsi="David"/>
          <w:rtl/>
        </w:rPr>
        <w:t>, הנה הוא:</w:t>
      </w:r>
    </w:p>
    <w:p w:rsidR="00CD2861" w:rsidRDefault="00CD2861" w:rsidP="00CD2861">
      <w:pPr>
        <w:pStyle w:val="af"/>
        <w:rPr>
          <w:rFonts w:ascii="David" w:hAnsi="David"/>
        </w:rPr>
      </w:pPr>
    </w:p>
    <w:p w:rsidR="00CD2861" w:rsidRDefault="00CD2861" w:rsidP="00CD2861">
      <w:pPr>
        <w:spacing w:line="360" w:lineRule="auto"/>
        <w:jc w:val="both"/>
        <w:rPr>
          <w:rFonts w:ascii="David" w:hAnsi="David"/>
          <w:rtl/>
        </w:rPr>
      </w:pPr>
      <w:r>
        <w:rPr>
          <w:rFonts w:ascii="Garamond" w:hAnsi="Garamond"/>
          <w:rtl/>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9525</wp:posOffset>
                </wp:positionV>
                <wp:extent cx="5276850" cy="4724400"/>
                <wp:effectExtent l="0" t="0" r="19050" b="19050"/>
                <wp:wrapNone/>
                <wp:docPr id="6" name="תיבת טקסט 6"/>
                <wp:cNvGraphicFramePr/>
                <a:graphic xmlns:a="http://schemas.openxmlformats.org/drawingml/2006/main">
                  <a:graphicData uri="http://schemas.microsoft.com/office/word/2010/wordprocessingShape">
                    <wps:wsp>
                      <wps:cNvSpPr txBox="1"/>
                      <wps:spPr>
                        <a:xfrm>
                          <a:off x="0" y="0"/>
                          <a:ext cx="5276850" cy="4724400"/>
                        </a:xfrm>
                        <a:prstGeom prst="rect">
                          <a:avLst/>
                        </a:prstGeom>
                        <a:solidFill>
                          <a:schemeClr val="lt1"/>
                        </a:solidFill>
                        <a:ln w="6350">
                          <a:solidFill>
                            <a:prstClr val="black"/>
                          </a:solidFill>
                        </a:ln>
                      </wps:spPr>
                      <wps:txbx>
                        <w:txbxContent>
                          <w:p w:rsidR="00CD2861" w:rsidRDefault="00CD2861" w:rsidP="00CD2861">
                            <w:pPr>
                              <w:jc w:val="center"/>
                            </w:pPr>
                            <w:r>
                              <w:rPr>
                                <w:rFonts w:asciiTheme="minorHAnsi" w:hAnsiTheme="minorHAnsi" w:cstheme="minorBidi"/>
                                <w:sz w:val="20"/>
                                <w:szCs w:val="20"/>
                              </w:rPr>
                              <w:drawing>
                                <wp:inline distT="0" distB="0" distL="0" distR="0">
                                  <wp:extent cx="4867275" cy="4333875"/>
                                  <wp:effectExtent l="0" t="0" r="9525" b="9525"/>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67275" cy="43338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6" o:spid="_x0000_s1027" type="#_x0000_t202" style="position:absolute;left:0;text-align:left;margin-left:-.75pt;margin-top:.75pt;width:415.5pt;height:3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" fillcolor="white [3201]" strokeweight=".5pt">
                <v:textbox>
                  <w:txbxContent>
                    <w:p w:rsidR="00CD2861" w:rsidRDefault="00CD2861" w:rsidP="00CD2861">
                      <w:pPr>
                        <w:jc w:val="center"/>
                      </w:pPr>
                      <w:r>
                        <w:rPr>
                          <w:rFonts w:asciiTheme="minorHAnsi" w:hAnsiTheme="minorHAnsi" w:cstheme="minorBidi"/>
                          <w:sz w:val="20"/>
                          <w:szCs w:val="20"/>
                        </w:rPr>
                        <w:drawing>
                          <wp:inline distT="0" distB="0" distL="0" distR="0">
                            <wp:extent cx="4867275" cy="4333875"/>
                            <wp:effectExtent l="0" t="0" r="9525" b="9525"/>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67275" cy="4333875"/>
                                    </a:xfrm>
                                    <a:prstGeom prst="rect">
                                      <a:avLst/>
                                    </a:prstGeom>
                                    <a:noFill/>
                                    <a:ln>
                                      <a:noFill/>
                                    </a:ln>
                                  </pic:spPr>
                                </pic:pic>
                              </a:graphicData>
                            </a:graphic>
                          </wp:inline>
                        </w:drawing>
                      </w:r>
                    </w:p>
                  </w:txbxContent>
                </v:textbox>
              </v:shape>
            </w:pict>
          </mc:Fallback>
        </mc:AlternateContent>
      </w:r>
    </w:p>
    <w:p w:rsidR="00CD2861" w:rsidRDefault="00CD2861" w:rsidP="00CD2861">
      <w:pPr>
        <w:spacing w:line="360" w:lineRule="auto"/>
        <w:jc w:val="both"/>
        <w:rPr>
          <w:rFonts w:ascii="David" w:hAnsi="David"/>
        </w:rPr>
      </w:pPr>
    </w:p>
    <w:p w:rsidR="00CD2861" w:rsidRDefault="00CD2861" w:rsidP="00CD2861">
      <w:pPr>
        <w:spacing w:line="360" w:lineRule="auto"/>
        <w:jc w:val="both"/>
        <w:rPr>
          <w:rFonts w:ascii="David" w:hAnsi="David"/>
        </w:rPr>
      </w:pPr>
    </w:p>
    <w:p w:rsidR="00CD2861" w:rsidRDefault="00CD2861" w:rsidP="00CD2861">
      <w:pPr>
        <w:spacing w:line="360" w:lineRule="auto"/>
        <w:jc w:val="both"/>
        <w:rPr>
          <w:rFonts w:ascii="David" w:hAnsi="David"/>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p>
    <w:p w:rsidR="00CD2861" w:rsidRDefault="00CD2861" w:rsidP="00CD2861">
      <w:pPr>
        <w:spacing w:line="360" w:lineRule="auto"/>
        <w:jc w:val="both"/>
        <w:rPr>
          <w:rFonts w:ascii="David" w:hAnsi="David"/>
          <w:rtl/>
        </w:rPr>
      </w:pPr>
      <w:r>
        <w:rPr>
          <w:rFonts w:ascii="David" w:hAnsi="David"/>
          <w:rtl/>
        </w:rPr>
        <w:lastRenderedPageBreak/>
        <w:t xml:space="preserve">הערה: המסמך הועתק כתמונה מנספחי כתב ההגנה, וכך הוא מופיע במקור. </w:t>
      </w:r>
    </w:p>
    <w:p w:rsidR="00CD2861" w:rsidRDefault="00CD2861" w:rsidP="00CD2861">
      <w:pPr>
        <w:spacing w:line="360" w:lineRule="auto"/>
        <w:jc w:val="both"/>
        <w:rPr>
          <w:rFonts w:ascii="David" w:hAnsi="David"/>
        </w:rPr>
      </w:pPr>
    </w:p>
    <w:p w:rsidR="00CD2861" w:rsidRDefault="00CD2861" w:rsidP="00B709D9">
      <w:pPr>
        <w:pStyle w:val="af"/>
        <w:numPr>
          <w:ilvl w:val="0"/>
          <w:numId w:val="2"/>
        </w:numPr>
        <w:spacing w:before="0" w:after="0" w:line="360" w:lineRule="auto"/>
        <w:ind w:left="509" w:hanging="567"/>
        <w:jc w:val="both"/>
        <w:rPr>
          <w:rFonts w:ascii="David" w:hAnsi="David"/>
        </w:rPr>
      </w:pPr>
      <w:r>
        <w:rPr>
          <w:rFonts w:ascii="David" w:hAnsi="David"/>
          <w:rtl/>
        </w:rPr>
        <w:t>עינ</w:t>
      </w:r>
      <w:r w:rsidR="00B709D9">
        <w:rPr>
          <w:rFonts w:ascii="David" w:hAnsi="David" w:hint="cs"/>
          <w:rtl/>
        </w:rPr>
        <w:t>י</w:t>
      </w:r>
      <w:r>
        <w:rPr>
          <w:rFonts w:ascii="David" w:hAnsi="David"/>
          <w:rtl/>
        </w:rPr>
        <w:t>נו הרואות: מדובר</w:t>
      </w:r>
      <w:r>
        <w:rPr>
          <w:rFonts w:ascii="David" w:hAnsi="David"/>
          <w:b/>
          <w:bCs/>
          <w:rtl/>
        </w:rPr>
        <w:t xml:space="preserve"> בהערות של המשביר לסיכום 25.2.2021</w:t>
      </w:r>
      <w:r>
        <w:rPr>
          <w:rFonts w:ascii="David" w:hAnsi="David"/>
          <w:rtl/>
        </w:rPr>
        <w:t>. התיקונים שהתבקשו שומטים את הקרקע תחת הטענה הכבושה שסיכום 25.2.2021 הוא הסכם מחייב; ותחת הטענה שהמשביר הסכימה לתנאים בו. בפרט, נסתרת מעיון בו טענת המשביר בסיכומיה, כי הסכימה לתנאי הוויתור בכך ש</w:t>
      </w:r>
      <w:r>
        <w:rPr>
          <w:rFonts w:ascii="David" w:hAnsi="David"/>
          <w:b/>
          <w:bCs/>
          <w:rtl/>
        </w:rPr>
        <w:t>"למן קבלת סיכום אזוריט, כהגדרתו, לא דחתה המשביר את תנאי ויתור השטח"</w:t>
      </w:r>
      <w:r>
        <w:rPr>
          <w:rFonts w:ascii="David" w:hAnsi="David"/>
          <w:rtl/>
        </w:rPr>
        <w:t xml:space="preserve">. לא מצאתי בראיות המשביר או בסיכומיה, כל התייחסות למסמך זה (שהמשביר עצמה, כזכור, צירפה לכתב ההגנה כדי ללמד מהם המסמכים </w:t>
      </w:r>
      <w:r>
        <w:rPr>
          <w:rFonts w:ascii="David" w:hAnsi="David"/>
          <w:u w:val="single"/>
          <w:rtl/>
        </w:rPr>
        <w:t>שלא היו מוסכמים עליה</w:t>
      </w:r>
      <w:r>
        <w:rPr>
          <w:rFonts w:ascii="David" w:hAnsi="David"/>
          <w:rtl/>
        </w:rPr>
        <w:t>), והמשביר ולא עשתה כל ניסיון ליישבו עם טענותיה (הכבושות)</w:t>
      </w:r>
      <w:r>
        <w:rPr>
          <w:rFonts w:ascii="David" w:hAnsi="David"/>
        </w:rPr>
        <w:t xml:space="preserve"> </w:t>
      </w:r>
      <w:r>
        <w:rPr>
          <w:rFonts w:ascii="David" w:hAnsi="David"/>
          <w:rtl/>
        </w:rPr>
        <w:t>או לשלבו בה</w:t>
      </w:r>
      <w:r w:rsidR="00B709D9">
        <w:rPr>
          <w:rFonts w:ascii="David" w:hAnsi="David" w:hint="cs"/>
          <w:rtl/>
        </w:rPr>
        <w:t>ן</w:t>
      </w:r>
      <w:r>
        <w:rPr>
          <w:rFonts w:ascii="David" w:hAnsi="David"/>
          <w:rtl/>
        </w:rPr>
        <w:t>.</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לא רק ממסמך זה שצורף על ידי המשביר לכתב ההגנה, התעלמה היא בסיכומיה. המשביר התעלמה שם מטענותיה בכתב ההגנה ובתצהיריה ובכלל, משינוי החזית החד שחל במהלך החקירות הנגדיות של עדיה והמשכו בסיכומים; בהפיכתו של סיכום 25.2.2021 להסכם המחייב שמעגן את ההסכמות (בשעה שבכתב ההגנה והתצהירים הצביעו על מסמכים אחרים שמעגנים אותם); ובטענה שהסכימו לתנאי הוויתור (בשעה שבכתב ההגנה והתצהירים עמדו על כך שמעולם לא הסכימו לתנאי, וגם לא ציינו שהסכימו לו בשלב מאוחר יותר). המשביר לא התמודדה עם קשיי תהפוכות גרסתה ובוודאי שלא ניתן לכך הסבר משכנע. תחת זאת עסקה, כאמור, בשאלה שהציבה לה לדיון: האם מעבר להסכמות שעוגנו (לטענתה) בסיכום 25.2.2021, נדרש גם לחתום על תוספת "משפטית" להסכם כדי לתת להן תוקף משפטי מחייב? כך, כאילו ברור שהוסכמו התנאים למתן ההנחות, והמחלוקת בין הצדדים נעוצה כל כולה בשאלה אם נדרשת גם חתימה על תוספת "משפטית". אלא שאין זה מצב הדברים. המחלוקת היא בשאלה האם כטענת המשביר, סיכום 25.2.2021 על תנאיו, אמנם מעגן הסכמות שהושגו בין הצדדים בפגישה ואם הייתה גמירות דעת להתקשר בתנאי סיכום זה. </w:t>
      </w:r>
      <w:r>
        <w:rPr>
          <w:rFonts w:ascii="David" w:hAnsi="David"/>
          <w:b/>
          <w:bCs/>
          <w:rtl/>
        </w:rPr>
        <w:t>סבורני, על יסוד הראיות שבאו לפניי, כי כגרסת התובעת, לא הושגה הסכמה ביחס לתנאים למתן הנחות למשביר. המסקנה המסתברת מן הראיות היא שהמשביר לא הסכימה לתנאים להנחות שבסיכום 25.2.2021 ולתנאי הוויתור, בפרט; ובזמן אמת הצדדים לא ראו בסיכום האמור ככזה שמעגן הסכמות מחייבות שהושגו ביניהם ולא גמרו אומר בדעתם להתקשר בו</w:t>
      </w:r>
      <w:r>
        <w:rPr>
          <w:rFonts w:ascii="David" w:hAnsi="David"/>
          <w:rtl/>
        </w:rPr>
        <w:t>.</w:t>
      </w:r>
    </w:p>
    <w:p w:rsidR="00CD2861" w:rsidRDefault="00CD2861" w:rsidP="00CD2861">
      <w:pPr>
        <w:spacing w:line="360" w:lineRule="auto"/>
        <w:jc w:val="both"/>
        <w:rPr>
          <w:rFonts w:ascii="David" w:hAnsi="David"/>
        </w:rPr>
      </w:pPr>
      <w:r>
        <w:rPr>
          <w:rFonts w:ascii="David" w:hAnsi="David"/>
          <w:rtl/>
        </w:rPr>
        <w:t xml:space="preserve"> </w:t>
      </w: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 xml:space="preserve">שינוי החזית, כשלעצמו, משמיט את הקרקע תחת גרסתה הכבושה והמאוחרת של המשביר בסיכומיה (ובחקירות העדים מטעמה), שלפיה סיכום 25.2.2021 הוא ההסכם המחייב שמעגן את הסכמות הצדדים בפגישה; וכי הסכימה גם לתנאי הוויתור באופן שקוימו כל התנאים להנחות שבסיכום. שינויי הגרסה והתפתחותה לאורך הדרך כמפורט לעיל, אף יורדים לשורש מהימנות גרסתה של המשביר, ומשמיטים את הקרקע תחתיה, בוודאי כשמתווספים לכך נפתולי החקירות הנגדיות, שעוד ארחיב בהן בהמשך. מבלי לגרוע מכך, אוסיף כי גרסת הסיכומים, כשלעצמה, לוקה בחוסר קוהרנטיות, ואינה עולה בקנה אחד עם כלל הראיות. </w:t>
      </w:r>
      <w:r>
        <w:rPr>
          <w:rFonts w:ascii="David" w:hAnsi="David"/>
          <w:rtl/>
        </w:rPr>
        <w:lastRenderedPageBreak/>
        <w:t xml:space="preserve">קצרה היריעה מלהכיל את כל פרטי הפרטים ואף אין בכך צורך. אתמקד להלן בבחינת הטענה שהמשביר הסכימה לתנאי הוויתור (להלן: </w:t>
      </w:r>
      <w:r>
        <w:rPr>
          <w:rFonts w:ascii="David" w:hAnsi="David"/>
          <w:b/>
          <w:bCs/>
          <w:rtl/>
        </w:rPr>
        <w:t>גרסת הוויתור</w:t>
      </w:r>
      <w:r>
        <w:rPr>
          <w:rFonts w:ascii="David" w:hAnsi="David"/>
          <w:rtl/>
        </w:rPr>
        <w:t xml:space="preserve">), שהוא ללא ספק תנאי מרכזי להנחות לפי סיכום 25.2.2021, ונושא שתפס חלק נכבד מהחקירות והסיכומים. כאמור, בשל הכרעתי בעניין תנאי הוויתור, מתייתר הצורך להכריע גם בשאלה אם ההסכמה לתנאי הפינוי היא תנאי מחייב להנחות ואם נדרש גם לחתום על מסמך משפטי (שלשיטת התובעת, נדרשו אף הם). נושא הוויתור על הטענות בעניין השטח גם רלבנטי לתביעה שכנגד, ואף מטעם זה ראוי להתמקד בו. </w:t>
      </w:r>
    </w:p>
    <w:p w:rsidR="00CD2861" w:rsidRDefault="00CD2861" w:rsidP="00CD2861">
      <w:pPr>
        <w:spacing w:line="276" w:lineRule="auto"/>
        <w:jc w:val="both"/>
        <w:rPr>
          <w:rFonts w:ascii="David" w:hAnsi="David"/>
          <w:u w:val="single"/>
        </w:rPr>
      </w:pPr>
    </w:p>
    <w:p w:rsidR="00CD2861" w:rsidRDefault="00CD2861" w:rsidP="00CD2861">
      <w:pPr>
        <w:spacing w:line="276" w:lineRule="auto"/>
        <w:jc w:val="both"/>
        <w:rPr>
          <w:rFonts w:ascii="David" w:hAnsi="David"/>
          <w:b/>
          <w:bCs/>
          <w:u w:val="single"/>
          <w:rtl/>
        </w:rPr>
      </w:pPr>
      <w:r>
        <w:rPr>
          <w:rFonts w:ascii="David" w:hAnsi="David"/>
          <w:b/>
          <w:bCs/>
          <w:u w:val="single"/>
          <w:rtl/>
        </w:rPr>
        <w:t>ד.2 גרסת הוויתור (הכבושה) אינה משכנעת לגופה</w:t>
      </w:r>
    </w:p>
    <w:p w:rsidR="00CD2861" w:rsidRDefault="00CD2861" w:rsidP="00CD2861">
      <w:pPr>
        <w:spacing w:line="276" w:lineRule="auto"/>
        <w:jc w:val="both"/>
        <w:rPr>
          <w:rFonts w:ascii="David" w:hAnsi="David"/>
          <w:u w:val="single"/>
          <w:rtl/>
        </w:rPr>
      </w:pPr>
    </w:p>
    <w:p w:rsidR="00CD2861" w:rsidRDefault="00CD2861" w:rsidP="00115613">
      <w:pPr>
        <w:pStyle w:val="af"/>
        <w:numPr>
          <w:ilvl w:val="0"/>
          <w:numId w:val="2"/>
        </w:numPr>
        <w:spacing w:before="0" w:after="0" w:line="360" w:lineRule="auto"/>
        <w:ind w:left="509" w:hanging="567"/>
        <w:jc w:val="both"/>
        <w:rPr>
          <w:rFonts w:ascii="David" w:hAnsi="David"/>
        </w:rPr>
      </w:pPr>
      <w:r>
        <w:rPr>
          <w:rFonts w:ascii="David" w:hAnsi="David"/>
          <w:rtl/>
        </w:rPr>
        <w:t>טענת המשביר היא כי בשלב מסוים לאחר שיצא סיכום 25.2.202</w:t>
      </w:r>
      <w:r w:rsidR="00B709D9">
        <w:rPr>
          <w:rFonts w:ascii="David" w:hAnsi="David" w:hint="cs"/>
          <w:rtl/>
        </w:rPr>
        <w:t>1</w:t>
      </w:r>
      <w:r>
        <w:rPr>
          <w:rFonts w:ascii="David" w:hAnsi="David"/>
          <w:rtl/>
        </w:rPr>
        <w:t xml:space="preserve"> (מבלי שננקב מועד, ולו בקירוב)</w:t>
      </w:r>
      <w:r>
        <w:rPr>
          <w:rFonts w:ascii="David" w:hAnsi="David"/>
        </w:rPr>
        <w:t xml:space="preserve"> </w:t>
      </w:r>
      <w:r>
        <w:rPr>
          <w:rFonts w:ascii="David" w:hAnsi="David"/>
          <w:rtl/>
        </w:rPr>
        <w:t>הסכימה לתנאי הוויתור, ובכך תם ונשלם, לשיטתה בסיכומיה, קיום כל התנאים לפי הסיכום. גרסה זו לא הוכחה על ידה ולא הייתה מהימנה עלי. זאת, החל מן הטעם הפשוט שהודעה על הסכמה לתנאי הוויתור לא נמסרה לתובעת בזמן אמת (ובכלל) ואין לה גם ביטוי או גילוי דעת אובייקטיבי סביר אחר (ובכלל) שיכול היה להעיד על כך ולגלות את אוזנה של התובעת (או מליסרון), בזמן אמת, על דבר ההסכמה; דרך העובדה שהמשביר לא נאותה לאשר את הסיכום עליו היא נסמכת כשהתבקשה לעשות כן; וכלה בגרסאות הלא משכנעות של עדי המשביר בחקירתם. בנוסף, גרסת המשביר חסרה בכל הקשור לתקופה שאינה כלולה בסיכום 25.2.2021, דהיינו: שנת 2021 כולה, דבר המקשה אף הוא על קבלת גרסתה. ועוד - הטענה שהצדדים הגיעו להסכמות מחייבות בדבר הנחות למשביר בדמי השכירות, לא הועלתה על ידי המשביר בזמן אמת, בעוד הצדדים מנהלים משא ומתן, מתכתבים בדוא"ל ומחליפים הודעות וטיוטות. התבקש, לטעמי, שתציין זאת בדרך כלשהי, לכל הפחות, בשלבים המאוחרים יותר של החלפת הטיוטות האחרונות (השישית והשביעית). האמור מצטרף להעדר הסבר מניח את הדעת, אם בכלל, לשינוי החזית החד, בחקירות הנגדיות ובסיכומים. סיכום הדברים הוא, שלא מצאתי לתת אמון בגרסת המשביר לקיומו של הסכם למתן הנחות למשביר המעוגן בסיכום 25.2.2021 (ובכלל), ובגרסתה כי הסכימה לתנאי הוויתור, בפרט. ארחיב להלן בכל אחד מהנדבכים הללו, חמישה במספר;</w:t>
      </w:r>
    </w:p>
    <w:p w:rsidR="00CD2861" w:rsidRDefault="00CD2861" w:rsidP="00CD2861">
      <w:pPr>
        <w:spacing w:line="360" w:lineRule="auto"/>
        <w:jc w:val="both"/>
        <w:rPr>
          <w:rFonts w:ascii="David" w:hAnsi="David"/>
        </w:rPr>
      </w:pPr>
    </w:p>
    <w:p w:rsidR="00CD2861" w:rsidRDefault="00CD2861" w:rsidP="00CD2861">
      <w:pPr>
        <w:spacing w:line="276" w:lineRule="auto"/>
        <w:jc w:val="both"/>
        <w:rPr>
          <w:rFonts w:ascii="David" w:hAnsi="David"/>
          <w:u w:val="single"/>
          <w:rtl/>
        </w:rPr>
      </w:pPr>
      <w:r>
        <w:rPr>
          <w:rFonts w:ascii="David" w:hAnsi="David"/>
          <w:b/>
          <w:bCs/>
          <w:u w:val="single"/>
          <w:rtl/>
        </w:rPr>
        <w:t>ראשית</w:t>
      </w:r>
      <w:r>
        <w:rPr>
          <w:rFonts w:ascii="David" w:hAnsi="David"/>
          <w:u w:val="single"/>
          <w:rtl/>
        </w:rPr>
        <w:t>, לא נמצא גילוי דעת אובייקטיבי כלפי התובעת ללמד על הסכמה לתנאי הוויתור בזמן אמת</w:t>
      </w:r>
    </w:p>
    <w:p w:rsidR="00CD2861" w:rsidRDefault="00CD2861" w:rsidP="00CD2861">
      <w:pPr>
        <w:spacing w:line="276" w:lineRule="auto"/>
        <w:jc w:val="both"/>
        <w:rPr>
          <w:rFonts w:ascii="David" w:hAnsi="David"/>
          <w:u w:val="single"/>
          <w:rtl/>
        </w:rPr>
      </w:pPr>
    </w:p>
    <w:p w:rsidR="00CD2861" w:rsidRDefault="00CD2861" w:rsidP="00115613">
      <w:pPr>
        <w:pStyle w:val="af"/>
        <w:numPr>
          <w:ilvl w:val="0"/>
          <w:numId w:val="2"/>
        </w:numPr>
        <w:spacing w:before="0" w:after="0" w:line="360" w:lineRule="auto"/>
        <w:ind w:left="509" w:hanging="567"/>
        <w:jc w:val="both"/>
        <w:rPr>
          <w:rFonts w:ascii="David" w:hAnsi="David"/>
          <w:rtl/>
        </w:rPr>
      </w:pPr>
      <w:r>
        <w:rPr>
          <w:rFonts w:ascii="David" w:hAnsi="David"/>
          <w:rtl/>
        </w:rPr>
        <w:t>ראינו כי בכתב ההגנה ובתצהירים טענה המשביר שלא הסכימה לתנאי הוויתור; כי בהערות עו"ד קוק מיום 15.</w:t>
      </w:r>
      <w:r w:rsidR="00115613">
        <w:rPr>
          <w:rFonts w:ascii="David" w:hAnsi="David" w:hint="cs"/>
          <w:rtl/>
        </w:rPr>
        <w:t>2</w:t>
      </w:r>
      <w:r>
        <w:rPr>
          <w:rFonts w:ascii="David" w:hAnsi="David"/>
          <w:rtl/>
        </w:rPr>
        <w:t xml:space="preserve">.2021 (לסיכום 1.2.2021) התבקש למחוק את תנאי הוויתור; וכי בסיכום 25.2.2021 ששלחה כהן לא התקבלה הערה זו, ותנאי הוויתור נותר על כנו. עד להשמעת גרסת הוויתור על ידי עדי המשביר בחקירות הנגדיות, כל אחד בתורו, לא נודע כי לשיטת המשביר, היא מחלה על טענותיה בעניין השטח והסכימה לוותר עליהן. עד שהועלתה הטענה כאמור, לא נמצא לה ביטוי חיצוני כלשהו שיש בו כדי ללמד על כך באופן סביר </w:t>
      </w:r>
      <w:r>
        <w:rPr>
          <w:rFonts w:ascii="David" w:hAnsi="David"/>
          <w:u w:val="single"/>
          <w:rtl/>
        </w:rPr>
        <w:t>בזמן אמת</w:t>
      </w:r>
      <w:r>
        <w:rPr>
          <w:rFonts w:ascii="David" w:hAnsi="David"/>
          <w:rtl/>
        </w:rPr>
        <w:t xml:space="preserve"> (גם לא </w:t>
      </w:r>
      <w:r>
        <w:rPr>
          <w:rFonts w:ascii="David" w:hAnsi="David"/>
          <w:rtl/>
        </w:rPr>
        <w:lastRenderedPageBreak/>
        <w:t>במסגרת ההליך, קודם לשלב החקירות). לא הוצגה הודעה שהעבירה המשביר לתובעת או למליסרון על הסכמה לתנאי הוויתור, בזמן אמת (ובכלל). אף אין טענה כי הודעה כזו נמסרה למי מהן. הודעה על הסכמתה לתנאי הוויתור לא מצאה המשביר ליתן לתובעת גם לנוכח דרישתה לאשר בחוזר את סיכום 25.2.2021. הטענה בסיכומים היא שההסכמה לתנאי הוויתור באה לידי ביטוי בכך ש"</w:t>
      </w:r>
      <w:r>
        <w:rPr>
          <w:rFonts w:ascii="David" w:hAnsi="David"/>
          <w:b/>
          <w:bCs/>
          <w:rtl/>
        </w:rPr>
        <w:t>על אף שהדבר לא דובר ולא הוסכם, למן קבלת סיכום אזוריט, כהגדרתו, לא דחתה המשביר את תנאי ויתור השטח, לא תבעה מכוח טענותיה מאומה ולא העלתה זאת עד להגשת התביעה שבכותרת</w:t>
      </w:r>
      <w:r>
        <w:rPr>
          <w:rFonts w:ascii="David" w:hAnsi="David"/>
          <w:rtl/>
        </w:rPr>
        <w:t xml:space="preserve">" (סעיף 42 לסיכומים). זאת, לא ניתן לקבל. מה גם שכאמור, עומד הדבר בסתירה לנספח 15 הנ"ל לכתב ההגנה </w:t>
      </w:r>
      <w:r w:rsidR="00115613">
        <w:rPr>
          <w:rFonts w:ascii="David" w:hAnsi="David" w:hint="cs"/>
          <w:rtl/>
        </w:rPr>
        <w:t xml:space="preserve">(הנזכר בסעיפים 83-84 לפסק דין זה) </w:t>
      </w:r>
      <w:r>
        <w:rPr>
          <w:rFonts w:ascii="David" w:hAnsi="David"/>
          <w:rtl/>
        </w:rPr>
        <w:t xml:space="preserve">ולהתבטאויות אחרות של המשביר לפיהן אינה מסכימה לתנאים, קודם להגשת התביעה ולאחריו, כמפורט בהשתלשלות האירועים לעיל. גם אם אמנם כך היה, והמשביר גמרה אומר לעצמה להסכים לדרישת התובעת ולוותר על טענותיה בעניין השטח (ולא כך קבעתי) - נדרש ליתן לכך ביטוי חיצוני שיעביר את המסר לצד השני. הסכם בין הצדדים, כידוע, לא נכרת במהלכים שבין אחד הצדדים לבין עצמו. הסכמה שכזו, גם אם הייתה בשיחות בין עדי המשביר בינם לבין עצמם (ואיני קובעת שכך), אינה עולה כדי גמירות דעת מצד התובעת להתקשר בהסכם, אם אין לה ביטוי חיצוני לעיני הצד השני בזמן אמת [ראו למשל ת"א (ת"א) 25256-03-20 </w:t>
      </w:r>
      <w:r>
        <w:rPr>
          <w:rFonts w:ascii="David" w:hAnsi="David"/>
          <w:b/>
          <w:bCs/>
          <w:rtl/>
        </w:rPr>
        <w:t>אברמוף נ' כוכבי</w:t>
      </w:r>
      <w:r>
        <w:rPr>
          <w:rFonts w:ascii="David" w:hAnsi="David"/>
          <w:rtl/>
        </w:rPr>
        <w:t xml:space="preserve"> (5.1.2022) שם קבעה כב' השופטת רונן כי </w:t>
      </w:r>
      <w:r>
        <w:rPr>
          <w:rFonts w:ascii="David" w:hAnsi="David"/>
          <w:b/>
          <w:bCs/>
          <w:rtl/>
        </w:rPr>
        <w:t xml:space="preserve">"על בית-המשפט לבחון האם המתקשר הסביר שהיה נחשף להתנהגות של הצד האחר להסכם היה מגיע למסקנה שהוא גמר בדעתו להתקשר בחוזה ... גמירות הדעת מוסקת אם כן מגילויים חיצוניים ולא מהמחשבות של הצדדים שלא קיבלו ביטוי חיצוני" </w:t>
      </w:r>
      <w:r>
        <w:rPr>
          <w:rFonts w:ascii="David" w:hAnsi="David"/>
          <w:rtl/>
        </w:rPr>
        <w:t>(בפסקה 22 והאסמכתא ששם)].</w:t>
      </w:r>
    </w:p>
    <w:p w:rsidR="00CD2861" w:rsidRDefault="00CD2861" w:rsidP="00CD2861">
      <w:pPr>
        <w:spacing w:line="360" w:lineRule="auto"/>
        <w:jc w:val="both"/>
        <w:rPr>
          <w:rFonts w:ascii="David" w:hAnsi="David"/>
        </w:rPr>
      </w:pPr>
    </w:p>
    <w:p w:rsidR="00CD2861" w:rsidRDefault="00CD2861" w:rsidP="00CD2861">
      <w:pPr>
        <w:spacing w:line="276" w:lineRule="auto"/>
        <w:jc w:val="both"/>
        <w:rPr>
          <w:rFonts w:ascii="David" w:hAnsi="David"/>
          <w:u w:val="single"/>
          <w:rtl/>
        </w:rPr>
      </w:pPr>
      <w:r>
        <w:rPr>
          <w:rFonts w:ascii="David" w:hAnsi="David"/>
          <w:b/>
          <w:bCs/>
          <w:u w:val="single"/>
          <w:rtl/>
        </w:rPr>
        <w:t>שנית</w:t>
      </w:r>
      <w:r>
        <w:rPr>
          <w:rFonts w:ascii="David" w:hAnsi="David"/>
          <w:u w:val="single"/>
          <w:rtl/>
        </w:rPr>
        <w:t>, המשביר נמנעה מלאשר את סיכום 25.2.2021</w:t>
      </w:r>
    </w:p>
    <w:p w:rsidR="00CD2861" w:rsidRDefault="00CD2861" w:rsidP="00CD2861">
      <w:pPr>
        <w:spacing w:line="276" w:lineRule="auto"/>
        <w:jc w:val="both"/>
        <w:rPr>
          <w:rFonts w:ascii="David" w:hAnsi="David"/>
          <w:u w:val="single"/>
          <w:rtl/>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 xml:space="preserve">לאמור מצטרפת העובדה שהמשביר לא נענתה לבקשת התובעת לאשר את סיכום 25.2.2021. אין חולק כי זה לא אושר בחוזר כמבוקש. בהודעת דוא"ל מיום 3.3.2021 לחסאן ולעו"ד קוק התבקשו הם לאשר את סיכום 25.2.2021. כך גם בהודעת דוא"ל נוספת מיום 4.4.2021 שהופנתה לחסאן (נספחים 18-19 לתצהיר כהן וסעיפים 68-69, 71-73 לתצהירה בהתאמה). כהן העידה שהמשביר מעולם לא אישרה את הסיכום (עמ' 164 ש' 2), גרסתה לא נסתרה, המשביר לא הציגה אישור שכזה ואף לא טענה שניתן. עדי המשביר חזרו וטענו כי לנוכח קיום ההסכמות בפועל, אין להעדר האישור כל משקל, וקיום ההסכם במתן השיקים וקופונים, הוא למעשה האישור. אני דוחה טענה זו. ברי שהאישור היה חשוב מבחינת התובעת, שעמדה על קבלתו. הניסיון לשוות לכך משקל זניח, לא עולה בקנה אחד עם השתלשלות האירועים כמפורט ועם הדרישה העקבית של נציגי התובעת/מליסרון, לאשרו או לחתום על התוספת. בוודאי בנסיבות המחלוקת הגלויה בין הצדדים ביחס לתנאי הוויתור, אשר עמד בגאון כאחד התנאים בסיכום 25.2.2021 (לאחר שהמשביר ביקשה להסירו בהערותיה מיום 15.2.2021 </w:t>
      </w:r>
      <w:r>
        <w:rPr>
          <w:rFonts w:ascii="David" w:hAnsi="David"/>
          <w:rtl/>
        </w:rPr>
        <w:lastRenderedPageBreak/>
        <w:t xml:space="preserve">לנוסח הסיכום מיום 1.2.2021 של אותה ישיבה); </w:t>
      </w:r>
      <w:r w:rsidR="00115613">
        <w:rPr>
          <w:rFonts w:ascii="David" w:hAnsi="David" w:hint="cs"/>
          <w:rtl/>
        </w:rPr>
        <w:t xml:space="preserve">לאחר שבנספח 15 לכתב ההגנה, המאוחר לסיכום 25.2.2025, המשביר מחקה את תנאי הוויתור; </w:t>
      </w:r>
      <w:r>
        <w:rPr>
          <w:rFonts w:ascii="David" w:hAnsi="David"/>
          <w:rtl/>
        </w:rPr>
        <w:t xml:space="preserve">ומשעה שגם לגרסתה הכבושה של המשביר, תנאי הוויתור לא היה חלק מההסכמות בפגישה, והסכמתה לתנאי זה באה רק בשלב שמאוחר להפצת סיכום 25.2.2021 (מבלי שצוין תאריך או אפילו טווח תאריכים). חסאן אף העיד כי בפגישה מיום 28.1.2021 הוא הבהיר במפורש שאינו מוכן לוותר על הטענות בעניין השטח (ראו להלן). התבקש, אפוא, "לסמן" לתובעת על קיומה של הסכמה לתנאי הוויתור. כזאת לא נעשה, לא בדרך של אישור בחוזר כפי שהתבקש (אשר להעדרו יש משקל ומשמעות כשלעצמו בנסיבות), ולא בדרך אחרת. </w:t>
      </w:r>
    </w:p>
    <w:p w:rsidR="00CD2861" w:rsidRDefault="00CD2861" w:rsidP="00CD2861">
      <w:pPr>
        <w:spacing w:line="360" w:lineRule="auto"/>
        <w:jc w:val="both"/>
        <w:rPr>
          <w:rFonts w:ascii="David" w:hAnsi="David"/>
          <w:b/>
          <w:bCs/>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חסאן נשאל מדוע לא אישר את סיכום 25.2.2021. נדרשה חקירה מאומצת לקבל תשובה לשאלה זו (ראו עמ' 293-295 לפרוטוקול). תחילה השיב תשובה מיתממת וטען (אף שברור היה כי נשאל ביחס לאישור בכתב) "</w:t>
      </w:r>
      <w:r>
        <w:rPr>
          <w:rFonts w:ascii="David" w:hAnsi="David"/>
          <w:b/>
          <w:bCs/>
          <w:rtl/>
        </w:rPr>
        <w:t>אני אישרתי את הסיכום</w:t>
      </w:r>
      <w:r>
        <w:rPr>
          <w:rFonts w:ascii="David" w:hAnsi="David"/>
          <w:rtl/>
        </w:rPr>
        <w:t>", "</w:t>
      </w:r>
      <w:r>
        <w:rPr>
          <w:rFonts w:ascii="David" w:hAnsi="David"/>
          <w:b/>
          <w:bCs/>
          <w:rtl/>
        </w:rPr>
        <w:t>מה זה [ל]אשר סיכום? אני אישרתי, אני פעלתי לפי הסיכום הזה</w:t>
      </w:r>
      <w:r>
        <w:rPr>
          <w:rFonts w:ascii="David" w:hAnsi="David"/>
          <w:rtl/>
        </w:rPr>
        <w:t>" (עמ' 293 ש' 13 וש' 18-19). אח"כ השיב: "</w:t>
      </w:r>
      <w:r>
        <w:rPr>
          <w:rFonts w:ascii="David" w:hAnsi="David"/>
          <w:b/>
          <w:bCs/>
          <w:rtl/>
        </w:rPr>
        <w:t>אולי שירלי כתבה</w:t>
      </w:r>
      <w:r>
        <w:rPr>
          <w:rFonts w:ascii="David" w:hAnsi="David"/>
          <w:rtl/>
        </w:rPr>
        <w:t xml:space="preserve">" (עמ' 294 ש' 26). אותה שאלה נשאל גם ביחס לדוא"ל מיום 4.4.2021. תחילה השיב כי זה בכלל לא קשור לסיכום 28.1.2021 (עמ' 296 ש' 10 - עמ' 297 ש' 16). לאחר שבית המשפט ציין כי בסעיף 3 שם נכתב במפורש </w:t>
      </w:r>
      <w:r>
        <w:rPr>
          <w:rFonts w:ascii="David" w:hAnsi="David"/>
          <w:b/>
          <w:bCs/>
          <w:rtl/>
        </w:rPr>
        <w:t>"סיכום הפגישה מיום 28.1.2021 – טרם אושרה"</w:t>
      </w:r>
      <w:r>
        <w:rPr>
          <w:rFonts w:ascii="David" w:hAnsi="David"/>
          <w:rtl/>
        </w:rPr>
        <w:t xml:space="preserve">, השיב: </w:t>
      </w:r>
      <w:r>
        <w:rPr>
          <w:rFonts w:ascii="David" w:hAnsi="David"/>
          <w:b/>
          <w:bCs/>
          <w:rtl/>
        </w:rPr>
        <w:t>"אושרה, אני פעלתי לפי הפגישה"</w:t>
      </w:r>
      <w:r>
        <w:rPr>
          <w:rFonts w:ascii="David" w:hAnsi="David"/>
          <w:rtl/>
        </w:rPr>
        <w:t xml:space="preserve"> (עמ' 297 ש' 19-21) ובהמשך: </w:t>
      </w:r>
      <w:r>
        <w:rPr>
          <w:rFonts w:ascii="David" w:hAnsi="David"/>
          <w:b/>
          <w:bCs/>
          <w:rtl/>
        </w:rPr>
        <w:t>"היו לי עשרות טלפונים ועשרות שיחות"</w:t>
      </w:r>
      <w:r>
        <w:rPr>
          <w:rFonts w:ascii="David" w:hAnsi="David"/>
          <w:rtl/>
        </w:rPr>
        <w:t xml:space="preserve"> (עמ' 297 ש' 27), תשובה שאינה משכנעת כשלעצמה, ועוד פחות על רקע תשובות קודמות. כשנשאלה עו"ד קוק אותה שאלה ("</w:t>
      </w:r>
      <w:r>
        <w:rPr>
          <w:rFonts w:ascii="David" w:hAnsi="David"/>
          <w:b/>
          <w:bCs/>
          <w:rtl/>
        </w:rPr>
        <w:t>אז אם ככה, זה נורא פשוט, כשזהורית מתחננת אליכם הלוך וחזור – ולא רק היא – תאשרו את סיכום הישיבה, למה לא אישרתם את זה אם היה מוסכם עליכם?</w:t>
      </w:r>
      <w:r>
        <w:rPr>
          <w:rFonts w:ascii="David" w:hAnsi="David"/>
          <w:rtl/>
        </w:rPr>
        <w:t>") השיבה כי זה "</w:t>
      </w:r>
      <w:r>
        <w:rPr>
          <w:rFonts w:ascii="David" w:hAnsi="David"/>
          <w:b/>
          <w:bCs/>
          <w:rtl/>
        </w:rPr>
        <w:t>נפל בין הכיסאות</w:t>
      </w:r>
      <w:r>
        <w:rPr>
          <w:rFonts w:ascii="David" w:hAnsi="David"/>
          <w:rtl/>
        </w:rPr>
        <w:t>" בשל עומס עבודה שנבע מהסגרים (עמ' 350 ש' 7-13 ובעמ' 382 ש' 14-27). גם תשובה זו, בכל הכבוד, אינה משכנעת בנסיבות העניין ועל רקע המחלוקת הידועה משכבר הימים ועוד קודם לפגישה, בכל הקשור לתנאי הוויתור.</w:t>
      </w:r>
    </w:p>
    <w:p w:rsidR="00CD2861" w:rsidRDefault="00CD2861" w:rsidP="00CD2861">
      <w:pPr>
        <w:spacing w:line="360" w:lineRule="auto"/>
        <w:jc w:val="both"/>
        <w:rPr>
          <w:rFonts w:ascii="David" w:hAnsi="David"/>
        </w:rPr>
      </w:pPr>
    </w:p>
    <w:p w:rsidR="00CD2861" w:rsidRDefault="00CD2861" w:rsidP="00CD2861">
      <w:pPr>
        <w:spacing w:line="276" w:lineRule="auto"/>
        <w:jc w:val="both"/>
        <w:rPr>
          <w:rFonts w:ascii="David" w:hAnsi="David"/>
          <w:u w:val="single"/>
          <w:rtl/>
        </w:rPr>
      </w:pPr>
      <w:r>
        <w:rPr>
          <w:rFonts w:ascii="David" w:hAnsi="David"/>
          <w:b/>
          <w:bCs/>
          <w:u w:val="single"/>
          <w:rtl/>
        </w:rPr>
        <w:t>שלישית</w:t>
      </w:r>
      <w:r>
        <w:rPr>
          <w:rFonts w:ascii="David" w:hAnsi="David"/>
          <w:u w:val="single"/>
          <w:rtl/>
        </w:rPr>
        <w:t>, גרסת הוויתור אינה משכנעת ולא עמדה במבחן החקירה הנגדית</w:t>
      </w:r>
    </w:p>
    <w:p w:rsidR="00CD2861" w:rsidRDefault="00CD2861" w:rsidP="00CD2861">
      <w:pPr>
        <w:spacing w:line="276" w:lineRule="auto"/>
        <w:jc w:val="both"/>
        <w:rPr>
          <w:rFonts w:ascii="David" w:hAnsi="David"/>
          <w:u w:val="single"/>
          <w:rtl/>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מעבר לאמור, גרסת עדי המשביר אינה משכנעת ולא עמדה במבחן החקירה הנגדית. בנוסף להיותה גרסה כבושה ולשינוי או הרחבת חזית אסורה, נמצא כי אינה קוהרנטית. אביא מספר דוגמאות.</w:t>
      </w:r>
    </w:p>
    <w:p w:rsidR="00CD2861" w:rsidRDefault="00CD2861" w:rsidP="00CD2861">
      <w:pPr>
        <w:spacing w:line="360" w:lineRule="auto"/>
        <w:jc w:val="both"/>
        <w:rPr>
          <w:rFonts w:ascii="David" w:hAnsi="David"/>
        </w:rPr>
      </w:pPr>
    </w:p>
    <w:p w:rsidR="00CD2861" w:rsidRDefault="00CD2861" w:rsidP="00115613">
      <w:pPr>
        <w:pStyle w:val="af"/>
        <w:numPr>
          <w:ilvl w:val="0"/>
          <w:numId w:val="2"/>
        </w:numPr>
        <w:spacing w:before="0" w:after="0" w:line="360" w:lineRule="auto"/>
        <w:ind w:left="509" w:hanging="567"/>
        <w:jc w:val="both"/>
        <w:rPr>
          <w:rFonts w:ascii="David" w:hAnsi="David"/>
          <w:rtl/>
        </w:rPr>
      </w:pPr>
      <w:r>
        <w:rPr>
          <w:rFonts w:ascii="David" w:hAnsi="David"/>
          <w:u w:val="single"/>
          <w:rtl/>
        </w:rPr>
        <w:t>תחילה לחקירתה של עו"ד קוק</w:t>
      </w:r>
      <w:r>
        <w:rPr>
          <w:rFonts w:ascii="David" w:hAnsi="David"/>
          <w:rtl/>
        </w:rPr>
        <w:t xml:space="preserve">. כפי שציינתי לעיל, בתצהירה (כמו </w:t>
      </w:r>
      <w:r w:rsidR="00115613">
        <w:rPr>
          <w:rFonts w:ascii="David" w:hAnsi="David" w:hint="cs"/>
          <w:rtl/>
        </w:rPr>
        <w:t>ב</w:t>
      </w:r>
      <w:r>
        <w:rPr>
          <w:rFonts w:ascii="David" w:hAnsi="David"/>
          <w:rtl/>
        </w:rPr>
        <w:t>תצהירי עדי המשביר האחרים)</w:t>
      </w:r>
      <w:r>
        <w:rPr>
          <w:rFonts w:ascii="David" w:hAnsi="David"/>
        </w:rPr>
        <w:t xml:space="preserve"> </w:t>
      </w:r>
      <w:r>
        <w:rPr>
          <w:rFonts w:ascii="David" w:hAnsi="David"/>
          <w:rtl/>
        </w:rPr>
        <w:t>לא נזכר סיכום 25.2.2021. נטען שם כי סיכום 1.2.20</w:t>
      </w:r>
      <w:r w:rsidR="00115613">
        <w:rPr>
          <w:rFonts w:ascii="David" w:hAnsi="David" w:hint="cs"/>
          <w:rtl/>
        </w:rPr>
        <w:t>2</w:t>
      </w:r>
      <w:r>
        <w:rPr>
          <w:rFonts w:ascii="David" w:hAnsi="David"/>
          <w:rtl/>
        </w:rPr>
        <w:t>1 עם טבלת ההנחות והערות המשביר מיום 15.2.2021 – מעגנים את ההסכמות שגובשו לכדי הסכם מחייב. עוד הצהירה (סעיף 69)</w:t>
      </w:r>
      <w:r>
        <w:rPr>
          <w:rFonts w:ascii="David" w:hAnsi="David"/>
        </w:rPr>
        <w:t xml:space="preserve"> </w:t>
      </w:r>
      <w:r>
        <w:rPr>
          <w:rFonts w:ascii="David" w:hAnsi="David"/>
          <w:rtl/>
        </w:rPr>
        <w:t>כי תנאי הוויתור "</w:t>
      </w:r>
      <w:r>
        <w:rPr>
          <w:rFonts w:ascii="David" w:hAnsi="David"/>
          <w:b/>
          <w:bCs/>
          <w:rtl/>
        </w:rPr>
        <w:t>כלל לא נדון</w:t>
      </w:r>
      <w:r>
        <w:rPr>
          <w:rFonts w:ascii="David" w:hAnsi="David"/>
          <w:rtl/>
        </w:rPr>
        <w:t xml:space="preserve"> [בישיבה מיום 28.1.2021] </w:t>
      </w:r>
      <w:r>
        <w:rPr>
          <w:rFonts w:ascii="David" w:hAnsi="David"/>
          <w:b/>
          <w:bCs/>
          <w:rtl/>
        </w:rPr>
        <w:t xml:space="preserve">ובוודאי לא יכול היה אפוא </w:t>
      </w:r>
      <w:r>
        <w:rPr>
          <w:rFonts w:ascii="David" w:hAnsi="David"/>
          <w:b/>
          <w:bCs/>
          <w:rtl/>
        </w:rPr>
        <w:lastRenderedPageBreak/>
        <w:t>להיות תנאי</w:t>
      </w:r>
      <w:r>
        <w:rPr>
          <w:rFonts w:ascii="David" w:hAnsi="David"/>
          <w:rtl/>
        </w:rPr>
        <w:t xml:space="preserve"> [למתן ההנחות – י'ב']</w:t>
      </w:r>
      <w:r>
        <w:rPr>
          <w:rFonts w:ascii="David" w:hAnsi="David"/>
          <w:b/>
          <w:bCs/>
          <w:rtl/>
        </w:rPr>
        <w:t>"</w:t>
      </w:r>
      <w:r>
        <w:rPr>
          <w:rFonts w:ascii="David" w:hAnsi="David"/>
          <w:rtl/>
        </w:rPr>
        <w:t>.</w:t>
      </w:r>
      <w:r>
        <w:rPr>
          <w:rFonts w:ascii="David" w:hAnsi="David"/>
          <w:b/>
          <w:bCs/>
          <w:rtl/>
        </w:rPr>
        <w:t xml:space="preserve"> </w:t>
      </w:r>
      <w:r>
        <w:rPr>
          <w:rFonts w:ascii="David" w:hAnsi="David"/>
          <w:rtl/>
        </w:rPr>
        <w:t xml:space="preserve">לכן ביקשה, בהערותיה מיום 15.2.2021, שיימחק התנאי מסיכום 1.2.2021. עו"ד קוק נשאלה: </w:t>
      </w:r>
      <w:r>
        <w:rPr>
          <w:rFonts w:ascii="David" w:hAnsi="David"/>
          <w:b/>
          <w:bCs/>
          <w:rtl/>
        </w:rPr>
        <w:t>"האם ההערות שאת שלחת לסיכום הישיבה משקפות את מה שהיה בישיבה לשיטתך"</w:t>
      </w:r>
      <w:r>
        <w:rPr>
          <w:rFonts w:ascii="David" w:hAnsi="David"/>
          <w:rtl/>
        </w:rPr>
        <w:t xml:space="preserve"> [ההערות מיום 15.2.2021], והשיבה: </w:t>
      </w:r>
      <w:r>
        <w:rPr>
          <w:rFonts w:ascii="David" w:hAnsi="David"/>
          <w:b/>
          <w:bCs/>
          <w:rtl/>
        </w:rPr>
        <w:t>"... הדבר היחיד שלא משקף והבנו שלא, שאנחנו חייבים לוותר פה, זה העניין של השטחים, כל היתר משקף אחד לאחד את הסיפור"</w:t>
      </w:r>
      <w:r>
        <w:rPr>
          <w:rFonts w:ascii="David" w:hAnsi="David"/>
          <w:rtl/>
        </w:rPr>
        <w:t xml:space="preserve"> (עמ' 348 ש' 10-14). במקום אחר העידה כי </w:t>
      </w:r>
      <w:r>
        <w:rPr>
          <w:rFonts w:ascii="David" w:hAnsi="David"/>
          <w:b/>
          <w:bCs/>
          <w:rtl/>
        </w:rPr>
        <w:t xml:space="preserve">"בשלב שיוצא התיקון של זהורית </w:t>
      </w:r>
      <w:r>
        <w:rPr>
          <w:rFonts w:ascii="David" w:hAnsi="David"/>
          <w:rtl/>
        </w:rPr>
        <w:t xml:space="preserve">[סיכום 25.2.2021] </w:t>
      </w:r>
      <w:r>
        <w:rPr>
          <w:rFonts w:ascii="David" w:hAnsi="David"/>
          <w:b/>
          <w:bCs/>
          <w:rtl/>
        </w:rPr>
        <w:t>אנחנו מבינים שהם לא ירדו מזה, למרות שהם טוענים שמכלול מערכת היחסים כבר ויתרנו או לא משנה מה, הם לא יורדים מהעניין הזה. אנחנו מבינים שכל הזמן יהיה להם איזשהו מנוף עלינו בנושא הזה, בנושאים אחרים, כי בסוף, מה לעשות? אנחנו תלויים בהם"</w:t>
      </w:r>
      <w:r>
        <w:rPr>
          <w:rFonts w:ascii="David" w:hAnsi="David"/>
          <w:rtl/>
        </w:rPr>
        <w:t xml:space="preserve"> (עמ' 349 ש' 26-עמ' 350 ש' 3); ושוב: "..</w:t>
      </w:r>
      <w:r>
        <w:rPr>
          <w:rFonts w:ascii="David" w:hAnsi="David"/>
          <w:b/>
          <w:bCs/>
          <w:rtl/>
        </w:rPr>
        <w:t xml:space="preserve"> היא</w:t>
      </w:r>
      <w:r>
        <w:rPr>
          <w:rFonts w:ascii="David" w:hAnsi="David"/>
          <w:rtl/>
        </w:rPr>
        <w:t xml:space="preserve"> [כהן]</w:t>
      </w:r>
      <w:r>
        <w:rPr>
          <w:rFonts w:ascii="David" w:hAnsi="David"/>
          <w:b/>
          <w:bCs/>
          <w:rtl/>
        </w:rPr>
        <w:t xml:space="preserve"> החזירה אותו</w:t>
      </w:r>
      <w:r>
        <w:rPr>
          <w:rFonts w:ascii="David" w:hAnsi="David"/>
          <w:rtl/>
        </w:rPr>
        <w:t xml:space="preserve"> [את תנאי הוויתור]</w:t>
      </w:r>
      <w:r>
        <w:rPr>
          <w:rFonts w:ascii="David" w:hAnsi="David"/>
          <w:b/>
          <w:bCs/>
          <w:rtl/>
        </w:rPr>
        <w:t xml:space="preserve"> למרות שהוא לא דובר בפגישה אבל אנחנו כבר הבנו שמזה אנחנו לא נצא איתם, אמרתי את זה בתחילת דברי, שהסברתי לרמי"</w:t>
      </w:r>
      <w:r>
        <w:rPr>
          <w:rFonts w:ascii="David" w:hAnsi="David"/>
          <w:rtl/>
        </w:rPr>
        <w:t xml:space="preserve"> (עמ' 380 ש' 8-10). </w:t>
      </w:r>
    </w:p>
    <w:p w:rsidR="00CD2861" w:rsidRDefault="00CD2861" w:rsidP="00CD2861">
      <w:pPr>
        <w:spacing w:line="360" w:lineRule="auto"/>
        <w:jc w:val="both"/>
        <w:rPr>
          <w:rFonts w:ascii="David" w:hAnsi="David"/>
        </w:rPr>
      </w:pPr>
    </w:p>
    <w:p w:rsidR="00CD2861" w:rsidRDefault="00CD2861" w:rsidP="00115613">
      <w:pPr>
        <w:pStyle w:val="af"/>
        <w:numPr>
          <w:ilvl w:val="0"/>
          <w:numId w:val="2"/>
        </w:numPr>
        <w:spacing w:before="0" w:after="0" w:line="360" w:lineRule="auto"/>
        <w:ind w:left="509" w:hanging="567"/>
        <w:jc w:val="both"/>
        <w:rPr>
          <w:rFonts w:ascii="David" w:hAnsi="David"/>
          <w:rtl/>
        </w:rPr>
      </w:pPr>
      <w:r>
        <w:rPr>
          <w:rFonts w:ascii="David" w:hAnsi="David"/>
          <w:rtl/>
        </w:rPr>
        <w:t xml:space="preserve">כאמור, מדובר בשינוי חזית בהשוואה לגרסה בכתב ההגנה ובתצהיר, והתובעת עמדה על כך כבר במהלך החקירה (ראו למשל בעמ' 348 ו- 349). כשנשאלה עו"ד קוק מדוע לא ציינה זאת בתצהירה, לא היה בתשובתה כדי להניח את הדעת. חקירתה בעניין נפרשה על כשני עמודים ומתשובתה (שברובה לא היה </w:t>
      </w:r>
      <w:r w:rsidR="00115613">
        <w:rPr>
          <w:rFonts w:ascii="David" w:hAnsi="David" w:hint="cs"/>
          <w:rtl/>
        </w:rPr>
        <w:t>בה</w:t>
      </w:r>
      <w:r>
        <w:rPr>
          <w:rFonts w:ascii="David" w:hAnsi="David"/>
          <w:rtl/>
        </w:rPr>
        <w:t xml:space="preserve"> מענה לשאלה, והתייחסה למערכת היחסים שבין המשביר למליסרון) נמצא, כי לשיטתה נעוץ הדבר בכך שהתובעת לא הסכימה להארכת המועד להגשת ראיות המשביר אף שהוחלף ייצוג המשביר סמוך לפני ה- 7.10 ובחודש הראשון למלחמה שובש מהלך העבודה התקין, כך שתצהירי המשביר "</w:t>
      </w:r>
      <w:r>
        <w:rPr>
          <w:rFonts w:ascii="David" w:hAnsi="David"/>
          <w:b/>
          <w:bCs/>
          <w:rtl/>
        </w:rPr>
        <w:t>נערכים בלחץ</w:t>
      </w:r>
      <w:r>
        <w:rPr>
          <w:rFonts w:ascii="David" w:hAnsi="David"/>
          <w:rtl/>
        </w:rPr>
        <w:t xml:space="preserve">" של זמן (עמ' 348-350 וש' 4 בעמ' 349 בפרט). אלא שכאמור, לא רק שבתצהיר (שנערך בלחץ זמן), אין זכר לטענה שהמשביר הסכימה במועד כלשהו לתנאי הוויתור, אלא שצוין בו כי המשביר מעולם לא הסכימה לו. ואין לטענה זכר גם בכתב ההגנה (לגביו אין טענה ללחץ זמנים). מכל מקום, לחץ של זמן בהכנת התצהיר, אינו טיעון משכנע בנסיבות, ודומה שאין צורך להכביר במילים.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u w:val="single"/>
          <w:rtl/>
        </w:rPr>
        <w:t>עדותו של מר חסאן</w:t>
      </w:r>
      <w:r>
        <w:rPr>
          <w:rFonts w:ascii="David" w:hAnsi="David"/>
          <w:rtl/>
        </w:rPr>
        <w:t xml:space="preserve"> בעניין, הייתה מוקשית עוד יותר. כאמור, גם בתצהירו (כמו </w:t>
      </w:r>
      <w:r w:rsidR="00115613">
        <w:rPr>
          <w:rFonts w:ascii="David" w:hAnsi="David" w:hint="cs"/>
          <w:rtl/>
        </w:rPr>
        <w:t>ב</w:t>
      </w:r>
      <w:r>
        <w:rPr>
          <w:rFonts w:ascii="David" w:hAnsi="David"/>
          <w:rtl/>
        </w:rPr>
        <w:t>כל תצהירי המשביר)</w:t>
      </w:r>
      <w:r>
        <w:rPr>
          <w:rFonts w:ascii="David" w:hAnsi="David"/>
        </w:rPr>
        <w:t xml:space="preserve"> </w:t>
      </w:r>
      <w:r>
        <w:rPr>
          <w:rFonts w:ascii="David" w:hAnsi="David"/>
          <w:rtl/>
        </w:rPr>
        <w:t xml:space="preserve">לא נזכר סיכום 25.2.2021 ולא נטען שזהו ההסכם המחייב. בחקירתו לא סיפק הסבר מניח את הדעת (אם בכלל) להעדרה של גרסת הוויתור, שבה אחז בחקירתו, מתצהירו. לא רק זאת. גרסתו לא הייתה קוהרנטית, הן בהשוואה לגרסת עו"ד קוק והן בינה לבין עצמה, משהתפתחה ולבשה עוד פנים לאורך החקירה (גרסה מתגלגלת).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חסאן העיד אף הוא כי סיכום 25.2.2021 הוא הסיכום הסופי (עמ' 287 ש' 10 - עמ' 288 ש' 13), וחזר ואישר זאת גם כשהוצג לו תנאי הוויתור שבסיכום (עמ' 288 ש' 7-13). חסאן הסביר כי "</w:t>
      </w:r>
      <w:r>
        <w:rPr>
          <w:rFonts w:ascii="David" w:hAnsi="David"/>
          <w:b/>
          <w:bCs/>
          <w:rtl/>
        </w:rPr>
        <w:t>אחרי שקיבלנו את כל הפתרונות, אמרתי חבר'ה שחררו את זה</w:t>
      </w:r>
      <w:r>
        <w:rPr>
          <w:rFonts w:ascii="David" w:hAnsi="David"/>
          <w:rtl/>
        </w:rPr>
        <w:t xml:space="preserve">" (עמ' 288 ש' 10-11). </w:t>
      </w:r>
      <w:r>
        <w:rPr>
          <w:rFonts w:ascii="David" w:hAnsi="David"/>
          <w:b/>
          <w:bCs/>
          <w:rtl/>
        </w:rPr>
        <w:t>"המשיכו להשאיר את זה</w:t>
      </w:r>
      <w:r>
        <w:rPr>
          <w:rFonts w:ascii="David" w:hAnsi="David"/>
          <w:rtl/>
        </w:rPr>
        <w:t xml:space="preserve"> [את הסעיף הדורש ויתור על הטענות בעניין השטח - י.ב]. </w:t>
      </w:r>
      <w:r>
        <w:rPr>
          <w:rFonts w:ascii="David" w:hAnsi="David"/>
          <w:b/>
          <w:bCs/>
          <w:rtl/>
        </w:rPr>
        <w:t>אמרתי חבר'ה שחררו אותם, תוותרו"</w:t>
      </w:r>
      <w:r>
        <w:rPr>
          <w:rFonts w:ascii="David" w:hAnsi="David"/>
          <w:rtl/>
        </w:rPr>
        <w:t xml:space="preserve"> (עמ' 289 ש' 1-2). וגם בהמשך חקירתו: </w:t>
      </w:r>
      <w:r>
        <w:rPr>
          <w:rFonts w:ascii="David" w:hAnsi="David"/>
          <w:b/>
          <w:bCs/>
          <w:rtl/>
        </w:rPr>
        <w:t xml:space="preserve">"ב-28.01 אחרי שהם </w:t>
      </w:r>
      <w:r>
        <w:rPr>
          <w:rFonts w:ascii="David" w:hAnsi="David"/>
          <w:b/>
          <w:bCs/>
          <w:rtl/>
        </w:rPr>
        <w:lastRenderedPageBreak/>
        <w:t>כבר קיבלו את השיקים והכל היה כמו שצריך, אני כבר אמרתי חבר'ה, תעזבו אותם מהשטחים. אל תבקשו את השטחים האלה יותר. תעזבו. יש שקט מהם? הכל מתנהל? תעזבו את זה"</w:t>
      </w:r>
      <w:r>
        <w:rPr>
          <w:rFonts w:ascii="David" w:hAnsi="David"/>
          <w:rtl/>
        </w:rPr>
        <w:t xml:space="preserve"> (עמ' 318 ש' 21-24); "</w:t>
      </w:r>
      <w:r>
        <w:rPr>
          <w:rFonts w:ascii="David" w:hAnsi="David"/>
          <w:b/>
          <w:bCs/>
          <w:rtl/>
        </w:rPr>
        <w:t>אמרתי חבר'ה, תשאירו את זה. אל תפנו אליהם יותר עם הדבר הזה. יש לנו שקט מהם. תביאו את ההסכם. אל תפנו יותר</w:t>
      </w:r>
      <w:r>
        <w:rPr>
          <w:rFonts w:ascii="David" w:hAnsi="David"/>
          <w:rtl/>
        </w:rPr>
        <w:t xml:space="preserve">" (עמ' 319 ש' 9-11). </w:t>
      </w:r>
    </w:p>
    <w:p w:rsidR="00CD2861" w:rsidRDefault="00CD2861" w:rsidP="00CD2861">
      <w:pPr>
        <w:spacing w:line="360" w:lineRule="auto"/>
        <w:jc w:val="both"/>
        <w:rPr>
          <w:rFonts w:ascii="David" w:hAnsi="David"/>
        </w:rPr>
      </w:pPr>
    </w:p>
    <w:p w:rsidR="00CD2861" w:rsidRDefault="00CD2861" w:rsidP="000C145C">
      <w:pPr>
        <w:pStyle w:val="af"/>
        <w:numPr>
          <w:ilvl w:val="0"/>
          <w:numId w:val="2"/>
        </w:numPr>
        <w:spacing w:before="0" w:after="0" w:line="360" w:lineRule="auto"/>
        <w:ind w:left="509" w:hanging="567"/>
        <w:jc w:val="both"/>
        <w:rPr>
          <w:rFonts w:ascii="David" w:hAnsi="David"/>
          <w:rtl/>
        </w:rPr>
      </w:pPr>
      <w:r>
        <w:rPr>
          <w:rFonts w:ascii="David" w:hAnsi="David"/>
          <w:rtl/>
        </w:rPr>
        <w:t xml:space="preserve">כאמור, בגרסתו של חסאן (כמו </w:t>
      </w:r>
      <w:r w:rsidR="00115613">
        <w:rPr>
          <w:rFonts w:ascii="David" w:hAnsi="David" w:hint="cs"/>
          <w:rtl/>
        </w:rPr>
        <w:t xml:space="preserve">בגרסתם של </w:t>
      </w:r>
      <w:r>
        <w:rPr>
          <w:rFonts w:ascii="David" w:hAnsi="David"/>
          <w:rtl/>
        </w:rPr>
        <w:t xml:space="preserve">כל עדי המשביר) אין מועד להסכמת המשביר לתנאי הוויתור. לא ברור מתי – במועד שלאחר 25.2.2021, שאז יצא הסיכום וניתן היה לראות שתנאי הוויתור נותר על כנו </w:t>
      </w:r>
      <w:r w:rsidR="000C145C">
        <w:rPr>
          <w:rFonts w:ascii="David" w:hAnsi="David" w:hint="cs"/>
          <w:rtl/>
        </w:rPr>
        <w:t xml:space="preserve"> (ובמועד שלאחר נספח 15 לכתב ההגנה שבו מחקה המשביר את תנאי הוויתור) </w:t>
      </w:r>
      <w:r>
        <w:rPr>
          <w:rFonts w:ascii="David" w:hAnsi="David"/>
          <w:rtl/>
        </w:rPr>
        <w:t>– גמלה החלטה אצל חסאן (או אצל עו"ד קוק או אצל שביט) "לשחרר" ולהסכים לתנאי זה. מכל מקום ברור שההסכם</w:t>
      </w:r>
      <w:r w:rsidR="000C145C">
        <w:rPr>
          <w:rFonts w:ascii="David" w:hAnsi="David" w:hint="cs"/>
          <w:rtl/>
        </w:rPr>
        <w:t xml:space="preserve"> הנטען</w:t>
      </w:r>
      <w:r>
        <w:rPr>
          <w:rFonts w:ascii="David" w:hAnsi="David"/>
          <w:rtl/>
        </w:rPr>
        <w:t xml:space="preserve"> לא </w:t>
      </w:r>
      <w:r w:rsidR="000C145C">
        <w:rPr>
          <w:rFonts w:ascii="David" w:hAnsi="David" w:hint="cs"/>
          <w:rtl/>
        </w:rPr>
        <w:t xml:space="preserve">יכול היה להיכרת </w:t>
      </w:r>
      <w:r>
        <w:rPr>
          <w:rFonts w:ascii="David" w:hAnsi="David"/>
          <w:rtl/>
        </w:rPr>
        <w:t>בישיבה מיום 28.1.2021 וגם לא ביום 25.2.2021, שאז רק יצא הסיכום, אלא במועד כלשהו לאחר מכן. הגרסה ערטילאית, נטולת פרטי זמן, מקום ונסיבות; חסאן אמר ל"</w:t>
      </w:r>
      <w:r>
        <w:rPr>
          <w:rFonts w:ascii="David" w:hAnsi="David"/>
          <w:b/>
          <w:bCs/>
          <w:rtl/>
        </w:rPr>
        <w:t>חבר'ה</w:t>
      </w:r>
      <w:r>
        <w:rPr>
          <w:rFonts w:ascii="David" w:hAnsi="David"/>
          <w:rtl/>
        </w:rPr>
        <w:t>" (למי?)</w:t>
      </w:r>
      <w:r>
        <w:rPr>
          <w:rFonts w:ascii="David" w:hAnsi="David"/>
        </w:rPr>
        <w:t xml:space="preserve"> </w:t>
      </w:r>
      <w:r>
        <w:rPr>
          <w:rFonts w:ascii="David" w:hAnsi="David"/>
          <w:rtl/>
        </w:rPr>
        <w:t>"</w:t>
      </w:r>
      <w:r>
        <w:rPr>
          <w:rFonts w:ascii="David" w:hAnsi="David"/>
          <w:b/>
          <w:bCs/>
          <w:rtl/>
        </w:rPr>
        <w:t>תעזבו</w:t>
      </w:r>
      <w:r>
        <w:rPr>
          <w:rFonts w:ascii="David" w:hAnsi="David"/>
          <w:rtl/>
        </w:rPr>
        <w:t>". גם לא ברור מה פירוש "</w:t>
      </w:r>
      <w:r>
        <w:rPr>
          <w:rFonts w:ascii="David" w:hAnsi="David"/>
          <w:b/>
          <w:bCs/>
          <w:rtl/>
        </w:rPr>
        <w:t>יש שקט מהם</w:t>
      </w:r>
      <w:r>
        <w:rPr>
          <w:rFonts w:ascii="David" w:hAnsi="David"/>
          <w:rtl/>
        </w:rPr>
        <w:t xml:space="preserve">" שהרי תכתובת הווטצאפ </w:t>
      </w:r>
      <w:r w:rsidR="000C145C">
        <w:rPr>
          <w:rFonts w:ascii="David" w:hAnsi="David" w:hint="cs"/>
          <w:rtl/>
        </w:rPr>
        <w:t xml:space="preserve">עם שריד </w:t>
      </w:r>
      <w:r>
        <w:rPr>
          <w:rFonts w:ascii="David" w:hAnsi="David"/>
          <w:rtl/>
        </w:rPr>
        <w:t>מלמדת על דרישה חוזרת ונשנית לחתום על התוספת להסכם, ואישורו של חסאן לסיכום לא ניתן, כזכור, גם במענה לפניית כהן מיום 4.4.2021. בנוסף, עו"ד קוק, העידה כי אמרה לרמי [שביט] לקבל את הדין ולהסכים לתנאי הוויתור כי "</w:t>
      </w:r>
      <w:r>
        <w:rPr>
          <w:rFonts w:ascii="David" w:hAnsi="David"/>
          <w:b/>
          <w:bCs/>
          <w:rtl/>
        </w:rPr>
        <w:t>מזה אנחנו לא נצא איתם</w:t>
      </w:r>
      <w:r>
        <w:rPr>
          <w:rFonts w:ascii="David" w:hAnsi="David"/>
          <w:rtl/>
        </w:rPr>
        <w:t xml:space="preserve">", בעוד שחסאן העיד כי הוא שאמר ל"חבר'ה" "שחררו" ו"תעזבו". </w:t>
      </w:r>
    </w:p>
    <w:p w:rsidR="00CD2861" w:rsidRDefault="00CD2861" w:rsidP="00CD2861">
      <w:pPr>
        <w:spacing w:line="360" w:lineRule="auto"/>
        <w:ind w:left="-58"/>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זווית נוספת של הדברים: בחקירתה עמדה עו"ד קוק על כך שתנאי הוויתור </w:t>
      </w:r>
      <w:r>
        <w:rPr>
          <w:rFonts w:ascii="David" w:hAnsi="David"/>
          <w:b/>
          <w:bCs/>
          <w:rtl/>
        </w:rPr>
        <w:t>כלל לא עלה ולא נדון</w:t>
      </w:r>
      <w:r>
        <w:rPr>
          <w:rFonts w:ascii="David" w:hAnsi="David"/>
          <w:rtl/>
        </w:rPr>
        <w:t xml:space="preserve"> </w:t>
      </w:r>
      <w:r>
        <w:rPr>
          <w:rFonts w:ascii="David" w:hAnsi="David"/>
          <w:b/>
          <w:bCs/>
          <w:rtl/>
        </w:rPr>
        <w:t>בפגישה</w:t>
      </w:r>
      <w:r>
        <w:rPr>
          <w:rFonts w:ascii="David" w:hAnsi="David"/>
          <w:rtl/>
        </w:rPr>
        <w:t>, ולכן גם מחקה אותו בהערות מיום 15.2.2021 (בעמ' 363 ש' 26- עמ' 364 ש' 2, עמ' 380 ש' 8. כך גם בתצהירה). חסאן העיד תחילה כי "</w:t>
      </w:r>
      <w:r>
        <w:rPr>
          <w:rFonts w:ascii="David" w:hAnsi="David"/>
          <w:b/>
          <w:bCs/>
          <w:rtl/>
        </w:rPr>
        <w:t>זה לא דובר. השטחים באותה ישיבה, לא דובר</w:t>
      </w:r>
      <w:r>
        <w:rPr>
          <w:rFonts w:ascii="David" w:hAnsi="David"/>
          <w:rtl/>
        </w:rPr>
        <w:t>". נדרשה חקירה מאומצת על פני שורות ארוכות כדי לקבל הסבר למה התכוון בביטוי "</w:t>
      </w:r>
      <w:r>
        <w:rPr>
          <w:rFonts w:ascii="David" w:hAnsi="David"/>
          <w:b/>
          <w:bCs/>
          <w:rtl/>
        </w:rPr>
        <w:t>לא דובר</w:t>
      </w:r>
      <w:r>
        <w:rPr>
          <w:rFonts w:ascii="David" w:hAnsi="David"/>
          <w:rtl/>
        </w:rPr>
        <w:t xml:space="preserve">". תחילה ציין כי </w:t>
      </w:r>
      <w:r>
        <w:rPr>
          <w:rFonts w:ascii="David" w:hAnsi="David"/>
          <w:b/>
          <w:bCs/>
          <w:rtl/>
        </w:rPr>
        <w:t>"השטחים של כיכר ציון לא דוברו בישיבה הזו"</w:t>
      </w:r>
      <w:r>
        <w:rPr>
          <w:rFonts w:ascii="David" w:hAnsi="David"/>
          <w:rtl/>
        </w:rPr>
        <w:t>, "</w:t>
      </w:r>
      <w:r>
        <w:rPr>
          <w:rFonts w:ascii="David" w:hAnsi="David"/>
          <w:b/>
          <w:bCs/>
          <w:rtl/>
        </w:rPr>
        <w:t>לא דוברו. בגלל זה שירלי גם מחקה אחר כך</w:t>
      </w:r>
      <w:r>
        <w:rPr>
          <w:rFonts w:ascii="David" w:hAnsi="David"/>
          <w:rtl/>
        </w:rPr>
        <w:t xml:space="preserve">" (עמ' 284 ש' 7 -עמ' 285 ש' 4). אולם בהמשך העיד כי </w:t>
      </w:r>
      <w:r>
        <w:rPr>
          <w:rFonts w:ascii="David" w:hAnsi="David"/>
          <w:b/>
          <w:bCs/>
          <w:rtl/>
        </w:rPr>
        <w:t>"לא דובר, כי הבהרתי להם ששמורה לי עדיין הטענה לגבי השטחים"</w:t>
      </w:r>
      <w:r>
        <w:rPr>
          <w:rFonts w:ascii="David" w:hAnsi="David"/>
          <w:rtl/>
        </w:rPr>
        <w:t xml:space="preserve"> (עמ' 285 ש' 22-23) וחזר ואישר כי הבהיר זאת בפגישה (</w:t>
      </w:r>
      <w:r>
        <w:rPr>
          <w:rFonts w:ascii="David" w:hAnsi="David"/>
          <w:b/>
          <w:bCs/>
          <w:rtl/>
        </w:rPr>
        <w:t>"בוודאי",</w:t>
      </w:r>
      <w:r>
        <w:rPr>
          <w:rFonts w:ascii="David" w:hAnsi="David"/>
          <w:rtl/>
        </w:rPr>
        <w:t xml:space="preserve"> עמ' 285 ש' 24-25). אם כך, נשאל, "</w:t>
      </w:r>
      <w:r>
        <w:rPr>
          <w:rFonts w:ascii="David" w:hAnsi="David"/>
          <w:b/>
          <w:bCs/>
          <w:rtl/>
        </w:rPr>
        <w:t>אז כן דובר</w:t>
      </w:r>
      <w:r>
        <w:rPr>
          <w:rFonts w:ascii="David" w:hAnsi="David"/>
          <w:rtl/>
        </w:rPr>
        <w:t xml:space="preserve">" </w:t>
      </w:r>
      <w:r>
        <w:rPr>
          <w:rFonts w:ascii="David" w:hAnsi="David"/>
          <w:b/>
          <w:bCs/>
          <w:rtl/>
        </w:rPr>
        <w:t>נושא השטחים בפגישה</w:t>
      </w:r>
      <w:r>
        <w:rPr>
          <w:rFonts w:ascii="David" w:hAnsi="David"/>
          <w:rtl/>
        </w:rPr>
        <w:t>, והשיב: "</w:t>
      </w:r>
      <w:r>
        <w:rPr>
          <w:rFonts w:ascii="David" w:hAnsi="David"/>
          <w:b/>
          <w:bCs/>
          <w:rtl/>
        </w:rPr>
        <w:t>אבל לא דובר שיכניסו את זה בתוך הפתק בתוך הנייר"</w:t>
      </w:r>
      <w:r>
        <w:rPr>
          <w:rFonts w:ascii="David" w:hAnsi="David"/>
          <w:rtl/>
        </w:rPr>
        <w:t xml:space="preserve"> (עמ' 285 ש' 26-עמ' 286 ש' 4). וכנשאל: "</w:t>
      </w:r>
      <w:r>
        <w:rPr>
          <w:rFonts w:ascii="David" w:hAnsi="David"/>
          <w:b/>
          <w:bCs/>
          <w:rtl/>
        </w:rPr>
        <w:t>כשאמרת קודם לא דובר, התכוונת לא דובר שיכניסו לנייר, אבל דובר בישיבה</w:t>
      </w:r>
      <w:r>
        <w:rPr>
          <w:rFonts w:ascii="David" w:hAnsi="David"/>
          <w:rtl/>
        </w:rPr>
        <w:t>" השיב: "</w:t>
      </w:r>
      <w:r>
        <w:rPr>
          <w:rFonts w:ascii="David" w:hAnsi="David"/>
          <w:b/>
          <w:bCs/>
          <w:rtl/>
        </w:rPr>
        <w:t>ברור. היו עוד הרבה דברים שהועלו בישיבה הזו, גם כן אבל לא הוכנסו בסוף ...</w:t>
      </w:r>
      <w:r>
        <w:rPr>
          <w:rFonts w:ascii="David" w:hAnsi="David"/>
          <w:rtl/>
        </w:rPr>
        <w:t>". (וגם בעמ' 287 ש' 7 "</w:t>
      </w:r>
      <w:r>
        <w:rPr>
          <w:rFonts w:ascii="David" w:hAnsi="David"/>
          <w:b/>
          <w:bCs/>
          <w:rtl/>
        </w:rPr>
        <w:t>הועלה ודובר שזה לא יכנס בנייר</w:t>
      </w:r>
      <w:r>
        <w:rPr>
          <w:rFonts w:ascii="David" w:hAnsi="David"/>
          <w:rtl/>
        </w:rPr>
        <w:t xml:space="preserve">"). אם כך, הגרסה </w:t>
      </w:r>
      <w:r>
        <w:rPr>
          <w:rFonts w:ascii="David" w:hAnsi="David"/>
          <w:u w:val="single"/>
          <w:rtl/>
        </w:rPr>
        <w:t>הסופית</w:t>
      </w:r>
      <w:r>
        <w:rPr>
          <w:rFonts w:ascii="David" w:hAnsi="David"/>
          <w:rtl/>
        </w:rPr>
        <w:t xml:space="preserve"> של חסאן – כי העניין דובר בפגישה והוא הבהיר אז במפורש שהטענות שמורות למשביר, אך לא דובר שנושא זה ייכנס לסיכום הפגישה – שונה מזו של עו"ד קוק, שהעידה, כאמור, כי העניין כלל לא עלה ולא נדון בפגישה.</w:t>
      </w:r>
      <w:r>
        <w:rPr>
          <w:rFonts w:ascii="David" w:hAnsi="David"/>
        </w:rPr>
        <w:t xml:space="preserve"> </w:t>
      </w:r>
    </w:p>
    <w:p w:rsidR="00CD2861" w:rsidRDefault="00CD2861" w:rsidP="00CD2861">
      <w:pPr>
        <w:spacing w:line="360" w:lineRule="auto"/>
        <w:jc w:val="both"/>
        <w:rPr>
          <w:rFonts w:ascii="David" w:hAnsi="David"/>
        </w:rPr>
      </w:pPr>
    </w:p>
    <w:p w:rsidR="00CD2861" w:rsidRDefault="00CD2861" w:rsidP="000C145C">
      <w:pPr>
        <w:pStyle w:val="af"/>
        <w:numPr>
          <w:ilvl w:val="0"/>
          <w:numId w:val="2"/>
        </w:numPr>
        <w:spacing w:before="0" w:after="0" w:line="360" w:lineRule="auto"/>
        <w:ind w:left="509" w:hanging="567"/>
        <w:jc w:val="both"/>
        <w:rPr>
          <w:rFonts w:ascii="David" w:hAnsi="David"/>
        </w:rPr>
      </w:pPr>
      <w:r>
        <w:rPr>
          <w:rFonts w:ascii="David" w:hAnsi="David"/>
          <w:rtl/>
        </w:rPr>
        <w:lastRenderedPageBreak/>
        <w:t xml:space="preserve">גרסת הוויתור של חסאן לא הייתה משכנעת גם בהיבטים אחרים, באופן היורד לשורש הדברים, עד שהתקשיתי להרכיב את החלקים כפי שהוצגו על ידו, לכדי תמונה קוהרנטית שלמה (אף לשיטתו). כך, לפני שהעיד כי בשלב כלשהו החליט "לשחרר" ולהסכים לתנאי הוויתור העיד כי </w:t>
      </w:r>
      <w:r>
        <w:rPr>
          <w:rFonts w:ascii="David" w:hAnsi="David"/>
          <w:b/>
          <w:bCs/>
          <w:rtl/>
        </w:rPr>
        <w:t xml:space="preserve">"מעולם אנחנו לא הסכמנו לוותר על טענת השטחים" </w:t>
      </w:r>
      <w:r>
        <w:rPr>
          <w:rFonts w:ascii="David" w:hAnsi="David"/>
          <w:rtl/>
        </w:rPr>
        <w:t>(עמ' 285 ש' 12-13). ולאחר שהחליט "לשחרר", ואישר שההסכם המחייב הוא סיכום 25.2.2021, הוא נשאל מדוע, אם כך, סירב לחתום על התוספת שכללה ויתור על הטענות לגבי השטחים; שהרי (לשיטתו) כבר הסכימו במועד כלשהו לאחר שיצא סיום 25.2.2021, לוותר על הטענה. על כך השיב באבחנה מפתיעה, חדשה ולוליינית  – שלא מצאתי לה זכר בסיכומי המשביר (ונדמה כי לא בכדי נזנחה שם) – "</w:t>
      </w:r>
      <w:r>
        <w:rPr>
          <w:rFonts w:ascii="David" w:hAnsi="David"/>
          <w:b/>
          <w:bCs/>
          <w:rtl/>
        </w:rPr>
        <w:t>ויתרתי על טענות העבר. לא ויתרתי קדימה. ויתרתי על טענות העבר</w:t>
      </w:r>
      <w:r>
        <w:rPr>
          <w:rFonts w:ascii="David" w:hAnsi="David"/>
          <w:rtl/>
        </w:rPr>
        <w:t>" (עמ' 302 ש' 24-25). לשלב זה בחקירתו הנגדית הגענו, יש לציין, לאחר דרך ארוכה ומפותלת כפי שניתן לראות בפרוטוקול החקירה הנגדית, שעברה (גם הפעם)</w:t>
      </w:r>
      <w:r>
        <w:rPr>
          <w:rFonts w:ascii="David" w:hAnsi="David"/>
        </w:rPr>
        <w:t xml:space="preserve"> </w:t>
      </w:r>
      <w:r>
        <w:rPr>
          <w:rFonts w:ascii="David" w:hAnsi="David"/>
          <w:rtl/>
        </w:rPr>
        <w:t>דרך טענות חדשות. אפרט חלקה של הדרך</w:t>
      </w:r>
      <w:r w:rsidR="000C145C">
        <w:rPr>
          <w:rFonts w:ascii="David" w:hAnsi="David" w:hint="cs"/>
          <w:rtl/>
        </w:rPr>
        <w:t>.</w:t>
      </w:r>
    </w:p>
    <w:p w:rsidR="00CD2861" w:rsidRDefault="00CD2861" w:rsidP="00CD2861">
      <w:pPr>
        <w:spacing w:line="360" w:lineRule="auto"/>
        <w:ind w:left="-58"/>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חסאן העיד תחילה כי בישיבה דובר גם על 10% הנחה עד סוף שנת 2021. "</w:t>
      </w:r>
      <w:r>
        <w:rPr>
          <w:rFonts w:ascii="David" w:hAnsi="David"/>
          <w:b/>
          <w:bCs/>
          <w:rtl/>
        </w:rPr>
        <w:t>דובר ואחרי זה לא עמדו בדבר הזה</w:t>
      </w:r>
      <w:r>
        <w:rPr>
          <w:rFonts w:ascii="David" w:hAnsi="David"/>
          <w:rtl/>
        </w:rPr>
        <w:t>" (עמ' 289 ש' 5-6). כשהוצג לו שעו"ד קוק היא שביקשה למחוק את ינואר-פברואר 2021 מהטבלה ולדבר על שנת 2021 אחר כך, השיב: "</w:t>
      </w:r>
      <w:r>
        <w:rPr>
          <w:rFonts w:ascii="David" w:hAnsi="David"/>
          <w:b/>
          <w:bCs/>
          <w:rtl/>
        </w:rPr>
        <w:t>לא יודע מה שירלי כתבה</w:t>
      </w:r>
      <w:r>
        <w:rPr>
          <w:rFonts w:ascii="David" w:hAnsi="David"/>
          <w:rtl/>
        </w:rPr>
        <w:t>" (שם, ש' 16). אחר כך נשאל מדוע בכלל "שיתף פעולה" עם נושא התוספת להסכם, תוך קיום פגישות וטיוטות נוספות, לאחר שלשיטת המשביר כבר עוגנו ההסכמות בסיכום 25.2.2021 (ראו האירועים לעיל סביב הטיוטה השישית והשביעית, מאי-יוני 2021). וביתר פירוט נשאל: אם לשיטתו יש הסכמות שמעוגנות בסיכום זה, מדוע לא ענה למשל לכהן [לאחר שכתבה ביום 5.4.2021: "</w:t>
      </w:r>
      <w:r>
        <w:rPr>
          <w:rFonts w:ascii="David" w:hAnsi="David"/>
          <w:b/>
          <w:bCs/>
          <w:rtl/>
        </w:rPr>
        <w:t>מאחר וטרם חתמתם על תוספת להסכם המסדירה את ההנחה לא אושר לקזז הנחה 10%. יש לשלם את ההפרש</w:t>
      </w:r>
      <w:r>
        <w:rPr>
          <w:rFonts w:ascii="David" w:hAnsi="David"/>
          <w:rtl/>
        </w:rPr>
        <w:t>"] - "</w:t>
      </w:r>
      <w:r>
        <w:rPr>
          <w:rFonts w:ascii="David" w:hAnsi="David"/>
          <w:b/>
          <w:bCs/>
          <w:rtl/>
        </w:rPr>
        <w:t>סליחה מה את רוצה ממני? בכלל לא היינו אמורים לחתום על הדבר הזה</w:t>
      </w:r>
      <w:r>
        <w:rPr>
          <w:rFonts w:ascii="David" w:hAnsi="David"/>
          <w:rtl/>
        </w:rPr>
        <w:t>". על כך השיב חסאן: "</w:t>
      </w:r>
      <w:r>
        <w:rPr>
          <w:rFonts w:ascii="David" w:hAnsi="David"/>
          <w:b/>
          <w:bCs/>
          <w:rtl/>
        </w:rPr>
        <w:t>אנחנו ביקשנו הנחה נוספת של 10%, בשיחה אמרו שיתנו את ההנחה הזאת, בפועל לא נתנו את זה. שלחו נייר חדש, הסכם חדש, הסכם משפטי. כל ההסכמות בו היו אחרות. הסכם שביקש כל מני דברים שלא הסכמנו עליהם. לכן לא קיבלנו את ה- 10% הנחה. הם לא הסכימו לקזז לנו את ה- 10% בהמשך</w:t>
      </w:r>
      <w:r>
        <w:rPr>
          <w:rFonts w:ascii="David" w:hAnsi="David"/>
          <w:rtl/>
        </w:rPr>
        <w:t xml:space="preserve">". </w:t>
      </w:r>
      <w:r>
        <w:rPr>
          <w:rFonts w:ascii="David" w:hAnsi="David"/>
          <w:rtl/>
        </w:rPr>
        <w:tab/>
      </w:r>
      <w:r>
        <w:rPr>
          <w:rFonts w:ascii="David" w:hAnsi="David"/>
          <w:rtl/>
        </w:rPr>
        <w:br/>
        <w:t xml:space="preserve">במאמר מוסגר אעיר כי כשנשאל חסאן בהמשך לכך </w:t>
      </w:r>
      <w:r>
        <w:rPr>
          <w:rFonts w:ascii="David" w:hAnsi="David"/>
          <w:b/>
          <w:bCs/>
          <w:rtl/>
        </w:rPr>
        <w:t>"ואם סוגרים את הסיפור של ה- 10% אתה חותם על הטיוטה?"</w:t>
      </w:r>
      <w:r>
        <w:rPr>
          <w:rFonts w:ascii="David" w:hAnsi="David"/>
          <w:rtl/>
        </w:rPr>
        <w:t xml:space="preserve">, הוא השיב בחיוב אך מיד סייג: </w:t>
      </w:r>
      <w:r>
        <w:rPr>
          <w:rFonts w:ascii="David" w:hAnsi="David"/>
          <w:b/>
          <w:bCs/>
          <w:rtl/>
        </w:rPr>
        <w:t>"אבל, לא בקטע של השטחים ולא בקטע של פינוי גמיש"</w:t>
      </w:r>
      <w:r>
        <w:rPr>
          <w:rFonts w:ascii="David" w:hAnsi="David"/>
          <w:rtl/>
        </w:rPr>
        <w:t xml:space="preserve"> (עמ' 317 ש' 10-15).</w:t>
      </w:r>
      <w:r>
        <w:rPr>
          <w:rFonts w:ascii="David" w:hAnsi="David"/>
          <w:b/>
          <w:bCs/>
          <w:rtl/>
        </w:rPr>
        <w:t xml:space="preserve"> </w:t>
      </w:r>
      <w:r>
        <w:rPr>
          <w:rFonts w:ascii="David" w:hAnsi="David"/>
          <w:rtl/>
        </w:rPr>
        <w:t>משמע, חסאן העיד כי גם בקבלת מלוא ההנחות בגינן מתנהל הליך זה, ההנחות לשנים 2020 ו- 2021, אין ולא הייתה הסכמה של המשביר לוותר על הטענות ביחס לשטח. הדברים אינם עולים כמובן בקנה אחד עם עדותו הנ"ל כי המשביר הסכימה בסופו של דבר לתנאי הוויתור.</w:t>
      </w:r>
    </w:p>
    <w:p w:rsidR="00CD2861" w:rsidRDefault="00CD2861" w:rsidP="00CD2861">
      <w:pPr>
        <w:spacing w:line="360" w:lineRule="auto"/>
        <w:jc w:val="both"/>
        <w:rPr>
          <w:rFonts w:ascii="David" w:hAnsi="David"/>
        </w:rPr>
      </w:pPr>
    </w:p>
    <w:p w:rsidR="00CD2861" w:rsidRDefault="00CD2861" w:rsidP="000C145C">
      <w:pPr>
        <w:pStyle w:val="af"/>
        <w:numPr>
          <w:ilvl w:val="0"/>
          <w:numId w:val="2"/>
        </w:numPr>
        <w:spacing w:before="0" w:after="0" w:line="360" w:lineRule="auto"/>
        <w:ind w:left="509" w:hanging="567"/>
        <w:jc w:val="both"/>
        <w:rPr>
          <w:rFonts w:ascii="David" w:hAnsi="David"/>
          <w:b/>
          <w:bCs/>
          <w:rtl/>
        </w:rPr>
      </w:pPr>
      <w:r>
        <w:rPr>
          <w:rFonts w:ascii="David" w:hAnsi="David"/>
          <w:rtl/>
        </w:rPr>
        <w:t xml:space="preserve">נחזור למהלך עדותו של חסאן בחקירה נגדית. לשאלת בית המשפט, שב ואישר חסאן כי לדידו ההנחות בסיכום 25.2.2021 היו מוסכמות, אבל אחר כך המשביר ביקשה הנחה נוספת של </w:t>
      </w:r>
      <w:r>
        <w:rPr>
          <w:rFonts w:ascii="David" w:hAnsi="David"/>
          <w:rtl/>
        </w:rPr>
        <w:lastRenderedPageBreak/>
        <w:t>10% עד סוף 2021, שלא נכללה בסיכום; והטענה (החדשה)</w:t>
      </w:r>
      <w:r>
        <w:rPr>
          <w:rFonts w:ascii="David" w:hAnsi="David"/>
        </w:rPr>
        <w:t xml:space="preserve"> </w:t>
      </w:r>
      <w:r>
        <w:rPr>
          <w:rFonts w:ascii="David" w:hAnsi="David"/>
          <w:rtl/>
        </w:rPr>
        <w:t>היא שהתוספת להסכם, שהתובעת ביקשה שתחתם כתנאי להנחה, התייחסה אך ורק להנחה נוספת זו (עמ' 301 ש' 27-עמ' 302 ש' 4). לאור זאת ביקש בית המשפט להבין, מדוע סירבה המשביר לחתום על התוספת ולאשר במסגרתה שאין לה טענות לגבי השטח לצורך קבלת ההנחה של 10% (ואף הגישה תביעה שכנגד על יסוד הטענות בגין השטח). שהרי לפי עדותו, המשביר כבר הסכימה לתנאי הוויתור כחלק מקיום סיכום 25.2.2021 ולצורך קבלת ההנחות הכלולות בו. או אז השיב העד את התשובה היצירתית שהובאה לעיל, שלפיה "</w:t>
      </w:r>
      <w:r>
        <w:rPr>
          <w:rFonts w:ascii="David" w:hAnsi="David"/>
          <w:b/>
          <w:bCs/>
          <w:rtl/>
        </w:rPr>
        <w:t>ויתרתי על טענות העבר. לא ויתרתי קדימה. ויתרתי על טענות העבר</w:t>
      </w:r>
      <w:r>
        <w:rPr>
          <w:rFonts w:ascii="David" w:hAnsi="David"/>
          <w:rtl/>
        </w:rPr>
        <w:t>".</w:t>
      </w:r>
      <w:r>
        <w:rPr>
          <w:rFonts w:ascii="David" w:hAnsi="David"/>
          <w:rtl/>
        </w:rPr>
        <w:tab/>
      </w:r>
      <w:r>
        <w:rPr>
          <w:rFonts w:ascii="David" w:hAnsi="David"/>
          <w:rtl/>
        </w:rPr>
        <w:br/>
        <w:t>על מנת לסבר את האוזן להלן חלק מהפרוטוקול (עמ' 302 ש' 12-26):</w:t>
      </w:r>
      <w:r>
        <w:rPr>
          <w:rFonts w:ascii="David" w:hAnsi="David"/>
          <w:rtl/>
        </w:rPr>
        <w:tab/>
      </w:r>
    </w:p>
    <w:p w:rsidR="00CD2861" w:rsidRDefault="00CD2861" w:rsidP="00CD2861">
      <w:pPr>
        <w:spacing w:line="360" w:lineRule="auto"/>
        <w:jc w:val="both"/>
        <w:rPr>
          <w:rFonts w:ascii="David" w:hAnsi="David"/>
          <w:b/>
          <w:bCs/>
        </w:rPr>
      </w:pPr>
    </w:p>
    <w:p w:rsidR="00CD2861" w:rsidRDefault="00CD2861" w:rsidP="000C145C">
      <w:pPr>
        <w:spacing w:line="276" w:lineRule="auto"/>
        <w:ind w:left="1076" w:right="851"/>
        <w:jc w:val="both"/>
        <w:rPr>
          <w:rFonts w:ascii="David" w:hAnsi="David"/>
          <w:b/>
          <w:bCs/>
        </w:rPr>
      </w:pPr>
      <w:r>
        <w:rPr>
          <w:rFonts w:ascii="David" w:hAnsi="David"/>
          <w:b/>
          <w:bCs/>
          <w:rtl/>
        </w:rPr>
        <w:t>כב' השופטת: ... אתה אומר שאחר כך נוצרו או היו אי הסכמות, בגלל שביקשתם 10% הנחה נוספת.</w:t>
      </w:r>
      <w:r>
        <w:rPr>
          <w:rFonts w:ascii="David" w:hAnsi="David"/>
          <w:b/>
          <w:bCs/>
          <w:rtl/>
        </w:rPr>
        <w:tab/>
      </w:r>
      <w:r>
        <w:rPr>
          <w:rFonts w:ascii="David" w:hAnsi="David"/>
          <w:b/>
          <w:bCs/>
          <w:rtl/>
        </w:rPr>
        <w:br/>
        <w:t xml:space="preserve">העד </w:t>
      </w:r>
      <w:r>
        <w:rPr>
          <w:rFonts w:ascii="David" w:hAnsi="David"/>
          <w:rtl/>
        </w:rPr>
        <w:t>[חסאן]</w:t>
      </w:r>
      <w:r>
        <w:rPr>
          <w:rFonts w:ascii="David" w:hAnsi="David"/>
          <w:b/>
          <w:bCs/>
          <w:rtl/>
        </w:rPr>
        <w:t>: כן</w:t>
      </w:r>
      <w:r>
        <w:rPr>
          <w:rFonts w:ascii="David" w:hAnsi="David"/>
          <w:b/>
          <w:bCs/>
          <w:rtl/>
        </w:rPr>
        <w:tab/>
      </w:r>
      <w:r>
        <w:rPr>
          <w:rFonts w:ascii="David" w:hAnsi="David"/>
          <w:b/>
          <w:bCs/>
          <w:rtl/>
        </w:rPr>
        <w:br/>
        <w:t xml:space="preserve">כב' השופטת: ועל ה- 10% </w:t>
      </w:r>
      <w:r>
        <w:rPr>
          <w:rFonts w:ascii="David" w:hAnsi="David"/>
          <w:rtl/>
        </w:rPr>
        <w:t>[הנחה]</w:t>
      </w:r>
      <w:r>
        <w:rPr>
          <w:rFonts w:ascii="David" w:hAnsi="David"/>
          <w:b/>
          <w:bCs/>
          <w:rtl/>
        </w:rPr>
        <w:t xml:space="preserve"> נוספת זו, אז, לא יודעת מה קרה</w:t>
      </w:r>
      <w:r>
        <w:rPr>
          <w:rFonts w:ascii="David" w:hAnsi="David"/>
          <w:b/>
          <w:bCs/>
          <w:rtl/>
        </w:rPr>
        <w:tab/>
      </w:r>
      <w:r>
        <w:rPr>
          <w:rFonts w:ascii="David" w:hAnsi="David"/>
          <w:b/>
          <w:bCs/>
          <w:rtl/>
        </w:rPr>
        <w:br/>
        <w:t>העד: אז הם התעוררו ושלחו הסכם שמכניס בתוך ההסכם שאין לי טענות על השטחים.</w:t>
      </w:r>
      <w:r>
        <w:rPr>
          <w:rFonts w:ascii="David" w:hAnsi="David"/>
          <w:b/>
          <w:bCs/>
          <w:rtl/>
        </w:rPr>
        <w:tab/>
      </w:r>
      <w:r>
        <w:rPr>
          <w:rFonts w:ascii="David" w:hAnsi="David"/>
          <w:b/>
          <w:bCs/>
          <w:rtl/>
        </w:rPr>
        <w:br/>
        <w:t>כב' השופטת: אבל לא היה לך טענה על השטחים קודם, לפני זה.</w:t>
      </w:r>
      <w:r>
        <w:rPr>
          <w:rFonts w:ascii="David" w:hAnsi="David"/>
          <w:b/>
          <w:bCs/>
          <w:rtl/>
        </w:rPr>
        <w:tab/>
      </w:r>
      <w:r>
        <w:rPr>
          <w:rFonts w:ascii="David" w:hAnsi="David"/>
          <w:b/>
          <w:bCs/>
          <w:rtl/>
        </w:rPr>
        <w:br/>
        <w:t>העד: לא, קדימה. קדימה גבירתי.</w:t>
      </w:r>
      <w:r>
        <w:rPr>
          <w:rFonts w:ascii="David" w:hAnsi="David"/>
          <w:b/>
          <w:bCs/>
          <w:rtl/>
        </w:rPr>
        <w:tab/>
      </w:r>
      <w:r>
        <w:rPr>
          <w:rFonts w:ascii="David" w:hAnsi="David"/>
          <w:b/>
          <w:bCs/>
          <w:rtl/>
        </w:rPr>
        <w:br/>
        <w:t>כב' השופטת: מה זה קדימה?</w:t>
      </w:r>
      <w:r>
        <w:rPr>
          <w:rFonts w:ascii="David" w:hAnsi="David"/>
          <w:b/>
          <w:bCs/>
          <w:rtl/>
        </w:rPr>
        <w:tab/>
      </w:r>
      <w:r>
        <w:rPr>
          <w:rFonts w:ascii="David" w:hAnsi="David"/>
          <w:b/>
          <w:bCs/>
          <w:rtl/>
        </w:rPr>
        <w:br/>
        <w:t>עו"ד דורון: מה שטחים קדימה?</w:t>
      </w:r>
      <w:r>
        <w:rPr>
          <w:rFonts w:ascii="David" w:hAnsi="David"/>
          <w:b/>
          <w:bCs/>
          <w:rtl/>
        </w:rPr>
        <w:tab/>
      </w:r>
      <w:r>
        <w:rPr>
          <w:rFonts w:ascii="David" w:hAnsi="David"/>
          <w:b/>
          <w:bCs/>
          <w:rtl/>
        </w:rPr>
        <w:br/>
        <w:t>העד: אני שוכר את הנכס משנת 2011</w:t>
      </w:r>
      <w:r>
        <w:rPr>
          <w:rFonts w:ascii="David" w:hAnsi="David"/>
          <w:b/>
          <w:bCs/>
          <w:rtl/>
        </w:rPr>
        <w:tab/>
      </w:r>
      <w:r>
        <w:rPr>
          <w:rFonts w:ascii="David" w:hAnsi="David"/>
          <w:b/>
          <w:bCs/>
          <w:rtl/>
        </w:rPr>
        <w:br/>
        <w:t xml:space="preserve">כב' השופטת: לא הבנתי  </w:t>
      </w:r>
      <w:r>
        <w:rPr>
          <w:rFonts w:ascii="David" w:hAnsi="David"/>
          <w:b/>
          <w:bCs/>
          <w:rtl/>
        </w:rPr>
        <w:tab/>
      </w:r>
      <w:r>
        <w:rPr>
          <w:rFonts w:ascii="David" w:hAnsi="David"/>
          <w:b/>
          <w:bCs/>
          <w:rtl/>
        </w:rPr>
        <w:br/>
        <w:t>העד: ויתרתי על טענות העבר. לא ויתרתי קדימה. ויתרתי על טענות העבר.</w:t>
      </w:r>
      <w:r w:rsidR="000C145C">
        <w:rPr>
          <w:rFonts w:ascii="David" w:hAnsi="David"/>
          <w:b/>
          <w:bCs/>
          <w:rtl/>
        </w:rPr>
        <w:br/>
      </w:r>
      <w:r w:rsidR="000C145C">
        <w:rPr>
          <w:rFonts w:ascii="David" w:hAnsi="David" w:hint="cs"/>
          <w:b/>
          <w:bCs/>
          <w:rtl/>
        </w:rPr>
        <w:t>כב' השופטת: וואו"</w:t>
      </w:r>
      <w:r w:rsidR="000C145C">
        <w:rPr>
          <w:rFonts w:ascii="David" w:hAnsi="David"/>
          <w:b/>
          <w:bCs/>
          <w:rtl/>
        </w:rPr>
        <w:tab/>
      </w:r>
      <w:r>
        <w:rPr>
          <w:rFonts w:ascii="David" w:hAnsi="David"/>
          <w:b/>
          <w:bCs/>
          <w:rtl/>
        </w:rPr>
        <w:br/>
      </w:r>
    </w:p>
    <w:p w:rsidR="00CD2861" w:rsidRDefault="00CD2861" w:rsidP="00CD2861">
      <w:pPr>
        <w:spacing w:line="276" w:lineRule="auto"/>
        <w:ind w:left="1076" w:right="851"/>
        <w:jc w:val="both"/>
        <w:rPr>
          <w:rFonts w:ascii="David" w:hAnsi="David"/>
          <w:b/>
          <w:bCs/>
          <w:rtl/>
        </w:rPr>
      </w:pPr>
    </w:p>
    <w:p w:rsidR="00CD2861" w:rsidRDefault="00CD2861" w:rsidP="000C145C">
      <w:pPr>
        <w:pStyle w:val="af"/>
        <w:numPr>
          <w:ilvl w:val="0"/>
          <w:numId w:val="2"/>
        </w:numPr>
        <w:spacing w:before="0" w:after="0" w:line="360" w:lineRule="auto"/>
        <w:ind w:left="509" w:hanging="567"/>
        <w:jc w:val="both"/>
        <w:rPr>
          <w:rFonts w:ascii="David" w:hAnsi="David"/>
        </w:rPr>
      </w:pPr>
      <w:r>
        <w:rPr>
          <w:rFonts w:ascii="David" w:hAnsi="David"/>
          <w:rtl/>
        </w:rPr>
        <w:t xml:space="preserve">לגרסת חסאן כי המשביר ויתרה על הטענות בעניין השטח לעבר אך לא לעתיד, אין זכר בתצהיר (שבו, כאמור, התנגדות כוללת של המשביר לתנאי הוויתור). היא לא עלתה בשלבי החקירה ראשונים של חסאן; וחסאן לא מצא מקום לציינה כבר בעת שחידש והעיד לראשונה כי המשביר הסכימה באחד הימים לתנאי זה (על דרך "לשחרר" כלשונו של חסאן). אבחנה זו באה רק בהמשך החקירה, במענה לשאלת בית המשפט כמצוטט לעיל. קשה להשתחרר מן הרושם שהאבחנה בין עבר לעתיד נולדה על אתר, בניסיון למצוא דרך ליישב בין הדברים </w:t>
      </w:r>
      <w:r w:rsidRPr="000C145C">
        <w:rPr>
          <w:rFonts w:ascii="David" w:hAnsi="David"/>
          <w:rtl/>
        </w:rPr>
        <w:t>כעולה מהפרוטוקול, את פליאתי נוכח התשובה לא הסתרתי בדיון. לא נתתי אמון בגרסה</w:t>
      </w:r>
      <w:r>
        <w:rPr>
          <w:rFonts w:ascii="David" w:hAnsi="David"/>
          <w:rtl/>
        </w:rPr>
        <w:t xml:space="preserve"> מתגלגלת זו. מה גם שכאמור, אבחנה זו בין ויתור על הטענות בעניין השטח לעבר ולא לעתיד, נזנחה בסיכומי המשביר בתביעה העיקרית. אוסיף כי האבחנה גם אינה עולה בקנה אחד עם נוסח תנאי הוויתור בסיכום 25.2.2021, שלטענת המשביר הוא ההסכם המחייב. זהו נוסח התנאי שם: "</w:t>
      </w:r>
      <w:r>
        <w:rPr>
          <w:rFonts w:ascii="David" w:hAnsi="David"/>
          <w:b/>
          <w:bCs/>
          <w:rtl/>
        </w:rPr>
        <w:t>שטח המושכר כפי שנקבע[ה] בתיקון להסכם משנת 2011. אין טענות לגבי השטח או על דמי השכירות</w:t>
      </w:r>
      <w:r>
        <w:rPr>
          <w:rFonts w:ascii="David" w:hAnsi="David"/>
          <w:rtl/>
        </w:rPr>
        <w:t xml:space="preserve">"(סעיף 3 שם). אין בו אבחנה בין עבר ועתיד לעניין הוויתור, </w:t>
      </w:r>
      <w:r>
        <w:rPr>
          <w:rFonts w:ascii="David" w:hAnsi="David"/>
          <w:rtl/>
        </w:rPr>
        <w:lastRenderedPageBreak/>
        <w:t xml:space="preserve">וממילא הוא כולל בחלקו הראשון גם הצהרה מהותית ביחס לשטח המושכר שמשמיטה את הקרקע תחת הטענות. </w:t>
      </w:r>
    </w:p>
    <w:p w:rsidR="00CD2861" w:rsidRDefault="00CD2861" w:rsidP="00CD2861">
      <w:pPr>
        <w:spacing w:line="360" w:lineRule="auto"/>
        <w:ind w:left="-58"/>
        <w:jc w:val="both"/>
        <w:rPr>
          <w:rFonts w:ascii="David" w:hAnsi="David"/>
        </w:rPr>
      </w:pPr>
    </w:p>
    <w:p w:rsidR="00CD2861" w:rsidRDefault="00CD2861" w:rsidP="000C145C">
      <w:pPr>
        <w:pStyle w:val="af"/>
        <w:numPr>
          <w:ilvl w:val="0"/>
          <w:numId w:val="2"/>
        </w:numPr>
        <w:spacing w:before="0" w:after="0" w:line="360" w:lineRule="auto"/>
        <w:ind w:left="509" w:hanging="567"/>
        <w:jc w:val="both"/>
        <w:rPr>
          <w:rFonts w:ascii="David" w:hAnsi="David"/>
        </w:rPr>
      </w:pPr>
      <w:r>
        <w:rPr>
          <w:rFonts w:ascii="David" w:hAnsi="David"/>
          <w:rtl/>
        </w:rPr>
        <w:t xml:space="preserve">לשלמות התמונה, אתייחס גם </w:t>
      </w:r>
      <w:r>
        <w:rPr>
          <w:rFonts w:ascii="David" w:hAnsi="David"/>
          <w:u w:val="single"/>
          <w:rtl/>
        </w:rPr>
        <w:t>לעדותו של מר שביט</w:t>
      </w:r>
      <w:r>
        <w:rPr>
          <w:rFonts w:ascii="David" w:hAnsi="David"/>
          <w:rtl/>
        </w:rPr>
        <w:t xml:space="preserve">, שהעיד ביום 12.12.2024. שביט אישר שלא נכח בפגישה מיום 28.1.2021 (עמ' 391 ש' 6-7). למעשה, לפי חומר הראיות השתתף רק בפגישה אחת מיום 14.12.2020 ואין חולק כי חסאן הוא שעמד מול התובעת </w:t>
      </w:r>
      <w:r w:rsidR="000C145C">
        <w:rPr>
          <w:rFonts w:ascii="David" w:hAnsi="David" w:hint="cs"/>
          <w:rtl/>
        </w:rPr>
        <w:t>ב</w:t>
      </w:r>
      <w:r>
        <w:rPr>
          <w:rFonts w:ascii="David" w:hAnsi="David"/>
          <w:rtl/>
        </w:rPr>
        <w:t xml:space="preserve">משא ומתן שבנדון (ראו גם עמ' 343 ש' 23- 344 ש' 5 לחקירתו של חסאן). בתצהירו ציין כי לא הסכים לתנאי הוויתור (סעיפים 12-13.1). אך כשהתבקש לאשר בחקירתו שמעולם לא הסכים לוותר על הטענה בעניין השטחים, השיב: </w:t>
      </w:r>
      <w:r>
        <w:rPr>
          <w:rFonts w:ascii="David" w:hAnsi="David"/>
          <w:b/>
          <w:bCs/>
          <w:rtl/>
        </w:rPr>
        <w:t>"לא הסכמתי לפני. במסמך הזה</w:t>
      </w:r>
      <w:r>
        <w:rPr>
          <w:rFonts w:ascii="David" w:hAnsi="David"/>
          <w:rtl/>
        </w:rPr>
        <w:t xml:space="preserve"> [סיכום 25.2.2021] </w:t>
      </w:r>
      <w:r>
        <w:rPr>
          <w:rFonts w:ascii="David" w:hAnsi="David"/>
          <w:b/>
          <w:bCs/>
          <w:rtl/>
        </w:rPr>
        <w:t>הסכמתי"</w:t>
      </w:r>
      <w:r>
        <w:rPr>
          <w:rFonts w:ascii="David" w:hAnsi="David"/>
          <w:rtl/>
        </w:rPr>
        <w:t xml:space="preserve"> (עמ' 391 ש' 8-14). משהתבקש להצביע על הטענה שהסכים לתנאי הוויתור בתצהירו, השיב "</w:t>
      </w:r>
      <w:r>
        <w:rPr>
          <w:rFonts w:ascii="David" w:hAnsi="David"/>
          <w:b/>
          <w:bCs/>
          <w:rtl/>
        </w:rPr>
        <w:t>הסכמתי להסדר</w:t>
      </w:r>
      <w:r>
        <w:rPr>
          <w:rFonts w:ascii="David" w:hAnsi="David"/>
          <w:rtl/>
        </w:rPr>
        <w:t>", והוסיף כי ההסכמה היא בכך ש"</w:t>
      </w:r>
      <w:r>
        <w:rPr>
          <w:rFonts w:ascii="David" w:hAnsi="David"/>
          <w:b/>
          <w:bCs/>
          <w:rtl/>
        </w:rPr>
        <w:t>חתמתי על התשלומים שלו</w:t>
      </w:r>
      <w:r>
        <w:rPr>
          <w:rFonts w:ascii="David" w:hAnsi="David"/>
          <w:rtl/>
        </w:rPr>
        <w:t xml:space="preserve">" (עמ' 392 ש' 9-14. ראו גם בעמ' 395 ש' 12-14 </w:t>
      </w:r>
      <w:r>
        <w:rPr>
          <w:rFonts w:ascii="David" w:hAnsi="David"/>
          <w:b/>
          <w:bCs/>
          <w:rtl/>
        </w:rPr>
        <w:t>"הטיוטה האחרונה שעל בסיס הטיוטה הזו יצאו צ'קים, אני קראתי אותה, אשרתי אותה וחתמתי על הצ'קים, ועל האישור של הקופונים ..."</w:t>
      </w:r>
      <w:r>
        <w:rPr>
          <w:rtl/>
        </w:rPr>
        <w:t>).</w:t>
      </w:r>
      <w:r>
        <w:rPr>
          <w:rFonts w:ascii="David" w:hAnsi="David"/>
          <w:rtl/>
        </w:rPr>
        <w:t xml:space="preserve"> </w:t>
      </w:r>
    </w:p>
    <w:p w:rsidR="00CD2861" w:rsidRDefault="00CD2861" w:rsidP="00CD2861">
      <w:pPr>
        <w:spacing w:line="360" w:lineRule="auto"/>
        <w:jc w:val="both"/>
        <w:rPr>
          <w:rFonts w:ascii="David" w:hAnsi="David"/>
        </w:rPr>
      </w:pPr>
    </w:p>
    <w:p w:rsidR="00CD2861" w:rsidRDefault="00CD2861" w:rsidP="000C145C">
      <w:pPr>
        <w:pStyle w:val="af"/>
        <w:numPr>
          <w:ilvl w:val="0"/>
          <w:numId w:val="2"/>
        </w:numPr>
        <w:spacing w:before="0" w:after="0" w:line="360" w:lineRule="auto"/>
        <w:ind w:left="509" w:hanging="567"/>
        <w:jc w:val="both"/>
        <w:rPr>
          <w:rFonts w:ascii="David" w:hAnsi="David"/>
          <w:rtl/>
        </w:rPr>
      </w:pPr>
      <w:r>
        <w:rPr>
          <w:rFonts w:ascii="David" w:hAnsi="David"/>
          <w:rtl/>
        </w:rPr>
        <w:t>אני דוחה את טענת שביט (והמשביר) כי החתימה על השיקים ומסירתם לתובעת כמוה כאישור של המשביר לסיכום 25.2.2021, או אינדיקציה לגמירות דעת מצדה של המשביר להתקשר בסיכום זה, כמו גם את הטענה שמעיד הדבר על הסכמה לתנאי הוויתור. כאמור, השיקים הועברו לתובעת לאחר שכהן הוציאה את סיכום 1.2.2021 ואת טבלת ההנחות מיום 3.</w:t>
      </w:r>
      <w:r w:rsidR="000C145C">
        <w:rPr>
          <w:rFonts w:ascii="David" w:hAnsi="David" w:hint="cs"/>
          <w:rtl/>
        </w:rPr>
        <w:t>2</w:t>
      </w:r>
      <w:r>
        <w:rPr>
          <w:rFonts w:ascii="David" w:hAnsi="David"/>
          <w:rtl/>
        </w:rPr>
        <w:t>.2021 (שתוקנה לבקשת עו"ד קוק), בטרם הועברו הערות המשביר מיום 15.2.2021 ובטרם יצא סיכום 25.2.2021 לאותה פגישה. בדוא"ל הנלווה להעברת השיקים, עו"ד קוק הדגישה (בפעם השניה) כי ההערות לסיכום 1.2.2021 בכללותו יבואו בהמשך. הערותיה לסיכום 1.</w:t>
      </w:r>
      <w:r w:rsidR="000C145C">
        <w:rPr>
          <w:rFonts w:ascii="David" w:hAnsi="David" w:hint="cs"/>
          <w:rtl/>
        </w:rPr>
        <w:t>2</w:t>
      </w:r>
      <w:r>
        <w:rPr>
          <w:rFonts w:ascii="David" w:hAnsi="David"/>
          <w:rtl/>
        </w:rPr>
        <w:t>.2021 הועברו לתובעת רק ביום 15.2.202</w:t>
      </w:r>
      <w:r w:rsidR="000C145C">
        <w:rPr>
          <w:rFonts w:ascii="David" w:hAnsi="David" w:hint="cs"/>
          <w:rtl/>
        </w:rPr>
        <w:t>1</w:t>
      </w:r>
      <w:r>
        <w:rPr>
          <w:rFonts w:ascii="David" w:hAnsi="David"/>
          <w:rtl/>
        </w:rPr>
        <w:t xml:space="preserve">, לאחר מסירת השיקים. סיכום 25.2.2021 עוד לא נולד בעת מסירתם. גם מטעם זה, מסירת השיקים לתובעת אינה יכולה ללמד על גמירות דעת מצדה להתקשר בסיכום זה. עוד יש להזכיר גם כאן, כי עדי המשביר העידו שההסכמה לתנאי הוויתור באה רק במועד כלשהו לאחר סיכום 25.2.2021, על דרך "השלמה" כביכול עם התנאי שבסיכום. שביט לא טען ובוודאי שלא הוכח, כי גילה דעתו שהוא מסכים </w:t>
      </w:r>
      <w:r>
        <w:rPr>
          <w:rFonts w:ascii="David" w:hAnsi="David"/>
          <w:u w:val="single"/>
          <w:rtl/>
        </w:rPr>
        <w:t>לתנאי הוויתור</w:t>
      </w:r>
      <w:r>
        <w:rPr>
          <w:rFonts w:ascii="David" w:hAnsi="David"/>
          <w:rtl/>
        </w:rPr>
        <w:t xml:space="preserve">, במבע חיצוני אובייקטיבי כלפי התובעת בזמן אמת, לאחר שהמשביר החליטה כטענתה להסכים לתנאי הוויתור (השיקים, כאמור, אינם יכולים לשמש בתפקיד זה). </w:t>
      </w:r>
    </w:p>
    <w:p w:rsidR="00CD2861" w:rsidRDefault="00CD2861" w:rsidP="00CD2861">
      <w:pPr>
        <w:spacing w:line="360" w:lineRule="auto"/>
        <w:jc w:val="both"/>
        <w:rPr>
          <w:rFonts w:ascii="David" w:hAnsi="David"/>
        </w:rPr>
      </w:pPr>
    </w:p>
    <w:p w:rsidR="00CD2861" w:rsidRDefault="00CD2861" w:rsidP="001370E6">
      <w:pPr>
        <w:pStyle w:val="af"/>
        <w:numPr>
          <w:ilvl w:val="0"/>
          <w:numId w:val="2"/>
        </w:numPr>
        <w:spacing w:before="0" w:after="0" w:line="360" w:lineRule="auto"/>
        <w:ind w:left="509" w:hanging="567"/>
        <w:jc w:val="both"/>
        <w:rPr>
          <w:rFonts w:ascii="David" w:hAnsi="David"/>
          <w:rtl/>
        </w:rPr>
      </w:pPr>
      <w:r>
        <w:rPr>
          <w:rFonts w:ascii="David" w:hAnsi="David"/>
          <w:rtl/>
        </w:rPr>
        <w:t xml:space="preserve">חתימת מר שביט על השיקים והמצאתם לתובעת לתשלום חוב דמי השכירות לשנת 2020 אין בהם, אפוא, בנסיבות העניין כדי ללמד על גמירות דעת </w:t>
      </w:r>
      <w:r>
        <w:rPr>
          <w:rFonts w:ascii="David" w:hAnsi="David"/>
          <w:u w:val="single"/>
          <w:rtl/>
        </w:rPr>
        <w:t>מצד המשביר</w:t>
      </w:r>
      <w:r>
        <w:rPr>
          <w:rFonts w:ascii="David" w:hAnsi="David"/>
          <w:rtl/>
        </w:rPr>
        <w:t xml:space="preserve"> להתקשר בהסכם למתן הנחות בתנאים שלפי סיכום 25.2.2021, ועל הסכמתה לתנאים בסיכום זה. די בכך כדי לשמוט את הקרקע תחת גרסת המשביר כי "אישרה" את סיכום הדיון על דרך מסירת השיקים (ראו גם עדות עו"ד קוק בעמ' 350 ש' 21-22). בכל מקרה, גם אילו נקבע אחרת (ולא כך קבעתי), </w:t>
      </w:r>
      <w:r>
        <w:rPr>
          <w:rFonts w:ascii="David" w:hAnsi="David"/>
          <w:rtl/>
        </w:rPr>
        <w:lastRenderedPageBreak/>
        <w:t xml:space="preserve">בגביית השיקים על ידי התובעת תוך המצאת חשבוניות בהתאם, אין ללמוד בנסיבות העניין על גמירות דעת </w:t>
      </w:r>
      <w:r>
        <w:rPr>
          <w:rFonts w:ascii="David" w:hAnsi="David"/>
          <w:u w:val="single"/>
          <w:rtl/>
        </w:rPr>
        <w:t>מצד התובעת</w:t>
      </w:r>
      <w:r>
        <w:rPr>
          <w:rFonts w:ascii="David" w:hAnsi="David"/>
          <w:rtl/>
        </w:rPr>
        <w:t xml:space="preserve"> להתקשר בהסכם לפי סיכום 25.2.2021. מקובלת עליי טענת התובעת, שלא נסתרה ועמדה במבחן החקירה הנגדית, כי לא הייתה סיבה לסרב לקבלת השיקים נוכח חוב דמי השכירות שלפחות בגובה הסכום בשיקים אינו שנוי במחלוקת, כמו גם טענתה כי בקבלתם מחובתה ליתן חשבוניות כדין; וכי גילתה סבלנות וניסתה שוב ושוב לגבש הסכמות במסגרת המשא ומתן שנוהל וסברה, עד מועד שהרימה ידיים, כי בסופו של דבר ייחתם הסכם שמאגד את כל ההסכמות (סעיפים 94, 129-131 לתצהיר מר שריד; סעיפים 71 ו-97 לתצהיר עו"ד כשר וכן ההפניות ל</w:t>
      </w:r>
      <w:r w:rsidR="001370E6">
        <w:rPr>
          <w:rFonts w:ascii="David" w:hAnsi="David" w:hint="cs"/>
          <w:rtl/>
        </w:rPr>
        <w:t xml:space="preserve">פרוטוקול ישיבות ההוכחות </w:t>
      </w:r>
      <w:r w:rsidR="001370E6">
        <w:rPr>
          <w:rFonts w:ascii="David" w:hAnsi="David"/>
          <w:rtl/>
        </w:rPr>
        <w:t xml:space="preserve">בסעיף </w:t>
      </w:r>
      <w:r w:rsidR="001370E6">
        <w:rPr>
          <w:rFonts w:ascii="David" w:hAnsi="David" w:hint="cs"/>
          <w:rtl/>
        </w:rPr>
        <w:t>59</w:t>
      </w:r>
      <w:r w:rsidRPr="001370E6">
        <w:rPr>
          <w:rFonts w:ascii="David" w:hAnsi="David"/>
          <w:rtl/>
        </w:rPr>
        <w:t xml:space="preserve"> ל</w:t>
      </w:r>
      <w:r w:rsidR="001370E6">
        <w:rPr>
          <w:rFonts w:ascii="David" w:hAnsi="David" w:hint="cs"/>
          <w:rtl/>
        </w:rPr>
        <w:t>פסק דין זה</w:t>
      </w:r>
      <w:r w:rsidRPr="001370E6">
        <w:rPr>
          <w:rFonts w:ascii="David" w:hAnsi="David"/>
          <w:rtl/>
        </w:rPr>
        <w:t>).</w:t>
      </w:r>
      <w:r w:rsidRPr="001370E6">
        <w:rPr>
          <w:rFonts w:ascii="David" w:hAnsi="David"/>
          <w:b/>
          <w:bCs/>
          <w:rtl/>
        </w:rPr>
        <w:t xml:space="preserve"> </w:t>
      </w:r>
      <w:r w:rsidRPr="001370E6">
        <w:rPr>
          <w:rFonts w:ascii="David" w:hAnsi="David"/>
          <w:rtl/>
        </w:rPr>
        <w:t>למותר</w:t>
      </w:r>
      <w:r>
        <w:rPr>
          <w:rFonts w:ascii="David" w:hAnsi="David"/>
          <w:rtl/>
        </w:rPr>
        <w:t xml:space="preserve"> לציין כי עדי התובעת ומליסרון לא נשאלו בחקירתם אם ידעו שהמשביר הסכימה בשלב כשלהו לתנאי הוויתור. נדמה כי גם זו ראיה לכך שהגרסה נולדה מאוחר יותר, לאחר חקירת עדי התובעת. וגם אם לא כך, נוכח שינוי החזית המאוחר (בשלב חקירת עדי המשביר), לא היה בידם להתייחס לכך בתצהיריהם ובחקירתם.</w:t>
      </w:r>
    </w:p>
    <w:p w:rsidR="00CD2861" w:rsidRDefault="00CD2861" w:rsidP="00CD2861">
      <w:pPr>
        <w:spacing w:line="360" w:lineRule="auto"/>
        <w:jc w:val="both"/>
        <w:rPr>
          <w:rFonts w:ascii="David" w:hAnsi="David"/>
        </w:rPr>
      </w:pPr>
    </w:p>
    <w:p w:rsidR="00CD2861" w:rsidRDefault="00CD2861" w:rsidP="001370E6">
      <w:pPr>
        <w:pStyle w:val="af"/>
        <w:numPr>
          <w:ilvl w:val="0"/>
          <w:numId w:val="2"/>
        </w:numPr>
        <w:spacing w:before="0" w:after="0" w:line="360" w:lineRule="auto"/>
        <w:ind w:left="509" w:hanging="567"/>
        <w:jc w:val="both"/>
        <w:rPr>
          <w:rFonts w:ascii="David" w:hAnsi="David"/>
          <w:rtl/>
        </w:rPr>
      </w:pPr>
      <w:r>
        <w:rPr>
          <w:rFonts w:ascii="David" w:hAnsi="David"/>
          <w:rtl/>
        </w:rPr>
        <w:t xml:space="preserve">לבסוף אציין כי גם אם בפדיון השיקים ויצירת זיכויים בחשבון המשביר אצל התובעת ניתן לראות ביצוע חלקי של ההסכם, אין בכך בנסיבות העניין כמתואר, משום ראיה לגמירות דעת מצד התובעת להתקשר בהסכם בדמות סיכום 25.2.2021. עסקינן, לכל היותר, במצב שבו החלו הצדדים בביצוע ההסכם מתוך ציפייה שייכרת הסכם. אולם משלא נכרת, זכאית התובעת להשבת טובת ההנאה שנתנה מתוך ציפייה שייכרת, בדמות ההנחות שנתנה למשביר. </w:t>
      </w:r>
      <w:r w:rsidRPr="001370E6">
        <w:rPr>
          <w:rFonts w:ascii="David" w:hAnsi="David"/>
          <w:rtl/>
        </w:rPr>
        <w:t>המלומדים </w:t>
      </w:r>
      <w:hyperlink r:id="rId14" w:history="1">
        <w:r w:rsidRPr="001370E6">
          <w:rPr>
            <w:rStyle w:val="Hyperlink"/>
            <w:rFonts w:ascii="David" w:hAnsi="David"/>
            <w:color w:val="auto"/>
            <w:u w:val="none"/>
            <w:rtl/>
          </w:rPr>
          <w:t xml:space="preserve">דניאל פרידמן ואלרן שפירא בר-אור </w:t>
        </w:r>
        <w:r w:rsidRPr="001370E6">
          <w:rPr>
            <w:rStyle w:val="Hyperlink"/>
            <w:rFonts w:ascii="David" w:hAnsi="David"/>
            <w:b/>
            <w:bCs/>
            <w:color w:val="auto"/>
            <w:u w:val="none"/>
            <w:rtl/>
          </w:rPr>
          <w:t>דיני עשיית עושר ולא במשפט</w:t>
        </w:r>
      </w:hyperlink>
      <w:r w:rsidRPr="001370E6">
        <w:rPr>
          <w:rFonts w:ascii="David" w:hAnsi="David"/>
          <w:rtl/>
        </w:rPr>
        <w:t> (מהדורה שלישית, התשע"ה-2015) מתייחסים בספרם למצבים שבהם משא ומתן שלא הסתיים בהסכם (ובכלל זה בשל היעדר גמירות דעת או היעדר מסוימות), ומציינים כי "</w:t>
      </w:r>
      <w:r w:rsidRPr="001370E6">
        <w:rPr>
          <w:rFonts w:ascii="David" w:hAnsi="David"/>
          <w:b/>
          <w:bCs/>
          <w:u w:val="single"/>
          <w:rtl/>
        </w:rPr>
        <w:t xml:space="preserve">בכל המקרים </w:t>
      </w:r>
      <w:r>
        <w:rPr>
          <w:rFonts w:ascii="David" w:hAnsi="David"/>
          <w:b/>
          <w:bCs/>
          <w:u w:val="single"/>
          <w:rtl/>
        </w:rPr>
        <w:t>הללו עשויים הצדדים להתחיל בביצוע, תוך ציפייה שייכרת חוזה ביניהם</w:t>
      </w:r>
      <w:r>
        <w:rPr>
          <w:rFonts w:ascii="David" w:hAnsi="David"/>
          <w:b/>
          <w:bCs/>
          <w:rtl/>
        </w:rPr>
        <w:t xml:space="preserve"> (ופעמים, מתוך אמונה, מוטעית, כי החוזה אכן נכרת). הקונה הפוטנציאלי עשוי לשלם דמי קדימה עבור הנכס, שהוא מאמין כי ייערך הסכם לרכישתו, ובעל מלאכה עשוי להתחיל בביצוע העבודה, שהמזמין מעוניין בה, אף שעדיין לא הוסכם על המחיר. אם בסופו של דבר לא נכרת חוזה, זכאי כל אחד מן הצדדים להשבת טובת ההנאה שהעניק לחברו. </w:t>
      </w:r>
      <w:r>
        <w:rPr>
          <w:rFonts w:ascii="David" w:hAnsi="David"/>
          <w:b/>
          <w:bCs/>
          <w:u w:val="single"/>
          <w:rtl/>
        </w:rPr>
        <w:t>בנסיבות אלה מדובר, למעשה, בטובת הנאה שהצד השני ביקש או ניאות לקבל (אף שלא נקשר חוזה) והצד שהעניק טובת הנאה זו זכאי להשבה</w:t>
      </w:r>
      <w:r>
        <w:rPr>
          <w:rFonts w:ascii="David" w:hAnsi="David"/>
          <w:b/>
          <w:bCs/>
          <w:rtl/>
        </w:rPr>
        <w:t xml:space="preserve">" </w:t>
      </w:r>
      <w:r>
        <w:rPr>
          <w:rFonts w:ascii="David" w:hAnsi="David"/>
          <w:rtl/>
        </w:rPr>
        <w:t xml:space="preserve">(חלק שני, פסקה 21.5. ראו גם חלק ראשון, פסקה 8.3) (להלן: </w:t>
      </w:r>
      <w:r>
        <w:rPr>
          <w:rFonts w:ascii="David" w:hAnsi="David"/>
          <w:b/>
          <w:bCs/>
          <w:rtl/>
        </w:rPr>
        <w:t>פרידמן ושפירא בר-אור</w:t>
      </w:r>
      <w:r>
        <w:rPr>
          <w:rFonts w:ascii="David" w:hAnsi="David"/>
          <w:rtl/>
        </w:rPr>
        <w:t>). טובת ההנאה שיש להשיב במקרה שלפנינו היא, כאמור, ההנחה שקיבלה המשביר (או לקחה לעצמה) בתשלום דמי השכירות.</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b/>
          <w:bCs/>
          <w:rtl/>
        </w:rPr>
        <w:t xml:space="preserve">סיכום הנדבך השלישי </w:t>
      </w:r>
      <w:r>
        <w:rPr>
          <w:rFonts w:ascii="David" w:hAnsi="David"/>
          <w:rtl/>
        </w:rPr>
        <w:t xml:space="preserve">הוא שלא עלה בידי המשביר להוכיח את טענתה כי בזמן אמת הסכימה לתנאי הוויתור. גרסתה בעניין זה לא קוהרנטית ולא מתיישבת עם הראיות, שיש בהן כדי ללמד כי המשביר לא הסכימה לתנאי הוויתור (גם לא בשלב שמאוחר יותר לסיכום 25.2.2021). כבר מטעם זה (אך לא רק) לא ניתן לקבל את גרסתה כי נכרת הסכם בדמות </w:t>
      </w:r>
      <w:r>
        <w:rPr>
          <w:rFonts w:ascii="David" w:hAnsi="David"/>
          <w:rtl/>
        </w:rPr>
        <w:lastRenderedPageBreak/>
        <w:t xml:space="preserve">סיכום 25.2.2021 וכי אישרה את הסיכום על דרך ביצועו, לרבות קיום התנאי של ויתור על הטענות בעניין השטח.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b/>
          <w:bCs/>
          <w:rtl/>
        </w:rPr>
      </w:pPr>
      <w:r>
        <w:rPr>
          <w:rFonts w:ascii="David" w:hAnsi="David"/>
          <w:rtl/>
        </w:rPr>
        <w:t>יתר על כן, עולה מעדותו של חסאן כי לפי גרסת המשביר העדכנית (הכבושה), לא הגיעו הצדדים לכלל הסכמה ביחס להנחות שאינן כלולות בסיכום 25.2.2021 (כלומר, ההנחות לשנת 2021), ואין בנמצא סיכום מחייב באשר להנחות אלה. על כך בנדבך הבא.</w:t>
      </w:r>
    </w:p>
    <w:p w:rsidR="00CD2861" w:rsidRDefault="00CD2861" w:rsidP="00CD2861">
      <w:pPr>
        <w:spacing w:line="360" w:lineRule="auto"/>
        <w:jc w:val="both"/>
        <w:rPr>
          <w:rFonts w:ascii="David" w:hAnsi="David"/>
        </w:rPr>
      </w:pPr>
    </w:p>
    <w:p w:rsidR="00CD2861" w:rsidRDefault="00CD2861" w:rsidP="00CD2861">
      <w:pPr>
        <w:spacing w:line="276" w:lineRule="auto"/>
        <w:jc w:val="both"/>
        <w:rPr>
          <w:rFonts w:ascii="David" w:hAnsi="David"/>
          <w:u w:val="single"/>
          <w:rtl/>
        </w:rPr>
      </w:pPr>
      <w:r>
        <w:rPr>
          <w:rFonts w:ascii="David" w:hAnsi="David"/>
          <w:b/>
          <w:bCs/>
          <w:u w:val="single"/>
          <w:rtl/>
        </w:rPr>
        <w:t>רביעית</w:t>
      </w:r>
      <w:r>
        <w:rPr>
          <w:rFonts w:ascii="David" w:hAnsi="David"/>
          <w:u w:val="single"/>
          <w:rtl/>
        </w:rPr>
        <w:t>, מה עם ההנחות לשנת 2021, שאינן כלולות בסיכום 25.2.2021?</w:t>
      </w:r>
    </w:p>
    <w:p w:rsidR="00CD2861" w:rsidRDefault="00CD2861" w:rsidP="00CD2861">
      <w:pPr>
        <w:spacing w:line="276" w:lineRule="auto"/>
        <w:jc w:val="both"/>
        <w:rPr>
          <w:rFonts w:ascii="David" w:hAnsi="David"/>
          <w:u w:val="single"/>
          <w:rtl/>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גרסת המשביר בתצהירים חסרה, כאמור, בכל הקשור לתקופה שאינה כלולה בסיכום 25.2.2021, לאמור: שנת 2021 כולה. סבורני כי זו נסיבה נוספת, שפועלת לרעת המשביר ולדחיית גרסתה. המשביר זנחה את גרסת כתב ההגנה, שם טענה להסכמות נוספות שהושגו בחודש יוני 2021 בדבר פטור בתקופת הסגר במדינה בינואר-פברואר 2021</w:t>
      </w:r>
      <w:r>
        <w:rPr>
          <w:rFonts w:ascii="David" w:hAnsi="David"/>
        </w:rPr>
        <w:t xml:space="preserve"> </w:t>
      </w:r>
      <w:r>
        <w:rPr>
          <w:rFonts w:ascii="David" w:hAnsi="David"/>
          <w:rtl/>
        </w:rPr>
        <w:t xml:space="preserve">והנחה של 10% עד דצמבר 2021, במסגרת פרק ב' של ההסכמות. </w:t>
      </w:r>
      <w:r>
        <w:rPr>
          <w:rFonts w:ascii="David" w:hAnsi="David"/>
          <w:u w:val="single"/>
          <w:rtl/>
        </w:rPr>
        <w:t>בסיכומים</w:t>
      </w:r>
      <w:r>
        <w:rPr>
          <w:rFonts w:ascii="David" w:hAnsi="David"/>
          <w:rtl/>
        </w:rPr>
        <w:t xml:space="preserve"> נטען כי ההסכמות שגובשו בפגישה מיום 28.1.2021 עוגנו בסיכום 25.2.2021, שהוא הסכם מחייב. אין התייחסות נאותה (אם בכלל) לעובדה שהסיכום מסדיר רק את שנת 2020; ואין טיעון מסודר ומגובש (אם בכלל), להנחות לשנת 2021, בשאלה מתי ואיך גובשו הסכמות אלה. דיון עקיף מצוי בפרק ד' של סיכומי המשביר, שעיקרו בטענה ש"הדיאלוג המאוחר" באפריל-מאי 2021 אינו גורע מטיבו של סיכום 25.2.2021 כהסכם מחייב. נטען שם (כגרסת חסאן בחקירתו), שנושא החתימה על התוספת נולד מחדש בתקופה זו של דיאלוג מתחדש, בשל בקשת המשביר להנחה נוספת של 10% על השוטף, שלא כלולה בסיכום 25.2.2021. נערכה אבחנה בין "הנחות הקורונה" לבין "הנחת השוטף", תוך שחודשים ינואר-פברואר 2021 שורבבו לתוך "הנחת הקורונה", שהוסדרה, כנטען שם, בסיכום 25.2.2021 וחוסים תחת אותו סיכום, מבלי שניתן כל הסבר לשיוך חודשים אלה לסיכום זה. זאת, אף שברור מעיון בטבלה כי ההנחה לחודשים ינואר-פברואר אינה כלולה בו, וגם לשיטת המשביר לא הוסכמה (כאמור, הם הוצאו במפורש מהסיכום לפי בקשת עו"ד קוק), ומבלי לבסס קיומה של הסכמה מחייבת בעניין. פטור מלא לגבי תקופת הסגר של ינואר-פברואר 2021 מצוי רק בטיוטת התוספות להסכם, יחד עם "הנחת השוטף" של 10% מתום הסגר (בטיוטה השישית מתום הסגר של פברואר 2021 עד סוף מאי 2021 ובשביעית, מהמועד הנזכר עד סוף דצמבר 2021). לא רק לגבי חודשיים ראשונים אלה לשנת 2021 אין טיעון של המשביר לביסוס הסכם מחייב להנחות אלא גם ביחס ל- 10% הנחה מתום הסגר, הנחה שאין חולק כי המשביר נטלה לעצמה בפועל. לא הונח, אפוא, מסד ראייתי ומשפטי מספק אם בכלל, אפילו מנקודת המבט של המשביר, ביחס להנחות בשנת 2021. כאמור, הדבר מכרסם בגרסת המשביר, בכלל ומכרסם גם בטענה כי בנסיבות העניין יש בקבלת ההנחות בפועל (או נטילתן)</w:t>
      </w:r>
      <w:r>
        <w:rPr>
          <w:rFonts w:ascii="David" w:hAnsi="David"/>
        </w:rPr>
        <w:t xml:space="preserve"> </w:t>
      </w:r>
      <w:r>
        <w:rPr>
          <w:rFonts w:ascii="David" w:hAnsi="David"/>
          <w:rtl/>
        </w:rPr>
        <w:t xml:space="preserve">כדי ללמד על קיומן של הסכמות מחייבות למתן </w:t>
      </w:r>
      <w:r>
        <w:rPr>
          <w:rFonts w:ascii="David" w:hAnsi="David"/>
          <w:rtl/>
        </w:rPr>
        <w:lastRenderedPageBreak/>
        <w:t>ההנחות או על גמירות דעת של הצדדים. ממילא, גם אילו התקבלה טענתה ביחס לסיכום 25.2.2021 (ואין זה המצב), לא היה בכך כדי לסייע בעניין ההנחות לשנת 2021.</w:t>
      </w:r>
    </w:p>
    <w:p w:rsidR="00CD2861" w:rsidRDefault="00CD2861" w:rsidP="00CD2861">
      <w:pPr>
        <w:spacing w:line="360" w:lineRule="auto"/>
        <w:ind w:left="-58"/>
        <w:jc w:val="both"/>
        <w:rPr>
          <w:rFonts w:ascii="David" w:hAnsi="David"/>
        </w:rPr>
      </w:pPr>
    </w:p>
    <w:p w:rsidR="00CD2861" w:rsidRDefault="00CD2861" w:rsidP="001370E6">
      <w:pPr>
        <w:spacing w:line="276" w:lineRule="auto"/>
        <w:ind w:left="-58"/>
        <w:jc w:val="both"/>
        <w:rPr>
          <w:rFonts w:ascii="David" w:hAnsi="David"/>
          <w:rtl/>
        </w:rPr>
      </w:pPr>
      <w:r>
        <w:rPr>
          <w:rFonts w:ascii="David" w:hAnsi="David"/>
          <w:b/>
          <w:bCs/>
          <w:u w:val="single"/>
          <w:rtl/>
        </w:rPr>
        <w:t>חמישית</w:t>
      </w:r>
      <w:r>
        <w:rPr>
          <w:rFonts w:ascii="David" w:hAnsi="David"/>
          <w:u w:val="single"/>
          <w:rtl/>
        </w:rPr>
        <w:t>, המשביר לא העלתה את הטענה ש</w:t>
      </w:r>
      <w:r w:rsidR="001370E6">
        <w:rPr>
          <w:rFonts w:ascii="David" w:hAnsi="David" w:hint="cs"/>
          <w:u w:val="single"/>
          <w:rtl/>
        </w:rPr>
        <w:t>נ</w:t>
      </w:r>
      <w:r>
        <w:rPr>
          <w:rFonts w:ascii="David" w:hAnsi="David"/>
          <w:u w:val="single"/>
          <w:rtl/>
        </w:rPr>
        <w:t>כרת הסכם מחייב בכלל (ובדמות סיכום 25.2.2021, בפרט) בזמן אמת</w:t>
      </w:r>
      <w:r>
        <w:rPr>
          <w:rFonts w:ascii="David" w:hAnsi="David"/>
          <w:rtl/>
        </w:rPr>
        <w:t xml:space="preserve"> </w:t>
      </w:r>
    </w:p>
    <w:p w:rsidR="00CD2861" w:rsidRDefault="00CD2861" w:rsidP="00CD2861">
      <w:pPr>
        <w:spacing w:line="276" w:lineRule="auto"/>
        <w:ind w:left="-58"/>
        <w:jc w:val="both"/>
        <w:rPr>
          <w:rFonts w:ascii="David" w:hAnsi="David"/>
          <w:rtl/>
        </w:rPr>
      </w:pPr>
    </w:p>
    <w:p w:rsidR="00CD2861" w:rsidRDefault="00CD2861" w:rsidP="001370E6">
      <w:pPr>
        <w:pStyle w:val="af"/>
        <w:numPr>
          <w:ilvl w:val="0"/>
          <w:numId w:val="2"/>
        </w:numPr>
        <w:spacing w:before="0" w:after="0" w:line="360" w:lineRule="auto"/>
        <w:ind w:left="509" w:hanging="567"/>
        <w:jc w:val="both"/>
        <w:rPr>
          <w:rFonts w:ascii="David" w:hAnsi="David"/>
        </w:rPr>
      </w:pPr>
      <w:r>
        <w:rPr>
          <w:rFonts w:ascii="David" w:hAnsi="David"/>
          <w:rtl/>
        </w:rPr>
        <w:t>הטענה שהצדדים הגיעו להסכמות מחייבות בדבר הנחות, לא הועלתה על ידי המשביר בזמן אמת, בעוד הצדדים מנהלים משא ומתן, מתכתבים בדוא"ל ומחליפים הודעות וטיוטות, באופן האומר דרשני ותומך בגרסת התובעת. בכל מסכת ההתכתבויות הארוכה בין הצדדים (קודם למענה מיום 27.7.2021 למכתב ההתראה), לא טענה המשביר כי נכרת הסכם כזה או אחר בין הצדדים. המשביר גם מעולם לא ציינה או טענה שכבר נכרת הסכם ביחס לשנת 2020 "שמכוסה" על ידי סיכום 25.2.2021 ולכן אין צורך בחתימה על הסכם נוסף (לפחות) ביחס להנחות הכלולות בהסכם זה. נדמה כי הערה כלשהי בנדון מצד המשביר בזמן אמת, התבקשה בנסיבות העניין, וחסרונה מדבר בעד עצמו. זאת, לנוכח אמירותיו החוזרות ונשנות בכתב של שריד לחסאן במהלך המשא ומתן כי כל ההנחות וההקלות כפופות לחתימה על התוספת (ראו חלקן מצוטטות בפרק ב.6 לעיל, וכן גרסתו המהימנה והעקבית של שריד בעניין זה, שלא נסתרה בחקירתו); ולנוכח העובדה שבטיוטות התוספת שהועברו, כולן, הן אלה שהועברו לפני הישיבה מיום 28.1.2021 וסיכומיה והן אלה שהועברו לאחר</w:t>
      </w:r>
      <w:r w:rsidR="001370E6">
        <w:rPr>
          <w:rFonts w:ascii="David" w:hAnsi="David" w:hint="cs"/>
          <w:rtl/>
        </w:rPr>
        <w:t>י</w:t>
      </w:r>
      <w:r>
        <w:rPr>
          <w:rFonts w:ascii="David" w:hAnsi="David"/>
          <w:rtl/>
        </w:rPr>
        <w:t>ה, נכללו כל ההנחות מראשיתן, החל מחודש מרץ 2020. אוסיף עוד כי אין בלשון טיוטות התוספת השונות אחיזה לאבחנה בין ההנחות שכבר הוסכמו (לפי טענת המשביר) לבין הנחות אחרות, ואין בנמצא בשלב כלשהו הערה בעניין במי מהן (או במקום אחר). אציין בהקשר זה כי כעולה מהראיות (וראו סקירת השתלשלות האירועים לעיל), התובעת ומליסרון הקפידו להעביר נוסח חדש ומעודכן של תוספת</w:t>
      </w:r>
      <w:r>
        <w:rPr>
          <w:rFonts w:ascii="David" w:hAnsi="David"/>
        </w:rPr>
        <w:t xml:space="preserve"> </w:t>
      </w:r>
      <w:r>
        <w:rPr>
          <w:rFonts w:ascii="David" w:hAnsi="David"/>
          <w:rtl/>
        </w:rPr>
        <w:t>או סיכום פגישה כמעט לאחר כל פגישה (ולו כדי לכלול את החוב העדכני). סבורני כי ההתנהלות האמורה משקפת בנסיבות העניין משא ומתן ומצב של חוסר הסכמה, ומלמדת אף היא כי גם הצדדים עצמם</w:t>
      </w:r>
      <w:r w:rsidR="00130916">
        <w:rPr>
          <w:rFonts w:ascii="David" w:hAnsi="David" w:hint="cs"/>
          <w:rtl/>
        </w:rPr>
        <w:t>,</w:t>
      </w:r>
      <w:r>
        <w:rPr>
          <w:rFonts w:ascii="David" w:hAnsi="David"/>
          <w:rtl/>
        </w:rPr>
        <w:t xml:space="preserve"> בזמן אמת, לא סברו הם כי נכרת ביניהם הסכם כנטען. </w:t>
      </w:r>
    </w:p>
    <w:p w:rsidR="00CD2861" w:rsidRPr="00130916" w:rsidRDefault="00CD2861" w:rsidP="00CD2861">
      <w:pPr>
        <w:spacing w:line="360" w:lineRule="auto"/>
        <w:jc w:val="both"/>
        <w:rPr>
          <w:rFonts w:ascii="David" w:hAnsi="David"/>
        </w:rPr>
      </w:pPr>
    </w:p>
    <w:p w:rsidR="00CD2861" w:rsidRDefault="00CD2861" w:rsidP="00130916">
      <w:pPr>
        <w:pStyle w:val="af"/>
        <w:numPr>
          <w:ilvl w:val="0"/>
          <w:numId w:val="2"/>
        </w:numPr>
        <w:spacing w:before="0" w:after="0" w:line="360" w:lineRule="auto"/>
        <w:ind w:left="509" w:hanging="567"/>
        <w:jc w:val="both"/>
        <w:rPr>
          <w:rFonts w:ascii="David" w:hAnsi="David"/>
          <w:rtl/>
        </w:rPr>
      </w:pPr>
      <w:r>
        <w:rPr>
          <w:rFonts w:ascii="David" w:hAnsi="David"/>
          <w:rtl/>
        </w:rPr>
        <w:t>במסגרת טענת המשביר בסיכומיה, כי לא נדרש לחתום על הסכם משפטי בנוסף לסיכום 25.2.2021, טענה היא גם כי אזכור כלל ההנחות החל ממרץ 2020 בטיוטות התוספת הוא חסר משמעות וכי "</w:t>
      </w:r>
      <w:r>
        <w:rPr>
          <w:rFonts w:ascii="David" w:hAnsi="David"/>
          <w:b/>
          <w:bCs/>
          <w:rtl/>
        </w:rPr>
        <w:t>כל שניתן להניח הוא ש'על הדרך' מתייחסים גם להנחות עבר, אבל אין בכך כדי להוריד כהוא זה מההסכם שהתגבש וקוים</w:t>
      </w:r>
      <w:r>
        <w:rPr>
          <w:rFonts w:ascii="David" w:hAnsi="David"/>
          <w:rtl/>
        </w:rPr>
        <w:t xml:space="preserve">" (סעיף 91). בשונה מהמשביר, אינני סבורה כי יש לראות באזכור ההנחות מבראשית עניין שולי, בבחינת אזכור "למען הסדר הטוב" או אזכור "על הדרך". אזכורן של כלל ההנחות בטיוטות התוספות הוא נסיבה נוספת התומכת בגרסת התובעת כי לא נקשר הסכם. כאמור, מסקנתי מן הראיות שבאו לפניי היא כי סיכום 25.2.2021 אינו הסכם מחייב, והצדדים לא סברו בזמן אמת כי נקשר הסכם בדמות אותו סיכום, ולא גמרו בדעתם להתקשר בהסכם זה. כמו כן, דחיתי את טענת המשביר כי הסכימה </w:t>
      </w:r>
      <w:r>
        <w:rPr>
          <w:rFonts w:ascii="David" w:hAnsi="David"/>
          <w:rtl/>
        </w:rPr>
        <w:lastRenderedPageBreak/>
        <w:t>לתנאי הוויתור (שלא הוכחה), והוספתי עוד כי אף אילו הוכח שהמשביר הסכימה לתנאי הוויתור (ולא כך קבעתי)</w:t>
      </w:r>
      <w:r>
        <w:rPr>
          <w:rFonts w:ascii="David" w:hAnsi="David"/>
        </w:rPr>
        <w:t xml:space="preserve"> </w:t>
      </w:r>
      <w:r>
        <w:rPr>
          <w:rFonts w:ascii="David" w:hAnsi="David"/>
          <w:rtl/>
        </w:rPr>
        <w:t xml:space="preserve">הרי שלא גילתה דעתה בדבר, כנדרש, כלפי התובעת ומליסרון, על </w:t>
      </w:r>
      <w:r w:rsidR="00130916">
        <w:rPr>
          <w:rFonts w:ascii="David" w:hAnsi="David" w:hint="cs"/>
          <w:rtl/>
        </w:rPr>
        <w:t xml:space="preserve">כל </w:t>
      </w:r>
      <w:r>
        <w:rPr>
          <w:rFonts w:ascii="David" w:hAnsi="David"/>
          <w:rtl/>
        </w:rPr>
        <w:t xml:space="preserve">המשתמע מכך. דחיתי גם את טענת המשביר כי תנאי הוויתור קוים אף הוא ועל כן, ולו כבר מטעם זה, נמצא כי ההסכם הנטען לא קוים. על כן, כפי שכבר ציינתי לעיל, השאלה </w:t>
      </w:r>
      <w:r>
        <w:rPr>
          <w:rFonts w:ascii="David" w:hAnsi="David"/>
          <w:u w:val="single"/>
          <w:rtl/>
        </w:rPr>
        <w:t>אינה</w:t>
      </w:r>
      <w:r>
        <w:rPr>
          <w:rFonts w:ascii="David" w:hAnsi="David"/>
          <w:rtl/>
        </w:rPr>
        <w:t xml:space="preserve"> אם </w:t>
      </w:r>
      <w:r>
        <w:rPr>
          <w:rFonts w:ascii="David" w:hAnsi="David"/>
          <w:u w:val="single"/>
          <w:rtl/>
        </w:rPr>
        <w:t>בנוסף להסכם שהתגבש ועוגן בסיכום 25.2.2021</w:t>
      </w:r>
      <w:r>
        <w:rPr>
          <w:rFonts w:ascii="David" w:hAnsi="David"/>
          <w:rtl/>
        </w:rPr>
        <w:t xml:space="preserve">, נדרשת </w:t>
      </w:r>
      <w:r>
        <w:rPr>
          <w:rFonts w:ascii="David" w:hAnsi="David"/>
          <w:u w:val="single"/>
          <w:rtl/>
        </w:rPr>
        <w:t>גם</w:t>
      </w:r>
      <w:r>
        <w:rPr>
          <w:rFonts w:ascii="David" w:hAnsi="David"/>
          <w:rtl/>
        </w:rPr>
        <w:t xml:space="preserve"> חתימה על הסכם משפטי. עם זאת, אני סבורה, כאמור, כי טיוטות התוספת שהועברו בין הצדדים הן נסיבה נוספת התומכת במסקנותיי אלה. שכן מצופה היה נוכח טיוטות התוספת והערות המשביר עליהן ומכלול הנסיבות כמפורט, וההערות המפורשות של שריד גם בהודעות הווטצאפ סביב טיוטות התוספת האחרונות (שחלו במועדים שלאחר סיכום 25.2.2021), כי המשביר תגיד את דברה בזמן אמת; ותציין בדרך כזו או אחרת, כי לא ברור מדוע נכללות "הנחות העבר" או "הנחות הקורונה" (ככינויים בסיכומים, כשנוספו להם ינואר-פברואר 2021) במסגרת התוספת, ומדוע קשורות הן בכך. כך גם אם מצב הדברים הוא כזה שהמשביר סבורה שהסיכום הוא הסכם מחייב, והתוספת נדרשת אך ורק לצורך הסדרת ההנחה של 10% עד לסוף שנת 2021, כפי שטענה המשביר בסיכומים (בעקבות גרסת חסאן בחקירתו). מצופה היה שייאמר דבר בעניין זה על ידי המשביר, גם אם ההסכם וביצועו, לשיטתה, בנקודת זמן זו של "דיאלוג מתחדש" כלשון סיכומי המשביר, באפריל-מאי 2021 (סעיף 78), "כבר מאחורינו".</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 xml:space="preserve">נכון הוא שהתובעת הוסיפה וטענה מעבר לאמור, כי סיכום 25.2.2021, הוא סיכום מסחרי חלקי ולא ממצה, וכי נדרש גם לחתום על מסמך משפטי (תוספת להסכם) שמסדירה את התנאים וההנחות. אולם, כאמור, השאלה אם נדרש גם לעגן את ההסכמות, אילו הושגו, גם בהסכם משפטי (חתימה על התוספת) - התייתרה נוכח קביעותיי לעיל, ואינה נדרשת להכרעה. אבהיר עם זאת, כי שוכנעתי כי זו אמנם עמדת התובעת ומליסרון והעדים מטעמן, שגרסתם בעניין זה הייתה קוהרנטית ולא נסתרה בחקירה. שאלה אחרת היא אם במבחן הדין אמנם נדרשת החתימה אילו הוכח קיומה של גמירות דעת להתקשר בהסכם בדמות סיכום 25.2.2021 (וכאמור, לא הוכח שכך). מכל מקום, התובעת בסיכומיה לא השליכה יהבה על הטענה שלא נחתמה תוספת. טענה זו הועלתה על ידה כטענה כאחת מבין רבות, לסתירת טענת המשביר שסיכום 25.2.2021 הוא הסכם מחייב (ואף לא המרכזית שבהן). העיקר בטיעוניה בסיכומים הוא באותות שליקטה מן הראיות ללמד על העדר הסכמה מצד המשביר לתנאי הוויתור בזמן אמת; במצורף לכך שהסיכום לא אושר על ידי המשביר; והמשביר גם לא טענה בזמן אמת, למרות הזדמנויות רבות, כי כבר קיים הסכם, אלא רק בדיעבד, ולראשונה בתשובה למכתב ההתראה טרם הגשת התביעה; וגם זאת, תוך שינוי חזית במהלך ניהול ההליך בשאלה מהו הסכם זה ותוך שבחקירות הנגדיות של עדיה התגלו סתירות. </w:t>
      </w:r>
    </w:p>
    <w:p w:rsidR="00CD2861" w:rsidRDefault="00CD2861" w:rsidP="00CD2861">
      <w:pPr>
        <w:spacing w:line="360" w:lineRule="auto"/>
        <w:jc w:val="both"/>
        <w:rPr>
          <w:rFonts w:ascii="David" w:hAnsi="David"/>
          <w:rtl/>
        </w:rPr>
      </w:pPr>
    </w:p>
    <w:p w:rsidR="00130916" w:rsidRDefault="00130916" w:rsidP="00130916">
      <w:pPr>
        <w:spacing w:line="360" w:lineRule="auto"/>
        <w:jc w:val="both"/>
        <w:rPr>
          <w:rFonts w:ascii="David" w:hAnsi="David"/>
          <w:rtl/>
        </w:rPr>
      </w:pPr>
    </w:p>
    <w:p w:rsidR="00130916" w:rsidRDefault="00130916" w:rsidP="00130916">
      <w:pPr>
        <w:spacing w:line="360" w:lineRule="auto"/>
        <w:jc w:val="both"/>
        <w:rPr>
          <w:rFonts w:ascii="David" w:hAnsi="David"/>
        </w:rPr>
      </w:pPr>
    </w:p>
    <w:p w:rsidR="00CD2861" w:rsidRDefault="00CD2861" w:rsidP="00CD2861">
      <w:pPr>
        <w:spacing w:line="276" w:lineRule="auto"/>
        <w:jc w:val="both"/>
        <w:rPr>
          <w:rFonts w:ascii="David" w:hAnsi="David"/>
          <w:b/>
          <w:bCs/>
          <w:u w:val="single"/>
          <w:rtl/>
        </w:rPr>
      </w:pPr>
      <w:r>
        <w:rPr>
          <w:rFonts w:ascii="David" w:hAnsi="David"/>
          <w:b/>
          <w:bCs/>
          <w:rtl/>
        </w:rPr>
        <w:lastRenderedPageBreak/>
        <w:t xml:space="preserve">ד.3 </w:t>
      </w:r>
      <w:r>
        <w:rPr>
          <w:rFonts w:ascii="David" w:hAnsi="David"/>
          <w:b/>
          <w:bCs/>
          <w:u w:val="single"/>
          <w:rtl/>
        </w:rPr>
        <w:t>התייחסות לטענות נוספות של המשביר</w:t>
      </w:r>
    </w:p>
    <w:p w:rsidR="00CD2861" w:rsidRDefault="00CD2861" w:rsidP="00CD2861">
      <w:pPr>
        <w:spacing w:line="276" w:lineRule="auto"/>
        <w:jc w:val="both"/>
        <w:rPr>
          <w:rFonts w:ascii="David" w:hAnsi="David"/>
          <w:u w:val="single"/>
          <w:rtl/>
        </w:rPr>
      </w:pPr>
    </w:p>
    <w:p w:rsidR="00CD2861" w:rsidRDefault="00CD2861" w:rsidP="00CD2861">
      <w:pPr>
        <w:spacing w:line="276" w:lineRule="auto"/>
        <w:jc w:val="both"/>
        <w:rPr>
          <w:rFonts w:ascii="David" w:hAnsi="David"/>
          <w:u w:val="single"/>
          <w:rtl/>
        </w:rPr>
      </w:pPr>
      <w:r>
        <w:rPr>
          <w:rFonts w:ascii="David" w:hAnsi="David"/>
          <w:u w:val="single"/>
          <w:rtl/>
        </w:rPr>
        <w:t>הקופונים</w:t>
      </w:r>
    </w:p>
    <w:p w:rsidR="00CD2861" w:rsidRDefault="00CD2861" w:rsidP="00CD2861">
      <w:pPr>
        <w:spacing w:line="276" w:lineRule="auto"/>
        <w:jc w:val="both"/>
        <w:rPr>
          <w:rFonts w:ascii="David" w:hAnsi="David"/>
          <w:u w:val="single"/>
          <w:rtl/>
        </w:rPr>
      </w:pPr>
    </w:p>
    <w:p w:rsidR="00CD2861" w:rsidRDefault="00CD2861" w:rsidP="00130916">
      <w:pPr>
        <w:pStyle w:val="af"/>
        <w:numPr>
          <w:ilvl w:val="0"/>
          <w:numId w:val="2"/>
        </w:numPr>
        <w:spacing w:before="0" w:after="0" w:line="360" w:lineRule="auto"/>
        <w:ind w:left="509" w:hanging="567"/>
        <w:jc w:val="both"/>
        <w:rPr>
          <w:rFonts w:ascii="David" w:hAnsi="David"/>
          <w:rtl/>
        </w:rPr>
      </w:pPr>
      <w:r>
        <w:rPr>
          <w:rFonts w:ascii="David" w:hAnsi="David"/>
          <w:rtl/>
        </w:rPr>
        <w:t>המשביר טוענת כי בהתנהגותה היא אישרה את הטיוטה מיום 25.2.2021 כששלחה המחאות לתובעת, כי ההסכם בוצע גם על ידי התובעת בקבלת התשלומים</w:t>
      </w:r>
      <w:r w:rsidR="00130916">
        <w:rPr>
          <w:rFonts w:ascii="David" w:hAnsi="David" w:hint="cs"/>
          <w:rtl/>
        </w:rPr>
        <w:t>,</w:t>
      </w:r>
      <w:r>
        <w:rPr>
          <w:rFonts w:ascii="David" w:hAnsi="David"/>
          <w:rtl/>
        </w:rPr>
        <w:t xml:space="preserve"> המצאת חשבוניות וזיכוי חשבון המשביר</w:t>
      </w:r>
      <w:r w:rsidR="00130916">
        <w:rPr>
          <w:rFonts w:ascii="David" w:hAnsi="David" w:hint="cs"/>
          <w:rtl/>
        </w:rPr>
        <w:t>,</w:t>
      </w:r>
      <w:r>
        <w:rPr>
          <w:rFonts w:ascii="David" w:hAnsi="David"/>
          <w:rtl/>
        </w:rPr>
        <w:t xml:space="preserve"> ובכך שהקופונים נמסרו ואף די, לטענתה, בדרישתם על ידי התובעת ללמד על גמירות דעת להתקשר בהסכם ועל עצם קיומו. אני דוחה טענה זו. התייחסתי כבר לעיל לנושא המצאת השיקים וגבייתם וכן להוצאת חשבוניות זיכוי בהתאם. אשלים כאן, אפוא, את ההתייחסות לנושא הקופונים.</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u w:val="single"/>
          <w:rtl/>
        </w:rPr>
        <w:t>לטענת התובעת</w:t>
      </w:r>
      <w:r>
        <w:rPr>
          <w:rFonts w:ascii="David" w:hAnsi="David"/>
          <w:rtl/>
        </w:rPr>
        <w:t xml:space="preserve">, המשביר כלל לא עמדה בנטל המוטל עליה להוכיח כי סיפקה קופונים וב"כ המשביר אף הודתה שאין ראיה לכך (עמ' 153 ש' 19-24, 154 ש' 1-2, 17-18, עמ' 55 ש' 6-8). יתר על כן, לפי סיכום 25.2.2021 שהמשביר טוענת כי הוא ההסכם המחייב </w:t>
      </w:r>
      <w:r>
        <w:rPr>
          <w:rFonts w:ascii="David" w:hAnsi="David"/>
          <w:b/>
          <w:bCs/>
          <w:rtl/>
        </w:rPr>
        <w:t>"קופונים בגין מחצית חודש מרץ 2020 בסך 660,919 ₪ - יועבר לשיווק עם סיום הסגר"</w:t>
      </w:r>
      <w:r>
        <w:rPr>
          <w:rFonts w:ascii="David" w:hAnsi="David"/>
          <w:rtl/>
        </w:rPr>
        <w:t>. הסגר הסתיים בחודש פברואר 2021, ואין מחלוקת כי הקופונים לא סופקו במועד זה. גם אם ניתנו קופונים, הם ניתנו בתקופה הרבה יתר מאוחרת, מה שמוכיח כי ניתנו ללא קשר לסיכום 25.2.2021. יתר על כן, הקופונים נדרשו על ידי התובעת עוד קודם לפגישה. וגם מכאן שדרישת הקופונים שעליה מבקשת המשביר להיבנות, לא קשורה לסיכום הנטען. גב' כהן העידה כי קופונים התקבלו רק בחודש נובמבר 2021, ולא מיד אחרי הפגישה (ב"כ התובעת ציין לפרוטוקול שהתובעת לא מכחישה שבנובמבר נמסרו קופונים (עמוד 155 שורה 1); וכן העידה כי קופונים אלה אינם קשורים לפגישה מיום 28.1.2021 ולסיכום 25.2.2021 של הפגישה. כהן הפנתה לנספח 12 לתצהירה, פנייתה לחסאן מיום 5.1.2021, שעניינו "</w:t>
      </w:r>
      <w:r>
        <w:rPr>
          <w:rFonts w:ascii="David" w:hAnsi="David"/>
          <w:b/>
          <w:bCs/>
          <w:rtl/>
        </w:rPr>
        <w:t>המשביר לצרכן - פגישה מיום 3.1.2020</w:t>
      </w:r>
      <w:r>
        <w:rPr>
          <w:rFonts w:ascii="David" w:hAnsi="David"/>
          <w:rtl/>
        </w:rPr>
        <w:t>" (דהיינו: קודם לישיבה מיום 28.1.2021)</w:t>
      </w:r>
      <w:r>
        <w:rPr>
          <w:rFonts w:ascii="David" w:hAnsi="David"/>
        </w:rPr>
        <w:t xml:space="preserve"> </w:t>
      </w:r>
      <w:r>
        <w:rPr>
          <w:rFonts w:ascii="David" w:hAnsi="David"/>
          <w:rtl/>
        </w:rPr>
        <w:t>,שם כתבה לו: "</w:t>
      </w:r>
      <w:r>
        <w:rPr>
          <w:rFonts w:ascii="David" w:hAnsi="David"/>
          <w:b/>
          <w:bCs/>
          <w:rtl/>
        </w:rPr>
        <w:t>כיכר ציון קופונים – לאחר בדיקה מול השיווק לא התקבלו קופונים בגין כיכר ציון, יש לתאם מול כרמית מהשיווק</w:t>
      </w:r>
      <w:r>
        <w:rPr>
          <w:rFonts w:ascii="David" w:hAnsi="David"/>
          <w:rtl/>
        </w:rPr>
        <w:t>" (עמ' 145 ש' 4-13).</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אכן הקופונים עצמם לא הוצגו, ועל כך אין חולק. גם לא הוצגה ראיה למסירת קופונים הרלבנטיים דווקא לסיכום הישיבה 25.2.2021 ולצורך ביצועו, ולא הוצגה ראיה למועד מסירתם (ראו ב"כ המשביר בעמ' 154 שורות 17- 18). עו"ד קוק העידה כי הקופונים יצאו ביוני או ביולי 2020, לבקשת מליסרון (עמ' 374 ש' 1-2). ככל הנראה מדובר בטעות והכוונה הייתה לשנת 2021. כך עולה גם מעיון בתצהירה, בו נאמר כי הועברו קופונים לביצוע חלקה של המשביר תוך הפניה ל"העתק מכתב הדרישה לקופונים מיום 6.7.2021" שצורף בנספח 28 לתצהירה (ממילא אם מדובר בשנת 2020, אין לכך קשר לסיכום 25.2.2021 או לישיבה מיום 28.1.2021). הקופונים, אפוא, גם לשיטת המשביר, לא נמסרו לתובעת בלוח הזמנים של סיכום 25.2.2021. מאידך, כפי שהעידה עו"ד קוק, נמסרו קופונים בדיוק בסכום של מחצית דמי </w:t>
      </w:r>
      <w:r>
        <w:rPr>
          <w:rFonts w:ascii="David" w:hAnsi="David"/>
          <w:rtl/>
        </w:rPr>
        <w:lastRenderedPageBreak/>
        <w:t xml:space="preserve">השכירות לחודש מרץ 2020 (כפי שנדרש בסיכום), ויצאו חשבוניות זיכוי בהתאם להפחתה בדמי השכירות, מה שעשוי להצביע על קשר לסיכום. </w:t>
      </w:r>
    </w:p>
    <w:p w:rsidR="00CD2861" w:rsidRDefault="00CD2861" w:rsidP="00CD2861">
      <w:pPr>
        <w:spacing w:line="360" w:lineRule="auto"/>
        <w:jc w:val="both"/>
        <w:rPr>
          <w:rFonts w:ascii="David" w:hAnsi="David"/>
          <w:b/>
          <w:bCs/>
        </w:rPr>
      </w:pPr>
    </w:p>
    <w:p w:rsidR="00CD2861" w:rsidRDefault="00CD2861" w:rsidP="00130916">
      <w:pPr>
        <w:pStyle w:val="af"/>
        <w:numPr>
          <w:ilvl w:val="0"/>
          <w:numId w:val="2"/>
        </w:numPr>
        <w:spacing w:before="0" w:after="0" w:line="360" w:lineRule="auto"/>
        <w:ind w:left="509" w:hanging="567"/>
        <w:jc w:val="both"/>
        <w:rPr>
          <w:rFonts w:ascii="David" w:hAnsi="David"/>
          <w:rtl/>
        </w:rPr>
      </w:pPr>
      <w:r>
        <w:rPr>
          <w:rFonts w:ascii="David" w:hAnsi="David"/>
          <w:rtl/>
        </w:rPr>
        <w:t>לא מצאתי טעם להתעמק עוד ולהכריע במחלוקת בעניין הקופונים. ממילא, גם אם אניח לצורך העניין שהקופונים נמסרו (באיחור) לצורך ביצוע הסיכום – משעה שדחיתי את הטענה שקוים תנאי הוויתור ואף קבעתי כי לא הוכחה גמירות דעת של הצדדים להתקשר בהסכם הנטען (על תנאי הוויתור), אין בקבלת הקופונים</w:t>
      </w:r>
      <w:r>
        <w:rPr>
          <w:rFonts w:ascii="David" w:hAnsi="David"/>
        </w:rPr>
        <w:t xml:space="preserve"> </w:t>
      </w:r>
      <w:r>
        <w:rPr>
          <w:rFonts w:ascii="David" w:hAnsi="David"/>
          <w:rtl/>
        </w:rPr>
        <w:t xml:space="preserve">או בעצם דרישתם בנסיבות העניין, כדי להטות את הכף ולהצביע על קיומו של הסכם. לכל היותר, מדובר במצב שבו החלו הצדדים בביצוע ההסכם, תוך ציפייה שייכרת ביניהם חוזה (וראו </w:t>
      </w:r>
      <w:r>
        <w:rPr>
          <w:rFonts w:ascii="David" w:hAnsi="David"/>
          <w:b/>
          <w:bCs/>
          <w:rtl/>
        </w:rPr>
        <w:t>פרידמן ושפירא בר-אור</w:t>
      </w:r>
      <w:r>
        <w:rPr>
          <w:rFonts w:ascii="David" w:hAnsi="David"/>
          <w:rtl/>
        </w:rPr>
        <w:t>, בדבריהם שצוטטו לעיל). יתר על כן, עו"ד קוק נאלצה להודות, שהמשביר ביטלה את הקופונים, שלשיטתה נמסרו כחלק מביצוע ההסכם. זאת, לא לפני שנמנעה מספר פעמים ממתן מענה ענייני לשאלה אם בוטלו על ידי המשביר. כשנשאלה בפעם הראשונה השיבה: "</w:t>
      </w:r>
      <w:r>
        <w:rPr>
          <w:rFonts w:ascii="David" w:hAnsi="David"/>
          <w:b/>
          <w:bCs/>
          <w:rtl/>
        </w:rPr>
        <w:t>מה זה ביטלנו?</w:t>
      </w:r>
      <w:r>
        <w:rPr>
          <w:rFonts w:ascii="David" w:hAnsi="David"/>
          <w:rtl/>
        </w:rPr>
        <w:t>; בפעם השניה שנשאלה "</w:t>
      </w:r>
      <w:r>
        <w:rPr>
          <w:rFonts w:ascii="David" w:hAnsi="David"/>
          <w:b/>
          <w:bCs/>
          <w:rtl/>
        </w:rPr>
        <w:t>ביטלתם את הקופונים האלה</w:t>
      </w:r>
      <w:r w:rsidRPr="00130916">
        <w:rPr>
          <w:rFonts w:ascii="David" w:hAnsi="David"/>
          <w:b/>
          <w:bCs/>
          <w:rtl/>
        </w:rPr>
        <w:t>?</w:t>
      </w:r>
      <w:r w:rsidR="00130916">
        <w:rPr>
          <w:rFonts w:ascii="David" w:hAnsi="David" w:hint="cs"/>
          <w:rtl/>
        </w:rPr>
        <w:t>"</w:t>
      </w:r>
      <w:r>
        <w:rPr>
          <w:rFonts w:ascii="David" w:hAnsi="David"/>
          <w:rtl/>
        </w:rPr>
        <w:t xml:space="preserve"> השיבה: "</w:t>
      </w:r>
      <w:r>
        <w:rPr>
          <w:rFonts w:ascii="David" w:hAnsi="David"/>
          <w:b/>
          <w:bCs/>
          <w:rtl/>
        </w:rPr>
        <w:t>אם הקופונים האלה בוטלו</w:t>
      </w:r>
      <w:r>
        <w:rPr>
          <w:rFonts w:ascii="David" w:hAnsi="David"/>
          <w:rtl/>
        </w:rPr>
        <w:t>"; בשלישית: "</w:t>
      </w:r>
      <w:r>
        <w:rPr>
          <w:rFonts w:ascii="David" w:hAnsi="David"/>
          <w:b/>
          <w:bCs/>
          <w:rtl/>
        </w:rPr>
        <w:t>אתה עכשיו מבקש ממני להתעסק גם בענייני שיווק</w:t>
      </w:r>
      <w:r>
        <w:rPr>
          <w:rFonts w:ascii="David" w:hAnsi="David"/>
          <w:rtl/>
        </w:rPr>
        <w:t>"; ורק בפעם הרביעית הודתה כי "</w:t>
      </w:r>
      <w:r>
        <w:rPr>
          <w:rFonts w:ascii="David" w:hAnsi="David"/>
          <w:b/>
          <w:bCs/>
          <w:u w:val="single"/>
          <w:rtl/>
        </w:rPr>
        <w:t>הם בוטלו</w:t>
      </w:r>
      <w:r>
        <w:rPr>
          <w:rFonts w:ascii="David" w:hAnsi="David"/>
          <w:b/>
          <w:bCs/>
          <w:rtl/>
        </w:rPr>
        <w:t xml:space="preserve"> כשהגשתם את התביעה. אם אתם חוזרים בכם חד צדדית, מה אתם רוצים? שנמשיך לממן קופונים גם?</w:t>
      </w:r>
      <w:r>
        <w:rPr>
          <w:rFonts w:ascii="David" w:hAnsi="David"/>
          <w:rtl/>
        </w:rPr>
        <w:t xml:space="preserve">" (ראו עמ' 374 ש' 3-14). גם כהן העידה כי הקופונים בוטלו  (עמ' 149 ש' 3-10). משבוטלו הקופונים, גם אין צורך להתחשב במסגרת השבת התמורות שהועברו בין הצדדים בעודם נושאים ונותנים ומתוך מחשבה שייכרת הסכם, שלא נכרת לבסוף (ראו </w:t>
      </w:r>
      <w:r>
        <w:rPr>
          <w:rFonts w:ascii="David" w:hAnsi="David"/>
          <w:b/>
          <w:bCs/>
          <w:rtl/>
        </w:rPr>
        <w:t>פרידמן ושפירא בר-אור</w:t>
      </w:r>
      <w:r>
        <w:rPr>
          <w:rFonts w:ascii="David" w:hAnsi="David"/>
          <w:rtl/>
        </w:rPr>
        <w:t xml:space="preserve"> בספרם המובא לעיל); ואין צורך לקזזם אל מול חוב המשביר בג</w:t>
      </w:r>
      <w:r w:rsidR="00130916">
        <w:rPr>
          <w:rFonts w:ascii="David" w:hAnsi="David" w:hint="cs"/>
          <w:rtl/>
        </w:rPr>
        <w:t>י</w:t>
      </w:r>
      <w:r>
        <w:rPr>
          <w:rFonts w:ascii="David" w:hAnsi="David"/>
          <w:rtl/>
        </w:rPr>
        <w:t>ן ההנחות בדמי השכירות.</w:t>
      </w:r>
    </w:p>
    <w:p w:rsidR="00CD2861" w:rsidRDefault="00CD2861" w:rsidP="00CD2861">
      <w:pPr>
        <w:spacing w:line="360" w:lineRule="auto"/>
        <w:jc w:val="both"/>
        <w:rPr>
          <w:rFonts w:ascii="David" w:hAnsi="David"/>
        </w:rPr>
      </w:pPr>
      <w:r>
        <w:rPr>
          <w:rFonts w:ascii="David" w:hAnsi="David"/>
          <w:rtl/>
        </w:rPr>
        <w:t xml:space="preserve"> </w:t>
      </w:r>
    </w:p>
    <w:p w:rsidR="00CD2861" w:rsidRDefault="00CD2861" w:rsidP="00CD2861">
      <w:pPr>
        <w:spacing w:line="276" w:lineRule="auto"/>
        <w:ind w:left="-58"/>
        <w:jc w:val="both"/>
        <w:rPr>
          <w:rFonts w:ascii="David" w:hAnsi="David"/>
          <w:u w:val="single"/>
          <w:rtl/>
        </w:rPr>
      </w:pPr>
      <w:r>
        <w:rPr>
          <w:rFonts w:ascii="David" w:hAnsi="David"/>
          <w:u w:val="single"/>
          <w:rtl/>
        </w:rPr>
        <w:t>חוסר תום לב</w:t>
      </w:r>
    </w:p>
    <w:p w:rsidR="00CD2861" w:rsidRDefault="00CD2861" w:rsidP="00CD2861">
      <w:pPr>
        <w:spacing w:line="276" w:lineRule="auto"/>
        <w:ind w:left="-58"/>
        <w:jc w:val="both"/>
        <w:rPr>
          <w:rFonts w:ascii="David" w:hAnsi="David"/>
          <w:u w:val="single"/>
          <w:rtl/>
        </w:rPr>
      </w:pPr>
    </w:p>
    <w:p w:rsidR="00CD2861" w:rsidRDefault="00CD2861" w:rsidP="00AF7624">
      <w:pPr>
        <w:pStyle w:val="af"/>
        <w:numPr>
          <w:ilvl w:val="0"/>
          <w:numId w:val="2"/>
        </w:numPr>
        <w:spacing w:before="0" w:after="0" w:line="360" w:lineRule="auto"/>
        <w:ind w:left="509" w:hanging="567"/>
        <w:jc w:val="both"/>
        <w:rPr>
          <w:rFonts w:ascii="David" w:hAnsi="David"/>
          <w:rtl/>
        </w:rPr>
      </w:pPr>
      <w:r>
        <w:rPr>
          <w:rFonts w:ascii="David" w:hAnsi="David"/>
          <w:rtl/>
        </w:rPr>
        <w:t xml:space="preserve">בכתב ההגנה (פרק ד2) טענה המשביר שאזו-ריט עשתה הבחנה פסולה בחוסר תום לב ושלא כדין בין חנות המשביר בירושלים לבין חנויות המשביר האחרות ושוכרים אחרים, ואף הפלתה את המשביר לרעה בכך שלא נתנה לנכס בכיכר ציון הנחות בתקופת מגבלות הקורונה. עקב כך הקדישה התובעת חלק לא קטן מתצהיריה לטענה זו (ראו למשל שריד סעיפים 8-17; </w:t>
      </w:r>
      <w:r w:rsidR="00130916">
        <w:rPr>
          <w:rFonts w:ascii="David" w:hAnsi="David" w:hint="cs"/>
          <w:rtl/>
        </w:rPr>
        <w:t xml:space="preserve">עו"ד </w:t>
      </w:r>
      <w:r>
        <w:rPr>
          <w:rFonts w:ascii="David" w:hAnsi="David"/>
          <w:rtl/>
        </w:rPr>
        <w:t xml:space="preserve">כשר סעיפים 10-11. הוקדש לכך גם זמן בחקירה הנגדית של עדי התובעת ע"י ב"כ המשביר (ח"נ של שריד, בעמ' 10-12, 22-25 לפרוטוקול ואף עד עמוד 31; ח"נ של עו"ד כשר בעמ' 195-196), והתובעת נאלצה להתייחס לכך גם בסיכומיה לא מעט (כשני עמודים). אולם הטענה נזנחה בסיכומי התשובה של המשביר לתביעה העיקרית, שם אף צוין כי המשביר "לא היתממה לחשוב" שאזו-ריט "חייבת לה" הנחה כלשהי ו"אף לא טענה ל'אפליה'" (סעיף 117). לצד זאת, משום מה, ביקשה המשביר לרתום את העיסוק בשאלה אם יש הבדל בין הנכס בכיכר ציון למושכר בקניון, לטובת הטענה שהתובעת בחרה לעסוק בכך כדי "לבנות נרטיב" שיאדיר את טוב ליבה במתן ההנחות (ראו פרק ו' לסיכומים בתביעה העיקרית). המשביר גם </w:t>
      </w:r>
      <w:r>
        <w:rPr>
          <w:rFonts w:ascii="David" w:hAnsi="David"/>
          <w:rtl/>
        </w:rPr>
        <w:lastRenderedPageBreak/>
        <w:t xml:space="preserve">טענה כי הקדישה לא מעט מהחקירות הנגדיות ומסיכומיה (בתביעה ובתביעה שכנגד) על מנת ללמד כי לא נדיבות והתחשבות עמדה מאחורי התנהלות אזו-ריט ומליסרון בהסכמתה להנחות, כי אם אינטרסים כלכליים ואסטרטגיה לנוכח חלופות שימוש זמינות או רלבנטיות לנכס בכיכר ציון. למען הסר ספק, אם קיים, מובהר כי גם לא ראיתי פסול או חוסר תום לב בכך שהתובעת ומליסרון ביקשו להעמיד כתנאי למתן ההנחות את שני התנאים המדוברים. בסופו של דבר, עסקינן בשתי חברות עסקיות שפועלות במטרה להשיא רווחים כלכליים. גם המשביר הביאה בחשבון שיקוליה, שיקולים כלכליים </w:t>
      </w:r>
      <w:r w:rsidRPr="00130916">
        <w:rPr>
          <w:rFonts w:ascii="David" w:hAnsi="David"/>
          <w:rtl/>
        </w:rPr>
        <w:t xml:space="preserve">(למשל בקשר לפחת, </w:t>
      </w:r>
      <w:r w:rsidR="00130916" w:rsidRPr="00130916">
        <w:rPr>
          <w:rFonts w:ascii="David" w:hAnsi="David" w:hint="cs"/>
          <w:rtl/>
        </w:rPr>
        <w:t>ש</w:t>
      </w:r>
      <w:r w:rsidR="00AF7624">
        <w:rPr>
          <w:rFonts w:ascii="David" w:hAnsi="David" w:hint="cs"/>
          <w:rtl/>
        </w:rPr>
        <w:t xml:space="preserve">בגינו בין היתר </w:t>
      </w:r>
      <w:r w:rsidR="00130916" w:rsidRPr="00130916">
        <w:rPr>
          <w:rFonts w:ascii="David" w:hAnsi="David" w:hint="cs"/>
          <w:rtl/>
        </w:rPr>
        <w:t>לפי הטענה</w:t>
      </w:r>
      <w:r w:rsidR="00AF7624">
        <w:rPr>
          <w:rFonts w:ascii="David" w:hAnsi="David" w:hint="cs"/>
          <w:rtl/>
        </w:rPr>
        <w:t xml:space="preserve">, סירבה המשביר </w:t>
      </w:r>
      <w:r w:rsidR="00130916" w:rsidRPr="00130916">
        <w:rPr>
          <w:rFonts w:ascii="David" w:hAnsi="David" w:hint="cs"/>
          <w:rtl/>
        </w:rPr>
        <w:t>לתנאי הפינוי</w:t>
      </w:r>
      <w:r w:rsidRPr="00130916">
        <w:rPr>
          <w:rFonts w:ascii="David" w:hAnsi="David"/>
          <w:rtl/>
        </w:rPr>
        <w:t>). מ</w:t>
      </w:r>
      <w:r>
        <w:rPr>
          <w:rFonts w:ascii="David" w:hAnsi="David"/>
          <w:rtl/>
        </w:rPr>
        <w:t>ה גם שנדמה לאור כל המגולל עד כה, כי המשביר גילתה אורך רוח ואף גמישות משך תקופה ארוכה למדיי של משא ומתן כמתואר; ולבסוף הגישה תביעה כספית לבירור הסכסוך בבית המשפט תוך הימשכות יחסי השכירות. הועלו גם טענות לכוחנות מצד התובעת ומליסרון, שאף נרמז כאילו אינה עולה בקנה אחד עם דיני התחרות והגבלים עסקיים. אין מקום לטענות אלה שנטענו בעלמא כ"טענות רקע" ומכל מקום, לא הוכחה כל טענת הגנה רלבנטית לתביעה, לא נטען לזכאות מבוססת ובדוקה להנחות בטענות מתחום זה, ובוודאי שלא הוכחה כזו. אציין כי המשביר פתחה בטיעוני רקע דומים גם את סי</w:t>
      </w:r>
      <w:r w:rsidRPr="00AF7624">
        <w:rPr>
          <w:rFonts w:ascii="David" w:hAnsi="David"/>
          <w:rtl/>
        </w:rPr>
        <w:t>כומיה בתביעה שכנגד, ודברים אלה יפים בעיקרם גם לשם. לענייננו כאן, טענת המשביר הי</w:t>
      </w:r>
      <w:r>
        <w:rPr>
          <w:rFonts w:ascii="David" w:hAnsi="David"/>
          <w:rtl/>
        </w:rPr>
        <w:t>א שנכרת הסכם מחייב בין הצדדים בדבר מתן הנחות. זאת ולא אחרת.</w:t>
      </w:r>
    </w:p>
    <w:p w:rsidR="00CD2861" w:rsidRDefault="00CD2861" w:rsidP="00CD2861">
      <w:pPr>
        <w:spacing w:line="276" w:lineRule="auto"/>
        <w:jc w:val="both"/>
        <w:rPr>
          <w:rFonts w:ascii="David" w:hAnsi="David"/>
          <w:u w:val="single"/>
        </w:rPr>
      </w:pPr>
    </w:p>
    <w:p w:rsidR="00CD2861" w:rsidRDefault="00CD2861" w:rsidP="00AF7624">
      <w:pPr>
        <w:pStyle w:val="af"/>
        <w:numPr>
          <w:ilvl w:val="0"/>
          <w:numId w:val="2"/>
        </w:numPr>
        <w:spacing w:before="0" w:after="0" w:line="360" w:lineRule="auto"/>
        <w:ind w:left="509" w:hanging="567"/>
        <w:jc w:val="both"/>
        <w:rPr>
          <w:rFonts w:ascii="David" w:hAnsi="David"/>
        </w:rPr>
      </w:pPr>
      <w:r>
        <w:rPr>
          <w:rFonts w:ascii="David" w:hAnsi="David"/>
          <w:rtl/>
        </w:rPr>
        <w:t>בסיכומיה טענה המשביר לחלופין, כי גם אם יקבע בית המשפט שסיכום 25.2.2021 אינו הסכם מחייב, יש לקבוע כי עקרון תום הלב מחייב את אכיפתו, וזאת, כך התבקש, אף ללא כל תנאי. נטען כי לכל פחות מבטא הסיכום שלב מאוד מתקדם במשא ומתן עד כדי הסכמות מלאות, כי המשא ומתן הגיע לשלב האל-חזור, וכי על פי הדין ומכוח חובת תום הלב, יש לקבוע כי השתכלל ההסכם. חוסר תום הלב, כך נטען, הוא כפול, הן בעמידה על תנאי הפינוי, שמציב את המשביר בחוסר ודאות שבו אינה יכולה לפעול, והן בכך שנסוגה מההסכמות בשלב מאוחר כאמור, על מנת לאלץ את המשביר להסכים לתניה "שערורייתית" (תנאי הפינוי)</w:t>
      </w:r>
      <w:r>
        <w:rPr>
          <w:rFonts w:ascii="David" w:hAnsi="David"/>
        </w:rPr>
        <w:t xml:space="preserve"> </w:t>
      </w:r>
      <w:r>
        <w:rPr>
          <w:rFonts w:ascii="David" w:hAnsi="David"/>
          <w:rtl/>
        </w:rPr>
        <w:t>תוך ניצול פערי הכוחות. אני דוחה טענה זו. הטענה שנפל חוסר תום לב המצדיק אכיפת סיכום 25.2.2021 כהסכם מחייב גם אם לא נכרת הסכם בין הצדדים, לא נטענה בכתב ההגנה (גם לא בתצהירים או בחקירות הנגדיות)</w:t>
      </w:r>
      <w:r>
        <w:rPr>
          <w:rFonts w:ascii="David" w:hAnsi="David"/>
        </w:rPr>
        <w:t xml:space="preserve"> </w:t>
      </w:r>
      <w:r>
        <w:rPr>
          <w:rFonts w:ascii="David" w:hAnsi="David"/>
          <w:rtl/>
        </w:rPr>
        <w:t>והיא שינוי חזית אסור, שהתובעת התנגדה לו. גם לגופו של עניין, אין בטענה ממש. מבוקש למעשה כי בית המשפט יכפה על הצדדים הסכם שלא נכרת ביניהם בשל העדר הסכמה על תנאי ההנחה. וזאת לפי רצונה של המשביר, ללא תנאי הפינוי; ונדמה שמבוקשת אכיפתו גם ללא תנאי הוויתור (לאור הנוסח בסיכומים "ללא תנאי" ובשים לב לתביעה שכנגד). לכך אין ליתן יד. בוודאי שאין מקום "לבטל" את תנאי הוויתור שהוא חלק בלתי נפרד מאותו סיכום, מכוח עקרון תום הלב. אזכיר כי גם לפי גרסת המשביר (הכבושה), התובעת עמדה על תנאי הפינוי בקשר ל"הנחת השוטף", שאותה המשביר מבקשת לקבל גם כן (וכאמור, לא ברור כלל על יסוד מה כשסיכום 25.2.2021, עליו נ</w:t>
      </w:r>
      <w:r w:rsidR="00AF7624">
        <w:rPr>
          <w:rFonts w:ascii="David" w:hAnsi="David" w:hint="cs"/>
          <w:rtl/>
        </w:rPr>
        <w:t>שענת</w:t>
      </w:r>
      <w:r>
        <w:rPr>
          <w:rFonts w:ascii="David" w:hAnsi="David"/>
          <w:rtl/>
        </w:rPr>
        <w:t xml:space="preserve"> המשביר, מתייחס לשנת 2020 בלבד).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 xml:space="preserve">לא מצאתי שיש גם בטענות אחרות של הצדדים והמשביר בפרט, כדי לשנות מהכרעתי לעיל.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b/>
          <w:bCs/>
        </w:rPr>
      </w:pPr>
      <w:r>
        <w:rPr>
          <w:rFonts w:ascii="David" w:hAnsi="David"/>
          <w:b/>
          <w:bCs/>
          <w:rtl/>
        </w:rPr>
        <w:t>מכל האמור, נמצא כי לא הוכח שנכרת הסכם בין הצדדים המקנה למשביר הנחות בדמי שכירות, והתוצאה היא שעל המשביר לשאת במלוא דמי השכירות בהתאם להסכם השכירות,  ללא הנחות והקלות.</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נותר עוד לקבוע את סכום החוב.</w:t>
      </w:r>
    </w:p>
    <w:p w:rsidR="00CD2861" w:rsidRDefault="00CD2861" w:rsidP="00CD2861">
      <w:pPr>
        <w:spacing w:line="360" w:lineRule="auto"/>
        <w:jc w:val="both"/>
        <w:rPr>
          <w:rFonts w:ascii="David" w:hAnsi="David"/>
        </w:rPr>
      </w:pPr>
    </w:p>
    <w:p w:rsidR="00CD2861" w:rsidRDefault="00CD2861" w:rsidP="00CD2861">
      <w:pPr>
        <w:spacing w:line="276" w:lineRule="auto"/>
        <w:jc w:val="both"/>
        <w:rPr>
          <w:rFonts w:ascii="David" w:hAnsi="David"/>
          <w:b/>
          <w:bCs/>
          <w:sz w:val="26"/>
          <w:szCs w:val="26"/>
          <w:u w:val="single"/>
          <w:rtl/>
        </w:rPr>
      </w:pPr>
      <w:r>
        <w:rPr>
          <w:rFonts w:ascii="David" w:hAnsi="David"/>
          <w:b/>
          <w:bCs/>
          <w:sz w:val="26"/>
          <w:szCs w:val="26"/>
          <w:rtl/>
        </w:rPr>
        <w:t>ד4.</w:t>
      </w:r>
      <w:r>
        <w:rPr>
          <w:rFonts w:ascii="David" w:hAnsi="David"/>
          <w:b/>
          <w:bCs/>
          <w:sz w:val="26"/>
          <w:szCs w:val="26"/>
          <w:u w:val="single"/>
          <w:rtl/>
        </w:rPr>
        <w:t xml:space="preserve"> סכום החוב</w:t>
      </w:r>
    </w:p>
    <w:p w:rsidR="00CD2861" w:rsidRDefault="00CD2861" w:rsidP="00CD2861">
      <w:pPr>
        <w:spacing w:line="276" w:lineRule="auto"/>
        <w:jc w:val="both"/>
        <w:rPr>
          <w:rFonts w:ascii="David" w:hAnsi="David"/>
          <w:b/>
          <w:bCs/>
          <w:sz w:val="26"/>
          <w:szCs w:val="26"/>
          <w:u w:val="single"/>
          <w:rtl/>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כפי שציינתי בפתח פסק הדין, דמי השכירות נקבעו בהסכם בשיעור מן הפדיון וכן נקבעו דמי שכירות מינימליים בסך של 965,000 ₪ לחודש בתוספת מע"מ כדין והפרשי הצמדה (סעיף 8.2 להסכם וסעיף 7 לנספח השינויים). אין חולק כי רלבנטיים דמי השכירות המינימליים. בנוסף, לפי סעיף 22.6 להסכם השכירות </w:t>
      </w:r>
      <w:r>
        <w:rPr>
          <w:rFonts w:ascii="David" w:hAnsi="David"/>
          <w:b/>
          <w:bCs/>
          <w:rtl/>
        </w:rPr>
        <w:t>"כל איחור... ישא ריבית פיגורים בשיעור הנוהג בבנק בגין משיכת יתר חריגה באותו מועד החל מהמועד בו יהא חייב בתשלום ועד למועד התשלום בפועל, בתוספת 2.5% לשנה בצירוף מע"מ ..."</w:t>
      </w:r>
      <w:r>
        <w:rPr>
          <w:rFonts w:ascii="David" w:hAnsi="David"/>
          <w:rtl/>
        </w:rPr>
        <w:t xml:space="preserve">. עוד יש לציין כי לפי סעיף 25.14 להסכם השכירות </w:t>
      </w:r>
      <w:r>
        <w:rPr>
          <w:rFonts w:ascii="David" w:hAnsi="David"/>
          <w:b/>
          <w:bCs/>
          <w:rtl/>
        </w:rPr>
        <w:t>"השוכר לא יהא רשאי לקזז סכומים שהוא חייב למשכיר כנגד סכומים שיגיעו לו, אם יגיעו, מאת המשכיר..."</w:t>
      </w:r>
      <w:r>
        <w:rPr>
          <w:rFonts w:ascii="David" w:hAnsi="David"/>
          <w:rtl/>
        </w:rPr>
        <w:t xml:space="preserve">.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נוכח קביעתי לעיל, בהעדר הסכם למתן הנחה בדמי השכירות, המשביר שילמה בחסר את דמי השכירות לתקופה שמחודש מרץ 2020 ועד הגשת התביעה. לטענת אזו-ריט החוב עומד על סך של 10,829,855 ₪ ריבית הפיגורים עומדת על סך של 1,659,469 ₪, כך שמתקבל חוב בסך כולל של 12,489,324 ₪ (הסכומים כוללים מע"מ). לסכום זה יש להוסיף הפרשי הצמדה וריבית מיום הגשת התביעה ועד למועד התשלום בפועל.</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b/>
          <w:bCs/>
          <w:rtl/>
        </w:rPr>
        <w:t>התובעת</w:t>
      </w:r>
      <w:r>
        <w:rPr>
          <w:rFonts w:ascii="David" w:hAnsi="David"/>
          <w:rtl/>
        </w:rPr>
        <w:t xml:space="preserve"> מציינת כי המשביר לא כפרה בגובה החוב הנטען, לרבות שיעור ריבית הפיגורים אלא כפרה בעצם קיומו של החוב, וטענה כי נכרת הסכם למתן הנחות שעל פיו היא שילמה את מלוא חובה, כך שאין לה כל חוב בגין דמי השכירות. התובעת מפנה לסעיף 153 לכתב ההגנה, שמתייחס לסעיף 70 לכתב התביעה. בסעיף 70 מצויה טבלת החוב, מדי חודש בחודשו, גובה החוב הנומינלי (הפער בין מה ששולם לבין דמי השכירות המלאים) בצירוף ריבית פיגורים הסכמית נכון ליום 9.11.2021 (התביעה הוגשה ביום 11.11.2021). ביחס לסעיף זה צוין בכתב ההגנה (סעיף 153) "</w:t>
      </w:r>
      <w:r>
        <w:rPr>
          <w:rFonts w:ascii="David" w:hAnsi="David"/>
          <w:b/>
          <w:bCs/>
          <w:rtl/>
        </w:rPr>
        <w:t>מוכחש האמור בסעיף 70 לכתב התביעה. בהתאם להסכמות הצדדים, המשביר שילמה את כל חובה לתובעת, כך שלא נותר ולו שקל אחד של חוב</w:t>
      </w:r>
      <w:r>
        <w:rPr>
          <w:rFonts w:ascii="David" w:hAnsi="David"/>
          <w:rtl/>
        </w:rPr>
        <w:t xml:space="preserve">". גם בתצהירי המשביר לא נרשמה כפירה בגובה החוב או שיעור הריבית וכיוצ"ב. התובעת מציינת עוד כי </w:t>
      </w:r>
      <w:r>
        <w:rPr>
          <w:rFonts w:ascii="David" w:hAnsi="David"/>
          <w:rtl/>
        </w:rPr>
        <w:lastRenderedPageBreak/>
        <w:t xml:space="preserve">בכתב התביעה נפלה טעות בתחשיב והסכום הנכון – שנמוך ביחס לכתב התביעה בכ- 300,000 ₪ – מופיע בתצהירה של איסמעלוב, מנהלת החשבונות במליסרון (סעיף 6 לתצהירה וכן העתקי החשבוניות המשקפות את דרישת התשלום ותדפיס פירוט הקבלות עבור תשלומי השכירות, נספחים 1-2 לתצהירה). על פי תצהירה סכום החוב שהוא התוצאה של הפחתת התשלומים שבוצעו בפועל מסך הסכומים שיש לשלם כדמי שכירות על פי ההסכם - עומד על </w:t>
      </w:r>
      <w:r>
        <w:rPr>
          <w:rFonts w:ascii="David" w:hAnsi="David"/>
          <w:b/>
          <w:bCs/>
          <w:rtl/>
        </w:rPr>
        <w:t>10,829,855 ₪</w:t>
      </w:r>
      <w:r>
        <w:rPr>
          <w:rFonts w:ascii="David" w:hAnsi="David"/>
          <w:rtl/>
        </w:rPr>
        <w:t xml:space="preserve"> (ראו גם חקירתה בעמ' 257 ש' 24 – 258 ש' 2, וכן חקירתה החוזרת בעמ' 262-263). חישוב ריבית הפיגורים לפי סעיף 22.6 להסכם השכירות מעוגן בתצהירה של כהן, ומפורט בטבלה המצורפת בנספח 28 לתצהירה, נכון ליום 9.11.2021. בהתאם לשיעור הריבית החריגה בבנק לאומי בשיעור של 16.2% (13.7%+2.5%) עומדת ריבית הפיגורים על סך כולל של </w:t>
      </w:r>
      <w:r>
        <w:rPr>
          <w:rFonts w:ascii="David" w:hAnsi="David"/>
          <w:b/>
          <w:bCs/>
          <w:rtl/>
        </w:rPr>
        <w:t xml:space="preserve">1,659,469 </w:t>
      </w:r>
      <w:r>
        <w:rPr>
          <w:rFonts w:ascii="David" w:hAnsi="David"/>
          <w:rtl/>
        </w:rPr>
        <w:t>₪. כך שמתקבל סך של 12,489,324 ₪ (כולל מע"מ). לסכום זה יש להוסיף הפרשי הצמדה וריבית מיום הגשת התביעה ועד למועד התשלום בפועל.</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 xml:space="preserve">עיקר טענתה של </w:t>
      </w:r>
      <w:r>
        <w:rPr>
          <w:rFonts w:ascii="David" w:hAnsi="David"/>
          <w:b/>
          <w:bCs/>
          <w:rtl/>
        </w:rPr>
        <w:t>המשביר</w:t>
      </w:r>
      <w:r>
        <w:rPr>
          <w:rFonts w:ascii="David" w:hAnsi="David"/>
          <w:rtl/>
        </w:rPr>
        <w:t xml:space="preserve"> בסיכומיה בכל הקשור לסכום החוב היא שזה לא הוכח, מחמת שלא הוגשה כרטסת הנהלת חשבונות של התובעת. אילו הוגשה, כך נטען, ניתן היה לראות שהכרטסת אופסה עם ביצוע התשלומים של המשביר; והיא אופסה, כפי שהעידה איסמאילוב, בהתאם להנחיות ביצוע שקיבלה מכהן, עם קבלת השיקים מהמשביר בסך כולל של כ- 3.29 מיליון ₪, תוך ציון "הנחה מיוחדת-קורונה" לחודשים מרץ-דצמבר 2020 (עמ' 251 ש' 3-5, עמ' 258 ש' 15 – עמ' 259 ש' 24 וחשבונית מיום 14.2.2021 עמודים 8-9 לנספחי תצהירה). בהמשך נעשה זיכוי לפי חשבונית מיום 22.6.2021 שכללה זיכוי מלא לסגר בינואר פברואר ו- 10% ליתרת חודש פברואר (עמוד 12 שם). איסמאלוב גם אישרה כי אם יש טעות בזיכוי, היא יכולה לחייב מחדש, כפי שנעשה על ידה בביטול חשבונית לחודש יולי (עמוד 17-18 שם וחקירתה עמ' 260 ש' 1-10). לגופו של החוב טענה המשביר, כי אין מדובר בפעולה אריתמטית פשוטה כפי שמעידה הטעות של איסמאלוב. המשביר טענה עוד כי הוכח שניתנו קופונים "בסכומים מסוימים" שלא קוזזו בתחשיב החוב (סעיף 110).</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b/>
          <w:bCs/>
          <w:rtl/>
        </w:rPr>
        <w:t>לאחר עיון בטענות הצדדים ובחומר שהונח לפניי, אני מקבלת את עמדת התובעת ביחס לסכום החוב, בכפוף לאמור להלן</w:t>
      </w:r>
      <w:r>
        <w:rPr>
          <w:rFonts w:ascii="David" w:hAnsi="David"/>
          <w:rtl/>
        </w:rPr>
        <w:t>.</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איני רואה את הדברים עין בעין עם המשביר. כרטסת הנהלת חשבונות אינה האמצעי היחיד או הקונקלוסיבי להוכחת גובה החוב או עצם קיומו. בנסיבות העניין ובהעדר טענות של ממש (אם בכלל) מצד המשביר לגבי נתוני התחשיב ואופן ביצוע התחשיב (הפער בין הסכום לתשלום על פי ההסכם ללא הנחות שאינו שנוי במחלוקות, אל מול התשלומים בפועל), ובהינתן התצהירים והמסמכים שהומצאו לתמיכה בו </w:t>
      </w:r>
      <w:r>
        <w:rPr>
          <w:rFonts w:ascii="David" w:hAnsi="David"/>
        </w:rPr>
        <w:t xml:space="preserve"> </w:t>
      </w:r>
      <w:r>
        <w:rPr>
          <w:rFonts w:ascii="David" w:hAnsi="David"/>
          <w:rtl/>
        </w:rPr>
        <w:t>- סבורני כי עלה בידי התובעת להוכיח את גובה החוב כנדרש, ואני דוחה גם את טענות המשביר בעניין זה.</w:t>
      </w:r>
    </w:p>
    <w:p w:rsidR="00CD2861" w:rsidRDefault="00CD2861" w:rsidP="00CD2861">
      <w:pPr>
        <w:spacing w:line="360" w:lineRule="auto"/>
        <w:jc w:val="both"/>
        <w:rPr>
          <w:rFonts w:ascii="David" w:hAnsi="David"/>
        </w:rPr>
      </w:pPr>
    </w:p>
    <w:p w:rsidR="00CD2861" w:rsidRDefault="00CD2861" w:rsidP="00AF7624">
      <w:pPr>
        <w:pStyle w:val="af"/>
        <w:numPr>
          <w:ilvl w:val="0"/>
          <w:numId w:val="2"/>
        </w:numPr>
        <w:spacing w:before="0" w:after="0" w:line="360" w:lineRule="auto"/>
        <w:ind w:left="509" w:hanging="567"/>
        <w:jc w:val="both"/>
        <w:rPr>
          <w:rFonts w:ascii="David" w:hAnsi="David"/>
          <w:rtl/>
        </w:rPr>
      </w:pPr>
      <w:r>
        <w:rPr>
          <w:rFonts w:ascii="David" w:hAnsi="David"/>
          <w:rtl/>
        </w:rPr>
        <w:lastRenderedPageBreak/>
        <w:t>כפי שציינה התובעת, בכתב ההגנה או בתצהירי הנתבעת, אכן אין התייחסות לתחשיב החוב לגופו, אלא נטען כי אין כלל חוב נוכח ההסכמות בין הצדדים למתן הנחות. הטיעונים שהועלו על ידי המשביר כנגד הוכחת החוב (פרק ה' לסיכומים) נגעו בעיקרם לשאלת קיומה של הסכמה, שבה דנתי באריכות לעיל. המשביר טענה כי איפוס הכרטסת ה</w:t>
      </w:r>
      <w:r w:rsidR="00AF7624">
        <w:rPr>
          <w:rFonts w:ascii="David" w:hAnsi="David" w:hint="cs"/>
          <w:rtl/>
        </w:rPr>
        <w:t>ו</w:t>
      </w:r>
      <w:r>
        <w:rPr>
          <w:rFonts w:ascii="David" w:hAnsi="David"/>
          <w:rtl/>
        </w:rPr>
        <w:t>א ראיה לכך שלפי השקפת התובעת בזמן אמת, לא היה למשביר חוב כלפיה. ראשית, יש לדייק ולציין כי איסמאילוב השיבה לשאלת ב"כ המשביר, כי לא פעלה ליישום סיכום 25.2.2021 אלא קיבלה הנחיות ספציפיות מכהן לגבי חיובים וזיכויים (עמ' 250 ש' 11-24 – עמ' 250 ש' 1-7). כמו כן, איסמאילוב העידה שהכרטסת לא אופסה לחלוטין, שכן המשביר לא שילמה מידי חודש את מלוא דרישת התשלום והמשיכה לקזז 10% מדמי השכירות המלאים החל מחודש מרץ 2021 (עמ' 251 ש' 21 – עמ' 253, עמ' 256 ש' 1-9). כפי שצוין לעיל, בתקופת המשא ומתן (הממושך)</w:t>
      </w:r>
      <w:r>
        <w:rPr>
          <w:rFonts w:ascii="David" w:hAnsi="David"/>
        </w:rPr>
        <w:t xml:space="preserve"> </w:t>
      </w:r>
      <w:r>
        <w:rPr>
          <w:rFonts w:ascii="David" w:hAnsi="David"/>
          <w:rtl/>
        </w:rPr>
        <w:t xml:space="preserve">קיבלה המשביר את ההנחות שסוכמו ולא גובשו לכלל הסכם מחייב, מתוך כוונה כי יעוגנו ויאושרו במסגרת הסכם בין הצדדים. אעיר עוד כי בסיכומים נטען לפער דרמטי של כ- 2 מיליון </w:t>
      </w:r>
      <w:r w:rsidR="006C7314">
        <w:rPr>
          <w:rFonts w:ascii="David" w:hAnsi="David" w:hint="cs"/>
          <w:rtl/>
        </w:rPr>
        <w:t xml:space="preserve">₪ </w:t>
      </w:r>
      <w:r>
        <w:rPr>
          <w:rFonts w:ascii="David" w:hAnsi="David"/>
          <w:rtl/>
        </w:rPr>
        <w:t xml:space="preserve">בתחשיב המתוקן שלפי תצהיר איסמאילוב ביחס לסכום בכתב התביעה (12,704,717 ₪). אך לא זה המצב, שכן סכום החוב המתוקן בסך של 10,829,855 שבתצהירה אינו כולל את ריבית הפיגורים, ועם ריבית הפיגורים (1,659,469 ₪ לפי תצהיר כהן) סכום </w:t>
      </w:r>
      <w:r w:rsidR="00AF7624">
        <w:rPr>
          <w:rFonts w:ascii="David" w:hAnsi="David" w:hint="cs"/>
          <w:rtl/>
        </w:rPr>
        <w:t>ה</w:t>
      </w:r>
      <w:r>
        <w:rPr>
          <w:rFonts w:ascii="David" w:hAnsi="David"/>
          <w:rtl/>
        </w:rPr>
        <w:t xml:space="preserve">חוב הוא 12,489,324 ₪. </w:t>
      </w:r>
    </w:p>
    <w:p w:rsidR="00CD2861" w:rsidRDefault="00CD2861" w:rsidP="00CD2861">
      <w:pPr>
        <w:spacing w:line="360" w:lineRule="auto"/>
        <w:jc w:val="both"/>
        <w:rPr>
          <w:rFonts w:ascii="David" w:hAnsi="David"/>
        </w:rPr>
      </w:pPr>
    </w:p>
    <w:p w:rsidR="00CD2861" w:rsidRDefault="00CD2861" w:rsidP="006C7314">
      <w:pPr>
        <w:pStyle w:val="af"/>
        <w:numPr>
          <w:ilvl w:val="0"/>
          <w:numId w:val="2"/>
        </w:numPr>
        <w:spacing w:before="0" w:after="0" w:line="360" w:lineRule="auto"/>
        <w:ind w:left="509" w:hanging="567"/>
        <w:jc w:val="both"/>
        <w:rPr>
          <w:rFonts w:ascii="David" w:hAnsi="David"/>
          <w:rtl/>
        </w:rPr>
      </w:pPr>
      <w:r>
        <w:rPr>
          <w:rFonts w:ascii="David" w:hAnsi="David"/>
          <w:rtl/>
        </w:rPr>
        <w:t xml:space="preserve">כאמור, המשביר לא העלתה טענות ספציפיות ביחס לרכיבי התחשיב - גובה ריבית הפיגורים, הסכומים שנדרשו לתשלום (דמי השכירות המינימאליים משוערכים לפי ההסכם), הסכומים ששולמו בפועל ונוכו מסכום החוב, ולגבי אופן ביצועו. כך, למעט טענה ביחס לתשלום שנטען שבוצע בנובמבר לאחר הגשת התביעה וטענה ביחס לקופונים שלא קוזזו, טענות שאליהן אתייחס בהמשך. כהן כלל לא נחקרה ביחס לטבלת החישוב שערכה לריבית הפיגורים. זו כוללת את סכום החוב כולל מע"מ (בעמודה "סכום ההנחה"), שהוא הפער בין דרישת התשלום לבין התשלום בפועל, ואת סכום ריבית הפיגורים. כאמור, איסמאילוב נחקרה והעידה כי נפלה טעות בתחשיב החוב בכתב התביעה וכי זו תוקנה על ידה בתצהיר תוך צירוף האסמכתאות הרלבנטיות (כאמור, סכום החוב הוקטן) וכי הסכום הנקוב בתצהירה הוא הסכום הנכון. איסמאילוב העידה עוד, כי תחשיב החוב </w:t>
      </w:r>
      <w:r w:rsidR="006C7314">
        <w:rPr>
          <w:rFonts w:ascii="David" w:hAnsi="David" w:hint="cs"/>
          <w:rtl/>
        </w:rPr>
        <w:t xml:space="preserve">הוא </w:t>
      </w:r>
      <w:r>
        <w:rPr>
          <w:rFonts w:ascii="David" w:hAnsi="David"/>
          <w:rtl/>
        </w:rPr>
        <w:t>נכון למועד הגשת התביעה ולא עודכן על פי המצב לעת הגשת התצהירים (כך שהטענה לתשלום נוסף שבוצע בסמוך לאחר הגשת התביעה לא התבררה) (עמ' 254 ש' 15 – 255 ש' 9). לא היה בחקירות הנגדיות כדי לקעקע את סכום החוב. אוסיף על כך כי לאורך כל המשא ומתן וכך גם במסגרת טבלת ההנחות (לרבות זו שבסיכום 25.2.2021) ובטיוטות התוספות צוינה כל העת ההנחה שניתנת החל ממרץ 2020. לא הועלתה כל טענה כנגד התחשיבים בזמן כל</w:t>
      </w:r>
      <w:r w:rsidR="006C7314">
        <w:rPr>
          <w:rFonts w:ascii="David" w:hAnsi="David" w:hint="cs"/>
          <w:rtl/>
        </w:rPr>
        <w:t>ש</w:t>
      </w:r>
      <w:r>
        <w:rPr>
          <w:rFonts w:ascii="David" w:hAnsi="David"/>
          <w:rtl/>
        </w:rPr>
        <w:t>ה</w:t>
      </w:r>
      <w:r w:rsidRPr="006C7314">
        <w:rPr>
          <w:rFonts w:ascii="David" w:hAnsi="David"/>
          <w:rtl/>
        </w:rPr>
        <w:t>ו</w:t>
      </w:r>
      <w:r w:rsidR="006C7314">
        <w:rPr>
          <w:rFonts w:ascii="David" w:hAnsi="David" w:hint="cs"/>
          <w:rtl/>
        </w:rPr>
        <w:t>.</w:t>
      </w:r>
      <w:r w:rsidRPr="006C7314">
        <w:rPr>
          <w:rFonts w:ascii="David" w:hAnsi="David"/>
          <w:rtl/>
        </w:rPr>
        <w:t xml:space="preserve"> אזכיר </w:t>
      </w:r>
      <w:r w:rsidR="006C7314">
        <w:rPr>
          <w:rFonts w:ascii="David" w:hAnsi="David" w:hint="cs"/>
          <w:rtl/>
        </w:rPr>
        <w:t xml:space="preserve">גם </w:t>
      </w:r>
      <w:r w:rsidRPr="006C7314">
        <w:rPr>
          <w:rFonts w:ascii="David" w:hAnsi="David"/>
          <w:rtl/>
        </w:rPr>
        <w:t>כי המשביר טענה כי מסרה את השיקים לאחר בדיקה (ראו עדות שביט). לפיכך,</w:t>
      </w:r>
      <w:r>
        <w:rPr>
          <w:rFonts w:ascii="David" w:hAnsi="David"/>
          <w:rtl/>
        </w:rPr>
        <w:t xml:space="preserve"> אני מקבלת את תחשיב החוב של התובעת על פי תצהיריה.</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lastRenderedPageBreak/>
        <w:t xml:space="preserve">כפי שכבר ציינתי לעיל, </w:t>
      </w:r>
      <w:r>
        <w:rPr>
          <w:rFonts w:ascii="David" w:hAnsi="David"/>
          <w:u w:val="single"/>
          <w:rtl/>
        </w:rPr>
        <w:t>הקופונים</w:t>
      </w:r>
      <w:r>
        <w:rPr>
          <w:rFonts w:ascii="David" w:hAnsi="David"/>
          <w:rtl/>
        </w:rPr>
        <w:t xml:space="preserve"> אינם רלבנטיים לתחשיב החוב משעה שבוטלו לפי עדות עו"ד קוק. ועוד יש לזכור כי מדובר בקופונים כנגד מחצית דמי השכירות לחודש מרץ 2020 בלבד ובוודאי שאין זה משמיט את החוב כולו או את התחשיב בכללותו. לכל היותר, אילו מצב הדברים היה שניתנו קופונים שלא בוטלו (ולא זה מצב הדברים) צריך היה להפחית מסכום החוב את שווים (שלא הוכח כשלעצמו)</w:t>
      </w:r>
      <w:r>
        <w:rPr>
          <w:rFonts w:ascii="David" w:hAnsi="David"/>
        </w:rPr>
        <w:t xml:space="preserve"> </w:t>
      </w:r>
      <w:r>
        <w:rPr>
          <w:rFonts w:ascii="David" w:hAnsi="David"/>
          <w:rtl/>
        </w:rPr>
        <w:t xml:space="preserve">או את מחצית דמי השכירות לחודש מרץ 2020. </w:t>
      </w:r>
    </w:p>
    <w:p w:rsidR="00CD2861" w:rsidRDefault="00CD2861" w:rsidP="00CD2861">
      <w:pPr>
        <w:spacing w:line="360" w:lineRule="auto"/>
        <w:jc w:val="both"/>
        <w:rPr>
          <w:rFonts w:ascii="David" w:hAnsi="David"/>
        </w:rPr>
      </w:pPr>
    </w:p>
    <w:p w:rsidR="00CD2861" w:rsidRDefault="00CD2861" w:rsidP="006C7314">
      <w:pPr>
        <w:pStyle w:val="af"/>
        <w:numPr>
          <w:ilvl w:val="0"/>
          <w:numId w:val="2"/>
        </w:numPr>
        <w:spacing w:before="0" w:after="0" w:line="360" w:lineRule="auto"/>
        <w:ind w:left="509" w:hanging="567"/>
        <w:jc w:val="both"/>
        <w:rPr>
          <w:rFonts w:ascii="David" w:hAnsi="David"/>
        </w:rPr>
      </w:pPr>
      <w:r>
        <w:rPr>
          <w:rFonts w:ascii="David" w:hAnsi="David"/>
          <w:u w:val="single"/>
          <w:rtl/>
        </w:rPr>
        <w:t>אשר לתשלום שבוצע לפי הטענה לאחר הגשת התביעה</w:t>
      </w:r>
      <w:r>
        <w:rPr>
          <w:rFonts w:ascii="David" w:hAnsi="David"/>
          <w:rtl/>
        </w:rPr>
        <w:t xml:space="preserve"> - במהלך דיוני ההוכחות, המשביר טענה כי לאחר מועד הגשת התביעה (לא צוין המועד המדויק)</w:t>
      </w:r>
      <w:r>
        <w:rPr>
          <w:rFonts w:ascii="David" w:hAnsi="David"/>
        </w:rPr>
        <w:t xml:space="preserve"> </w:t>
      </w:r>
      <w:r>
        <w:rPr>
          <w:rFonts w:ascii="David" w:hAnsi="David"/>
          <w:rtl/>
        </w:rPr>
        <w:t xml:space="preserve">היא שילמה חלק מהחוב הנטען בסכום של 1,215,794 ₪ (עמ' 254 ש' 25 </w:t>
      </w:r>
      <w:r>
        <w:rPr>
          <w:rFonts w:ascii="David" w:hAnsi="David"/>
          <w:rtl/>
        </w:rPr>
        <w:softHyphen/>
        <w:t xml:space="preserve">–  עמ' 255 ש' 14). התובעת טענה כי הטענה הועלתה לראשונה רק בהוכחות והמשביר לא סיפקה הוכחות לביצוע התשלום ולכך שהוא אכן נוגע לחוב (עמ' 254 ש' 15 – עמ' 255 ש' 14, עמ' 256 ש' 10-12) אך ציינה כי לא תגבה כמובן מעבר למה שמגיע לה בדין, אם יתברר שהטענה נכונה (עמ' 257 ש' 20). במהלך ניהול ההליך לרבות החקירות והסיכומים (אף שהוגשו מסמכים והודעות שונות גם לאחר הסיכומים) לא הוצגו לבית המשפט אסמכתאות וראיות כלשהן בנושא, והעניין לא התברר. בכל מקרה, סכום החוב שקבעתי נכון ליום הגשת התביעה, 11.11.2021 (על יסוד התחשיבים </w:t>
      </w:r>
      <w:r w:rsidR="006C7314">
        <w:rPr>
          <w:rFonts w:ascii="David" w:hAnsi="David" w:hint="cs"/>
          <w:rtl/>
        </w:rPr>
        <w:t>ש</w:t>
      </w:r>
      <w:r>
        <w:rPr>
          <w:rFonts w:ascii="David" w:hAnsi="David"/>
          <w:rtl/>
        </w:rPr>
        <w:t>נערכו ליום 9.11.</w:t>
      </w:r>
      <w:r w:rsidR="006C7314">
        <w:rPr>
          <w:rFonts w:ascii="David" w:hAnsi="David" w:hint="cs"/>
          <w:rtl/>
        </w:rPr>
        <w:t>2021</w:t>
      </w:r>
      <w:r>
        <w:rPr>
          <w:rFonts w:ascii="David" w:hAnsi="David"/>
          <w:rtl/>
        </w:rPr>
        <w:t>). אם שולם לאחר מכן סכום כלשהו על חשבון חוב דמי השכירות לחודשים מרץ 2020 עד נובמבר 2021, ברי כי יש להפחיתו ולהפחית גם את החיוב היחסי בריבית הפיגורים (בהתאם ליום התשלום והסכום ששולם מתוך סכום חוב דמי השכירות). יש להניח ולצפות כי הצדדים יצליחו לבצע תחשיב בהתאם. אולם אם לא יצליחו בכך, שעה שמדובר בתשלום שבוצע לאחר הגשת התביעה תתברר מחלוקת זו לפי הצורך בהליכים המתאימים.</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אעיר כי נראה שהתשלום האמור, ככל שבוצע ובסכום הנקוב לעיל (1,215,795 ₪), על פניו הוא לכאורה דמי השכירות לחודש נובמבר כשהם מופחתים ב- 10% (כפי שנהגה המשביר לשלם החל מתום הסגר בפברואר 2021); שכן לפי טבלת כהן, נספח 28 לתצהירה, הסכום לתשלום בנובמבר הוא 1,350,883 ₪ והסכום שנטען ששולם, מהווה 90% ממנו. עוד אציין כי החיוב בריבית פיגורים על פי טבלת כהן הנ"ל עבור דמי השכירות לנובמבר 2021 עמד על 600 ₪ בלבד, שכן מועד התשלום החוזי הוא 8.11.2021 ונכון למועד התחשיב (9.11.2021) מדובר באיחור של יום אחד בלבד עד למועד זה.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התובעת ביקשה בסיכומיה כי יתווסף גם 1% לסכום החוב, ממועד העלאת שיעור המע"מ. אני דוחה בקשה זו, שלא עוגנה בבסיס משפטי רלבנטי. מדובר בתשלום חוב דמי שכירות על פי פסק דין ונכון למועד הגשת כתב התביעה (בצירוף הפרשי הצמדה וריבית כדין). </w:t>
      </w:r>
    </w:p>
    <w:p w:rsidR="00CD2861" w:rsidRDefault="00CD2861" w:rsidP="00CD2861">
      <w:pPr>
        <w:spacing w:line="360" w:lineRule="auto"/>
        <w:jc w:val="both"/>
        <w:rPr>
          <w:rFonts w:ascii="David" w:hAnsi="David"/>
          <w:rtl/>
        </w:rPr>
      </w:pPr>
    </w:p>
    <w:p w:rsidR="00A16166" w:rsidRDefault="00A16166" w:rsidP="00A16166">
      <w:pPr>
        <w:spacing w:line="360" w:lineRule="auto"/>
        <w:jc w:val="both"/>
        <w:rPr>
          <w:rFonts w:ascii="David" w:hAnsi="David"/>
        </w:rPr>
      </w:pPr>
    </w:p>
    <w:p w:rsidR="00CD2861" w:rsidRDefault="00CD2861" w:rsidP="00CD2861">
      <w:pPr>
        <w:spacing w:line="276" w:lineRule="auto"/>
        <w:ind w:left="-58"/>
        <w:jc w:val="both"/>
        <w:rPr>
          <w:rFonts w:ascii="David" w:hAnsi="David"/>
          <w:b/>
          <w:bCs/>
          <w:sz w:val="26"/>
          <w:szCs w:val="26"/>
          <w:u w:val="single"/>
          <w:rtl/>
        </w:rPr>
      </w:pPr>
      <w:r>
        <w:rPr>
          <w:rFonts w:ascii="David" w:hAnsi="David"/>
          <w:b/>
          <w:bCs/>
          <w:sz w:val="26"/>
          <w:szCs w:val="26"/>
          <w:u w:val="single"/>
          <w:rtl/>
        </w:rPr>
        <w:lastRenderedPageBreak/>
        <w:t>ה. סיכום וסוף דבר - התביעה העיקרית</w:t>
      </w:r>
    </w:p>
    <w:p w:rsidR="00CD2861" w:rsidRDefault="00CD2861" w:rsidP="00CD2861">
      <w:pPr>
        <w:pStyle w:val="af"/>
        <w:spacing w:line="276" w:lineRule="auto"/>
        <w:rPr>
          <w:rFonts w:ascii="David" w:hAnsi="David"/>
        </w:rPr>
      </w:pPr>
    </w:p>
    <w:p w:rsidR="00CD2861" w:rsidRDefault="00CD2861" w:rsidP="006C7314">
      <w:pPr>
        <w:pStyle w:val="af"/>
        <w:numPr>
          <w:ilvl w:val="0"/>
          <w:numId w:val="2"/>
        </w:numPr>
        <w:spacing w:before="0" w:after="0" w:line="360" w:lineRule="auto"/>
        <w:ind w:left="509" w:hanging="567"/>
        <w:jc w:val="both"/>
        <w:rPr>
          <w:rFonts w:ascii="David" w:hAnsi="David"/>
          <w:rtl/>
        </w:rPr>
      </w:pPr>
      <w:r>
        <w:rPr>
          <w:rFonts w:ascii="David" w:hAnsi="David"/>
          <w:rtl/>
        </w:rPr>
        <w:t xml:space="preserve">מכל הטעמים דלעיל, התביעה העיקרית מתקבלת </w:t>
      </w:r>
      <w:r w:rsidR="006C7314">
        <w:rPr>
          <w:rFonts w:ascii="David" w:hAnsi="David" w:hint="cs"/>
          <w:rtl/>
        </w:rPr>
        <w:t xml:space="preserve">במלואה, </w:t>
      </w:r>
      <w:r>
        <w:rPr>
          <w:rFonts w:ascii="David" w:hAnsi="David"/>
          <w:rtl/>
        </w:rPr>
        <w:t>ואני מחייבת את הנתבעת לשלם לתובעת סך של 12,489,324 ₪ נכון למועד הגשת התביעה, בצירוף הפרשי הצמדה וריבית כדין עד למועד התשלום.</w:t>
      </w:r>
      <w:r>
        <w:rPr>
          <w:rFonts w:ascii="David" w:hAnsi="David"/>
          <w:rtl/>
        </w:rPr>
        <w:tab/>
      </w:r>
    </w:p>
    <w:p w:rsidR="00CD2861" w:rsidRDefault="00CD2861" w:rsidP="00CD2861">
      <w:pPr>
        <w:spacing w:line="360" w:lineRule="auto"/>
        <w:jc w:val="both"/>
        <w:rPr>
          <w:rFonts w:ascii="David" w:hAnsi="David"/>
        </w:rPr>
      </w:pPr>
    </w:p>
    <w:p w:rsidR="00CD2861" w:rsidRPr="006C7314" w:rsidRDefault="00CD2861" w:rsidP="00CD2861">
      <w:pPr>
        <w:pStyle w:val="af"/>
        <w:numPr>
          <w:ilvl w:val="0"/>
          <w:numId w:val="2"/>
        </w:numPr>
        <w:spacing w:before="0" w:after="0" w:line="360" w:lineRule="auto"/>
        <w:ind w:left="509" w:hanging="567"/>
        <w:jc w:val="both"/>
        <w:rPr>
          <w:rFonts w:ascii="David" w:hAnsi="David"/>
        </w:rPr>
      </w:pPr>
      <w:r w:rsidRPr="006C7314">
        <w:rPr>
          <w:rFonts w:ascii="David" w:hAnsi="David"/>
          <w:rtl/>
        </w:rPr>
        <w:t>לעניין התשלום שבוצע לפי הטענה לאחר הגשת התביעה – ראו סעיף 130 לעיל.</w:t>
      </w:r>
      <w:r w:rsidRPr="006C7314">
        <w:rPr>
          <w:rFonts w:ascii="David" w:hAnsi="David"/>
          <w:rtl/>
        </w:rPr>
        <w:tab/>
      </w:r>
    </w:p>
    <w:p w:rsidR="00CD2861" w:rsidRDefault="00CD2861" w:rsidP="00CD2861">
      <w:pPr>
        <w:spacing w:line="360" w:lineRule="auto"/>
        <w:jc w:val="both"/>
        <w:rPr>
          <w:rFonts w:ascii="David" w:hAnsi="David"/>
        </w:rPr>
      </w:pPr>
    </w:p>
    <w:p w:rsidR="00426427" w:rsidRPr="00426427" w:rsidRDefault="00CD2861" w:rsidP="003E4EC7">
      <w:pPr>
        <w:pStyle w:val="af"/>
        <w:numPr>
          <w:ilvl w:val="0"/>
          <w:numId w:val="2"/>
        </w:numPr>
        <w:spacing w:before="0" w:after="0" w:line="360" w:lineRule="auto"/>
        <w:ind w:left="509" w:hanging="567"/>
        <w:jc w:val="both"/>
        <w:rPr>
          <w:rFonts w:ascii="David" w:hAnsi="David"/>
          <w:rtl/>
        </w:rPr>
      </w:pPr>
      <w:r w:rsidRPr="00426427">
        <w:rPr>
          <w:rFonts w:ascii="David" w:hAnsi="David"/>
          <w:rtl/>
        </w:rPr>
        <w:t>להוצאות אתייחס בסוף פסק הדין.</w:t>
      </w:r>
      <w:r w:rsidRPr="00426427">
        <w:rPr>
          <w:rFonts w:ascii="David" w:hAnsi="David"/>
          <w:rtl/>
        </w:rPr>
        <w:tab/>
      </w:r>
      <w:r w:rsidRPr="00426427">
        <w:rPr>
          <w:rFonts w:ascii="David" w:hAnsi="David"/>
          <w:rtl/>
        </w:rPr>
        <w:br/>
      </w:r>
    </w:p>
    <w:p w:rsidR="00426427" w:rsidRPr="00426427" w:rsidRDefault="00426427" w:rsidP="00426427">
      <w:pPr>
        <w:spacing w:line="360" w:lineRule="auto"/>
        <w:jc w:val="both"/>
        <w:rPr>
          <w:rFonts w:ascii="David" w:hAnsi="David"/>
          <w:rtl/>
        </w:rPr>
      </w:pPr>
    </w:p>
    <w:p w:rsidR="00CD2861" w:rsidRPr="00426427" w:rsidRDefault="00CD2861" w:rsidP="00A16166">
      <w:pPr>
        <w:spacing w:line="276" w:lineRule="auto"/>
        <w:ind w:left="-58"/>
        <w:jc w:val="both"/>
        <w:rPr>
          <w:rFonts w:ascii="David" w:hAnsi="David"/>
          <w:b/>
          <w:bCs/>
          <w:sz w:val="28"/>
          <w:szCs w:val="28"/>
          <w:u w:val="single"/>
          <w:rtl/>
        </w:rPr>
      </w:pPr>
      <w:r w:rsidRPr="00426427">
        <w:rPr>
          <w:rFonts w:ascii="David" w:hAnsi="David"/>
          <w:b/>
          <w:bCs/>
          <w:sz w:val="28"/>
          <w:szCs w:val="28"/>
        </w:rPr>
        <w:t>I</w:t>
      </w:r>
      <w:r w:rsidR="00A16166" w:rsidRPr="00426427">
        <w:rPr>
          <w:rFonts w:ascii="David" w:hAnsi="David"/>
          <w:b/>
          <w:bCs/>
          <w:sz w:val="28"/>
          <w:szCs w:val="28"/>
        </w:rPr>
        <w:t>I</w:t>
      </w:r>
      <w:r w:rsidRPr="00426427">
        <w:rPr>
          <w:rFonts w:ascii="David" w:hAnsi="David"/>
          <w:b/>
          <w:bCs/>
          <w:sz w:val="28"/>
          <w:szCs w:val="28"/>
        </w:rPr>
        <w:t>I</w:t>
      </w:r>
      <w:r w:rsidRPr="00426427">
        <w:rPr>
          <w:rFonts w:ascii="David" w:hAnsi="David"/>
          <w:b/>
          <w:bCs/>
          <w:sz w:val="28"/>
          <w:szCs w:val="28"/>
          <w:rtl/>
        </w:rPr>
        <w:t xml:space="preserve"> </w:t>
      </w:r>
      <w:r w:rsidR="00A16166" w:rsidRPr="00426427">
        <w:rPr>
          <w:rFonts w:ascii="David" w:hAnsi="David"/>
          <w:b/>
          <w:bCs/>
          <w:sz w:val="28"/>
          <w:szCs w:val="28"/>
          <w:rtl/>
        </w:rPr>
        <w:t>–</w:t>
      </w:r>
      <w:r w:rsidR="00A16166" w:rsidRPr="00426427">
        <w:rPr>
          <w:rFonts w:ascii="David" w:hAnsi="David" w:hint="cs"/>
          <w:b/>
          <w:bCs/>
          <w:sz w:val="28"/>
          <w:szCs w:val="28"/>
          <w:u w:val="single"/>
          <w:rtl/>
        </w:rPr>
        <w:t xml:space="preserve"> </w:t>
      </w:r>
      <w:r w:rsidRPr="00426427">
        <w:rPr>
          <w:rFonts w:ascii="David" w:hAnsi="David"/>
          <w:b/>
          <w:bCs/>
          <w:sz w:val="28"/>
          <w:szCs w:val="28"/>
          <w:u w:val="single"/>
          <w:rtl/>
        </w:rPr>
        <w:t>התביעה שכנגד</w:t>
      </w:r>
      <w:r w:rsidR="00B37253">
        <w:rPr>
          <w:rFonts w:ascii="David" w:hAnsi="David" w:hint="cs"/>
          <w:b/>
          <w:bCs/>
          <w:sz w:val="28"/>
          <w:szCs w:val="28"/>
          <w:u w:val="single"/>
          <w:rtl/>
        </w:rPr>
        <w:t>, תביעת המשביר</w:t>
      </w:r>
      <w:r w:rsidRPr="00426427">
        <w:rPr>
          <w:rFonts w:ascii="David" w:hAnsi="David"/>
          <w:b/>
          <w:bCs/>
          <w:sz w:val="28"/>
          <w:szCs w:val="28"/>
          <w:u w:val="single"/>
          <w:rtl/>
        </w:rPr>
        <w:t xml:space="preserve"> בגין שטח המושכר</w:t>
      </w:r>
    </w:p>
    <w:p w:rsidR="00CD2861" w:rsidRPr="00A16166" w:rsidRDefault="00CD2861" w:rsidP="00CD2861">
      <w:pPr>
        <w:spacing w:line="276" w:lineRule="auto"/>
        <w:ind w:left="-58"/>
        <w:jc w:val="both"/>
        <w:rPr>
          <w:rFonts w:ascii="David" w:hAnsi="David"/>
          <w:b/>
          <w:bCs/>
          <w:u w:val="single"/>
          <w:rtl/>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בתובענה שכנגד שהגישה המשביר כנגד אזו-ריט ומליסרון טוענת המשביר, כי שטח המושכר קטן מ- 5,600 מ"ר שהובטחו בסעיף 25.1 להסכם השכירות, ובהתאם נתבעים הסכומים שלטענת המשביר שולמו על ידה ביתר החל מחודש אוקטובר 2011, בסך של 17,226,823 ₪, בהתחשב בכך ששטח המושכר קטן יותר. התבקש גם סעד הצהרתי ולפיו דמי השכירות החודשיים שעל המשביר לשלם מכאן ואילך לא יעלו על סך של 821,033 ₪ (לפי תחשיב של 192 ₪ למ"ר כפול 4,773.45 מ"ר). לפי הטענה בתביעה נודע למשביר בשלהי שנת 2016 במסגרת מדידה אקראית לצרכי ארנונה כי שטחו של הנכס אינו עולה על 4,875 מ"ר.</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הנתבעות טענו מנגד, כי יש לדחות את התביעה על הסף ולגופה (בין היתר), מחמת שלא התחייבו לגבי גודל שטח המושכר ולא הציגו כל מצג בעניין זה אלא מדובר בחיוב השתדלות "</w:t>
      </w:r>
      <w:r>
        <w:rPr>
          <w:rFonts w:ascii="David" w:hAnsi="David"/>
          <w:b/>
          <w:bCs/>
          <w:rtl/>
        </w:rPr>
        <w:t>לנסות לגרום לכך שבמועד העמדת המושכר לצורך ביצוע עבודות השוכר ניתן יהיה להשתמש בלפחות בכ- 5,600 מ"ר ברוטו משטח המושכר למטרת השכירות</w:t>
      </w:r>
      <w:r>
        <w:rPr>
          <w:rFonts w:ascii="David" w:hAnsi="David"/>
          <w:rtl/>
        </w:rPr>
        <w:t>". יתר על כן,  גם אם יש ממש בטענה להתחייבות כנטען ביחס לגודל השטח, אין לתביעה על מה שתסמוך לאור כתב הוויתור ולאור התנהלות המשביר (לרבות שיהוי) שמלמדת גם היא על ויתור, ואף עולה כדי מניעות מלטעון טענותיה שביסוד תביעה זו. כן טענה כי לתביעה לא צורפה כל מדידה והנזק או הפיצוי הנתבע לא הוכח.</w:t>
      </w:r>
    </w:p>
    <w:p w:rsidR="00CD2861" w:rsidRDefault="00CD2861" w:rsidP="00CD2861">
      <w:pPr>
        <w:pStyle w:val="af"/>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b/>
          <w:bCs/>
          <w:rtl/>
        </w:rPr>
        <w:t xml:space="preserve">עיקר המחלוקת </w:t>
      </w:r>
      <w:r>
        <w:rPr>
          <w:rFonts w:ascii="David" w:hAnsi="David"/>
          <w:rtl/>
        </w:rPr>
        <w:t>הוא אפוא בפרשנות סעיף 25.1 להסכם השכירות ובפרשנות כתב הוויתור ופועלו. לנוחות הדיון ולצורך הבנת טענות הצדדים, אביא תחילה (שוב) את נוסחו של 25.1 להסכם וכן את הוראות כתב הוויתור. לאחר מכן יבואו טענות הצדדים (בסיכומים) ופרק הדיון וההכרעה.</w:t>
      </w:r>
    </w:p>
    <w:p w:rsidR="00CD2861" w:rsidRDefault="00CD2861" w:rsidP="00CD2861">
      <w:pPr>
        <w:spacing w:line="360" w:lineRule="auto"/>
        <w:jc w:val="both"/>
        <w:rPr>
          <w:rFonts w:ascii="David" w:hAnsi="David"/>
          <w:rtl/>
        </w:rPr>
      </w:pPr>
    </w:p>
    <w:p w:rsidR="006C7314" w:rsidRDefault="006C7314" w:rsidP="006C7314">
      <w:pPr>
        <w:spacing w:line="360" w:lineRule="auto"/>
        <w:jc w:val="both"/>
        <w:rPr>
          <w:rFonts w:ascii="David" w:hAnsi="David"/>
          <w:rtl/>
        </w:rPr>
      </w:pPr>
    </w:p>
    <w:p w:rsidR="006C7314" w:rsidRDefault="006C7314" w:rsidP="006C7314">
      <w:pPr>
        <w:spacing w:line="360" w:lineRule="auto"/>
        <w:jc w:val="both"/>
        <w:rPr>
          <w:rFonts w:ascii="David" w:hAnsi="David"/>
          <w:rtl/>
        </w:rPr>
      </w:pPr>
    </w:p>
    <w:p w:rsidR="006C7314" w:rsidRDefault="006C7314" w:rsidP="006C7314">
      <w:pPr>
        <w:spacing w:line="360" w:lineRule="auto"/>
        <w:jc w:val="both"/>
        <w:rPr>
          <w:rFonts w:ascii="David" w:hAnsi="David"/>
        </w:rPr>
      </w:pPr>
    </w:p>
    <w:p w:rsidR="00CD2861" w:rsidRDefault="00CD2861" w:rsidP="00CD2861">
      <w:pPr>
        <w:spacing w:line="276" w:lineRule="auto"/>
        <w:jc w:val="both"/>
        <w:rPr>
          <w:rFonts w:ascii="David" w:hAnsi="David"/>
          <w:b/>
          <w:bCs/>
          <w:u w:val="single"/>
          <w:rtl/>
        </w:rPr>
      </w:pPr>
      <w:r>
        <w:rPr>
          <w:rFonts w:ascii="David" w:hAnsi="David"/>
          <w:b/>
          <w:bCs/>
          <w:u w:val="single"/>
          <w:rtl/>
        </w:rPr>
        <w:t>הוראות המסמכים שביסוד המחלוקת</w:t>
      </w:r>
    </w:p>
    <w:p w:rsidR="00CD2861" w:rsidRDefault="00CD2861" w:rsidP="00CD2861">
      <w:pPr>
        <w:spacing w:line="276" w:lineRule="auto"/>
        <w:jc w:val="both"/>
        <w:rPr>
          <w:rFonts w:ascii="David" w:hAnsi="David"/>
          <w:b/>
          <w:bCs/>
          <w:u w:val="single"/>
          <w:rtl/>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סעיף 25.1 להסכם השכירות, אשר לטענת המשביר מעגן את ההתחייבות הנטענת ביחס לגודל השטח, קובע כדלקמן:</w:t>
      </w:r>
    </w:p>
    <w:p w:rsidR="00CD2861" w:rsidRDefault="00CD2861" w:rsidP="00CD2861">
      <w:pPr>
        <w:spacing w:after="120" w:line="276" w:lineRule="auto"/>
        <w:ind w:left="720" w:right="720"/>
        <w:jc w:val="both"/>
        <w:rPr>
          <w:rFonts w:ascii="David" w:hAnsi="David"/>
          <w:b/>
          <w:bCs/>
        </w:rPr>
      </w:pPr>
    </w:p>
    <w:p w:rsidR="00CD2861" w:rsidRDefault="00CD2861" w:rsidP="00CD2861">
      <w:pPr>
        <w:spacing w:after="120" w:line="276" w:lineRule="auto"/>
        <w:ind w:left="1076" w:right="720"/>
        <w:jc w:val="both"/>
        <w:rPr>
          <w:rFonts w:ascii="David" w:hAnsi="David"/>
          <w:b/>
          <w:bCs/>
          <w:rtl/>
        </w:rPr>
      </w:pPr>
      <w:r>
        <w:rPr>
          <w:rFonts w:ascii="David" w:hAnsi="David"/>
          <w:b/>
          <w:bCs/>
          <w:rtl/>
        </w:rPr>
        <w:t>"25.1. למרות כל הוראות חוזה זה, השוכר מצהיר ומאשר שידוע לו כי נכון למועד חתימת חוזה זה לא ניתן לעשות שימוש על פי התב"ע במלוא שטחי המושכר למטרת השכירות.</w:t>
      </w:r>
    </w:p>
    <w:p w:rsidR="00CD2861" w:rsidRDefault="00CD2861" w:rsidP="00CD2861">
      <w:pPr>
        <w:spacing w:line="276" w:lineRule="auto"/>
        <w:ind w:left="1076" w:right="720"/>
        <w:jc w:val="both"/>
        <w:rPr>
          <w:rFonts w:ascii="David" w:hAnsi="David"/>
          <w:b/>
          <w:bCs/>
        </w:rPr>
      </w:pPr>
      <w:r>
        <w:rPr>
          <w:rFonts w:ascii="David" w:hAnsi="David"/>
          <w:b/>
          <w:bCs/>
          <w:rtl/>
        </w:rPr>
        <w:t xml:space="preserve">מבלי לגרוע מהאמור לעיל, המשכיר יפעל </w:t>
      </w:r>
      <w:r>
        <w:rPr>
          <w:rFonts w:ascii="David" w:hAnsi="David"/>
          <w:b/>
          <w:bCs/>
          <w:u w:val="single"/>
          <w:rtl/>
        </w:rPr>
        <w:t>כדי לנסות לגרום לכך</w:t>
      </w:r>
      <w:r>
        <w:rPr>
          <w:rFonts w:ascii="David" w:hAnsi="David"/>
          <w:b/>
          <w:bCs/>
          <w:rtl/>
        </w:rPr>
        <w:t xml:space="preserve"> שבמועד העמדת המושכר לצורך ביצוע עבודות השוכר ניתן יהיה להשתמש בלפחות </w:t>
      </w:r>
      <w:r>
        <w:rPr>
          <w:rFonts w:ascii="David" w:hAnsi="David"/>
          <w:b/>
          <w:bCs/>
          <w:u w:val="single"/>
          <w:rtl/>
        </w:rPr>
        <w:t>בכ-5,600 מ"ר ברוטו</w:t>
      </w:r>
      <w:r>
        <w:rPr>
          <w:rFonts w:ascii="David" w:hAnsi="David"/>
          <w:b/>
          <w:bCs/>
          <w:rtl/>
        </w:rPr>
        <w:t xml:space="preserve"> משטחי המושכר למטרת השכירות (להלן – 'התנאי המתלה'). </w:t>
      </w:r>
      <w:r>
        <w:rPr>
          <w:rFonts w:ascii="David" w:hAnsi="David"/>
          <w:b/>
          <w:bCs/>
          <w:rtl/>
        </w:rPr>
        <w:tab/>
      </w:r>
      <w:r>
        <w:rPr>
          <w:rFonts w:ascii="David" w:hAnsi="David"/>
          <w:b/>
          <w:bCs/>
          <w:rtl/>
        </w:rPr>
        <w:br/>
      </w:r>
      <w:r>
        <w:rPr>
          <w:rFonts w:ascii="David" w:hAnsi="David"/>
          <w:b/>
          <w:bCs/>
          <w:rtl/>
        </w:rPr>
        <w:br/>
        <w:t xml:space="preserve">במקרה שהתנאי המתלה לא יתקיים עד למועד העמדת המושכר לצורך ביצוע עבודות השוכר כאמור, יהיה המשכיר רשאי לדחות את המועד הנ"ל, לתקופות אשר לא יעלו במצטבר על שלושה חודשים, וזאת על ידי מסירת הודעה בכתב על כך לשוכר, וככל שגם עד למועד תחילת תקופת השכירות הנדחה כאמור לא יתקיים התנאי המתלה, </w:t>
      </w:r>
      <w:r>
        <w:rPr>
          <w:rFonts w:ascii="David" w:hAnsi="David"/>
          <w:b/>
          <w:bCs/>
          <w:u w:val="single"/>
          <w:rtl/>
        </w:rPr>
        <w:t>יהיה כל אחד מהצדדים רשאי לבטל חוזה זה על ידי מסירת הודעה בכתב על כך למשנהו</w:t>
      </w:r>
      <w:r>
        <w:rPr>
          <w:rFonts w:ascii="David" w:hAnsi="David"/>
          <w:b/>
          <w:bCs/>
          <w:rtl/>
        </w:rPr>
        <w:t xml:space="preserve">. בוטל חוזה שכירות זה בנסיבות כאמור לעיל, יהיה חוזה שכירות זה בטל ומבוטל כאילו לא נחתם ולא תנבענה למי מהצדדים זכויות ו/או התחייבויות כלשהן על פיו ולשוכר לא תהיה כל טענה ו/או דרישה ו/או תביעה כלפי המשכיר. </w:t>
      </w:r>
      <w:r>
        <w:rPr>
          <w:rFonts w:ascii="David" w:hAnsi="David"/>
          <w:b/>
          <w:bCs/>
          <w:u w:val="single"/>
          <w:rtl/>
        </w:rPr>
        <w:t>למען הסר ספק מובהר כי המשכיר אינו מתחייב כי התנאי המתלה יתקיים, ובכל מקרה שהתנאי המתלה לא יתקיים מכל סיבה שהיא לשוכר לא תהיה כל טענה ו/או דרישה ו/או תביעה כלפי המשכיר</w:t>
      </w:r>
      <w:r>
        <w:rPr>
          <w:rFonts w:ascii="David" w:hAnsi="David"/>
          <w:b/>
          <w:bCs/>
          <w:rtl/>
        </w:rPr>
        <w:t xml:space="preserve">. </w:t>
      </w:r>
      <w:r>
        <w:rPr>
          <w:rFonts w:ascii="David" w:hAnsi="David"/>
          <w:b/>
          <w:bCs/>
          <w:u w:val="single"/>
          <w:rtl/>
        </w:rPr>
        <w:t>למען הסר ספק – מועד תחילת ביצוע עבודות השוכר לא יחול לפני קיום התנאי המתלה</w:t>
      </w:r>
      <w:r>
        <w:rPr>
          <w:rFonts w:ascii="David" w:hAnsi="David"/>
          <w:b/>
          <w:bCs/>
          <w:rtl/>
        </w:rPr>
        <w:t>."</w:t>
      </w:r>
    </w:p>
    <w:p w:rsidR="00CD2861" w:rsidRDefault="00CD2861" w:rsidP="00CD2861">
      <w:pPr>
        <w:spacing w:after="120" w:line="276" w:lineRule="auto"/>
        <w:ind w:left="720" w:right="720"/>
        <w:jc w:val="both"/>
        <w:rPr>
          <w:rFonts w:ascii="David" w:hAnsi="David"/>
          <w:b/>
          <w:bCs/>
          <w:rtl/>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אזכיר כאן גם את סעיף 25.5 להסכם שבו נקבע כי </w:t>
      </w:r>
      <w:r>
        <w:rPr>
          <w:rFonts w:ascii="David" w:hAnsi="David"/>
          <w:b/>
          <w:bCs/>
          <w:rtl/>
        </w:rPr>
        <w:t>"הצדדים מצהירים בזאת כי הגיעו לידי חוזה זה לאחר חקירה ובדיקה וכי שום צד לא הסתמך על שום מידע אלא זה המובא במפורש בחוזה זה"</w:t>
      </w:r>
      <w:r>
        <w:rPr>
          <w:rFonts w:ascii="David" w:hAnsi="David"/>
          <w:rtl/>
        </w:rPr>
        <w:t xml:space="preserve">. וסעיף 25.4 לו בו נקבע כי </w:t>
      </w:r>
      <w:r>
        <w:rPr>
          <w:rFonts w:ascii="David" w:hAnsi="David"/>
          <w:b/>
          <w:bCs/>
          <w:rtl/>
        </w:rPr>
        <w:t>"בטלים ומבוטלים כל חוזה ו/או זיכרון דברים ו/או הסכמה ו/או הצהרה ו/או מצג ו/או הבטחה ו/או פרסום אשר נעשו, אם נעשו, על ידי המשכיר או נציגיו או מי מטעמו, והמשכיר לא יהא מחויב בגין איזה מאלה"</w:t>
      </w:r>
      <w:r>
        <w:rPr>
          <w:rFonts w:ascii="David" w:hAnsi="David"/>
          <w:rtl/>
        </w:rPr>
        <w:t>.</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כתב הוויתור (או המסמך מיום 17.3.2011) שכולל שני חלקים כדלקמן;</w:t>
      </w:r>
      <w:r>
        <w:rPr>
          <w:rFonts w:ascii="David" w:hAnsi="David"/>
          <w:rtl/>
        </w:rPr>
        <w:tab/>
        <w:t xml:space="preserve"> </w:t>
      </w:r>
      <w:r>
        <w:rPr>
          <w:rFonts w:ascii="David" w:hAnsi="David"/>
          <w:rtl/>
        </w:rPr>
        <w:br/>
        <w:t>בתחילתו כתבה אזו-ריט למשביר, כך:</w:t>
      </w:r>
    </w:p>
    <w:p w:rsidR="00CD2861" w:rsidRDefault="00CD2861" w:rsidP="00CD2861">
      <w:pPr>
        <w:spacing w:line="276" w:lineRule="auto"/>
        <w:ind w:left="720" w:right="720"/>
        <w:jc w:val="both"/>
        <w:rPr>
          <w:rFonts w:ascii="David" w:hAnsi="David"/>
          <w:b/>
          <w:bCs/>
          <w:rtl/>
        </w:rPr>
      </w:pPr>
    </w:p>
    <w:p w:rsidR="00CD2861" w:rsidRDefault="00CD2861" w:rsidP="00CD2861">
      <w:pPr>
        <w:spacing w:line="276" w:lineRule="auto"/>
        <w:ind w:left="1076" w:right="720"/>
        <w:jc w:val="both"/>
        <w:rPr>
          <w:rFonts w:ascii="David" w:hAnsi="David"/>
          <w:b/>
          <w:bCs/>
          <w:rtl/>
        </w:rPr>
      </w:pPr>
      <w:r>
        <w:rPr>
          <w:rFonts w:ascii="David" w:hAnsi="David"/>
          <w:b/>
          <w:bCs/>
          <w:rtl/>
        </w:rPr>
        <w:lastRenderedPageBreak/>
        <w:t>"בהתאם להסכמות בינינו, נבקש שתאשרו כי אתם מוותרים על הוראות סעיף 25.1 להסכם השכירות שנחתם בינינו ביום 10.3.2009 ועל התנאי המתלה שנקבע בו, ואין ולא תהינה לכם כל דרישה או טענה כלפינו בעתיד בקשר עם האמור בסעיף 25.1 הנ"ל, וכי הסכם השכירות בינינו תקף באופן מלא ואינו מותלה.</w:t>
      </w:r>
    </w:p>
    <w:p w:rsidR="00CD2861" w:rsidRDefault="00CD2861" w:rsidP="00CD2861">
      <w:pPr>
        <w:spacing w:line="276" w:lineRule="auto"/>
        <w:ind w:left="1076" w:right="720"/>
        <w:jc w:val="both"/>
        <w:rPr>
          <w:rFonts w:ascii="David" w:hAnsi="David"/>
          <w:b/>
          <w:bCs/>
          <w:rtl/>
        </w:rPr>
      </w:pPr>
      <w:r>
        <w:rPr>
          <w:rFonts w:ascii="David" w:hAnsi="David"/>
          <w:b/>
          <w:bCs/>
          <w:rtl/>
        </w:rPr>
        <w:br/>
        <w:t>בכפוף לאישורכם לאמור לעיל וחתימתכם בתחתית מסמך זה, אנו מאשרים כי אתם תהיו רשאים לפעול בעצמכם ועל חשבונכם כדי לנסות לשנות את ייעודם של השטחים בקומה (2-) במושכר מיעוד אחסנה לייעוד מסחר (ומבלי שיש בכך משום הצהרה מצידנו לגבי היתכנות שינוי הייעוד), ובלבד שאתם בלבד תהיו אחראים ותשאו בעצמכם בכל הפעולות והעלויות בקשר עם כך. מובהר כי אתם לא תהיו רשאים לעשות כל שימוש בשטח [ד]לעיל אלא בהתאם לאישורים ולהיתרים כדין, ככל שאלה יתקבלו ..."</w:t>
      </w:r>
      <w:r>
        <w:rPr>
          <w:rtl/>
        </w:rPr>
        <w:t xml:space="preserve">. ובכתב יד הוסף [על ידי חסאן]: </w:t>
      </w:r>
      <w:r>
        <w:rPr>
          <w:rFonts w:ascii="David" w:hAnsi="David"/>
          <w:rtl/>
        </w:rPr>
        <w:t>"</w:t>
      </w:r>
      <w:r>
        <w:rPr>
          <w:rFonts w:ascii="David" w:hAnsi="David"/>
          <w:b/>
          <w:bCs/>
          <w:rtl/>
        </w:rPr>
        <w:t>והמשכיר לא מתנגד לשינויים ובלבד שלא תחול עליו חבות</w:t>
      </w:r>
      <w:r>
        <w:rPr>
          <w:rFonts w:ascii="David" w:hAnsi="David"/>
          <w:rtl/>
        </w:rPr>
        <w:t>".</w:t>
      </w:r>
    </w:p>
    <w:p w:rsidR="00CD2861" w:rsidRDefault="00CD2861" w:rsidP="00CD2861">
      <w:pPr>
        <w:spacing w:after="120" w:line="360" w:lineRule="auto"/>
        <w:ind w:left="357"/>
        <w:jc w:val="both"/>
        <w:rPr>
          <w:rFonts w:ascii="David" w:hAnsi="David"/>
          <w:rtl/>
        </w:rPr>
      </w:pPr>
      <w:r>
        <w:rPr>
          <w:rFonts w:ascii="David" w:hAnsi="David"/>
          <w:rtl/>
        </w:rPr>
        <w:br/>
        <w:t>בחלקו השני של המסמך (על אותו עמוד), אישרה המשביר:</w:t>
      </w:r>
    </w:p>
    <w:p w:rsidR="00CD2861" w:rsidRDefault="00CD2861" w:rsidP="00CD2861">
      <w:pPr>
        <w:spacing w:line="276" w:lineRule="auto"/>
        <w:ind w:left="720" w:right="720"/>
        <w:jc w:val="both"/>
        <w:rPr>
          <w:rFonts w:ascii="David" w:hAnsi="David"/>
          <w:b/>
          <w:bCs/>
          <w:rtl/>
        </w:rPr>
      </w:pPr>
      <w:r>
        <w:rPr>
          <w:rFonts w:ascii="David" w:hAnsi="David"/>
          <w:b/>
          <w:bCs/>
          <w:rtl/>
        </w:rPr>
        <w:t xml:space="preserve">"אנו מאשרים בזאת את </w:t>
      </w:r>
      <w:r>
        <w:rPr>
          <w:rFonts w:ascii="David" w:hAnsi="David"/>
          <w:b/>
          <w:bCs/>
          <w:u w:val="single"/>
          <w:rtl/>
        </w:rPr>
        <w:t>ויתורנו על הוראות סעיף 25.1 להסכם</w:t>
      </w:r>
      <w:r>
        <w:rPr>
          <w:rFonts w:ascii="David" w:hAnsi="David"/>
          <w:b/>
          <w:bCs/>
          <w:rtl/>
        </w:rPr>
        <w:t xml:space="preserve"> השכירות </w:t>
      </w:r>
      <w:r>
        <w:rPr>
          <w:rFonts w:ascii="David" w:hAnsi="David"/>
          <w:b/>
          <w:bCs/>
          <w:u w:val="single"/>
          <w:rtl/>
        </w:rPr>
        <w:t>ועל התנאי המתלה שנקבע ב</w:t>
      </w:r>
      <w:r>
        <w:rPr>
          <w:rFonts w:ascii="David" w:hAnsi="David"/>
          <w:b/>
          <w:bCs/>
          <w:rtl/>
        </w:rPr>
        <w:t>ו, ומאשרים כי הסכם השכירות בינינו תקף באופן מלא ואינו מותלה ואין ולא תהינה לנו כל דרישה או טענה כלפיכם בעתיד בקשר עם האמור בסעיף 25.1 הנ"ל.</w:t>
      </w:r>
    </w:p>
    <w:p w:rsidR="00CD2861" w:rsidRDefault="00CD2861" w:rsidP="00CD2861">
      <w:pPr>
        <w:spacing w:line="276" w:lineRule="auto"/>
        <w:ind w:left="720" w:right="720"/>
        <w:jc w:val="both"/>
        <w:rPr>
          <w:rFonts w:ascii="Garamond" w:hAnsi="Garamond"/>
          <w:rtl/>
        </w:rPr>
      </w:pPr>
      <w:r>
        <w:rPr>
          <w:rFonts w:ascii="David" w:hAnsi="David"/>
          <w:b/>
          <w:bCs/>
          <w:rtl/>
        </w:rPr>
        <w:t>כן אנו מאשרים כי המושכר הועמד לידינו לצורך ביצוע עבודות השוכר ביום..."</w:t>
      </w:r>
      <w:r>
        <w:rPr>
          <w:rtl/>
        </w:rPr>
        <w:t>.</w:t>
      </w:r>
    </w:p>
    <w:p w:rsidR="00CD2861" w:rsidRDefault="00CD2861" w:rsidP="00CD2861">
      <w:pPr>
        <w:spacing w:line="360" w:lineRule="auto"/>
        <w:jc w:val="both"/>
        <w:rPr>
          <w:rFonts w:ascii="David" w:hAnsi="David"/>
          <w:rtl/>
        </w:rPr>
      </w:pPr>
    </w:p>
    <w:p w:rsidR="00CD2861" w:rsidRDefault="00CD2861" w:rsidP="00CD2861">
      <w:pPr>
        <w:spacing w:line="276" w:lineRule="auto"/>
        <w:ind w:left="-58"/>
        <w:jc w:val="both"/>
        <w:rPr>
          <w:rFonts w:ascii="David" w:hAnsi="David"/>
          <w:b/>
          <w:bCs/>
          <w:u w:val="single"/>
        </w:rPr>
      </w:pPr>
      <w:r>
        <w:rPr>
          <w:rFonts w:ascii="David" w:hAnsi="David"/>
          <w:b/>
          <w:bCs/>
          <w:u w:val="single"/>
          <w:rtl/>
        </w:rPr>
        <w:t xml:space="preserve">תמצית טענות הצדדים בסיכומיהם </w:t>
      </w:r>
    </w:p>
    <w:p w:rsidR="00CD2861" w:rsidRDefault="00CD2861" w:rsidP="00CD2861">
      <w:pPr>
        <w:spacing w:line="276" w:lineRule="auto"/>
        <w:ind w:left="-58"/>
        <w:jc w:val="both"/>
        <w:rPr>
          <w:rFonts w:ascii="David" w:hAnsi="David"/>
          <w:b/>
          <w:bCs/>
          <w:u w:val="single"/>
          <w:rtl/>
        </w:rPr>
      </w:pPr>
    </w:p>
    <w:p w:rsidR="00CD2861" w:rsidRDefault="00CD2861" w:rsidP="00CD2861">
      <w:pPr>
        <w:pStyle w:val="af"/>
        <w:numPr>
          <w:ilvl w:val="0"/>
          <w:numId w:val="2"/>
        </w:numPr>
        <w:spacing w:before="0" w:after="0" w:line="360" w:lineRule="auto"/>
        <w:ind w:left="509" w:hanging="567"/>
        <w:jc w:val="both"/>
        <w:rPr>
          <w:rFonts w:ascii="David" w:hAnsi="David"/>
          <w:b/>
          <w:bCs/>
          <w:rtl/>
        </w:rPr>
      </w:pPr>
      <w:r>
        <w:rPr>
          <w:rFonts w:ascii="David" w:hAnsi="David"/>
          <w:rtl/>
        </w:rPr>
        <w:t xml:space="preserve">ראשית ייאמר כי אין מחלוקת שהסכם השכירות נכנס לתוקפו חרף התנאי המתלה. המשביר לא ביקשה לאיין את הסכם השכירות בטענות הנוגעות לתנאי המתלה, והיא מפעילה למעלה מעשור את החנות במושכר (פרוטוקול הדיון מיום 6.3.2023). </w:t>
      </w:r>
    </w:p>
    <w:p w:rsidR="00CD2861" w:rsidRDefault="00CD2861" w:rsidP="00CD2861">
      <w:pPr>
        <w:spacing w:line="276" w:lineRule="auto"/>
        <w:ind w:left="-58"/>
        <w:jc w:val="both"/>
        <w:rPr>
          <w:rFonts w:ascii="David" w:hAnsi="David"/>
          <w:b/>
          <w:bCs/>
          <w:u w:val="single"/>
        </w:rPr>
      </w:pPr>
    </w:p>
    <w:p w:rsidR="00CD2861" w:rsidRDefault="00CD2861" w:rsidP="00CD2861">
      <w:pPr>
        <w:spacing w:line="276" w:lineRule="auto"/>
        <w:ind w:left="-58"/>
        <w:jc w:val="both"/>
        <w:rPr>
          <w:rFonts w:ascii="David" w:hAnsi="David"/>
          <w:u w:val="single"/>
          <w:rtl/>
        </w:rPr>
      </w:pPr>
      <w:r>
        <w:rPr>
          <w:rFonts w:ascii="David" w:hAnsi="David"/>
          <w:u w:val="single"/>
          <w:rtl/>
        </w:rPr>
        <w:t>עיקרי טענות המשביר (התובעת שכנגד)</w:t>
      </w:r>
    </w:p>
    <w:p w:rsidR="00CD2861" w:rsidRDefault="00CD2861" w:rsidP="00CD2861">
      <w:pPr>
        <w:spacing w:line="276" w:lineRule="auto"/>
        <w:ind w:left="-58"/>
        <w:jc w:val="both"/>
        <w:rPr>
          <w:rFonts w:ascii="David" w:hAnsi="David"/>
          <w:b/>
          <w:bCs/>
          <w:u w:val="single"/>
          <w:rtl/>
        </w:rPr>
      </w:pPr>
    </w:p>
    <w:p w:rsidR="00CD2861" w:rsidRDefault="00CD2861" w:rsidP="006C7314">
      <w:pPr>
        <w:pStyle w:val="af"/>
        <w:numPr>
          <w:ilvl w:val="0"/>
          <w:numId w:val="2"/>
        </w:numPr>
        <w:spacing w:before="0" w:after="0" w:line="360" w:lineRule="auto"/>
        <w:ind w:left="509" w:hanging="567"/>
        <w:jc w:val="both"/>
        <w:rPr>
          <w:rFonts w:ascii="David" w:hAnsi="David"/>
          <w:rtl/>
        </w:rPr>
      </w:pPr>
      <w:r>
        <w:rPr>
          <w:rFonts w:ascii="David" w:hAnsi="David"/>
          <w:rtl/>
        </w:rPr>
        <w:t xml:space="preserve">לטענת המשביר, תביעה זו "אינה נוגעת כלל ועיקר לשאלה מהו שטח המושכר" שכן לשיטתה, אין מחלוקת ששטח המושכר קטן מהמצג בדבר 5,600 מ"ר כפי שגם הסכים לשיטתה ב"כ הנתבעות בדיון מיום 6.3.2023. אף בכתב ההגנה התיימרו הנתבעות </w:t>
      </w:r>
      <w:r w:rsidR="006C7314">
        <w:rPr>
          <w:rFonts w:ascii="David" w:hAnsi="David" w:hint="cs"/>
          <w:rtl/>
        </w:rPr>
        <w:t xml:space="preserve">שכנגד </w:t>
      </w:r>
      <w:r>
        <w:rPr>
          <w:rFonts w:ascii="David" w:hAnsi="David"/>
          <w:rtl/>
        </w:rPr>
        <w:t xml:space="preserve">להיבנות מהיתר הבניה בלבד ולא הכחישו את העובדה שהמושכר אינו כולל שטח של 5,600 מ"ר; ובתצהירי הנתבעות </w:t>
      </w:r>
      <w:r w:rsidR="006C7314">
        <w:rPr>
          <w:rFonts w:ascii="David" w:hAnsi="David" w:hint="cs"/>
          <w:rtl/>
        </w:rPr>
        <w:t xml:space="preserve">שכנגד </w:t>
      </w:r>
      <w:r>
        <w:rPr>
          <w:rFonts w:ascii="David" w:hAnsi="David"/>
          <w:rtl/>
        </w:rPr>
        <w:t>בתביעה העיקרית</w:t>
      </w:r>
      <w:r w:rsidR="006C7314">
        <w:rPr>
          <w:rFonts w:ascii="David" w:hAnsi="David" w:hint="cs"/>
          <w:rtl/>
        </w:rPr>
        <w:t>,</w:t>
      </w:r>
      <w:r>
        <w:rPr>
          <w:rFonts w:ascii="David" w:hAnsi="David"/>
          <w:rtl/>
        </w:rPr>
        <w:t xml:space="preserve"> הודו ה</w:t>
      </w:r>
      <w:r w:rsidR="006C7314">
        <w:rPr>
          <w:rFonts w:ascii="David" w:hAnsi="David" w:hint="cs"/>
          <w:rtl/>
        </w:rPr>
        <w:t>ן</w:t>
      </w:r>
      <w:r>
        <w:rPr>
          <w:rFonts w:ascii="David" w:hAnsi="David"/>
          <w:rtl/>
        </w:rPr>
        <w:t xml:space="preserve"> בכך. על כן, כך נטען, אין צורך במדידת שטחים (שאין חולק שלא הוגשה); הנתבעות </w:t>
      </w:r>
      <w:r w:rsidR="006C7314">
        <w:rPr>
          <w:rFonts w:ascii="David" w:hAnsi="David" w:hint="cs"/>
          <w:rtl/>
        </w:rPr>
        <w:t xml:space="preserve">שכנגד </w:t>
      </w:r>
      <w:r>
        <w:rPr>
          <w:rFonts w:ascii="David" w:hAnsi="David"/>
          <w:rtl/>
        </w:rPr>
        <w:t>אף מנועות מלטעון כל טענה בעניין, ואם דרושה מדידה יש לזקוף את העדרה לחובת</w:t>
      </w:r>
      <w:r w:rsidR="006C7314">
        <w:rPr>
          <w:rFonts w:ascii="David" w:hAnsi="David" w:hint="cs"/>
          <w:rtl/>
        </w:rPr>
        <w:t>ן</w:t>
      </w:r>
      <w:r>
        <w:rPr>
          <w:rFonts w:ascii="David" w:hAnsi="David"/>
          <w:rtl/>
        </w:rPr>
        <w:t xml:space="preserve">. </w:t>
      </w:r>
    </w:p>
    <w:p w:rsidR="00CD2861" w:rsidRDefault="00CD2861" w:rsidP="00CD2861">
      <w:pPr>
        <w:spacing w:line="360" w:lineRule="auto"/>
        <w:jc w:val="both"/>
        <w:rPr>
          <w:rFonts w:ascii="David" w:hAnsi="David"/>
        </w:rPr>
      </w:pPr>
    </w:p>
    <w:p w:rsidR="00CD2861" w:rsidRDefault="00CD2861" w:rsidP="006C7314">
      <w:pPr>
        <w:pStyle w:val="af"/>
        <w:numPr>
          <w:ilvl w:val="0"/>
          <w:numId w:val="2"/>
        </w:numPr>
        <w:spacing w:before="0" w:after="0" w:line="360" w:lineRule="auto"/>
        <w:ind w:left="509" w:hanging="567"/>
        <w:jc w:val="both"/>
        <w:rPr>
          <w:rFonts w:ascii="David" w:hAnsi="David"/>
        </w:rPr>
      </w:pPr>
      <w:r>
        <w:rPr>
          <w:rFonts w:ascii="David" w:hAnsi="David"/>
          <w:rtl/>
        </w:rPr>
        <w:lastRenderedPageBreak/>
        <w:t>המשביר טוענת כי מעולם לא ויתרה על המצג הנוגע לשטח המינימאלי של המושכר העומד על 5,600 מ"ר, וכי ב"מסמך השימושים" או "המכתב" כפי שכונה על ידה המסמך מיום 17.3.2011 - אין כדי לבסס ויתור כאמור. ראשית, פרשנות סעיף 25.1 להסכם השכירות ביחד עם מסמך זה מחייבת את המסקנה ש"שטח המושכר היה מצג עצמאי ונפרד" בבחינת "הנחת מוצא שעליה הושתת התנאי המתלה מלכתחילה". שנית, מתחייב הדבר מאומד דעת הצדדים בזמן אמת ובפרט מזה של הנתבעות</w:t>
      </w:r>
      <w:r w:rsidR="00040410">
        <w:rPr>
          <w:rFonts w:ascii="David" w:hAnsi="David" w:hint="cs"/>
          <w:rtl/>
        </w:rPr>
        <w:t xml:space="preserve"> שכנגד</w:t>
      </w:r>
      <w:r>
        <w:rPr>
          <w:rFonts w:ascii="David" w:hAnsi="David"/>
          <w:rtl/>
        </w:rPr>
        <w:t>, שלא שיערו כלל שמסמך זה מתיימר לוותר על מצג בעניין השטחים שעה שעדי הנתבעות ה"ה יורן ושופמן</w:t>
      </w:r>
      <w:r>
        <w:rPr>
          <w:rFonts w:ascii="David" w:hAnsi="David"/>
        </w:rPr>
        <w:t xml:space="preserve"> </w:t>
      </w:r>
      <w:r>
        <w:rPr>
          <w:rFonts w:ascii="David" w:hAnsi="David"/>
          <w:rtl/>
        </w:rPr>
        <w:t xml:space="preserve">האמינו במועדים הרלבנטיים, ועדיין מאמינים, ששטח המושכר הוא 5,600 מ"ר. </w:t>
      </w:r>
    </w:p>
    <w:p w:rsidR="00CD2861" w:rsidRDefault="00CD2861" w:rsidP="00CD2861">
      <w:pPr>
        <w:spacing w:line="360" w:lineRule="auto"/>
        <w:jc w:val="both"/>
        <w:rPr>
          <w:rFonts w:ascii="David" w:hAnsi="David"/>
        </w:rPr>
      </w:pPr>
    </w:p>
    <w:p w:rsidR="00CD2861" w:rsidRDefault="00CD2861" w:rsidP="00040410">
      <w:pPr>
        <w:pStyle w:val="af"/>
        <w:numPr>
          <w:ilvl w:val="0"/>
          <w:numId w:val="2"/>
        </w:numPr>
        <w:spacing w:before="0" w:after="0" w:line="360" w:lineRule="auto"/>
        <w:ind w:left="509" w:hanging="567"/>
        <w:jc w:val="both"/>
        <w:rPr>
          <w:rFonts w:ascii="David" w:hAnsi="David"/>
          <w:rtl/>
        </w:rPr>
      </w:pPr>
      <w:r>
        <w:rPr>
          <w:rFonts w:ascii="David" w:hAnsi="David"/>
          <w:rtl/>
        </w:rPr>
        <w:t>לטענת המשביר, המסמך מיום 1</w:t>
      </w:r>
      <w:r w:rsidR="00040410">
        <w:rPr>
          <w:rFonts w:ascii="David" w:hAnsi="David" w:hint="cs"/>
          <w:rtl/>
        </w:rPr>
        <w:t>7</w:t>
      </w:r>
      <w:r>
        <w:rPr>
          <w:rFonts w:ascii="David" w:hAnsi="David"/>
          <w:rtl/>
        </w:rPr>
        <w:t>.3</w:t>
      </w:r>
      <w:r w:rsidR="00040410">
        <w:rPr>
          <w:rFonts w:ascii="David" w:hAnsi="David" w:hint="cs"/>
          <w:rtl/>
        </w:rPr>
        <w:t>.</w:t>
      </w:r>
      <w:r>
        <w:rPr>
          <w:rFonts w:ascii="David" w:hAnsi="David"/>
          <w:rtl/>
        </w:rPr>
        <w:t>2011 בא להסיר את הספק ביחס לכניסתו לתוקף של הסכם השכירות, תוך שסעיף 25.1 נותר כחלק מהמארג החוזי, ולא בוטל. ביטולו בכללותו, נעדר אחיזה בלשון המסמך שכן נקטו בלשון "ויתור" על זכות ולא "ביטול". כמו כן, רק לאחר שהועלתה על ידי המשביר טענה בעניין במכתב הדרישה מאוגוסט 2016 (נספח 7 לעו"ד קוק, להלן:</w:t>
      </w:r>
      <w:r>
        <w:rPr>
          <w:rFonts w:ascii="David" w:hAnsi="David"/>
          <w:b/>
          <w:bCs/>
          <w:rtl/>
        </w:rPr>
        <w:t xml:space="preserve"> מכתב הדרישה מאוגוסט 2016</w:t>
      </w:r>
      <w:r>
        <w:rPr>
          <w:rFonts w:ascii="David" w:hAnsi="David"/>
          <w:rtl/>
        </w:rPr>
        <w:t xml:space="preserve">) החל לפתע עו"ד כשר (במסגרת תצהיר שנתן בהליך אחר) להתייחס למסמך כאל תיקון להסכם השכירות. לטענת המשביר, הפרשנות היחידה המתקבלת על דעת היא שמסמך זה מהווה לכל היותר ויתור על טענות הנוגעות לשימוש שניתן לעשות בשטח המושכר, אך לא על המצג ביחס לשטח המושכר. נטען עוד כי גם אם ניתן להטיל ספק בפרשנותו, יש לזקוף את הספק לחובת המנסחת, אזו-ריט. </w:t>
      </w:r>
    </w:p>
    <w:p w:rsidR="00CD2861" w:rsidRDefault="00CD2861" w:rsidP="00CD2861">
      <w:pPr>
        <w:spacing w:line="360" w:lineRule="auto"/>
        <w:jc w:val="both"/>
        <w:rPr>
          <w:rFonts w:ascii="David" w:hAnsi="David"/>
        </w:rPr>
      </w:pPr>
    </w:p>
    <w:p w:rsidR="00CD2861" w:rsidRDefault="00CD2861" w:rsidP="00040410">
      <w:pPr>
        <w:pStyle w:val="af"/>
        <w:numPr>
          <w:ilvl w:val="0"/>
          <w:numId w:val="2"/>
        </w:numPr>
        <w:spacing w:before="0" w:after="0" w:line="360" w:lineRule="auto"/>
        <w:ind w:left="509" w:hanging="567"/>
        <w:jc w:val="both"/>
        <w:rPr>
          <w:rFonts w:ascii="David" w:hAnsi="David"/>
          <w:rtl/>
        </w:rPr>
      </w:pPr>
      <w:r>
        <w:rPr>
          <w:rFonts w:ascii="David" w:hAnsi="David"/>
          <w:rtl/>
        </w:rPr>
        <w:t xml:space="preserve">לחלופין, טוענת המשביר, </w:t>
      </w:r>
      <w:r w:rsidR="00040410">
        <w:rPr>
          <w:rFonts w:ascii="David" w:hAnsi="David" w:hint="cs"/>
          <w:rtl/>
        </w:rPr>
        <w:t xml:space="preserve">כי </w:t>
      </w:r>
      <w:r>
        <w:rPr>
          <w:rFonts w:ascii="David" w:hAnsi="David"/>
          <w:rtl/>
        </w:rPr>
        <w:t>גם אם נניח שהיה במסמך זה כדי ללמד על ויתור, הוכח שהוא "</w:t>
      </w:r>
      <w:r>
        <w:rPr>
          <w:rFonts w:ascii="David" w:hAnsi="David"/>
          <w:b/>
          <w:bCs/>
          <w:rtl/>
        </w:rPr>
        <w:t>הושג בהטעיה מכוונת, זדונית וביודעין ולכל הפחות בחוסר תום לב-רבתי</w:t>
      </w:r>
      <w:r>
        <w:rPr>
          <w:rFonts w:ascii="David" w:hAnsi="David"/>
          <w:rtl/>
        </w:rPr>
        <w:t>". הדבר נלמד לפי הטענה מהתכתובת הפנימית של הנתבעות שלא הובאה לידיעת המשביר אלא במסגרת הליך זה, מן הנוסח "הפתלתל" של המסמך, מכך שמי מהעדים לא יכול היה להעיד שהדברים כהוויתם הובאו לידיעת המשביר. לטענת המשביר, גם נסיבות חתימת המסמך מחזקות את חוסר תום הלב וטענתה שהולכה שולל. כך, המסמך חתום על ידי חסאן, ואילו אזו-ריט אינה חתומה עליו. אף חתום עליו רק חסאן, הגם שהסכם השכירות לא נחתם על ידו לבד "אף, שהיה המוציא והמביא העיקרי מטעם המשביר". כמו כן, לגרסתו של חסאן, המסמך הובא לחתימתו ב"שטח" והוא נדחק לפינה עד שחתם עליו, והוסיף עליו עוד בכתב ידו. עם זאת, מדגישה המשביר כי כיוון שההסכם מקוים מעם פתיחת הסניף בכיכר ציון לפני כ- 14 שנים, "</w:t>
      </w:r>
      <w:r>
        <w:rPr>
          <w:rFonts w:ascii="David" w:hAnsi="David"/>
          <w:b/>
          <w:bCs/>
          <w:rtl/>
        </w:rPr>
        <w:t>אין המשביר מתעכבת על משמעות החתימה לעניין תוקפו של המכתב (שכן ממילא התייתר התנאי המתלה בפועל). אולם בכך אין כדי להכשיר את השרץ ובהכרח יש בכך כדי ללמוד על הילוכן של הנתבעות שכנגד</w:t>
      </w:r>
      <w:r>
        <w:rPr>
          <w:rFonts w:ascii="David" w:hAnsi="David"/>
          <w:rtl/>
        </w:rPr>
        <w:t xml:space="preserve">" (סעיף 78). לטענתה, לנתבעות </w:t>
      </w:r>
      <w:r w:rsidR="00040410">
        <w:rPr>
          <w:rFonts w:ascii="David" w:hAnsi="David" w:hint="cs"/>
          <w:rtl/>
        </w:rPr>
        <w:t xml:space="preserve">שכנגד </w:t>
      </w:r>
      <w:r>
        <w:rPr>
          <w:rFonts w:ascii="David" w:hAnsi="David"/>
          <w:rtl/>
        </w:rPr>
        <w:t>היה אינטרס מובהק להסתיר ממנה את המידע, כדי למנוע את ביטולו של הסכם השכירות או כדי להימנע ממשא ומתן בנוגע לדמי השכירות, שכן שטח המושכר היה פרמטר מובהק בקביעת</w:t>
      </w:r>
      <w:r w:rsidR="00040410">
        <w:rPr>
          <w:rFonts w:ascii="David" w:hAnsi="David" w:hint="cs"/>
          <w:rtl/>
        </w:rPr>
        <w:t>ם</w:t>
      </w:r>
      <w:r>
        <w:rPr>
          <w:rFonts w:ascii="David" w:hAnsi="David"/>
          <w:rtl/>
        </w:rPr>
        <w:t xml:space="preserve">.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lastRenderedPageBreak/>
        <w:t xml:space="preserve">לטענת המשביר, אין בסיס לטענות בדבר ידיעתה לגבי שטח המושכר, וממילא אין בכך כדי לשנות דבר. איש לא הביא לידיעתה את התכתובת הפנימית על הספק שהתעורר ביחס "להתקיימות מצג השטח", והנתבעות </w:t>
      </w:r>
      <w:r w:rsidR="00040410">
        <w:rPr>
          <w:rFonts w:ascii="David" w:hAnsi="David" w:hint="cs"/>
          <w:rtl/>
        </w:rPr>
        <w:t xml:space="preserve">שכנגד </w:t>
      </w:r>
      <w:r>
        <w:rPr>
          <w:rFonts w:ascii="David" w:hAnsi="David"/>
          <w:rtl/>
        </w:rPr>
        <w:t>מנועות מלהיבנות ממשלוח היתר הבניה שכן אינן חולקות על כך ששטח המושכר קטן מ- 5,600 מ"ר. גם מעורבות המשביר בבניה אינה מלמדת על ידיעה, כך נטען, שכן המידע ביחס לתכנון המושכר ומידותיו היה בשליטה מלאה של אזו-ריט, שאחרת לא הייתה צריכה להעביר בקשות והיתרים. המשביר לא ישנה על זכויותיה ולא גילתה דעתה כי היא מוותרת של זכויותיה. התחוור לה החסר רק מקץ כ- 5 שנים לאחר כניסתה למושכר כעולה ממכתב הדרישה הנזכר לעיל.</w:t>
      </w:r>
    </w:p>
    <w:p w:rsidR="00CD2861" w:rsidRDefault="00CD2861" w:rsidP="00CD2861">
      <w:pPr>
        <w:pStyle w:val="af"/>
        <w:rPr>
          <w:rFonts w:ascii="David" w:hAnsi="David"/>
        </w:rPr>
      </w:pPr>
    </w:p>
    <w:p w:rsidR="00CD2861" w:rsidRDefault="00CD2861" w:rsidP="00040410">
      <w:pPr>
        <w:pStyle w:val="af"/>
        <w:numPr>
          <w:ilvl w:val="0"/>
          <w:numId w:val="2"/>
        </w:numPr>
        <w:spacing w:before="0" w:after="0" w:line="360" w:lineRule="auto"/>
        <w:ind w:left="509" w:hanging="567"/>
        <w:jc w:val="both"/>
        <w:rPr>
          <w:rFonts w:ascii="David" w:hAnsi="David"/>
          <w:rtl/>
        </w:rPr>
      </w:pPr>
      <w:r>
        <w:rPr>
          <w:rFonts w:ascii="David" w:hAnsi="David"/>
          <w:rtl/>
        </w:rPr>
        <w:t>לטענת המשביר, היא זכאית לאור האמור לבצע התאמה בדמי השכירות בין כפיצויים בגין הפרת הסכם לפי סעיף 10 לחוק החוזים (תרופות) בין לפי סעיף 14(ג) לחוק החוזים (חלק כללי), ובין כסעד בגין הפרת חובת תום הלב או כהשבה לפי חוק עשיית עושר ולא במשפט. אשר לגובה הפיצוי: נטען כי גם אם דמי השכירות אינם במנגנון של סכום למ"ר, לשטח המושכר יש השפעה על גובה דמי השכירות. לפיכך, מתחייבת לעמדת המשביר, אומדנא, שמביאה בחשבון "[ש]את חוסר היכולת של המשביר לכמת את הפער – יש לזקוף לחובת אזו-ריט, אשר לו הייתה מגלה את דבר הפער בשטחים במועד או לכל הפחות את החשש שקיים פער כאמור על מנת שתתבצע מדידה בזמן אמת, ניתן היה מלכתחילה לשום מחדש את דמי השכירות". נטען כי הזכות להביא נתונים מדויקים נשללה מהמשביר ע"י אזו-ריט (סעיף 88); וכי נשללה ממנה גם הזכות לנהל מו"מ בזמן אמת (סעיף 89). בית המשפט התבקש לעשות אחד מאלה: (1)</w:t>
      </w:r>
      <w:r>
        <w:rPr>
          <w:rFonts w:ascii="David" w:hAnsi="David"/>
        </w:rPr>
        <w:t xml:space="preserve"> </w:t>
      </w:r>
      <w:r>
        <w:rPr>
          <w:rFonts w:ascii="David" w:hAnsi="David"/>
          <w:rtl/>
        </w:rPr>
        <w:t>להסתמך על יחס של מ"ר לש"ח במצב הנוכחי (כ- 11.5 מליון ₪) או (2) לגזור את היחס של מ"ר לש"ח מהפער עבור הגדלת המושכר מ- 4000 מ"ר ל- 5,600 מ"ר בשלב המשא ומתן בין הצדדים טרם חתימת ההסכם (כ- 2.5 מיליון ₪).</w:t>
      </w:r>
    </w:p>
    <w:p w:rsidR="00CD2861" w:rsidRDefault="00CD2861" w:rsidP="00CD2861">
      <w:pPr>
        <w:spacing w:line="276" w:lineRule="auto"/>
        <w:ind w:left="-58"/>
        <w:jc w:val="both"/>
        <w:rPr>
          <w:rFonts w:ascii="David" w:hAnsi="David"/>
          <w:u w:val="single"/>
          <w:rtl/>
        </w:rPr>
      </w:pPr>
    </w:p>
    <w:p w:rsidR="00CD2861" w:rsidRDefault="00CD2861" w:rsidP="00CD2861">
      <w:pPr>
        <w:spacing w:line="276" w:lineRule="auto"/>
        <w:ind w:left="-58"/>
        <w:jc w:val="both"/>
        <w:rPr>
          <w:rFonts w:ascii="David" w:hAnsi="David"/>
          <w:u w:val="single"/>
          <w:rtl/>
        </w:rPr>
      </w:pPr>
      <w:r>
        <w:rPr>
          <w:rFonts w:ascii="David" w:hAnsi="David"/>
          <w:u w:val="single"/>
          <w:rtl/>
        </w:rPr>
        <w:t>תמצית טענות אזו-ריט ומליסרון (הנתבעות שכנגד)</w:t>
      </w:r>
    </w:p>
    <w:p w:rsidR="00CD2861" w:rsidRDefault="00CD2861" w:rsidP="00CD2861">
      <w:pPr>
        <w:spacing w:line="276" w:lineRule="auto"/>
        <w:jc w:val="both"/>
        <w:rPr>
          <w:rFonts w:ascii="David" w:hAnsi="David"/>
        </w:rPr>
      </w:pPr>
    </w:p>
    <w:p w:rsidR="00CD2861" w:rsidRDefault="00CD2861" w:rsidP="00040410">
      <w:pPr>
        <w:pStyle w:val="af"/>
        <w:numPr>
          <w:ilvl w:val="0"/>
          <w:numId w:val="2"/>
        </w:numPr>
        <w:spacing w:before="0" w:after="0" w:line="360" w:lineRule="auto"/>
        <w:ind w:left="509" w:hanging="567"/>
        <w:jc w:val="both"/>
        <w:rPr>
          <w:rFonts w:ascii="David" w:hAnsi="David"/>
          <w:rtl/>
        </w:rPr>
      </w:pPr>
      <w:r>
        <w:rPr>
          <w:rFonts w:ascii="David" w:hAnsi="David"/>
          <w:rtl/>
        </w:rPr>
        <w:t>לטענת הנתבעות שכנגד, המשביר ויתרה על הוראות סעיף 25.1 להסכם השכירות, לרבות התנאי המתלה שבו, וזהו הסעיף היחיד בהסכם השכירות שבו אוזכר השטח. המשביר הודתה בכתב התביעה במפורש כי היא "</w:t>
      </w:r>
      <w:r>
        <w:rPr>
          <w:rFonts w:ascii="David" w:hAnsi="David"/>
          <w:b/>
          <w:bCs/>
          <w:rtl/>
        </w:rPr>
        <w:t>הסכימה לוותר על הוראות סעיף 25.1 להסכם</w:t>
      </w:r>
      <w:r>
        <w:rPr>
          <w:rFonts w:ascii="David" w:hAnsi="David"/>
          <w:rtl/>
        </w:rPr>
        <w:t>". הוויתור נעשה גם בהתנהגות וגם בכתב. בהתנהגות - אף שהמשביר ידעה מהו שטח המושכר היא הכירה בחובתה לשלם את מלוא דמי השכירות לפי ההסכם. עובדה זו וגם הודאת בעל דין מפי עו"ד קוק במסגרת הליך אחר בין הצדדים לגבי המושכר כנזכר להלן (בתצהיר שהגישה לאחר הגילוי הנטען ביחס לשטח המושכר בשנת 2016) מלמדת כי המשביר מחלה על הסעיף בהתנהגות אפילו לא הייתה מוחלת עליו בכתב. בכתב - לשון כתב הוויתור ברורה. הוויתור הוא על "</w:t>
      </w:r>
      <w:r>
        <w:rPr>
          <w:rFonts w:ascii="David" w:hAnsi="David"/>
          <w:b/>
          <w:bCs/>
          <w:u w:val="single"/>
          <w:rtl/>
        </w:rPr>
        <w:t>הוראות</w:t>
      </w:r>
      <w:r>
        <w:rPr>
          <w:rFonts w:ascii="David" w:hAnsi="David"/>
          <w:b/>
          <w:bCs/>
          <w:rtl/>
        </w:rPr>
        <w:t xml:space="preserve"> סעיף 25.1</w:t>
      </w:r>
      <w:r>
        <w:rPr>
          <w:rFonts w:ascii="David" w:hAnsi="David"/>
          <w:rtl/>
        </w:rPr>
        <w:t xml:space="preserve"> ..  </w:t>
      </w:r>
      <w:r>
        <w:rPr>
          <w:rFonts w:ascii="David" w:hAnsi="David"/>
          <w:b/>
          <w:bCs/>
          <w:u w:val="single"/>
          <w:rtl/>
        </w:rPr>
        <w:t>ו</w:t>
      </w:r>
      <w:r>
        <w:rPr>
          <w:rFonts w:ascii="David" w:hAnsi="David"/>
          <w:b/>
          <w:bCs/>
          <w:rtl/>
        </w:rPr>
        <w:t>על התנאי המתלה</w:t>
      </w:r>
      <w:r>
        <w:rPr>
          <w:rFonts w:ascii="David" w:hAnsi="David"/>
          <w:rtl/>
        </w:rPr>
        <w:t>" ועוד נכתב בכתב הוויתור כי "</w:t>
      </w:r>
      <w:r>
        <w:rPr>
          <w:rFonts w:ascii="David" w:hAnsi="David"/>
          <w:b/>
          <w:bCs/>
          <w:rtl/>
        </w:rPr>
        <w:t>אין ולא תהינה לכם דרישה או טענה כלפינו בעתיד בקשר עם האמור בסעיף 25.1</w:t>
      </w:r>
      <w:r>
        <w:rPr>
          <w:rFonts w:ascii="David" w:hAnsi="David"/>
          <w:rtl/>
        </w:rPr>
        <w:t xml:space="preserve">". יש לדחות את הטענה שהוויתור נגע רק לשימוש במושכר, טענה אשר כשלעצמה הועלתה לראשונה </w:t>
      </w:r>
      <w:r>
        <w:rPr>
          <w:rFonts w:ascii="David" w:hAnsi="David"/>
          <w:rtl/>
        </w:rPr>
        <w:lastRenderedPageBreak/>
        <w:t xml:space="preserve">בסיכומים ומהווה שינוי חזית אסור. </w:t>
      </w:r>
      <w:r w:rsidR="00040410">
        <w:rPr>
          <w:rFonts w:ascii="David" w:hAnsi="David" w:hint="cs"/>
          <w:rtl/>
        </w:rPr>
        <w:t xml:space="preserve">כמו כן </w:t>
      </w:r>
      <w:r>
        <w:rPr>
          <w:rFonts w:ascii="David" w:hAnsi="David"/>
          <w:rtl/>
        </w:rPr>
        <w:t>בכתב התביעה נטען</w:t>
      </w:r>
      <w:r w:rsidR="00040410">
        <w:rPr>
          <w:rFonts w:ascii="David" w:hAnsi="David" w:hint="cs"/>
          <w:rtl/>
        </w:rPr>
        <w:t>,</w:t>
      </w:r>
      <w:r>
        <w:rPr>
          <w:rFonts w:ascii="David" w:hAnsi="David"/>
          <w:rtl/>
        </w:rPr>
        <w:t xml:space="preserve"> כי כתב הוויתור נוגע לסוגיית מועד קבלת החזקה (סעיף 27), דבר המצביע על כך שככל שעוד עורכי דין נכנסו לתמונה כך "הומצאו" טענות יצירתיות חדשות, שאף סותרות את קודמתן.</w:t>
      </w:r>
    </w:p>
    <w:p w:rsidR="00CD2861" w:rsidRDefault="00CD2861" w:rsidP="00CD2861">
      <w:pPr>
        <w:spacing w:line="360" w:lineRule="auto"/>
        <w:jc w:val="both"/>
        <w:rPr>
          <w:rFonts w:ascii="David" w:hAnsi="David"/>
        </w:rPr>
      </w:pPr>
    </w:p>
    <w:p w:rsidR="00CD2861" w:rsidRDefault="00CD2861" w:rsidP="00040410">
      <w:pPr>
        <w:pStyle w:val="af"/>
        <w:numPr>
          <w:ilvl w:val="0"/>
          <w:numId w:val="2"/>
        </w:numPr>
        <w:spacing w:before="0" w:after="0" w:line="360" w:lineRule="auto"/>
        <w:ind w:left="509" w:hanging="567"/>
        <w:jc w:val="both"/>
        <w:rPr>
          <w:rFonts w:ascii="David" w:hAnsi="David"/>
        </w:rPr>
      </w:pPr>
      <w:r>
        <w:rPr>
          <w:rFonts w:ascii="David" w:hAnsi="David"/>
          <w:rtl/>
        </w:rPr>
        <w:t xml:space="preserve">עוד טוענות הנתבעות </w:t>
      </w:r>
      <w:r w:rsidR="00040410">
        <w:rPr>
          <w:rFonts w:ascii="David" w:hAnsi="David" w:hint="cs"/>
          <w:rtl/>
        </w:rPr>
        <w:t xml:space="preserve">שכנגד </w:t>
      </w:r>
      <w:r>
        <w:rPr>
          <w:rFonts w:ascii="David" w:hAnsi="David"/>
          <w:rtl/>
        </w:rPr>
        <w:t>כי הטענה שמסמך הוויתור אינו מחייב בשל נסיבות החתימה או מהטעם שחתימתו של חסאן אינה מחייבת את המשביר, היא הרחבת חזית או שינוי חזית, וגם לגופה מופרכת. בתביעה שכנגד המשביר לא כפרה בתוקף המסמך או החתימה אלא טענה שהוויתור שם נוגע לסוגיית מועד קבלת החזקה, והמחלוקת היא על פרשנות היקף הוויתור בלבד. הודאת בעל דין בכתב על תוקף המסמך יש גם בדוא"ל עו"ד קוק מיום 18.8.2020 לעו"ד כשר שם ציינה כי "</w:t>
      </w:r>
      <w:r>
        <w:rPr>
          <w:rFonts w:ascii="David" w:hAnsi="David"/>
          <w:b/>
          <w:bCs/>
          <w:rtl/>
        </w:rPr>
        <w:t>אתה צודק ויתרנו על התנאי שהתלה את ההסכם לא ויתרנו על שטח המושכר...</w:t>
      </w:r>
      <w:r>
        <w:rPr>
          <w:rFonts w:ascii="David" w:hAnsi="David"/>
          <w:rtl/>
        </w:rPr>
        <w:t>". חתימתו של חסאן מחייבת את המשביר גם מכוח דוקטרינת הסמכות הנחזית.</w:t>
      </w:r>
    </w:p>
    <w:p w:rsidR="00CD2861" w:rsidRDefault="00CD2861" w:rsidP="00CD2861">
      <w:pPr>
        <w:spacing w:line="360" w:lineRule="auto"/>
        <w:jc w:val="both"/>
        <w:rPr>
          <w:rFonts w:ascii="David" w:hAnsi="David"/>
        </w:rPr>
      </w:pPr>
    </w:p>
    <w:p w:rsidR="00CD2861" w:rsidRDefault="00CD2861" w:rsidP="00040410">
      <w:pPr>
        <w:pStyle w:val="af"/>
        <w:numPr>
          <w:ilvl w:val="0"/>
          <w:numId w:val="2"/>
        </w:numPr>
        <w:spacing w:before="0" w:after="0" w:line="360" w:lineRule="auto"/>
        <w:ind w:left="509" w:hanging="567"/>
        <w:jc w:val="both"/>
        <w:rPr>
          <w:rFonts w:ascii="David" w:hAnsi="David"/>
        </w:rPr>
      </w:pPr>
      <w:r>
        <w:rPr>
          <w:rFonts w:ascii="David" w:hAnsi="David"/>
          <w:rtl/>
        </w:rPr>
        <w:t>בנוסף, לטענת הנתבעות</w:t>
      </w:r>
      <w:r w:rsidR="00040410">
        <w:rPr>
          <w:rFonts w:ascii="David" w:hAnsi="David" w:hint="cs"/>
          <w:rtl/>
        </w:rPr>
        <w:t xml:space="preserve"> שכנגד</w:t>
      </w:r>
      <w:r>
        <w:rPr>
          <w:rFonts w:ascii="David" w:hAnsi="David"/>
          <w:rtl/>
        </w:rPr>
        <w:t xml:space="preserve">, אין בסעיף 25.1 להסכם השכירות, לא כל שכן בשאר סעיפי ההסכם, התחייבות לספק מושכר בשטח מסוים, והגדרת המושכר מפנה לתשריט. ממילא דמי </w:t>
      </w:r>
      <w:r w:rsidR="00040410">
        <w:rPr>
          <w:rFonts w:ascii="David" w:hAnsi="David" w:hint="cs"/>
          <w:rtl/>
        </w:rPr>
        <w:t>ה</w:t>
      </w:r>
      <w:r>
        <w:rPr>
          <w:rFonts w:ascii="David" w:hAnsi="David"/>
          <w:rtl/>
        </w:rPr>
        <w:t>שכירות לפי ההסכם לא נגזרים משטח המושכר, אל</w:t>
      </w:r>
      <w:r w:rsidR="00040410">
        <w:rPr>
          <w:rFonts w:ascii="David" w:hAnsi="David" w:hint="cs"/>
          <w:rtl/>
        </w:rPr>
        <w:t>א</w:t>
      </w:r>
      <w:r>
        <w:rPr>
          <w:rFonts w:ascii="David" w:hAnsi="David"/>
          <w:rtl/>
        </w:rPr>
        <w:t xml:space="preserve"> נקבעו על פי הפדיון תוך קביעת דמי שכירות מינימאליים (כשלמעשה האחרונים הם דמי השכירות שנגבים לאורך השנים).</w:t>
      </w:r>
    </w:p>
    <w:p w:rsidR="00CD2861" w:rsidRDefault="00CD2861" w:rsidP="00CD2861">
      <w:pPr>
        <w:spacing w:line="360" w:lineRule="auto"/>
        <w:jc w:val="both"/>
        <w:rPr>
          <w:rFonts w:ascii="David" w:hAnsi="David"/>
        </w:rPr>
      </w:pPr>
    </w:p>
    <w:p w:rsidR="00CD2861" w:rsidRDefault="00CD2861" w:rsidP="00040410">
      <w:pPr>
        <w:pStyle w:val="af"/>
        <w:numPr>
          <w:ilvl w:val="0"/>
          <w:numId w:val="2"/>
        </w:numPr>
        <w:spacing w:before="0" w:after="0" w:line="360" w:lineRule="auto"/>
        <w:ind w:left="509" w:hanging="567"/>
        <w:jc w:val="both"/>
        <w:rPr>
          <w:rFonts w:ascii="David" w:hAnsi="David"/>
        </w:rPr>
      </w:pPr>
      <w:r>
        <w:rPr>
          <w:rFonts w:ascii="David" w:hAnsi="David"/>
          <w:rtl/>
        </w:rPr>
        <w:t>המשביר מנועה מכוח דוקטרינת ההשתק השיפוטי מלטעון שדמי השכירות נגזרים משטח המושכר בשל הצהרה סותרת בהליכים אחרים. לפי טענת המשביר היא גילתה בשנת 2016 מהו גודל שטח המושכר (וראו גם מכתב הדרישה מאוגוסט 2016). בתצהיר עו"ד קוק שהוגש לבית המשפט בשנת 2017 בתא"ק 32011-07-17, הצהירה כי המשביר לא חולקת על חובתה לשלם דמי שכירות בהתאם לקבוע בהסכם השכירות. ההצהרה משנת 2017 מהווה הודאת בעל דין והסכמה כי הסכם השכירות על דמי השכירות הנקובים בו</w:t>
      </w:r>
      <w:r w:rsidR="00040410">
        <w:rPr>
          <w:rFonts w:ascii="David" w:hAnsi="David" w:hint="cs"/>
          <w:rtl/>
        </w:rPr>
        <w:t>,</w:t>
      </w:r>
      <w:r>
        <w:rPr>
          <w:rFonts w:ascii="David" w:hAnsi="David"/>
          <w:rtl/>
        </w:rPr>
        <w:t xml:space="preserve"> מחייב את המשביר.</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לטענת הנתבעות</w:t>
      </w:r>
      <w:r w:rsidR="00040410">
        <w:rPr>
          <w:rFonts w:ascii="David" w:hAnsi="David" w:hint="cs"/>
          <w:rtl/>
        </w:rPr>
        <w:t xml:space="preserve"> שכנגד</w:t>
      </w:r>
      <w:r>
        <w:rPr>
          <w:rFonts w:ascii="David" w:hAnsi="David"/>
          <w:rtl/>
        </w:rPr>
        <w:t>, המסד הראייתי מלמד שהמשביר ידעה מהו שטח המושכר כבר בשנת 2011. הוכח שקיבלה את דף היתר הבניה שבו צוין כי השטח הוא כ-4,763 מ"ר ביום 20.2.2011, טרם קבלת החזקה במושכר וכחודש וחצי טרם החתימה על כתב הוויתור. גם אם כטענתו של חסאן "יכול להיות שלא ראיתי את המספר" והוא לא שם לב לשטח הרשום בו (דבר שאינו הגיוני) קיום ההיתר בידו יוצר חזקת ידיעה. יתר על כן, כפי שהוכח, המשביר גם היתה מעורבת בהליכי הבניה ולא ניתן לקבל טענתה שלא הייתה מודעת לשטח המושכר. המשביר גם לא זימנה לעדות יועצים שונים שסייעו לה בתכנון המושכר שהיו מעידים כי לא מדדו את שטח המושכר, אילו הייתה זו אמת. היה בידה גם להמציא תעודת עובד ציבור ביחס למדידה משנת 2016. המשביר נמנעה מכך, ויש לזקוף זאת לחובתה.</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lastRenderedPageBreak/>
        <w:t>עוד טוענות הנתבעות</w:t>
      </w:r>
      <w:r w:rsidR="00040410">
        <w:rPr>
          <w:rFonts w:ascii="David" w:hAnsi="David" w:hint="cs"/>
          <w:rtl/>
        </w:rPr>
        <w:t xml:space="preserve"> שכנגד</w:t>
      </w:r>
      <w:r>
        <w:rPr>
          <w:rFonts w:ascii="David" w:hAnsi="David"/>
          <w:rtl/>
        </w:rPr>
        <w:t xml:space="preserve">, כי יש לתת את הדעת לחוסר האמינות של המצהירים מטעם המשביר שכבר עלתה בדיון בתביעה העיקרית, אך מצאה גם ביטוי בכל הקשור לתביעה שכנגד. בפרט אמורים הדברים ביחס לגרסתו של חסאן לגבי נסיבות החתימה. חוסר אמינות עדי המשביר בא לידי ביטוי, כך נטען, גם בגרסתם כי למשביר נודע לראשונה אודות גודל השטח רק בשנת 2016 בעקבות מדידה שבוצעה לצרכי ארנונה, אך למרות "הגילוי המרעיש" תיעוד בעניין זה לא נשמר ובכל מקרה, לא הוצג. </w:t>
      </w:r>
    </w:p>
    <w:p w:rsidR="00CD2861" w:rsidRDefault="00CD2861" w:rsidP="00CD2861">
      <w:pPr>
        <w:pStyle w:val="af"/>
        <w:rPr>
          <w:rFonts w:ascii="David" w:hAnsi="David"/>
        </w:rPr>
      </w:pPr>
    </w:p>
    <w:p w:rsidR="00CD2861" w:rsidRDefault="00CD2861" w:rsidP="00040410">
      <w:pPr>
        <w:pStyle w:val="af"/>
        <w:numPr>
          <w:ilvl w:val="0"/>
          <w:numId w:val="2"/>
        </w:numPr>
        <w:spacing w:before="0" w:after="0" w:line="360" w:lineRule="auto"/>
        <w:ind w:left="509" w:hanging="567"/>
        <w:jc w:val="both"/>
        <w:rPr>
          <w:rFonts w:ascii="David" w:hAnsi="David"/>
          <w:rtl/>
        </w:rPr>
      </w:pPr>
      <w:r>
        <w:rPr>
          <w:rFonts w:ascii="David" w:hAnsi="David"/>
          <w:rtl/>
        </w:rPr>
        <w:t xml:space="preserve">המדידה משנת 2016 לא הומצאה לנתבעות </w:t>
      </w:r>
      <w:r w:rsidR="00040410">
        <w:rPr>
          <w:rFonts w:ascii="David" w:hAnsi="David" w:hint="cs"/>
          <w:rtl/>
        </w:rPr>
        <w:t xml:space="preserve">שכנגד </w:t>
      </w:r>
      <w:r>
        <w:rPr>
          <w:rFonts w:ascii="David" w:hAnsi="David"/>
          <w:rtl/>
        </w:rPr>
        <w:t>במסגרת גילוי המסמכים ולא הוגשה עם ראיות המשביר. גם לא הוגשה כל מדידה אחרת. אף אילו היו ממציאים את המדידה, עדיין הייתה הטענה לא אמינה מהטעם הפשוט שארנונה שולמה גם בשנים 2011-2016 (כמו גם העובדה שהמושכר נבנה במיוחד בשבילה והיא הייתה שותפה מלאה לבנייתו). אולם המשביר החליטה, כך נטען, לבנות תזה של גילוי מפתיע סביב מדידה נטענת משנת 2016, כדי להצדיק את העלאת הטענה באיחור של שנים, לראשונה רק בשנת 2016, כדי להימנע מההשלכות של תשלום דמי שכירות ללא העלאת שמץ של טענה במשך 5 שנים; מהטעם שהתנהלות כאמור בהינתן שידעה מהו שטח המושכר, מייצרת השתק ומניעות ואף הסכמה לכ</w:t>
      </w:r>
      <w:r w:rsidR="00040410">
        <w:rPr>
          <w:rFonts w:ascii="David" w:hAnsi="David" w:hint="cs"/>
          <w:rtl/>
        </w:rPr>
        <w:t>ך</w:t>
      </w:r>
      <w:r>
        <w:rPr>
          <w:rFonts w:ascii="David" w:hAnsi="David"/>
          <w:rtl/>
        </w:rPr>
        <w:t xml:space="preserve"> שדמי השכירות לא נגזרים משטח המושכר ואף שיהוי ניכר.</w:t>
      </w:r>
    </w:p>
    <w:p w:rsidR="00CD2861" w:rsidRDefault="00CD2861" w:rsidP="00CD2861">
      <w:pPr>
        <w:spacing w:line="360" w:lineRule="auto"/>
        <w:jc w:val="both"/>
        <w:rPr>
          <w:rFonts w:ascii="David" w:hAnsi="David"/>
        </w:rPr>
      </w:pPr>
    </w:p>
    <w:p w:rsidR="00CD2861" w:rsidRDefault="00CD2861" w:rsidP="00040410">
      <w:pPr>
        <w:pStyle w:val="af"/>
        <w:numPr>
          <w:ilvl w:val="0"/>
          <w:numId w:val="2"/>
        </w:numPr>
        <w:spacing w:before="0" w:after="0" w:line="360" w:lineRule="auto"/>
        <w:ind w:left="509" w:hanging="567"/>
        <w:jc w:val="both"/>
        <w:rPr>
          <w:rFonts w:ascii="David" w:hAnsi="David"/>
          <w:rtl/>
        </w:rPr>
      </w:pPr>
      <w:r>
        <w:rPr>
          <w:rFonts w:ascii="David" w:hAnsi="David"/>
          <w:rtl/>
        </w:rPr>
        <w:t>עוד נטען כי המשביר לא הוכיחה את נזקה, ודי גם בכך כדי לדחות את התביעה שכנגד. לא הוכח מהו (לשיטתה) שטח המושכר לצורך תשלום דמי השכירות. המשביר אינה יכולה להסתמך על מדידה לצורכי ארנונה שנטען שבוצעה, וממילא לא הוצגה. אף הוכח באמצעות מר שופמן, עד הנתבעות</w:t>
      </w:r>
      <w:r w:rsidR="00040410">
        <w:rPr>
          <w:rFonts w:ascii="David" w:hAnsi="David" w:hint="cs"/>
          <w:rtl/>
        </w:rPr>
        <w:t xml:space="preserve"> שכנגד</w:t>
      </w:r>
      <w:r>
        <w:rPr>
          <w:rFonts w:ascii="David" w:hAnsi="David"/>
          <w:rtl/>
        </w:rPr>
        <w:t>, כי השטח לתשלום הוא 5,600 מ"ר, וזאת ללא קשר למכתב הוויתור שמחייב את המשביר. כמו כן, אין מקום לסעד על בסיס אומדנה, שכן היה בידי המשביר להמציא מדידה של המושכר, וא</w:t>
      </w:r>
      <w:r w:rsidR="00040410">
        <w:rPr>
          <w:rFonts w:ascii="David" w:hAnsi="David" w:hint="cs"/>
          <w:rtl/>
        </w:rPr>
        <w:t>ין</w:t>
      </w:r>
      <w:r>
        <w:rPr>
          <w:rFonts w:ascii="David" w:hAnsi="David"/>
          <w:rtl/>
        </w:rPr>
        <w:t xml:space="preserve"> יסוד לניסיון להעביר את נטל הוכחת השטח לנתבעות</w:t>
      </w:r>
      <w:r w:rsidR="00040410">
        <w:rPr>
          <w:rFonts w:ascii="David" w:hAnsi="David" w:hint="cs"/>
          <w:rtl/>
        </w:rPr>
        <w:t xml:space="preserve"> שכנגד</w:t>
      </w:r>
      <w:r>
        <w:rPr>
          <w:rFonts w:ascii="David" w:hAnsi="David"/>
          <w:rtl/>
        </w:rPr>
        <w:t>. נעוץ הדבר בפרשנות לא נכונה של דברי ב"כ הנתבעות לפרוטוקול הדיון ואף סילופם. אין להסיק משאמר כי הסכים ששטח המושכר אינו 5,600 מ"ר אלא אך שהסוגיה לדידו, לא רלבנטית. והראיה שהתייחס לכך שעל חברו להביא מודד אם הוא חפץ בכך. יתר על כן, המשביר לא שילמה דמי שכירות ביתר גם לפי שיטתה שלה, בהנחה שעבור 4,000 מ"ר התמחור 905,000 ₪, בעבור 5,600 התמחור 1,000,000 ₪, הרי שבעבור 4,800 מ"ר בקירוב, שהוא הממוצע בין שני השטחים אמור להיות התמחור הממוצע בין שני הסכומים, סביב 952,000 ₪.</w:t>
      </w:r>
    </w:p>
    <w:p w:rsidR="00CD2861" w:rsidRDefault="00CD2861" w:rsidP="00CD2861">
      <w:pPr>
        <w:spacing w:line="360" w:lineRule="auto"/>
        <w:jc w:val="both"/>
        <w:rPr>
          <w:rFonts w:ascii="David" w:hAnsi="David"/>
        </w:rPr>
      </w:pPr>
    </w:p>
    <w:p w:rsidR="00CD2861" w:rsidRDefault="00CD2861" w:rsidP="00CD2861">
      <w:pPr>
        <w:spacing w:line="276" w:lineRule="auto"/>
        <w:ind w:left="-58"/>
        <w:jc w:val="both"/>
        <w:rPr>
          <w:rFonts w:ascii="David" w:hAnsi="David"/>
          <w:b/>
          <w:bCs/>
          <w:u w:val="single"/>
        </w:rPr>
      </w:pPr>
      <w:r>
        <w:rPr>
          <w:rFonts w:ascii="David" w:hAnsi="David"/>
          <w:b/>
          <w:bCs/>
          <w:u w:val="single"/>
          <w:rtl/>
        </w:rPr>
        <w:t>דיון והכרעה – תביעת המשביר בגין דמי שכירות שנגבו ביתר</w:t>
      </w:r>
    </w:p>
    <w:p w:rsidR="00CD2861" w:rsidRDefault="00CD2861" w:rsidP="00CD2861">
      <w:pPr>
        <w:spacing w:line="276" w:lineRule="auto"/>
        <w:ind w:left="-58"/>
        <w:jc w:val="both"/>
        <w:rPr>
          <w:rFonts w:ascii="David" w:hAnsi="David"/>
          <w:b/>
          <w:bCs/>
          <w:u w:val="single"/>
          <w:rtl/>
        </w:rPr>
      </w:pPr>
    </w:p>
    <w:p w:rsidR="00CD2861" w:rsidRDefault="00CD2861" w:rsidP="00040410">
      <w:pPr>
        <w:pStyle w:val="af"/>
        <w:numPr>
          <w:ilvl w:val="0"/>
          <w:numId w:val="2"/>
        </w:numPr>
        <w:spacing w:before="0" w:after="0" w:line="360" w:lineRule="auto"/>
        <w:ind w:left="509" w:hanging="567"/>
        <w:jc w:val="both"/>
        <w:rPr>
          <w:rFonts w:ascii="David" w:hAnsi="David"/>
          <w:rtl/>
        </w:rPr>
      </w:pPr>
      <w:r>
        <w:rPr>
          <w:rFonts w:ascii="David" w:hAnsi="David"/>
          <w:rtl/>
        </w:rPr>
        <w:t>כאמור, לאחר שבחנתי את חומר הראיות שבתיק, סבורני כי דין התביעה שכנגד להידחות מהטעמים שיובאו להלן.</w:t>
      </w:r>
    </w:p>
    <w:p w:rsidR="00CD2861" w:rsidRDefault="00CD2861" w:rsidP="00CD2861">
      <w:pPr>
        <w:spacing w:line="360" w:lineRule="auto"/>
        <w:jc w:val="both"/>
        <w:rPr>
          <w:rFonts w:ascii="David" w:hAnsi="David"/>
        </w:rPr>
      </w:pPr>
    </w:p>
    <w:p w:rsidR="00CD2861" w:rsidRDefault="00CD2861" w:rsidP="00AF4724">
      <w:pPr>
        <w:pStyle w:val="af"/>
        <w:numPr>
          <w:ilvl w:val="0"/>
          <w:numId w:val="2"/>
        </w:numPr>
        <w:spacing w:before="0" w:after="0" w:line="360" w:lineRule="auto"/>
        <w:ind w:left="509" w:hanging="567"/>
        <w:jc w:val="both"/>
        <w:rPr>
          <w:rFonts w:ascii="David" w:hAnsi="David"/>
          <w:rtl/>
        </w:rPr>
      </w:pPr>
      <w:r>
        <w:rPr>
          <w:rFonts w:ascii="David" w:hAnsi="David"/>
          <w:rtl/>
        </w:rPr>
        <w:t>בפתח הדברים אציין כי התביעה שכנגד לא הוגשה כתביעה חלופית, למקרה שהתביעה העיקרית תתקבל; והמשביר לא טענה שהתביעה שכנגד מותנית בכך שטענותיה בתביעה העיקרית יידחו. מלכתחילה, בעת שהגישה המשביר את כתב ההגנה בתביעה העיקרית ואת התביעה שכנגד, לא היה בדבר פסול המזדקר לעין מתוך עיון בכתבי הטענות, שכן (כמפורט לעיל)</w:t>
      </w:r>
      <w:r>
        <w:rPr>
          <w:rFonts w:ascii="David" w:hAnsi="David"/>
        </w:rPr>
        <w:t xml:space="preserve"> </w:t>
      </w:r>
      <w:r>
        <w:rPr>
          <w:rFonts w:ascii="David" w:hAnsi="David"/>
          <w:rtl/>
        </w:rPr>
        <w:t xml:space="preserve">בכתב ההגנה טענה המשביר שלא הסכימה לוותר על טענותיה בעניין השטח. אולם נוכח הגרסה הסופית של המשביר בתביעה העיקרית, כי המשביר הסכימה גם לתנאי הוויתור (כפי </w:t>
      </w:r>
      <w:r w:rsidR="00AF4724">
        <w:rPr>
          <w:rFonts w:ascii="David" w:hAnsi="David" w:hint="cs"/>
          <w:rtl/>
        </w:rPr>
        <w:t>ש</w:t>
      </w:r>
      <w:r>
        <w:rPr>
          <w:rFonts w:ascii="David" w:hAnsi="David"/>
          <w:rtl/>
        </w:rPr>
        <w:t>תיארתי בהרחבה), פשיטא שאין הדברים יכולים לדור בכפיפה אחת. ואולם המשביר לא מצאה כל קושי בהעלאת טענותיה הסותרות במקביל, בסיכומיה בתביעה העיקרית ובסיכומיה בתביעה שכנגד. את סיכומיה בתביעה שכנגד ערכה כאילו אין עומדת על הפרק התביעה העיקרית ואת סיכומיה בתביעה העיקרית ערכה כאילו לא הגישה תביעה שכנגד. הכל כאילו לא נשמעו העדים והובאו הראיות מטעמה באחת וכל חומר הראיות עומד לפני בית המשפט לצורך הכרעה בתביעה ובתביעה שכנגד. לדידה של המשביר, לא הייתה כל מניעה שתידחה תביעת אזו-ריט (משמע: תתקבל טענתה כי נכרת בין הצדדים הסכם בדמות סיכום 25.2.2021, הכולל גם את תנאי הוויתור, שאף קוים על ידה לשיטתה) ובד בבד תתקבל גם התביעה שכנגד, המבוססת כל כולה על טענה לשטח חסר. הסתירה ברורה, ולא היה מקום להתעלם מכך. ודוק: בטענה בעלמא כי יש להורות על אכיפת ההסכם ללא כל תנאי (כטענת המשביר בסיכומיה בתביעה העיקרית), אין די. סבורני כי עולה הדבר כדי העלאת טענות סותרות תוך שימוש לרעה בהליך המשפטי; וכי הגם שדחיתי את טענות המשביר בתביעה העיקרית, ניתן היה בנסיבות העניין לדחות את התביעה שכנגד כבר מטעם זה. עם זאת, שעה שהדברים לא נטענו ככאלה, אדרש לטענות הצדדים בתביעה שכנגד כמפורט לעיל, ולא אוסיף בעניין זה.</w:t>
      </w:r>
    </w:p>
    <w:p w:rsidR="00CD2861" w:rsidRDefault="00CD2861" w:rsidP="00CD2861">
      <w:pPr>
        <w:spacing w:line="360" w:lineRule="auto"/>
        <w:jc w:val="both"/>
        <w:rPr>
          <w:rFonts w:ascii="David" w:hAnsi="David"/>
        </w:rPr>
      </w:pPr>
    </w:p>
    <w:p w:rsidR="00CD2861" w:rsidRDefault="00CD2861" w:rsidP="00AF4724">
      <w:pPr>
        <w:pStyle w:val="af"/>
        <w:numPr>
          <w:ilvl w:val="0"/>
          <w:numId w:val="2"/>
        </w:numPr>
        <w:spacing w:before="0" w:after="0" w:line="360" w:lineRule="auto"/>
        <w:ind w:left="509" w:hanging="567"/>
        <w:jc w:val="both"/>
        <w:rPr>
          <w:rFonts w:ascii="David" w:hAnsi="David"/>
          <w:rtl/>
        </w:rPr>
      </w:pPr>
      <w:r>
        <w:rPr>
          <w:rFonts w:ascii="David" w:hAnsi="David"/>
          <w:rtl/>
        </w:rPr>
        <w:t>אזכיר תחילה כי לפי סעיף 25(א) לחוק החוזים (חלק כללי) "</w:t>
      </w:r>
      <w:r>
        <w:rPr>
          <w:rFonts w:ascii="David" w:hAnsi="David"/>
          <w:b/>
          <w:bCs/>
          <w:rtl/>
        </w:rPr>
        <w:t>חוזה יפורש לפי אומד דעתם של הצדדים, כפי שהוא משתמע מתוך החוזה ומנסיבות העניין, ואולם אם אומד דעתם של הצדדים משתמע במפורש מלשון החוזה, יפורש החוזה בהתאם ללשונו</w:t>
      </w:r>
      <w:r>
        <w:rPr>
          <w:rFonts w:ascii="David" w:hAnsi="David"/>
          <w:rtl/>
        </w:rPr>
        <w:t xml:space="preserve">". כפי שנקבע בהלכת </w:t>
      </w:r>
      <w:r>
        <w:rPr>
          <w:rFonts w:ascii="David" w:hAnsi="David"/>
          <w:b/>
          <w:bCs/>
          <w:rtl/>
        </w:rPr>
        <w:t xml:space="preserve">ביבי כבישים </w:t>
      </w:r>
      <w:r>
        <w:rPr>
          <w:rFonts w:ascii="David" w:hAnsi="David"/>
          <w:rtl/>
        </w:rPr>
        <w:t xml:space="preserve">(ע"א 7649/18 </w:t>
      </w:r>
      <w:r>
        <w:rPr>
          <w:rFonts w:ascii="David" w:hAnsi="David"/>
          <w:b/>
          <w:bCs/>
          <w:rtl/>
        </w:rPr>
        <w:t>ביבי כבישים עפר ופיתוח בע"מ נ' רכבת ישראל בע"מ</w:t>
      </w:r>
      <w:r>
        <w:rPr>
          <w:rFonts w:ascii="David" w:hAnsi="David"/>
          <w:rtl/>
        </w:rPr>
        <w:t xml:space="preserve"> (2019)), בענייננו אין חולק כי מדובר בצדדים עסקיים מנוסים ולהם גם ייעוץ משפטי (ראו למשל סעיף סעיף 27 לכתב התביעה שכנגד בו צוין כי המשביר היא שוכר בעל ניסיון רב בהשכרת מבנים מסחריים). על כן, משקל הבכורה הוא ללשון ההסכם. לשיטתו של כב' השופט שטיין לפנינו חוזה סגור בעל התניה מלאה ובמקרה זה "</w:t>
      </w:r>
      <w:r>
        <w:rPr>
          <w:rFonts w:ascii="David" w:hAnsi="David"/>
          <w:b/>
          <w:bCs/>
          <w:rtl/>
        </w:rPr>
        <w:t xml:space="preserve">שופט אשר בא להכריע במחלוקת לגבי משמעותם של תנאיו של חוזה סגור לא יעסוק אלא בקביעתן של עובדות החוזה. הווה אומר: השאלה היחידה שעליה יהא עליו לענות היא </w:t>
      </w:r>
      <w:r w:rsidR="00AF4724">
        <w:rPr>
          <w:rFonts w:ascii="David" w:hAnsi="David" w:hint="cs"/>
          <w:b/>
          <w:bCs/>
          <w:rtl/>
        </w:rPr>
        <w:t>'</w:t>
      </w:r>
      <w:r>
        <w:rPr>
          <w:rFonts w:ascii="David" w:hAnsi="David"/>
          <w:b/>
          <w:bCs/>
          <w:rtl/>
        </w:rPr>
        <w:t>מה הסכימו ביניהם הצדדים כעניין של עובד</w:t>
      </w:r>
      <w:r w:rsidR="00AF4724">
        <w:rPr>
          <w:rFonts w:ascii="David" w:hAnsi="David" w:hint="cs"/>
          <w:b/>
          <w:bCs/>
          <w:rtl/>
        </w:rPr>
        <w:t>ה</w:t>
      </w:r>
      <w:r>
        <w:rPr>
          <w:rFonts w:ascii="David" w:hAnsi="David"/>
          <w:b/>
          <w:bCs/>
          <w:rtl/>
        </w:rPr>
        <w:t>?</w:t>
      </w:r>
      <w:r w:rsidR="00AF4724">
        <w:rPr>
          <w:rFonts w:ascii="David" w:hAnsi="David" w:hint="cs"/>
          <w:rtl/>
        </w:rPr>
        <w:t>'</w:t>
      </w:r>
      <w:r>
        <w:rPr>
          <w:rFonts w:ascii="David" w:hAnsi="David"/>
          <w:rtl/>
        </w:rPr>
        <w:t>" (פסקה 14). כך גם לפי שיטתו של כב' השופט גרוסקופף, עסקינן בחוזה עסקי, שאז "</w:t>
      </w:r>
      <w:r>
        <w:rPr>
          <w:rFonts w:ascii="David" w:hAnsi="David"/>
          <w:b/>
          <w:bCs/>
          <w:rtl/>
        </w:rPr>
        <w:t xml:space="preserve">מתן מעמד מכריע ללשון החוזה מסייע ליצירת יציבות וודאות חוזית, שכן הוא מאפשר לצדדים </w:t>
      </w:r>
      <w:r>
        <w:rPr>
          <w:rFonts w:ascii="David" w:hAnsi="David"/>
          <w:b/>
          <w:bCs/>
          <w:rtl/>
        </w:rPr>
        <w:lastRenderedPageBreak/>
        <w:t>מתוחכמים ומיוצגים היטב מבחינה משפטית לעצב את ההתקשרות החוזית שלהם כרצונם</w:t>
      </w:r>
      <w:r>
        <w:rPr>
          <w:rFonts w:ascii="David" w:hAnsi="David"/>
          <w:rtl/>
        </w:rPr>
        <w:t>"</w:t>
      </w:r>
      <w:r>
        <w:rPr>
          <w:rFonts w:ascii="David" w:hAnsi="David"/>
          <w:b/>
          <w:bCs/>
          <w:rtl/>
        </w:rPr>
        <w:t xml:space="preserve"> </w:t>
      </w:r>
      <w:r>
        <w:rPr>
          <w:rFonts w:ascii="David" w:hAnsi="David"/>
          <w:rtl/>
        </w:rPr>
        <w:t xml:space="preserve">(פסקה 6).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המשביר טוענת כאמור, כי המסמך אינו מהווה ויתור על מצג שטח המושכר עצמו, ש"היה מצג עצמאי ונפרד" בבחינת "הנחת מוצא שעליה הושתת התנאי המתלה מלכתחילה"; וכי הפרשנות היחידה המתקבלת על הדעת היא שמדובר לכל היותר בוויתור על טענות הנוגעות לשימוש שניתן לעשות בשטח המושכר. כמו כן, סעיף 25.1 להסכם השכירות לא בוטל כליל או נמחק, אלא נותר כחלק ממארג סעיפי ההסכם. </w:t>
      </w:r>
    </w:p>
    <w:p w:rsidR="00CD2861" w:rsidRDefault="00CD2861" w:rsidP="00CD2861">
      <w:pPr>
        <w:spacing w:line="360" w:lineRule="auto"/>
        <w:jc w:val="both"/>
        <w:rPr>
          <w:rFonts w:ascii="David" w:hAnsi="David"/>
        </w:rPr>
      </w:pPr>
    </w:p>
    <w:p w:rsidR="00CD2861" w:rsidRDefault="00CD2861" w:rsidP="00AF4724">
      <w:pPr>
        <w:pStyle w:val="af"/>
        <w:numPr>
          <w:ilvl w:val="0"/>
          <w:numId w:val="2"/>
        </w:numPr>
        <w:spacing w:before="0" w:after="0" w:line="360" w:lineRule="auto"/>
        <w:ind w:left="509" w:hanging="567"/>
        <w:jc w:val="both"/>
        <w:rPr>
          <w:rFonts w:ascii="David" w:hAnsi="David"/>
        </w:rPr>
      </w:pPr>
      <w:r>
        <w:rPr>
          <w:rFonts w:ascii="David" w:hAnsi="David"/>
          <w:rtl/>
        </w:rPr>
        <w:t xml:space="preserve">סבורני כי פרשנות המשביר לכתב הוויתור (שאינה קוהרנטית כשלעצמה), אינה עולה בקנה אחד עם אומד דעת הצדדים כפי שהוא משתקף במפורש מהמסמך על פי לשונו הטבעית והברורה. פרשנות הנתבעות </w:t>
      </w:r>
      <w:r w:rsidR="00AF4724">
        <w:rPr>
          <w:rFonts w:ascii="David" w:hAnsi="David" w:hint="cs"/>
          <w:rtl/>
        </w:rPr>
        <w:t xml:space="preserve">שכנגד </w:t>
      </w:r>
      <w:r>
        <w:rPr>
          <w:rFonts w:ascii="David" w:hAnsi="David"/>
          <w:rtl/>
        </w:rPr>
        <w:t>גם מתיישבת יותר עם הוראות הסכם השכירות, כמו גם עם נסיבות חתימתו והשתלשלות האירועים טרם חתימתו. אף התנהלות הצדדים (והמשביר בפרט) לאחריו, מלמדת על האופן שבו ראו הצדדים את הדברים, כוויתור על מלוא התחייבויות אזו-ריט הגלומות בסעיף זה, וכוויתור על כל טענה הקשורה בו, לרבות ובפרט טענה אפשרית לחוסר בשטח. אציין כי לא ראיתי טעם או צורך להכריע בשאלה אם רואים את הסעיף כמבוטל או רק את ההתחייבויות הגלומות בו כמבוטלות. התוצאה בשני המקרים היא זהה. ארחיב להלן</w:t>
      </w:r>
      <w:r w:rsidR="00AF4724">
        <w:rPr>
          <w:rFonts w:ascii="David" w:hAnsi="David" w:hint="cs"/>
          <w:rtl/>
        </w:rPr>
        <w:t>.</w:t>
      </w:r>
    </w:p>
    <w:p w:rsidR="00CD2861" w:rsidRDefault="00CD2861" w:rsidP="00CD2861">
      <w:pPr>
        <w:pStyle w:val="af"/>
        <w:rPr>
          <w:rFonts w:ascii="David" w:hAnsi="David"/>
        </w:rPr>
      </w:pPr>
    </w:p>
    <w:p w:rsidR="00CD2861" w:rsidRDefault="00CD2861" w:rsidP="00CD2861">
      <w:pPr>
        <w:spacing w:line="276" w:lineRule="auto"/>
        <w:ind w:left="-58"/>
        <w:jc w:val="both"/>
        <w:rPr>
          <w:rFonts w:ascii="David" w:hAnsi="David"/>
          <w:u w:val="single"/>
          <w:rtl/>
        </w:rPr>
      </w:pPr>
      <w:r>
        <w:rPr>
          <w:rFonts w:ascii="David" w:hAnsi="David"/>
          <w:u w:val="single"/>
          <w:rtl/>
        </w:rPr>
        <w:t>לשון כתב הוויתור וההסכם</w:t>
      </w:r>
    </w:p>
    <w:p w:rsidR="00AF4724" w:rsidRDefault="00AF4724" w:rsidP="00AF4724">
      <w:pPr>
        <w:spacing w:line="276" w:lineRule="auto"/>
        <w:ind w:left="-58"/>
        <w:jc w:val="both"/>
        <w:rPr>
          <w:rFonts w:ascii="David" w:hAnsi="David"/>
          <w:u w:val="single"/>
          <w:rtl/>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תחילה, כמצוות הדין, אפנה ללשון כתב וויתור. מעיון במסמך זה עולה כי לפי לשונו המשביר ויתרה על התנאי המתלה שנקבע בסעיף 25.1 להסכם השכירות, ואישרה כי הסכם השכירות בתוקף ואינו מותלה (על כך אין מחלוקת), אך לא רק זאת. </w:t>
      </w:r>
      <w:r>
        <w:rPr>
          <w:rFonts w:ascii="David" w:hAnsi="David"/>
          <w:u w:val="single"/>
          <w:rtl/>
        </w:rPr>
        <w:t>בנוסף</w:t>
      </w:r>
      <w:r>
        <w:rPr>
          <w:rFonts w:ascii="David" w:hAnsi="David"/>
          <w:rtl/>
        </w:rPr>
        <w:t>, אף זאת לפי לשונו הברורה של המסמך, גם ויתרה המשביר על "</w:t>
      </w:r>
      <w:r>
        <w:rPr>
          <w:rFonts w:ascii="David" w:hAnsi="David"/>
          <w:b/>
          <w:bCs/>
          <w:rtl/>
        </w:rPr>
        <w:t>הוראות סעיף 25.1</w:t>
      </w:r>
      <w:r>
        <w:rPr>
          <w:rFonts w:ascii="David" w:hAnsi="David"/>
          <w:rtl/>
        </w:rPr>
        <w:t>" (</w:t>
      </w:r>
      <w:r>
        <w:rPr>
          <w:rFonts w:ascii="David" w:hAnsi="David"/>
          <w:b/>
          <w:bCs/>
          <w:rtl/>
        </w:rPr>
        <w:t xml:space="preserve">אנו מאשרים בזאת את ויתורנו על הוראות סעיף 25.1 להסכם השכירות </w:t>
      </w:r>
      <w:r>
        <w:rPr>
          <w:rFonts w:ascii="David" w:hAnsi="David"/>
          <w:b/>
          <w:bCs/>
          <w:sz w:val="28"/>
          <w:szCs w:val="28"/>
          <w:u w:val="single"/>
          <w:rtl/>
        </w:rPr>
        <w:t>ו</w:t>
      </w:r>
      <w:r>
        <w:rPr>
          <w:rFonts w:ascii="David" w:hAnsi="David"/>
          <w:b/>
          <w:bCs/>
          <w:rtl/>
        </w:rPr>
        <w:t>על התנאי המתלה שנקבע בו)</w:t>
      </w:r>
      <w:r>
        <w:rPr>
          <w:rFonts w:ascii="David" w:hAnsi="David"/>
          <w:rtl/>
        </w:rPr>
        <w:t>, וכן התחייבה כי "</w:t>
      </w:r>
      <w:r>
        <w:rPr>
          <w:rFonts w:ascii="David" w:hAnsi="David"/>
          <w:b/>
          <w:bCs/>
          <w:rtl/>
        </w:rPr>
        <w:t>אין ולא תהינה לנו כל דרישה או טענה כלפיכם בעתיד בקשר עם האמור בסעיף 25.1 הנ"ל"</w:t>
      </w:r>
      <w:r>
        <w:rPr>
          <w:rFonts w:ascii="David" w:hAnsi="David"/>
          <w:rtl/>
        </w:rPr>
        <w:t xml:space="preserve">. הכוונה שהמשביר תוותר גם על כל טענה בעניין היקף השטח הנזכר בסעיף זה (וכאמור, לא נזכר בכל סעיף אחר בהסכם), נלמדת גם מכך שהצדדים לא הסתפקו בקביעה שהסכם השכירות תקף ואינו מותלה, אלא הוסיפו על כך גם את הקביעות הנוספות כמפורט; וגם מלשונו הרחבה, שנעדרת כל הגבלה ביחס להיקף הוויתור בקשר עם סעיף זה. פרשנות המשביר כי הוויתור נוגע אך לסוגיית השימוש במושכר, אינה מתיישבת, אפוא, עם לשונו הפשוטה והברורה של המסמך. יתר על כן, גרסתה של המשביר ביחס לפרשנות כתב הוויתור אינה עקבית. בעוד שבכתב התביעה שכנגד נטען כי הוויתור מתייחס למועד קבלת החזקה במושכר שהיה חלק מהתנאים בהגדרת התנאי המתלה (סעיף 27), הרי שבסיכומים מטעם </w:t>
      </w:r>
      <w:r>
        <w:rPr>
          <w:rFonts w:ascii="David" w:hAnsi="David"/>
          <w:rtl/>
        </w:rPr>
        <w:lastRenderedPageBreak/>
        <w:t>המשביר נטען כי הוא נוגע רק לשימושים במושכר (סעיף 39 לסיכומי התובעת שכנגד). גם בכך אין כדי לחזק את טענתה וכדי לתמוך בטענת הנתבעות</w:t>
      </w:r>
      <w:r w:rsidR="00AF4724">
        <w:rPr>
          <w:rFonts w:ascii="David" w:hAnsi="David" w:hint="cs"/>
          <w:rtl/>
        </w:rPr>
        <w:t xml:space="preserve"> שכנגד</w:t>
      </w:r>
      <w:r>
        <w:rPr>
          <w:rFonts w:ascii="David" w:hAnsi="David"/>
          <w:rtl/>
        </w:rPr>
        <w:t xml:space="preserve"> שפרשנות המשביר בדבר נפקותו המצומצמת והצרה של כתב הוויתור כמוצע על ידה בסיכומיה, היא פרשנות מאולצת.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 xml:space="preserve">פרשנות הנתבעות </w:t>
      </w:r>
      <w:r w:rsidR="00AF4724">
        <w:rPr>
          <w:rFonts w:ascii="David" w:hAnsi="David" w:hint="cs"/>
          <w:rtl/>
        </w:rPr>
        <w:t xml:space="preserve">שכנגד </w:t>
      </w:r>
      <w:r>
        <w:rPr>
          <w:rFonts w:ascii="David" w:hAnsi="David"/>
          <w:rtl/>
        </w:rPr>
        <w:t xml:space="preserve">לכתב הוויתור, כך שהוא מתייחס גם לעניין השטח, מתיישבת יותר גם עם הוראות ההסכם, ויש כמובן, להעדיף פרשנות הרמונית של שני המסמכים, שהרי כתב הוויתור נעשה ביחס להסכם.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מעיון בסעיף 25.1 להסכם עולה כי כלשונו אזו-ריט התחייבה "</w:t>
      </w:r>
      <w:r>
        <w:rPr>
          <w:rFonts w:ascii="David" w:hAnsi="David"/>
          <w:b/>
          <w:bCs/>
          <w:rtl/>
        </w:rPr>
        <w:t>לנסות לגרום לכך שבמועד העמדת המושכר ניתן יהיה להשתמש ב-5,600 מ"ר ברוטו משטחי המושכר למטרת השכירות</w:t>
      </w:r>
      <w:r>
        <w:rPr>
          <w:rFonts w:ascii="David" w:hAnsi="David"/>
          <w:rtl/>
        </w:rPr>
        <w:t xml:space="preserve">". אם לא תצליח לעשות כן הרי שהיתה נתונה למשביר על פי הסכם השכירות הזכות לבטלו על ידי מסירת הודעה לאזו-ריט. הודגש גם כי אזו-ריט לא התחייבה שהתנאי המתלה יתקיים. </w:t>
      </w:r>
    </w:p>
    <w:p w:rsidR="00CD2861" w:rsidRDefault="00CD2861" w:rsidP="00CD2861">
      <w:pPr>
        <w:spacing w:line="360" w:lineRule="auto"/>
        <w:jc w:val="both"/>
        <w:rPr>
          <w:rFonts w:ascii="David" w:hAnsi="David"/>
        </w:rPr>
      </w:pPr>
    </w:p>
    <w:p w:rsidR="00CD2861" w:rsidRDefault="00CD2861" w:rsidP="00AF4724">
      <w:pPr>
        <w:pStyle w:val="af"/>
        <w:numPr>
          <w:ilvl w:val="0"/>
          <w:numId w:val="2"/>
        </w:numPr>
        <w:spacing w:before="0" w:after="0" w:line="360" w:lineRule="auto"/>
        <w:ind w:left="509" w:hanging="567"/>
        <w:jc w:val="both"/>
        <w:rPr>
          <w:rFonts w:ascii="David" w:hAnsi="David"/>
          <w:rtl/>
        </w:rPr>
      </w:pPr>
      <w:r>
        <w:rPr>
          <w:rFonts w:ascii="David" w:hAnsi="David"/>
          <w:rtl/>
        </w:rPr>
        <w:t xml:space="preserve">כאמור, השטח של 5,600 מ"ר ברוטו מוזכר אך בסעיף 25.1 להסכם. המושכר מוגדר בסעיף 2 להסכם השכירות כך: "חלק ממבנה, שיוקם בהתאם לתוכניות המושכר כהגדרתן להלן ובכפוף להוראות חוזה זה להלן, ולרבות השטחים הציבוריים כהגדרתם להלן, הכל כמסומן בתשריט נספח ב' לחוזה. למען הסר ספק, גג המבנה וכל הזכויות בו שייכות למשכיר בלבד ואינן נכללות במושכר". אין בהגדרת המושכר או בכל סעיף אחר בהסכם התחייבות למספר המטרים של המושכר. סבורני כי אף סעיף 25.1 אינו כולל התחייבות לכך ששטח המושכר יעמוד על לא פחות מ- 5,600 מ"ר. ראשית, יש לשים לב שמדובר בשטח של 5,600 מ"ר </w:t>
      </w:r>
      <w:r>
        <w:rPr>
          <w:rFonts w:ascii="David" w:hAnsi="David"/>
          <w:u w:val="single"/>
          <w:rtl/>
        </w:rPr>
        <w:t>ברוטו</w:t>
      </w:r>
      <w:r>
        <w:rPr>
          <w:rFonts w:ascii="David" w:hAnsi="David"/>
          <w:rtl/>
        </w:rPr>
        <w:t xml:space="preserve"> למטרת השכירות (ככלל וכפי שהעיד חסאן, במונח "שטח ברוטו" "מעמיסים" על שטח הנטו של המושכר גם שטחים נוספים ובכלל זה שטחי גג ופירים, עמ' 337-338 ובש' 7-10 בפרט). שנית, סעיף זה על פי לשונו כולל </w:t>
      </w:r>
      <w:r>
        <w:rPr>
          <w:rFonts w:ascii="David" w:hAnsi="David"/>
          <w:u w:val="single"/>
          <w:rtl/>
        </w:rPr>
        <w:t>חיוב השתדלות</w:t>
      </w:r>
      <w:r>
        <w:rPr>
          <w:rFonts w:ascii="David" w:hAnsi="David"/>
          <w:rtl/>
        </w:rPr>
        <w:t xml:space="preserve"> מצד אזו-ריט: </w:t>
      </w:r>
      <w:r>
        <w:rPr>
          <w:rFonts w:ascii="David" w:hAnsi="David"/>
          <w:b/>
          <w:bCs/>
          <w:rtl/>
        </w:rPr>
        <w:t>"...לנסות לגרום לכך ...</w:t>
      </w:r>
      <w:r>
        <w:rPr>
          <w:rFonts w:ascii="David" w:hAnsi="David"/>
          <w:rtl/>
        </w:rPr>
        <w:t>"; והדבר הוגדר שם כתנאי מתלה. ושוב נקבע שם בהמשך במפורש, כי מדובר בחיוב השתדלות שעה ש"</w:t>
      </w:r>
      <w:r>
        <w:rPr>
          <w:rFonts w:ascii="David" w:hAnsi="David"/>
          <w:b/>
          <w:bCs/>
          <w:rtl/>
        </w:rPr>
        <w:t>המשכיר אינו מתחייב כי התנאי המתלה יתקיים, ובכל מקרה שהתנאי המתלה לא יתקיים מכל סיבה שהיא לשוכר לא תהיה כל טענה ו/או דרישה ו/או תביעה כלפי המשכיר</w:t>
      </w:r>
      <w:r>
        <w:rPr>
          <w:rFonts w:ascii="David" w:hAnsi="David"/>
          <w:rtl/>
        </w:rPr>
        <w:t xml:space="preserve">". שלישית, על פי סעיף זה, אם התנאי המתלה לא יתקיים עד למועד מסוים </w:t>
      </w:r>
      <w:r>
        <w:rPr>
          <w:rFonts w:ascii="David" w:hAnsi="David"/>
          <w:b/>
          <w:bCs/>
          <w:rtl/>
        </w:rPr>
        <w:t>"יהיה כל אחד מהצדדים רשאי לבטל חוזה זה על ידי מסירת הודעה בכתב על כך למשנהו. בוטל חוזה שכירות זה בנסיבות כאמור לעיל, יהיה חוזה שכירות זה בטל ומבוטל כאילו לא נחתם ולא תנבענה למי מהצדדים זכויות ו/או התחייבויות כלשהן על פיו ולשוכר לא תהיה כל טענה ו/או דרישה ו/או תביעה כלפי המשכיר</w:t>
      </w:r>
      <w:r>
        <w:rPr>
          <w:rFonts w:ascii="David" w:hAnsi="David"/>
          <w:rtl/>
        </w:rPr>
        <w:t xml:space="preserve">". דהיינו: אם לא מתקיים התנאי המתלה בידי המשביר לבטל את הסכם השכירות וזאת מבלי שיקנה לה הדבר כל זכות לפיצוי. לא נקבע כי השוכר (המשביר) יהיה רשאי לדרוש את קיום הסכם השכירות, תוך הפחתת דמי השכירות או התאמתם באופן יחסי להקטנת השטח או שהצדדים ישובו וידונו בעניין גובה דמי </w:t>
      </w:r>
      <w:r>
        <w:rPr>
          <w:rFonts w:ascii="David" w:hAnsi="David"/>
          <w:rtl/>
        </w:rPr>
        <w:lastRenderedPageBreak/>
        <w:t xml:space="preserve">השכירות (או כל הסדר אחר). רביעית, ובהמשך לכל האמור, בהסכם הובהר במפורש כי כל עוד לא קוים התנאי המתלה, לא יחלו עבודות המשביר במושכר. ברור, אפוא, שצריך היה להסדיר את הנושא כתנאי להתחלת ביצוע עבודות הפנים על ידי המשביר. מכאן גם שאין כל מקום לטענה שהנתבעות </w:t>
      </w:r>
      <w:r w:rsidR="00AF4724">
        <w:rPr>
          <w:rFonts w:ascii="David" w:hAnsi="David" w:hint="cs"/>
          <w:rtl/>
        </w:rPr>
        <w:t xml:space="preserve">שכנגד </w:t>
      </w:r>
      <w:r>
        <w:rPr>
          <w:rFonts w:ascii="David" w:hAnsi="David"/>
          <w:rtl/>
        </w:rPr>
        <w:t>הפעילו לחץ לא הוגן על המשביר לחתימה על כתב הוויתו</w:t>
      </w:r>
      <w:r w:rsidRPr="00AF4724">
        <w:rPr>
          <w:rFonts w:ascii="David" w:hAnsi="David"/>
          <w:rtl/>
        </w:rPr>
        <w:t>ר כתנאי לביצוע עבודות הפנים על ידי המשביר (כפי שטען חסאן בחקירתו ו</w:t>
      </w:r>
      <w:r w:rsidR="00AF4724" w:rsidRPr="00AF4724">
        <w:rPr>
          <w:rFonts w:ascii="David" w:hAnsi="David" w:hint="cs"/>
          <w:rtl/>
        </w:rPr>
        <w:t>ראו סעיף 176 להלן</w:t>
      </w:r>
      <w:r w:rsidRPr="00AF4724">
        <w:rPr>
          <w:rFonts w:ascii="David" w:hAnsi="David"/>
          <w:rtl/>
        </w:rPr>
        <w:t>). על פי הסכם השכירות, זוהי נקודת הזמן שבה היה על הצדדים להחליט אם ההסכם ימשי</w:t>
      </w:r>
      <w:r>
        <w:rPr>
          <w:rFonts w:ascii="David" w:hAnsi="David"/>
          <w:rtl/>
        </w:rPr>
        <w:t>ך להתקיים או יבוטל. והבחירה של שני הצדדים לקיימו, נעשתה.</w:t>
      </w:r>
    </w:p>
    <w:p w:rsidR="00CD2861" w:rsidRDefault="00CD2861" w:rsidP="00CD2861">
      <w:pPr>
        <w:spacing w:line="360" w:lineRule="auto"/>
        <w:jc w:val="both"/>
        <w:rPr>
          <w:rFonts w:ascii="David" w:hAnsi="David"/>
        </w:rPr>
      </w:pPr>
    </w:p>
    <w:p w:rsidR="00CD2861" w:rsidRDefault="00CD2861" w:rsidP="00AF4724">
      <w:pPr>
        <w:pStyle w:val="af"/>
        <w:numPr>
          <w:ilvl w:val="0"/>
          <w:numId w:val="2"/>
        </w:numPr>
        <w:spacing w:before="0" w:after="0" w:line="360" w:lineRule="auto"/>
        <w:ind w:left="509" w:hanging="567"/>
        <w:jc w:val="both"/>
        <w:rPr>
          <w:rFonts w:ascii="David" w:hAnsi="David"/>
          <w:rtl/>
        </w:rPr>
      </w:pPr>
      <w:r>
        <w:rPr>
          <w:rFonts w:ascii="David" w:hAnsi="David"/>
          <w:rtl/>
        </w:rPr>
        <w:t xml:space="preserve">יתר על כן, דמי שכירות נקבעו כאחוז מפדיון בית העסק שינוהל במושכר או דמי שכירות מינימליים שנקבעו בסכום כולל שננקב, הגבוה מביניהם. דמי השכירות אינם תלויים בגודל המושכר ולא ננקבו בסכום לכל מטר מהמושכר. אף נקבעו דמי שכירות מינימאליים (לצד קביעתם כאחוזים מהפדיון), שלמעשה הם דמי השכירות שנגבים בפועל (והשלמתם נדרשה בתביעה העיקרית). המשביר טוענת כי הגם שדמי השכירות אינם "נגזרת קורלטיבית למ"ר", ברור שלשטח המושכר ישנה השפעה על גובהם. נדמה כי אין חולק על כך ששטח המושכר הוא שיקול שמביא השוכר בחשבון בהחלטתו אם לשכור את הנכס, ובדמי השכירות שהתבקשו. ועם זאת, אין זה השיקול היחיד שבא בחשבון, והקורלציה אינה חד-משמעית (כך למשל יש ששטח קטן במיקום פלוני יניב הכנסה גבוהה יותר משטח גדול יותר במיקום אחר, גם אם מדובר באותו שטח ובאותו מיקום יש השפעה גם לפרישת השטח, לעיצובו, לטיב העסק המנוהל בו וטיב הניהול; כמו כן התמחור למטר ביחידות קטנות בדרך כלל גבוה מהתמחור </w:t>
      </w:r>
      <w:r w:rsidR="00AF4724">
        <w:rPr>
          <w:rFonts w:ascii="David" w:hAnsi="David" w:hint="cs"/>
          <w:rtl/>
        </w:rPr>
        <w:t>ל</w:t>
      </w:r>
      <w:r>
        <w:rPr>
          <w:rFonts w:ascii="David" w:hAnsi="David"/>
          <w:rtl/>
        </w:rPr>
        <w:t>מטר ביחידות גדולות וכיוצ"ב). בכל מקרה, השפעתו ומשקלו של שיקול זה היא עניין לכל אחד מהצדדים בכל מקרה לנסיבותיו, במסגרת המשא ומתן לכריתת ההסכם. בענייננו, כפי שפורט לעיל אין התחייבות למספר המטרים במושכר, אין חשיבות ל</w:t>
      </w:r>
      <w:r w:rsidR="00AF4724">
        <w:rPr>
          <w:rFonts w:ascii="David" w:hAnsi="David" w:hint="cs"/>
          <w:rtl/>
        </w:rPr>
        <w:t>גודלו</w:t>
      </w:r>
      <w:r>
        <w:rPr>
          <w:rFonts w:ascii="David" w:hAnsi="David"/>
          <w:rtl/>
        </w:rPr>
        <w:t xml:space="preserve"> המדויק של הנכס לצורך החיוב דמי שכירות, והצדדים קבעו הסדרים מפורשים וברורים בעניין בסעיף 25.1 להסכם ובכתב הוויתור, הסדרים שאין כל מקום או הצדקה שבית המשפט יתערב בהם בדיעבד ויכתוב חוזה חדש בין הצדדים. הוא הדין גם ביחס לחתימה על כתב הוויתור.</w:t>
      </w:r>
    </w:p>
    <w:p w:rsidR="00CD2861" w:rsidRDefault="00CD2861" w:rsidP="00CD2861">
      <w:pPr>
        <w:spacing w:line="360" w:lineRule="auto"/>
        <w:jc w:val="both"/>
        <w:rPr>
          <w:rFonts w:ascii="David" w:hAnsi="David"/>
        </w:rPr>
      </w:pPr>
      <w:r>
        <w:rPr>
          <w:rFonts w:ascii="David" w:hAnsi="David"/>
          <w:rtl/>
        </w:rPr>
        <w:t xml:space="preserve"> </w:t>
      </w: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ודוק: אין מדובר במקרה של פגם ברצון לעת ההתקשרות בהסכם ובסעיף 25.1 שבו (שכלל לא נטען ובוודאי שלא הוכח), או בחתימה על כתב הוויתור. אני דוחה את טענותיה של המשביר בכל הקשור לפגם ברצון בחתימה על כתב הוויתור, שנטענו תוך הרחבת חזית אסורה, שעה שבכתב התביעה שכנגד לא הועלתה כל טענה במישור זה או כנגד תוקף החתימה על המסמך אלא ביחס לפרשנותו בלבד. גם לגופו של עניין, ובהנחה ששטח המושכר אינו מגיע כדי 5,600 מ"ר ברוטו (והדבר לא הוכח) - הטענה שהמשביר לא ידעה על כך אינה משכנעת, לא הוכחה </w:t>
      </w:r>
      <w:r w:rsidRPr="00AF4724">
        <w:rPr>
          <w:rFonts w:ascii="David" w:hAnsi="David"/>
          <w:rtl/>
        </w:rPr>
        <w:t>ונסתרה מן הראיות, כפי שיפורט בהמשך. אף ברי כי למצער היה בידה לדעת</w:t>
      </w:r>
      <w:r>
        <w:rPr>
          <w:rFonts w:ascii="David" w:hAnsi="David"/>
          <w:rtl/>
        </w:rPr>
        <w:t xml:space="preserve"> (ויש בידה לדעת)</w:t>
      </w:r>
      <w:r>
        <w:rPr>
          <w:rFonts w:ascii="David" w:hAnsi="David"/>
        </w:rPr>
        <w:t xml:space="preserve"> </w:t>
      </w:r>
      <w:r>
        <w:rPr>
          <w:rFonts w:ascii="David" w:hAnsi="David"/>
          <w:rtl/>
        </w:rPr>
        <w:t xml:space="preserve">מהו שטחו של המושכר. קשה להלום טענה בדבר חוסר יכולת לדעת מפיו של שוכר שהנכס נמסר לו ברמת מעטפת לצורך ביצוע עבודות פנים, ומחזיק בנכס מזה שנים ארוכות. בוודאי </w:t>
      </w:r>
      <w:r>
        <w:rPr>
          <w:rFonts w:ascii="David" w:hAnsi="David"/>
          <w:rtl/>
        </w:rPr>
        <w:lastRenderedPageBreak/>
        <w:t>אם נצרף לכך את היתר הבניה שאין חולק כי נמסר למשביר ובו מצוין שטח בנוי של 4763.03 מ"ר, ואת חיובי הארנונה בגין הנכס לאורך השנים (וגם טרם 2016).</w:t>
      </w:r>
    </w:p>
    <w:p w:rsidR="00CD2861" w:rsidRDefault="00CD2861" w:rsidP="00CD2861">
      <w:pPr>
        <w:spacing w:line="360" w:lineRule="auto"/>
        <w:jc w:val="both"/>
        <w:rPr>
          <w:rFonts w:ascii="David" w:hAnsi="David"/>
        </w:rPr>
      </w:pPr>
    </w:p>
    <w:p w:rsidR="00CD2861" w:rsidRDefault="00CD2861" w:rsidP="00D65749">
      <w:pPr>
        <w:pStyle w:val="af"/>
        <w:numPr>
          <w:ilvl w:val="0"/>
          <w:numId w:val="2"/>
        </w:numPr>
        <w:spacing w:before="0" w:after="0" w:line="360" w:lineRule="auto"/>
        <w:ind w:left="509" w:hanging="567"/>
        <w:jc w:val="both"/>
        <w:rPr>
          <w:rFonts w:ascii="David" w:hAnsi="David"/>
          <w:rtl/>
        </w:rPr>
      </w:pPr>
      <w:r>
        <w:rPr>
          <w:rFonts w:ascii="David" w:hAnsi="David"/>
          <w:rtl/>
        </w:rPr>
        <w:t>עוד יש להעיר כי המשביר אינה עושה אבחנה כנדרש בין שטח המושכר לבין "שטח המושכר ברוטו"</w:t>
      </w:r>
      <w:r w:rsidR="00D65749">
        <w:rPr>
          <w:rFonts w:ascii="David" w:hAnsi="David" w:hint="cs"/>
          <w:rtl/>
        </w:rPr>
        <w:t>,</w:t>
      </w:r>
      <w:r>
        <w:rPr>
          <w:rFonts w:ascii="David" w:hAnsi="David"/>
          <w:rtl/>
        </w:rPr>
        <w:t xml:space="preserve"> כאילו המונחים זהים. כך למשל נטען כי המצהירים מטעם הנתבעות </w:t>
      </w:r>
      <w:r w:rsidR="00D65749">
        <w:rPr>
          <w:rFonts w:ascii="David" w:hAnsi="David" w:hint="cs"/>
          <w:rtl/>
        </w:rPr>
        <w:t xml:space="preserve">שכנגד </w:t>
      </w:r>
      <w:r>
        <w:rPr>
          <w:rFonts w:ascii="David" w:hAnsi="David"/>
          <w:rtl/>
        </w:rPr>
        <w:t xml:space="preserve">(עו"ד כשר ושריד) הודו שהנכס הוא בשטח שאינו מגיע כדי 5,600 מ"ר תוך הפנייה להצהרתם (בתצהירים תביעה העיקרית) כי מדובר בנכס בשטח של כ- 5,000 מ"ר. אין זה מלמד שאין מדובר בשטח של 5,600 מ"ר ברוטו לצרכי דמי השכירות (אילו היו הם תלויים בגודל השטח). מה גם שהם ציינו כי השטח הוא כ- 5,000 מ"ר. באותו אופן גם שטח הבניה הכולל לפי ההיתר העומד על 4,763.03 ₪ אינו מלמד אף הוא מהו השטח ברוטו כאמור. בעניין היקפו של השטח ברוטו לא הביאה המשביר כל ראיה ולמעשה, לא נטען דבר (אך מצוי תחשיב הנתבעות </w:t>
      </w:r>
      <w:r w:rsidR="00D65749">
        <w:rPr>
          <w:rFonts w:ascii="David" w:hAnsi="David" w:hint="cs"/>
          <w:rtl/>
        </w:rPr>
        <w:t xml:space="preserve">שכנגד </w:t>
      </w:r>
      <w:r>
        <w:rPr>
          <w:rFonts w:ascii="David" w:hAnsi="David"/>
          <w:rtl/>
        </w:rPr>
        <w:t xml:space="preserve">שאליו אתייחס להלן). ועוד באותו עניין, סבורני כי צודק ב"כ הנתבעות </w:t>
      </w:r>
      <w:r w:rsidR="00D65749">
        <w:rPr>
          <w:rFonts w:ascii="David" w:hAnsi="David" w:hint="cs"/>
          <w:rtl/>
        </w:rPr>
        <w:t xml:space="preserve">שכנגד </w:t>
      </w:r>
      <w:r>
        <w:rPr>
          <w:rFonts w:ascii="David" w:hAnsi="David"/>
          <w:rtl/>
        </w:rPr>
        <w:t xml:space="preserve">בטענתו כי נעשה בדבריו לפרוטוקול שימוש החורג מכוונתו. עולה מדבריו והקשר הדברים כי כוונתו הייתה לכך שלשיטת הנתבעות, אין גודל המושכר במטרים רלבנטי עוד לנוכח כתב הוויתור על הוראותיו, ואופן קביעת דמי השכירות בהסכם.  </w:t>
      </w:r>
    </w:p>
    <w:p w:rsidR="00CD2861" w:rsidRDefault="00CD2861" w:rsidP="00CD2861">
      <w:pPr>
        <w:spacing w:line="360" w:lineRule="auto"/>
        <w:jc w:val="both"/>
        <w:rPr>
          <w:rFonts w:ascii="David" w:hAnsi="David"/>
        </w:rPr>
      </w:pPr>
    </w:p>
    <w:p w:rsidR="00CD2861" w:rsidRDefault="00CD2861" w:rsidP="00CD2861">
      <w:pPr>
        <w:spacing w:line="276" w:lineRule="auto"/>
        <w:jc w:val="both"/>
        <w:rPr>
          <w:rFonts w:ascii="David" w:hAnsi="David"/>
          <w:u w:val="single"/>
          <w:rtl/>
        </w:rPr>
      </w:pPr>
      <w:r>
        <w:rPr>
          <w:rFonts w:ascii="David" w:hAnsi="David"/>
          <w:u w:val="single"/>
          <w:rtl/>
        </w:rPr>
        <w:t>נסיבות החתימה על כתב הוויתור והתנהלות הצדדים</w:t>
      </w:r>
    </w:p>
    <w:p w:rsidR="00CD2861" w:rsidRDefault="00CD2861" w:rsidP="00CD2861">
      <w:pPr>
        <w:spacing w:line="276" w:lineRule="auto"/>
        <w:jc w:val="both"/>
        <w:rPr>
          <w:rFonts w:ascii="David" w:hAnsi="David"/>
          <w:u w:val="single"/>
          <w:rtl/>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הבכורה היא כאמור, ללשון ההסכם, אך נסיבות החתימה על כתב הוויתור והתנהלות הצדדים לאחר חתימתו, מלמדים אף הם על אומד דעת הצדדים; וסבורני כי מלמדים הם שהמשביר ויתרה על הוראות סעיף 25.1 להסכם גם בכל הקשור לשטח המושכר.</w:t>
      </w:r>
    </w:p>
    <w:p w:rsidR="00CD2861" w:rsidRDefault="00CD2861" w:rsidP="00CD2861">
      <w:pPr>
        <w:pStyle w:val="af"/>
        <w:rPr>
          <w:rFonts w:ascii="David" w:hAnsi="David"/>
        </w:rPr>
      </w:pPr>
    </w:p>
    <w:p w:rsidR="00CD2861" w:rsidRDefault="00CD2861" w:rsidP="00D65749">
      <w:pPr>
        <w:pStyle w:val="af"/>
        <w:numPr>
          <w:ilvl w:val="0"/>
          <w:numId w:val="2"/>
        </w:numPr>
        <w:spacing w:before="0" w:after="0" w:line="360" w:lineRule="auto"/>
        <w:ind w:left="509" w:hanging="567"/>
        <w:jc w:val="both"/>
        <w:rPr>
          <w:rFonts w:ascii="David" w:hAnsi="David"/>
          <w:rtl/>
        </w:rPr>
      </w:pPr>
      <w:r>
        <w:rPr>
          <w:rFonts w:ascii="David" w:hAnsi="David"/>
          <w:b/>
          <w:bCs/>
          <w:rtl/>
        </w:rPr>
        <w:t>נסיבות החתימה, כיצד?</w:t>
      </w:r>
      <w:r>
        <w:rPr>
          <w:rFonts w:ascii="David" w:hAnsi="David"/>
          <w:rtl/>
        </w:rPr>
        <w:t xml:space="preserve"> - כעולה מהראיות </w:t>
      </w:r>
      <w:r w:rsidRPr="00D65749">
        <w:rPr>
          <w:rFonts w:ascii="David" w:hAnsi="David"/>
          <w:rtl/>
        </w:rPr>
        <w:t>(ובכלל זה התכתובת הפנימית של הנתבעות כמפורט בהמשך), עניין כתב הוויתור והצורך ב</w:t>
      </w:r>
      <w:r>
        <w:rPr>
          <w:rFonts w:ascii="David" w:hAnsi="David"/>
          <w:rtl/>
        </w:rPr>
        <w:t xml:space="preserve">ו נולד אצל הנתבעות </w:t>
      </w:r>
      <w:r w:rsidR="00D65749">
        <w:rPr>
          <w:rFonts w:ascii="David" w:hAnsi="David" w:hint="cs"/>
          <w:rtl/>
        </w:rPr>
        <w:t xml:space="preserve">שכנגד </w:t>
      </w:r>
      <w:r>
        <w:rPr>
          <w:rFonts w:ascii="David" w:hAnsi="David"/>
          <w:rtl/>
        </w:rPr>
        <w:t xml:space="preserve">בשל חוסר תמימות דעים אצלן פנימה בשאלה אם התקיים התנאי המתלה מבחינת היקף השטח הנקוב </w:t>
      </w:r>
      <w:r w:rsidR="00D65749">
        <w:rPr>
          <w:rFonts w:ascii="David" w:hAnsi="David" w:hint="cs"/>
          <w:rtl/>
        </w:rPr>
        <w:t>ב</w:t>
      </w:r>
      <w:r>
        <w:rPr>
          <w:rFonts w:ascii="David" w:hAnsi="David"/>
          <w:rtl/>
        </w:rPr>
        <w:t xml:space="preserve">סעיף </w:t>
      </w:r>
      <w:r w:rsidR="00D65749">
        <w:rPr>
          <w:rFonts w:ascii="David" w:hAnsi="David" w:hint="cs"/>
          <w:rtl/>
        </w:rPr>
        <w:t>25.1</w:t>
      </w:r>
      <w:r>
        <w:rPr>
          <w:rFonts w:ascii="David" w:hAnsi="David"/>
          <w:rtl/>
        </w:rPr>
        <w:t xml:space="preserve"> להסכם ובשל כך התבקשה המשביר לחתום על כתב וויתור. בין הצדדים התנהל משא ומתן ביחס למסמך זה ובמהלכו, בין יתר, ביקשה המשביר גם לכלול בו אישור של אזו-ריט כי התנאי המתלה התקיים "</w:t>
      </w:r>
      <w:r>
        <w:rPr>
          <w:rFonts w:ascii="David" w:hAnsi="David"/>
          <w:b/>
          <w:bCs/>
          <w:rtl/>
        </w:rPr>
        <w:t>דהיינו: אישור המאשר שימוש בלפחות 5,600 מ"ר ברוטו למטרת השכירות"</w:t>
      </w:r>
      <w:r>
        <w:rPr>
          <w:rFonts w:ascii="David" w:hAnsi="David"/>
          <w:rtl/>
        </w:rPr>
        <w:t>, ובקשתה זו של המשביר נענתה בשלילה. משמע, אזו-ריט לא הסכימה במופגן לאשר למשביר כי יש במושכר 5,600 מ"ר ברוטו למטרת השכירות, והמשביר ידעה כי אין היא מסכימה לאשר זאת. כתב הוויתור, אפוא, לא נדרש בשל ספק בקיום התנאי בעניין המועדים (כנטען בכתב התביעה שכנגד) או בעניין השימושים (כנטען בסיכומים) אלא ביחס להיקף השטח ברוטו למטרת השכירות, ובשאלה האם עומד הוא על 5,600 מ"ר ברוטו, בפרט.</w:t>
      </w:r>
      <w:r>
        <w:rPr>
          <w:rFonts w:ascii="David" w:hAnsi="David"/>
          <w:rtl/>
        </w:rPr>
        <w:tab/>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lastRenderedPageBreak/>
        <w:t xml:space="preserve">להלן אפרט בעניין התכתובת הפנימית של הנתבעות </w:t>
      </w:r>
      <w:r w:rsidR="00D65749">
        <w:rPr>
          <w:rFonts w:ascii="David" w:hAnsi="David" w:hint="cs"/>
          <w:rtl/>
        </w:rPr>
        <w:t xml:space="preserve">שכנגד </w:t>
      </w:r>
      <w:r>
        <w:rPr>
          <w:rFonts w:ascii="David" w:hAnsi="David"/>
          <w:rtl/>
        </w:rPr>
        <w:t xml:space="preserve">והשתלשלות העניינים עד לחתימה על כתב הוויתור.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הוגש מטעם הנתבעות</w:t>
      </w:r>
      <w:r w:rsidR="00D65749">
        <w:rPr>
          <w:rFonts w:ascii="David" w:hAnsi="David" w:hint="cs"/>
          <w:rtl/>
        </w:rPr>
        <w:t xml:space="preserve"> שכנגד</w:t>
      </w:r>
      <w:r>
        <w:rPr>
          <w:rFonts w:ascii="David" w:hAnsi="David"/>
          <w:rtl/>
        </w:rPr>
        <w:t xml:space="preserve"> תצהיר מר אבי יורן שבעת הרלבנטית שימש כסמנכ"ל הנדסה בחברת בריטיש ישראל השקעות בע"מ (שהתמזגה כאמור עם מליסרון). זה הצהיר כי להבנת החברה עלה בידה לקיים את התנאי המתלה, על פי טבלת השטחים שהכין בזמנו מר פליקס שופמן, שהיה סמנכ"ל פיתוח עסקי וניהול ביצועים בחברה (הלה עבד במליסרון עד חודש פברואר 2021 והעיד מטעמה בתיק זה, ראו עמ' 223 שורות 14-15). הנה הטבלה: </w:t>
      </w:r>
    </w:p>
    <w:p w:rsidR="00CD2861" w:rsidRDefault="00CD2861" w:rsidP="00CD2861">
      <w:pPr>
        <w:pStyle w:val="af"/>
        <w:rPr>
          <w:rFonts w:ascii="David" w:hAnsi="David"/>
        </w:rPr>
      </w:pPr>
    </w:p>
    <w:p w:rsidR="00CD2861" w:rsidRDefault="00CD2861" w:rsidP="00CD2861">
      <w:pPr>
        <w:spacing w:line="360" w:lineRule="auto"/>
        <w:jc w:val="center"/>
        <w:rPr>
          <w:rFonts w:ascii="David" w:hAnsi="David"/>
          <w:rtl/>
        </w:rPr>
      </w:pPr>
      <w:r>
        <w:rPr>
          <w:rFonts w:ascii="David" w:hAnsi="David"/>
        </w:rPr>
        <w:drawing>
          <wp:inline distT="0" distB="0" distL="0" distR="0">
            <wp:extent cx="3714750" cy="238125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15">
                      <a:extLst>
                        <a:ext uri="{28A0092B-C50C-407E-A947-70E740481C1C}">
                          <a14:useLocalDpi xmlns:a14="http://schemas.microsoft.com/office/drawing/2010/main" val="0"/>
                        </a:ext>
                      </a:extLst>
                    </a:blip>
                    <a:srcRect t="4118"/>
                    <a:stretch>
                      <a:fillRect/>
                    </a:stretch>
                  </pic:blipFill>
                  <pic:spPr bwMode="auto">
                    <a:xfrm>
                      <a:off x="0" y="0"/>
                      <a:ext cx="3714750" cy="2381250"/>
                    </a:xfrm>
                    <a:prstGeom prst="rect">
                      <a:avLst/>
                    </a:prstGeom>
                    <a:noFill/>
                    <a:ln>
                      <a:noFill/>
                    </a:ln>
                  </pic:spPr>
                </pic:pic>
              </a:graphicData>
            </a:graphic>
          </wp:inline>
        </w:drawing>
      </w:r>
    </w:p>
    <w:p w:rsidR="00CD2861" w:rsidRDefault="00CD2861" w:rsidP="00CD2861">
      <w:pPr>
        <w:pStyle w:val="af"/>
        <w:rPr>
          <w:rFonts w:ascii="David" w:hAnsi="David"/>
        </w:rPr>
      </w:pPr>
    </w:p>
    <w:p w:rsidR="00CD2861" w:rsidRDefault="00CD2861" w:rsidP="00D65749">
      <w:pPr>
        <w:pStyle w:val="af"/>
        <w:numPr>
          <w:ilvl w:val="0"/>
          <w:numId w:val="2"/>
        </w:numPr>
        <w:spacing w:before="0" w:after="0" w:line="360" w:lineRule="auto"/>
        <w:ind w:left="509" w:hanging="567"/>
        <w:jc w:val="both"/>
        <w:rPr>
          <w:rFonts w:ascii="David" w:hAnsi="David"/>
          <w:rtl/>
        </w:rPr>
      </w:pPr>
      <w:r>
        <w:rPr>
          <w:rFonts w:ascii="David" w:hAnsi="David"/>
          <w:rtl/>
        </w:rPr>
        <w:t xml:space="preserve">אלא שלאחר שהועבר התחשיב גם לעיון עורכת הדין שייצגה את החברה בזמנו (עו"ד בבלי ממשרד ארנון) היא העלתה ספק ביחס לקיום התנאי המתלה בשל כך שיש סימן שאלה אם קיימים 5,600 מ"ר שכן "על פניו נראה כי נכלל גג (עם מתקנים טכניים) שלא היה אמור להיות כלול, שיש 612 מ"ר פירים ועוד". עוד סברה שלא נכון יהיה לומר שהתנאי התקיים אם עובדתית הוא לא התקיים, והמליצה כי המשביר תאשר שהיא מוותרת על התנאי המתלה או שהיא רואה בשטחים אלה כקיום התנאי ולא תטען שלא קוים. בנסיבות אלה החליטו הנתבעות </w:t>
      </w:r>
      <w:r w:rsidR="00D65749">
        <w:rPr>
          <w:rFonts w:ascii="David" w:hAnsi="David" w:hint="cs"/>
          <w:rtl/>
        </w:rPr>
        <w:t xml:space="preserve">שכנגד כי </w:t>
      </w:r>
      <w:r>
        <w:rPr>
          <w:rFonts w:ascii="David" w:hAnsi="David"/>
          <w:rtl/>
        </w:rPr>
        <w:t xml:space="preserve">לא יהיה נכון להתעקש על כך שהתנאי קוים (לעיל ולהלן: </w:t>
      </w:r>
      <w:r>
        <w:rPr>
          <w:rFonts w:ascii="David" w:hAnsi="David"/>
          <w:b/>
          <w:bCs/>
          <w:rtl/>
        </w:rPr>
        <w:t>התכתובת הפנימית</w:t>
      </w:r>
      <w:r>
        <w:rPr>
          <w:rFonts w:ascii="David" w:hAnsi="David"/>
          <w:rtl/>
        </w:rPr>
        <w:t>. זו צורפה בנספחים 3-4 לתצהיר יורן). בהמשך לכך, כמפורט בתצהיר יורן, שלא נסתר בכל המפורט (ובכלל), כתב הוויתור הועבר לראשונה ביום 2.2.2011, לחסאן ולמזכירתו, גב' אורטל קוק (</w:t>
      </w:r>
      <w:r>
        <w:rPr>
          <w:rFonts w:ascii="David" w:hAnsi="David"/>
          <w:b/>
          <w:bCs/>
          <w:rtl/>
        </w:rPr>
        <w:t>אורטל</w:t>
      </w:r>
      <w:r>
        <w:rPr>
          <w:rFonts w:ascii="David" w:hAnsi="David"/>
          <w:rtl/>
        </w:rPr>
        <w:t xml:space="preserve">). כפי שגם צוין בדוא"ל ("בהתאם לסיכום עם אבי יורן") קדמה לכך שיחה של יורן עם חסאן על כך שהמשביר תוותר על קיום התנאי המתלה וההסכם ייכנס לתוקף עם חתימת המשביר על כתב הוויתור (סעיפים 12-13). כל האמור ארע עוד טרם התקבל ההיתר (אך הוגשה בקשה להיתר). ההיתר ניתן ביום 20.2.2011, כחודש טרם שנחתם </w:t>
      </w:r>
      <w:r>
        <w:rPr>
          <w:rFonts w:ascii="David" w:hAnsi="David"/>
          <w:rtl/>
        </w:rPr>
        <w:lastRenderedPageBreak/>
        <w:t xml:space="preserve">כתב הוויתור ביום 17.3.2011. בהיתר שהועבר באותו יום לחסאן ולאורטל צוין כי </w:t>
      </w:r>
      <w:r>
        <w:rPr>
          <w:rFonts w:ascii="David" w:hAnsi="David"/>
          <w:b/>
          <w:bCs/>
          <w:rtl/>
        </w:rPr>
        <w:t>שטח הבניה הוא 4,763.03 מ"ר</w:t>
      </w:r>
      <w:r>
        <w:rPr>
          <w:rFonts w:ascii="David" w:hAnsi="David"/>
          <w:rtl/>
        </w:rPr>
        <w:t xml:space="preserve"> (יורן, נספח 6 בעמ' 24).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עם קבלת ההיתר, הנתבעות חזרו וביקשו את המשביר לחתום על כתב הוויתור. חסאן בתגובה ביקש מאורטל "</w:t>
      </w:r>
      <w:r>
        <w:rPr>
          <w:rFonts w:ascii="David" w:hAnsi="David"/>
          <w:b/>
          <w:bCs/>
          <w:rtl/>
        </w:rPr>
        <w:t>קבלי את המסמך מזוהרית תעבירי לבדיקת רועי ואלי לחתימה"</w:t>
      </w:r>
      <w:r>
        <w:rPr>
          <w:rFonts w:ascii="David" w:hAnsi="David"/>
          <w:rtl/>
        </w:rPr>
        <w:t xml:space="preserve"> (שם, בעמ' 26). בחקירתו אישר חסאן כי "רועי" הוא עו"ד חיצוני של המשביר (עמ' 329 ש' 18-19; עמ' 332 ש' 13-14, 18-19). ביום 7.3.2011 שלחה כהן דוא"ל ליורן ולעו"ד בן יצחק (ממשרד ארנון שייצג את הנתבעות) לפיו</w:t>
      </w:r>
      <w:r>
        <w:rPr>
          <w:rFonts w:ascii="David" w:hAnsi="David"/>
          <w:b/>
          <w:bCs/>
          <w:rtl/>
        </w:rPr>
        <w:t xml:space="preserve"> "רצ"ב תשובה שהתקבלה זה עתה מהמשביר. מבקשים אישור בכתב, שהתנאי המתלה התקיים, דהיינו אישור המאשר שימוש בלפחות 5,600 מ"ר ברוטו למטרת השכירות"</w:t>
      </w:r>
      <w:r>
        <w:rPr>
          <w:rFonts w:ascii="David" w:hAnsi="David"/>
          <w:rtl/>
        </w:rPr>
        <w:t xml:space="preserve"> (שופמן, נספח 8 בעמ' 29. ראו גם סעיף 25 לתצהירו של חסאן המאשר כי ביקש לקבל אישור כאמור). כהן השיבה בשלילה "</w:t>
      </w:r>
      <w:r>
        <w:rPr>
          <w:rFonts w:ascii="David" w:hAnsi="David"/>
          <w:b/>
          <w:bCs/>
          <w:rtl/>
        </w:rPr>
        <w:t>הנוסח המתוקן שהעברתם אינו מקובל עלינו, רצ"ב המסמך שהתבקשתם לחתום עליו</w:t>
      </w:r>
      <w:r>
        <w:rPr>
          <w:rFonts w:ascii="David" w:hAnsi="David"/>
          <w:rtl/>
        </w:rPr>
        <w:t xml:space="preserve">" (דוא"ל מיום 8.3.2011. יורן, נספח 7 בעמ' 26) [אזכיר כאן בהקשר זה, במאמר מוסגר, כי גם לפי סעיף 25 תצהירו של חסאן, בשלבים שקדמו לחתימה על כתב הוויתור, הוא ביקש שאזו-ריט תאשר לו שהתנאי המתלה התקיים ושטח המושכר הוא לפחות 5,600 מ"ר. עם זאת כשנשאל בחקירתו אם כך אמנם ביקש, השיב כי אינו זוכר, וסירב לאשר זאת כל עוד לא יוצג לו מסמך כזה, באופן שלא עולה בקנה אחד עם תצהירו (עמ' 329 ש' 21 – עמ' 330 ש' 3)]. ביום 9.3.2011 כתבה מזכירתו של חסאן, אורטל, לכהן: </w:t>
      </w:r>
      <w:r>
        <w:rPr>
          <w:rFonts w:ascii="David" w:hAnsi="David"/>
          <w:b/>
          <w:bCs/>
          <w:rtl/>
        </w:rPr>
        <w:t>"אבקש כי בנספחים ובאישורים יצוין כי במידה ונצטרך שינוי יעוד קומה -2 לטובת משרדים/מסחר הדבר יבוצע ע"י בריטיש. כמו כן אבקש לציין במפורש כי קומה 4 היא קומת מסחר מזון/בית קפה"</w:t>
      </w:r>
      <w:r>
        <w:rPr>
          <w:rFonts w:ascii="David" w:hAnsi="David"/>
          <w:rtl/>
        </w:rPr>
        <w:t xml:space="preserve"> (יורן, נספח 13 בעמ' 43). על כך השיבו הנתבעות כי "</w:t>
      </w:r>
      <w:r>
        <w:rPr>
          <w:rFonts w:ascii="David" w:hAnsi="David"/>
          <w:b/>
          <w:bCs/>
          <w:rtl/>
        </w:rPr>
        <w:t>קומה -2 לא היתה ולא תהיה ובטח שלא התחייבנו לזה למשרדים, מסחר וכו' אלא לאחסנה בלבד. קומה 4 היא למסחר בלבד כרגע וכל שינוי שתרצו לבצע תבצעו אתם באחריותכם ורק לאחר אישור שלנו</w:t>
      </w:r>
      <w:r>
        <w:rPr>
          <w:rFonts w:ascii="David" w:hAnsi="David"/>
          <w:rtl/>
        </w:rPr>
        <w:t>". כתב הוויתור תוקן בהתאם והוספה לו הפסקה השניה (יורן, נספח 7 בעמ' 26 ונספח 10. ראו גם שופמן, סעיף 20 ונספחים 7א ו- 7ב'). זהו הנוסח שנחתם על ידי חסאן ביום 17.3.2021 (נספח 11 לתצהיר יורן), כאשר חסאן הוסיף עליו בכתב יד בסוף הפסקה השנייה כך: "</w:t>
      </w:r>
      <w:r>
        <w:rPr>
          <w:rFonts w:ascii="David" w:hAnsi="David"/>
          <w:b/>
          <w:bCs/>
          <w:rtl/>
        </w:rPr>
        <w:t>והמשכיר לא מתנגד לשינויים ובלבד שלא תחול עליו חבות</w:t>
      </w:r>
      <w:r>
        <w:rPr>
          <w:rFonts w:ascii="David" w:hAnsi="David"/>
          <w:rtl/>
        </w:rPr>
        <w:t xml:space="preserve">". </w:t>
      </w:r>
    </w:p>
    <w:p w:rsidR="00CD2861" w:rsidRDefault="00CD2861" w:rsidP="00CD2861">
      <w:pPr>
        <w:spacing w:line="360" w:lineRule="auto"/>
        <w:jc w:val="both"/>
        <w:rPr>
          <w:rFonts w:ascii="David" w:hAnsi="David"/>
        </w:rPr>
      </w:pPr>
    </w:p>
    <w:p w:rsidR="00CD2861" w:rsidRDefault="00CD2861" w:rsidP="00D65749">
      <w:pPr>
        <w:pStyle w:val="af"/>
        <w:numPr>
          <w:ilvl w:val="0"/>
          <w:numId w:val="2"/>
        </w:numPr>
        <w:spacing w:before="0" w:after="0" w:line="360" w:lineRule="auto"/>
        <w:ind w:left="509" w:hanging="567"/>
        <w:jc w:val="both"/>
        <w:rPr>
          <w:rFonts w:ascii="David" w:hAnsi="David"/>
        </w:rPr>
      </w:pPr>
      <w:r>
        <w:rPr>
          <w:rFonts w:ascii="David" w:hAnsi="David"/>
          <w:rtl/>
        </w:rPr>
        <w:t xml:space="preserve">אעיר כי לגופו של עניין, נראה כי בעמדתו של שופמן ביחס לגודל השטח ברוטו יש ממש, בשים לב לכך שההסכם מדבר על </w:t>
      </w:r>
      <w:r>
        <w:rPr>
          <w:rFonts w:ascii="David" w:hAnsi="David"/>
          <w:b/>
          <w:bCs/>
          <w:rtl/>
        </w:rPr>
        <w:t xml:space="preserve">"שטח </w:t>
      </w:r>
      <w:r>
        <w:rPr>
          <w:rFonts w:ascii="David" w:hAnsi="David"/>
          <w:b/>
          <w:bCs/>
          <w:u w:val="single"/>
          <w:rtl/>
        </w:rPr>
        <w:t>ברוטו</w:t>
      </w:r>
      <w:r>
        <w:rPr>
          <w:rFonts w:ascii="David" w:hAnsi="David"/>
          <w:b/>
          <w:bCs/>
          <w:rtl/>
        </w:rPr>
        <w:t>..."</w:t>
      </w:r>
      <w:r>
        <w:rPr>
          <w:rFonts w:ascii="David" w:hAnsi="David"/>
          <w:rtl/>
        </w:rPr>
        <w:t xml:space="preserve"> להבדיל ממדידת הנכס נטו (כאמור, גם חסאן עמד על ההבדל בחקירתו). מכל מקום, אין חולק כי בשל הקושי שראתה עורכת הדין של הנתבעות </w:t>
      </w:r>
      <w:r w:rsidR="00D65749">
        <w:rPr>
          <w:rFonts w:ascii="David" w:hAnsi="David" w:hint="cs"/>
          <w:rtl/>
        </w:rPr>
        <w:t xml:space="preserve">שכנגד </w:t>
      </w:r>
      <w:r>
        <w:rPr>
          <w:rFonts w:ascii="David" w:hAnsi="David"/>
          <w:rtl/>
        </w:rPr>
        <w:t xml:space="preserve">בדבר קיום התנאי לגבי היקף השטח וליתר ביטחון, נולד כתב הוויתור. כך מבחינת הנתבעות </w:t>
      </w:r>
      <w:r w:rsidR="00D65749">
        <w:rPr>
          <w:rFonts w:ascii="David" w:hAnsi="David" w:hint="cs"/>
          <w:rtl/>
        </w:rPr>
        <w:t xml:space="preserve">שכנגד </w:t>
      </w:r>
      <w:r>
        <w:rPr>
          <w:rFonts w:ascii="David" w:hAnsi="David"/>
          <w:rtl/>
        </w:rPr>
        <w:t xml:space="preserve">וכך גם מבחינת המשביר (בזמן אמת), כששני הצדדים היו מעוניינים בקיום ההסכם וכניסתו לתוקף, ומתוך מודעות לפרטים. כתב הוויתור נחתם על ידי המשביר מתוך מודעות לפרטים הרלבנטיים, לרבות לפרטי השטחים כמפורט בהיתר הבניה ומתוך ידיעה ברורה כי הנתבעות </w:t>
      </w:r>
      <w:r w:rsidR="00D65749">
        <w:rPr>
          <w:rFonts w:ascii="David" w:hAnsi="David" w:hint="cs"/>
          <w:rtl/>
        </w:rPr>
        <w:t xml:space="preserve">שכנגד </w:t>
      </w:r>
      <w:r>
        <w:rPr>
          <w:rFonts w:ascii="David" w:hAnsi="David"/>
          <w:rtl/>
        </w:rPr>
        <w:t xml:space="preserve">מסרבות לאשר קיומו של שטח של 5,600 מ"ר ברוטו למטרת </w:t>
      </w:r>
      <w:r>
        <w:rPr>
          <w:rFonts w:ascii="David" w:hAnsi="David"/>
          <w:rtl/>
        </w:rPr>
        <w:lastRenderedPageBreak/>
        <w:t xml:space="preserve">השכירות. מעבר לכך שלא עלה בידי המשביר לבסס כל חובה של הנתבעות </w:t>
      </w:r>
      <w:r w:rsidR="00D65749">
        <w:rPr>
          <w:rFonts w:ascii="David" w:hAnsi="David" w:hint="cs"/>
          <w:rtl/>
        </w:rPr>
        <w:t xml:space="preserve">שכנגד </w:t>
      </w:r>
      <w:r>
        <w:rPr>
          <w:rFonts w:ascii="David" w:hAnsi="David"/>
          <w:rtl/>
        </w:rPr>
        <w:t>להמציא לה את התכתובת הפנימית שהיא בבחינת היוועצות עם עורך דין או ליידע את המשביר לגבי עמדת עורכת הדין של</w:t>
      </w:r>
      <w:r w:rsidR="00D65749">
        <w:rPr>
          <w:rFonts w:ascii="David" w:hAnsi="David" w:hint="cs"/>
          <w:rtl/>
        </w:rPr>
        <w:t>הן,</w:t>
      </w:r>
      <w:r>
        <w:rPr>
          <w:rFonts w:ascii="David" w:hAnsi="David"/>
          <w:rtl/>
        </w:rPr>
        <w:t xml:space="preserve"> שעמה נועצו כיצד לנהוג ביחס לשאלת קיום התנאי מבחינת היקף השטחים. די בכך שכל הנתונים הרלבנטיים היו בידי המשביר, על מנת שתכלכל צעדיה ותחליט כיצד לנהוג. המשביר אכן חישבה צעדיה; המסמך אף הועבר לעיון עורך דין מטעמה; ובמסגרת המשא ומתן בין הצדדים, לאחר שסורבה בקשת המשביר מהנתבעות לאשר בכתב כי התקיים התנאי וכי יש במושכר 5,600 מ"ר ברוטו, אף תוקן המסמך לבקשת המשביר כמפורט לעיל ונוסחו המתוקן </w:t>
      </w:r>
      <w:r>
        <w:rPr>
          <w:rFonts w:ascii="David" w:hAnsi="David"/>
          <w:u w:val="single"/>
          <w:rtl/>
        </w:rPr>
        <w:t>המודפס</w:t>
      </w:r>
      <w:r>
        <w:rPr>
          <w:rFonts w:ascii="David" w:hAnsi="David"/>
          <w:rtl/>
        </w:rPr>
        <w:t xml:space="preserve"> הובא לחתימתו של חסאן. משא ומתן זה נמשך כחודש וחצי (החל ביום 2.2.2011 ועד לחתימת המסמך כפי שתוקן ביום 17.3.2021) כשהיתר הבניה על פרטי השטח הבנוי שצוינו בו, נמסר לחסאן כחודש טרם החתימה. היה, אפוא, בידי המשביר לבחון את העניין כרצונה. ייתכן שבסופו של דבר, לאחר כל הנ"ל, נחתם המסמך על ידי חסאן במושכר (בשטח), אך בהחלט לא נעשה הדבר בחופזה או מבלי שהתאפשר לחסאן לדעת על מה הוא חותם. בניגוד לרושם שביקשה המשביר ליצור, כאילו נחתם המסמך "בשטח" כ"שם קוד" לכך שלא התאפשר לו לעיין בו ולהתעמק בהוראותיו או להבין את תוכנו, אין מדובר במחטף או בדרישה לחתימה חפוזה "על רגל אחת" או "תוך דחיקת חסאן לפינה" ואין זה מצב שבו כרעם ביום בהיר, התייצבו יום אחד בשטח נציגי הנתבעות</w:t>
      </w:r>
      <w:r w:rsidR="00D65749">
        <w:rPr>
          <w:rFonts w:ascii="David" w:hAnsi="David" w:hint="cs"/>
          <w:rtl/>
        </w:rPr>
        <w:t xml:space="preserve"> שכנגד</w:t>
      </w:r>
      <w:r>
        <w:rPr>
          <w:rFonts w:ascii="David" w:hAnsi="David"/>
          <w:rtl/>
        </w:rPr>
        <w:t xml:space="preserve"> ודרשו מחסאן לחתום על המסמך שהציגו לו "על המקום". חסאן אף הוסיף לו לאחר שעיין בו שורה נוספת בכתב ידו, כמתואר לעיל, דבר המעיד על עיון נוסף במסמך ובחינתו נוספות בטרם החתימה גם בתנאי "שטח". מהלך הדברים לאשורו כמתואר סותר את הטענה בסיכומים ל"מחטף החתמה" או </w:t>
      </w:r>
      <w:r w:rsidR="00D65749">
        <w:rPr>
          <w:rFonts w:ascii="David" w:hAnsi="David" w:hint="cs"/>
          <w:rtl/>
        </w:rPr>
        <w:t>ש</w:t>
      </w:r>
      <w:r>
        <w:rPr>
          <w:rFonts w:ascii="David" w:hAnsi="David"/>
          <w:rtl/>
        </w:rPr>
        <w:t>המ</w:t>
      </w:r>
      <w:r w:rsidR="00D65749">
        <w:rPr>
          <w:rFonts w:ascii="David" w:hAnsi="David" w:hint="cs"/>
          <w:rtl/>
        </w:rPr>
        <w:t xml:space="preserve">סמך </w:t>
      </w:r>
      <w:r>
        <w:rPr>
          <w:rFonts w:ascii="David" w:hAnsi="David"/>
          <w:rtl/>
        </w:rPr>
        <w:t>הובא לחתימתו של חסאן "בשטח" וזה "נדחק לפינה עד שחתם על המכתב" (סעיפים 77-78) אני דוחה אפוא את הטענות לטעות, הטעיה או חוסר תום לב בקיום ההסכם או במשא ומתן לחתימה על כתב הוויתור בכל הקשור לנושא השטח, שאין להן אחיזה בחומר הראיות. אין גם יסוד לטענות שקמה עילה לפי חוק עשיית עושר ולא במשפט שאין להם מקום בהינתן ההסדר החוזי המפורש. מה גם שעילה כאמור לא הוכחה לגופה.</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b/>
          <w:bCs/>
          <w:u w:val="single"/>
        </w:rPr>
      </w:pPr>
      <w:r>
        <w:rPr>
          <w:rFonts w:ascii="David" w:hAnsi="David"/>
          <w:rtl/>
        </w:rPr>
        <w:t>מפאת קוצר היריעה לא ארחיב במלוא פרטי חקירתו ועדותו של חסאן בכל האמור. אך אציין כי מעיון בה (עמ' 325-333</w:t>
      </w:r>
      <w:r>
        <w:rPr>
          <w:rFonts w:ascii="David" w:hAnsi="David"/>
        </w:rPr>
        <w:t xml:space="preserve"> </w:t>
      </w:r>
      <w:r>
        <w:rPr>
          <w:rFonts w:ascii="David" w:hAnsi="David"/>
          <w:rtl/>
        </w:rPr>
        <w:t>לפרוטוקול), נקל להתרשם כי אינה משכנעת ואינה קוהרנטית (כפי שתואר בהרחבה בסיכומי הנתבעות</w:t>
      </w:r>
      <w:r w:rsidR="00C86CD0">
        <w:rPr>
          <w:rFonts w:ascii="David" w:hAnsi="David" w:hint="cs"/>
          <w:rtl/>
        </w:rPr>
        <w:t xml:space="preserve"> שכנגד</w:t>
      </w:r>
      <w:r>
        <w:rPr>
          <w:rFonts w:ascii="David" w:hAnsi="David"/>
          <w:rtl/>
        </w:rPr>
        <w:t>). ניתן לראות כי עמל רב נדרש כדי לחלץ מהעד את מהלך העניינים ואת העובדה שהתנהל קודם לחתימה בשטח משא ומתן תוך התכתבות בין הצדדים, ותוך שנערך בנוסח הראשוני ששלחו הנתבעות גם תיקון שהודפס לבקשת המשביר. כמו גם את העובדה שהמסמך הועבר לעורך דין מטעם המשביר בטרם החתימה עליו (הגם שחסאן סרב לאשר כי עורך הדין "עבר" על המסמך או העיר הערות או שהוא עיין בהערותיו אם ניתנו בפועל. ראו עמ' 329 ש' 14-20, עמ' 332 ש' 13-25). אציין לדוגמא כי תחילה העיד "</w:t>
      </w:r>
      <w:r>
        <w:rPr>
          <w:rFonts w:ascii="David" w:hAnsi="David"/>
          <w:b/>
          <w:bCs/>
          <w:rtl/>
        </w:rPr>
        <w:t>המכתב הזה הוחתם כהונאה, החתימו אותי כהונאה בשטח</w:t>
      </w:r>
      <w:r>
        <w:rPr>
          <w:rFonts w:ascii="David" w:hAnsi="David"/>
          <w:rtl/>
        </w:rPr>
        <w:t>" (עמ' 325 ש' 14-15) "</w:t>
      </w:r>
      <w:r>
        <w:rPr>
          <w:rFonts w:ascii="David" w:hAnsi="David"/>
          <w:b/>
          <w:bCs/>
          <w:rtl/>
        </w:rPr>
        <w:t xml:space="preserve">לא שמתי </w:t>
      </w:r>
      <w:r>
        <w:rPr>
          <w:rFonts w:ascii="David" w:hAnsi="David"/>
          <w:b/>
          <w:bCs/>
          <w:rtl/>
        </w:rPr>
        <w:lastRenderedPageBreak/>
        <w:t>לב. כן. חתמתי, לא שאלתי שאלות</w:t>
      </w:r>
      <w:r>
        <w:rPr>
          <w:rFonts w:ascii="David" w:hAnsi="David"/>
          <w:rtl/>
        </w:rPr>
        <w:t>" (ש' 20-26). כשנאמר לו כי הוספת הסעיף בכתב ידו בשטח מלמד שלא החתימו אותו במהירות, השיב "</w:t>
      </w:r>
      <w:r>
        <w:rPr>
          <w:rFonts w:ascii="David" w:hAnsi="David"/>
          <w:b/>
          <w:bCs/>
          <w:rtl/>
        </w:rPr>
        <w:t>אני קראתי ומבחינתי אני הבנתי שהתנאי מתקיים</w:t>
      </w:r>
      <w:r>
        <w:rPr>
          <w:rFonts w:ascii="David" w:hAnsi="David"/>
          <w:rtl/>
        </w:rPr>
        <w:t xml:space="preserve"> ..."  "</w:t>
      </w:r>
      <w:r>
        <w:rPr>
          <w:rFonts w:ascii="David" w:hAnsi="David"/>
          <w:b/>
          <w:bCs/>
          <w:rtl/>
        </w:rPr>
        <w:t>לא הבנתי שאני מוותר</w:t>
      </w:r>
      <w:r>
        <w:rPr>
          <w:rFonts w:ascii="David" w:hAnsi="David"/>
          <w:rtl/>
        </w:rPr>
        <w:t>" אף שהודה כי עשה עשרות חוזים, וכשנשאל: "זאת אומרת ההפך ממה שכתוב הבנת?" השיב: "</w:t>
      </w:r>
      <w:r>
        <w:rPr>
          <w:rFonts w:ascii="David" w:hAnsi="David"/>
          <w:b/>
          <w:bCs/>
          <w:rtl/>
        </w:rPr>
        <w:t>במקרה הספציפי הזה, בשטח לא הבנתי</w:t>
      </w:r>
      <w:r>
        <w:rPr>
          <w:rFonts w:ascii="David" w:hAnsi="David"/>
          <w:rtl/>
        </w:rPr>
        <w:t>" (עמ' 326 ש' 16-27). שוב התבקש להבהיר גרסתו נוכח ההערה שהוסיף שכן כדי להוסיף ולהגיד שחסר משהו, צריך לקרוא את המסמך השיב: "</w:t>
      </w:r>
      <w:r>
        <w:rPr>
          <w:rFonts w:ascii="David" w:hAnsi="David"/>
          <w:b/>
          <w:bCs/>
          <w:rtl/>
        </w:rPr>
        <w:t>קראתי והסבירו לי והטעו אותי</w:t>
      </w:r>
      <w:r>
        <w:rPr>
          <w:rFonts w:ascii="David" w:hAnsi="David"/>
          <w:rtl/>
        </w:rPr>
        <w:t>" וחזר וטען כי הבין שהתנאי התקיים (עמ' 1-13). בהמשך הוסיף והעיד (אחרי שהסכים כי המסמך תוקן והודפס קודם להבאתו לשטח וכי גם הועבר קודם גם לעורך דין מטעם המשביר) כי נאמר לו שחייבים לחתום על המסמך אחרת לא תוכל המשביר להמשיך לעבוד בנכס, אך התבקש להפנות לטענת אילוץ בתצהירו, והשיב "</w:t>
      </w:r>
      <w:r>
        <w:rPr>
          <w:rFonts w:ascii="David" w:hAnsi="David"/>
          <w:b/>
          <w:bCs/>
          <w:rtl/>
        </w:rPr>
        <w:t>לא חתמתי באילוץ, חתמתי בשטח</w:t>
      </w:r>
      <w:r>
        <w:rPr>
          <w:rFonts w:ascii="David" w:hAnsi="David"/>
          <w:rtl/>
        </w:rPr>
        <w:t>" והוסיף לשאלת ב"כ הנתבעות כי "</w:t>
      </w:r>
      <w:r>
        <w:rPr>
          <w:rFonts w:ascii="David" w:hAnsi="David"/>
          <w:b/>
          <w:bCs/>
          <w:rtl/>
        </w:rPr>
        <w:t>אף אחד לא איים עלי בפינוי</w:t>
      </w:r>
      <w:r>
        <w:rPr>
          <w:rFonts w:ascii="David" w:hAnsi="David"/>
          <w:rtl/>
        </w:rPr>
        <w:t>". מדובר בטענות שקשה לקבל מאיש עסקים כחסאן בוודאי נוכח לשונו של המסמך ולאור כל השתלשלות האירועים כמתואר קודם לחתימתו עליו; ואני דוחה את טענתו כי "הוחתם" על המסמך מבלי שזכה לעיין בו לעומק ומבלי שהיה בידו להבין על מה הוא חותם.</w:t>
      </w:r>
    </w:p>
    <w:p w:rsidR="00CD2861" w:rsidRDefault="00CD2861" w:rsidP="00CD2861">
      <w:pPr>
        <w:spacing w:line="360" w:lineRule="auto"/>
        <w:jc w:val="both"/>
        <w:rPr>
          <w:rFonts w:ascii="David" w:hAnsi="David"/>
        </w:rPr>
      </w:pPr>
    </w:p>
    <w:p w:rsidR="00CD2861" w:rsidRDefault="00CD2861" w:rsidP="00C86CD0">
      <w:pPr>
        <w:pStyle w:val="af"/>
        <w:numPr>
          <w:ilvl w:val="0"/>
          <w:numId w:val="2"/>
        </w:numPr>
        <w:spacing w:before="0" w:after="0" w:line="360" w:lineRule="auto"/>
        <w:ind w:left="509" w:hanging="567"/>
        <w:jc w:val="both"/>
        <w:rPr>
          <w:rFonts w:ascii="David" w:hAnsi="David"/>
        </w:rPr>
      </w:pPr>
      <w:r>
        <w:rPr>
          <w:rFonts w:ascii="David" w:hAnsi="David"/>
          <w:rtl/>
        </w:rPr>
        <w:t>גם גרסת המשביר כי למשביר נודע לראשונה אודות גודל השטח רק בשנת 2016 בעקבות מדידה שבוצעה לצרכי ארנונה, אינה משכנעת ולא נתתי בה אמון נוכח כל המגולל ומשעה שלא הוצגה כל ראיה לתמיכה בטענה זו. לא הוצגה המדידה המקורית (הגם שעו"ד קוק אישרה כי יש להניח שהמדידה מצויה בתיק הנכס, בעמ' 353 ש' 7) וגם לא כל ראיה רלבנטית אחרת לתמוך בכך</w:t>
      </w:r>
      <w:r w:rsidR="00C86CD0">
        <w:rPr>
          <w:rFonts w:ascii="David" w:hAnsi="David" w:hint="cs"/>
          <w:rtl/>
        </w:rPr>
        <w:t>,</w:t>
      </w:r>
      <w:r>
        <w:rPr>
          <w:rFonts w:ascii="David" w:hAnsi="David"/>
          <w:rtl/>
        </w:rPr>
        <w:t xml:space="preserve"> ויש באי הבאת הראיה כדי לפע</w:t>
      </w:r>
      <w:r w:rsidR="00C86CD0">
        <w:rPr>
          <w:rFonts w:ascii="David" w:hAnsi="David" w:hint="cs"/>
          <w:rtl/>
        </w:rPr>
        <w:t>ו</w:t>
      </w:r>
      <w:r>
        <w:rPr>
          <w:rFonts w:ascii="David" w:hAnsi="David"/>
          <w:rtl/>
        </w:rPr>
        <w:t xml:space="preserve">ל לרעת המשביר. יפים הדברים שבעתיים בהינתן שהמשביר מחזיקה במושכר משנת 2011 (מה שמאפשר ללא ספק ביצוע מדידות לרוב ובכל עת), ביצוע עבודות הפנים במושכר על ידה, ונוכח היתר השינויים שהועבר לחסאן עוד טרם החתימה על כתב הוויתור בשנת 2011. נראה שיש ממש בטענת הנתבעות </w:t>
      </w:r>
      <w:r w:rsidR="00C86CD0">
        <w:rPr>
          <w:rFonts w:ascii="David" w:hAnsi="David" w:hint="cs"/>
          <w:rtl/>
        </w:rPr>
        <w:t xml:space="preserve">שכנגד </w:t>
      </w:r>
      <w:r>
        <w:rPr>
          <w:rFonts w:ascii="David" w:hAnsi="David"/>
          <w:rtl/>
        </w:rPr>
        <w:t xml:space="preserve">כי בכך ביקשה המשביר לנסות להסביר את התנהלותה בכך שלא העלתה כל טענה עד למכתב הדרישה מאוגוסט 2016.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Pr>
      </w:pPr>
      <w:r>
        <w:rPr>
          <w:rFonts w:ascii="David" w:hAnsi="David"/>
          <w:rtl/>
        </w:rPr>
        <w:t>על מנת לסבר את האוזן, אביא מחקירתו של חסאן שלא היה בה כדי להניח את הדעת גם בעניין זה. חסאן אישר כי קיבל בדוא"ל מיורן ביום 20.2.2011 את היתר הבניה (עמ' 339 ש' 25 - 340) והתבקש להסביר כיצד התגלה נושא השטח רק בשנת 2016, כששטח הבניה לפי ההיתר הוא 4,763 מ"ר. על כך השיב: "</w:t>
      </w:r>
      <w:r>
        <w:rPr>
          <w:rFonts w:ascii="David" w:hAnsi="David"/>
          <w:b/>
          <w:bCs/>
          <w:rtl/>
        </w:rPr>
        <w:t>כן אבל זה היתר שינויים. זה לא היתר של כל הבניין זה היתר רלוונטי רק לקומות ששינו להם את הייעוד"</w:t>
      </w:r>
      <w:r>
        <w:rPr>
          <w:rFonts w:ascii="David" w:hAnsi="David"/>
          <w:rtl/>
        </w:rPr>
        <w:t xml:space="preserve"> (ש' 15-16). אלא שאם כך, כפי שהובהר לו, פירוש הדבר כי השטח בכללותו גדול מהרשום. על כך לא הייתה לעד תשובה משכנעת אם בכלל. בין היתר נשאל אם ראה את המספר 4,763 מ"ר והשיב: "</w:t>
      </w:r>
      <w:r>
        <w:rPr>
          <w:rFonts w:ascii="David" w:hAnsi="David"/>
          <w:b/>
          <w:bCs/>
          <w:rtl/>
        </w:rPr>
        <w:t>אני לא ראיתי, אני לא זוכר. יכול להיות שראיתי את המספר, יכול להיות שלא. יכול להיות שלא</w:t>
      </w:r>
      <w:r>
        <w:rPr>
          <w:rFonts w:ascii="David" w:hAnsi="David"/>
          <w:rtl/>
        </w:rPr>
        <w:t xml:space="preserve">" (עמ' 341 שורות 22-23) (ראו החקירה עד עמ' 342 ש' 2). תשובותיו של חסאן לא היו משכנעות גם בקשר עם </w:t>
      </w:r>
      <w:r>
        <w:rPr>
          <w:rFonts w:ascii="David" w:hAnsi="David"/>
          <w:rtl/>
        </w:rPr>
        <w:lastRenderedPageBreak/>
        <w:t xml:space="preserve">העובדה שהמשביר ביצעה עבודות פנים במושכר, שכזכור בהתאם להסכם התקבל בידה ברמת מעטפת. עדי הנתבעות העידו כי המשביר היתה מודעת היטב לתכנון המושכר. שופמן הצהיר כי </w:t>
      </w:r>
      <w:r>
        <w:rPr>
          <w:rFonts w:ascii="David" w:hAnsi="David"/>
          <w:b/>
          <w:bCs/>
          <w:rtl/>
        </w:rPr>
        <w:t>"...בהיותם שותפים לתכנון וגם מאחר שקיבלו את הגרמושקה ואת ההיתר, הם ידעו היטב מה הם מקבלים..."</w:t>
      </w:r>
      <w:r>
        <w:rPr>
          <w:rFonts w:ascii="David" w:hAnsi="David"/>
          <w:rtl/>
        </w:rPr>
        <w:t xml:space="preserve"> (סעיף 21), וגם בחקירתו העיד כי</w:t>
      </w:r>
      <w:r>
        <w:rPr>
          <w:rFonts w:ascii="David" w:hAnsi="David"/>
          <w:b/>
          <w:bCs/>
          <w:rtl/>
        </w:rPr>
        <w:t xml:space="preserve"> "כל ההקמה של הבניין היתה יד ביד עם המשביר, לגבי תכנון, תוכניות, מיקום דרגנועים, מיקום מעליות, כל התכנון הזה היה תכנון יד ביד"</w:t>
      </w:r>
      <w:r>
        <w:rPr>
          <w:rFonts w:ascii="David" w:hAnsi="David"/>
          <w:rtl/>
        </w:rPr>
        <w:t xml:space="preserve"> (עמ' 226 ש' 24  - עמ' 227 ש' 3). חסאן אישר שהמשביר שכרה שירות של אדריכלי פנים (עמ' 342 ש' 6-7), אך הכחיש כי נדרשו לבצע מדידות של השטח לצורך ביצוע עבודתם ("</w:t>
      </w:r>
      <w:r>
        <w:rPr>
          <w:rFonts w:ascii="David" w:hAnsi="David"/>
          <w:b/>
          <w:bCs/>
          <w:rtl/>
        </w:rPr>
        <w:t>לא, מדדו שטחים לריהוט, רק לריהוט. מספר לריהוט</w:t>
      </w:r>
      <w:r>
        <w:rPr>
          <w:rFonts w:ascii="David" w:hAnsi="David"/>
          <w:rtl/>
        </w:rPr>
        <w:t>") וכשהקשה עליו ב"כ הנתבעות "</w:t>
      </w:r>
      <w:r>
        <w:rPr>
          <w:rFonts w:ascii="David" w:hAnsi="David"/>
          <w:b/>
          <w:bCs/>
          <w:rtl/>
        </w:rPr>
        <w:t>אז הוא יושב ומודד מנקודה מסוימת, הם לא עושים תוכנית עיצוב אדריכלית?</w:t>
      </w:r>
      <w:r>
        <w:rPr>
          <w:rFonts w:ascii="David" w:hAnsi="David"/>
          <w:rtl/>
        </w:rPr>
        <w:t>", השיב כי נעשו תוכניות אדריכליות: "</w:t>
      </w:r>
      <w:r>
        <w:rPr>
          <w:rFonts w:ascii="David" w:hAnsi="David"/>
          <w:b/>
          <w:bCs/>
          <w:rtl/>
        </w:rPr>
        <w:t>לשטח מסחרי, לא לשטח ברוטו</w:t>
      </w:r>
      <w:r>
        <w:rPr>
          <w:rFonts w:ascii="David" w:hAnsi="David"/>
          <w:rtl/>
        </w:rPr>
        <w:t xml:space="preserve">" (עמ' 342). מכל מקום, ברור כי יכולת לבצע כל מדידה אפשרית הייתה בידי המשביר עת שהנכס מצוי בחזקתה. וגם מידע רלבנטי היה בידה, כאמור, נוכח היתר הבניה ונסיבות החתימה על כתב הוויתור, לרבות סירוב הנתבעות לאשר שבנכס 5,600 מ"ר ברוטו כנדרש בתנאי המתלה, כמו גם תשלומי ארנונה לאורך כל השנים. </w:t>
      </w:r>
    </w:p>
    <w:p w:rsidR="00CD2861" w:rsidRDefault="00CD2861" w:rsidP="00CD2861">
      <w:pPr>
        <w:spacing w:line="360" w:lineRule="auto"/>
        <w:jc w:val="both"/>
        <w:rPr>
          <w:rFonts w:ascii="David" w:hAnsi="David"/>
        </w:rPr>
      </w:pPr>
    </w:p>
    <w:p w:rsidR="00CD2861" w:rsidRDefault="00CD2861" w:rsidP="00C86CD0">
      <w:pPr>
        <w:pStyle w:val="af"/>
        <w:numPr>
          <w:ilvl w:val="0"/>
          <w:numId w:val="2"/>
        </w:numPr>
        <w:spacing w:before="0" w:after="0" w:line="360" w:lineRule="auto"/>
        <w:ind w:left="509" w:hanging="567"/>
        <w:jc w:val="both"/>
        <w:rPr>
          <w:rFonts w:ascii="David" w:hAnsi="David"/>
          <w:rtl/>
        </w:rPr>
      </w:pPr>
      <w:r>
        <w:rPr>
          <w:rFonts w:ascii="David" w:hAnsi="David"/>
          <w:rtl/>
        </w:rPr>
        <w:t>אשר לטענת המשביר כי רק חסאן חתם על כתב ה</w:t>
      </w:r>
      <w:r w:rsidR="00C86CD0">
        <w:rPr>
          <w:rFonts w:ascii="David" w:hAnsi="David" w:hint="cs"/>
          <w:rtl/>
        </w:rPr>
        <w:t>ו</w:t>
      </w:r>
      <w:r>
        <w:rPr>
          <w:rFonts w:ascii="David" w:hAnsi="David"/>
          <w:rtl/>
        </w:rPr>
        <w:t xml:space="preserve">ויתור, וכי היה ידוע לאזו-ריט </w:t>
      </w:r>
      <w:r w:rsidR="00C86CD0">
        <w:rPr>
          <w:rFonts w:ascii="David" w:hAnsi="David" w:hint="cs"/>
          <w:rtl/>
        </w:rPr>
        <w:t>ש</w:t>
      </w:r>
      <w:r>
        <w:rPr>
          <w:rFonts w:ascii="David" w:hAnsi="David"/>
          <w:rtl/>
        </w:rPr>
        <w:t xml:space="preserve">לחסאן אין זכות חתימה יחידה במשביר, </w:t>
      </w:r>
      <w:r w:rsidR="00C86CD0">
        <w:rPr>
          <w:rFonts w:ascii="David" w:hAnsi="David" w:hint="cs"/>
          <w:rtl/>
        </w:rPr>
        <w:t xml:space="preserve">טענה </w:t>
      </w:r>
      <w:r>
        <w:rPr>
          <w:rFonts w:ascii="David" w:hAnsi="David"/>
          <w:rtl/>
        </w:rPr>
        <w:t>שזרע לה הונח בתצהירו של חסאן (סעיף 28) ועלתה גם במהלך ההוכחות</w:t>
      </w:r>
      <w:r w:rsidR="00C86CD0">
        <w:rPr>
          <w:rFonts w:ascii="David" w:hAnsi="David" w:hint="cs"/>
          <w:rtl/>
        </w:rPr>
        <w:t>:</w:t>
      </w:r>
      <w:r>
        <w:rPr>
          <w:rFonts w:ascii="David" w:hAnsi="David"/>
          <w:rtl/>
        </w:rPr>
        <w:t xml:space="preserve"> צודקות הנתבעות </w:t>
      </w:r>
      <w:r w:rsidR="00C86CD0">
        <w:rPr>
          <w:rFonts w:ascii="David" w:hAnsi="David" w:hint="cs"/>
          <w:rtl/>
        </w:rPr>
        <w:t xml:space="preserve">שכנגד </w:t>
      </w:r>
      <w:r>
        <w:rPr>
          <w:rFonts w:ascii="David" w:hAnsi="David"/>
          <w:rtl/>
        </w:rPr>
        <w:t>בטענתן כי טענה זו מהווה הרחבת חזית אסורה. בכתב התביעה שכנגד (ראו סעיף 27) לא נטען כי המסמך מיום 17.3.2011 נעדר תוקף בשל העדר חתימות כדין והמשביר לא כפרה בתוקפו, כי אם טענה ביחס לפרשנותו בעניין היקף הוויתור או תוכנו (נטען כי המשביר הסכימה במסגרתו לוותר על התנאי המתלה בעניין מועד קבלת החזקה בלבד ולא בעניין גודל השטח). המשביר ציינה בסיכומיה (סעיף 78)</w:t>
      </w:r>
      <w:r>
        <w:rPr>
          <w:rFonts w:ascii="David" w:hAnsi="David"/>
        </w:rPr>
        <w:t xml:space="preserve"> </w:t>
      </w:r>
      <w:r>
        <w:rPr>
          <w:rFonts w:ascii="David" w:hAnsi="David"/>
          <w:rtl/>
        </w:rPr>
        <w:t xml:space="preserve">כי אינה מתעכבת על משמעות החתימה לעניין תוקפו של המסמך, שכן ממילא התייתר התנאי המתלה בפועל וההסכם מקוים מאז פתיחת הסניף לפני כ- 14 שנים אך "אין בכך כדי להכשיר את השרץ ובהכרח יש בכך כדי ללמוד על הילוכן של הנתבעות שכנגד". אם כך, אין צורך להתעכב על העניין, אך אוסיף כי סבורני שהעלאתה של טענה זו מעידה דווקא על דרך הילוכה של המשביר. </w:t>
      </w:r>
    </w:p>
    <w:p w:rsidR="00CD2861" w:rsidRDefault="00CD2861" w:rsidP="00CD2861">
      <w:pPr>
        <w:pStyle w:val="af"/>
        <w:rPr>
          <w:rFonts w:ascii="David" w:hAnsi="David"/>
        </w:rPr>
      </w:pPr>
    </w:p>
    <w:p w:rsidR="00CD2861" w:rsidRDefault="00CD2861" w:rsidP="00C86CD0">
      <w:pPr>
        <w:pStyle w:val="af"/>
        <w:numPr>
          <w:ilvl w:val="0"/>
          <w:numId w:val="2"/>
        </w:numPr>
        <w:spacing w:before="0" w:after="0" w:line="360" w:lineRule="auto"/>
        <w:ind w:left="509" w:hanging="567"/>
        <w:jc w:val="both"/>
        <w:rPr>
          <w:rFonts w:ascii="David" w:hAnsi="David"/>
          <w:rtl/>
        </w:rPr>
      </w:pPr>
      <w:r>
        <w:rPr>
          <w:rFonts w:ascii="David" w:hAnsi="David"/>
          <w:b/>
          <w:bCs/>
          <w:rtl/>
        </w:rPr>
        <w:t>אחתום ואסכם פרק זה של הדיון</w:t>
      </w:r>
      <w:r>
        <w:rPr>
          <w:rFonts w:ascii="David" w:hAnsi="David"/>
          <w:rtl/>
        </w:rPr>
        <w:t xml:space="preserve"> בכך שנסיבות החתימה על כתב הוויתור והשתלשלות הדברים עד לחתימתו, תומכ</w:t>
      </w:r>
      <w:r w:rsidR="00C86CD0">
        <w:rPr>
          <w:rFonts w:ascii="David" w:hAnsi="David" w:hint="cs"/>
          <w:rtl/>
        </w:rPr>
        <w:t>ו</w:t>
      </w:r>
      <w:r>
        <w:rPr>
          <w:rFonts w:ascii="David" w:hAnsi="David"/>
          <w:rtl/>
        </w:rPr>
        <w:t xml:space="preserve">ת במסקנה המתבקשת גם מלשונו, כי המשביר ויתרה על התנאי המתלה גם בנוגע לשטח המושכר. כתב הוויתור נולד ונחתם על רקע קיומו של ספק באשר להתקיימות התנאי המתלה ביחס להיקף השטח ברוטו למטרת השכירות, ובשאלה האם עומד הוא על 5,600 מ"ר ברוטו, בפרט. הוא לא נדרש בשל ספק בקיום התנאי בעניין המועדים (כנטען בכתב התביעה שכנגד) או בעניין השימושים (כנטען בסיכומים). וכפי שקבעתי לעיל, תוך דחיית כל טענות המשביר בעניין זה, לא נפל פגם בחתימת המשביר על כתב הוויתור שבו </w:t>
      </w:r>
      <w:r>
        <w:rPr>
          <w:rFonts w:ascii="David" w:hAnsi="David"/>
          <w:rtl/>
        </w:rPr>
        <w:lastRenderedPageBreak/>
        <w:t xml:space="preserve">היא ויתרה גם על התנאי בעניין </w:t>
      </w:r>
      <w:r w:rsidR="00C86CD0">
        <w:rPr>
          <w:rFonts w:ascii="David" w:hAnsi="David" w:hint="cs"/>
          <w:rtl/>
        </w:rPr>
        <w:t>ה</w:t>
      </w:r>
      <w:r>
        <w:rPr>
          <w:rFonts w:ascii="David" w:hAnsi="David"/>
          <w:rtl/>
        </w:rPr>
        <w:t>שטח. החתימה באה תוך שהיו בידה כל הפרטים הרלבנטיים ולאחר משא ומתן בין הצדדים שבמסגרתו גם התאפשר לה לשקול ולבחון את הדברים כדבעי.</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כפי שציינתי לעיל, גם התנהלות הצדדים לאחר החתימה על כתב הוויתור מלמדת כי נתפש בעיניהם בזמן אמת ואף שנים ארוכות לאחר מכן, כוויתור גם על היבט השטח שבתנאי המתלה. אף סבורני כי התנהלות זו היא כשלעצמה מעידה על ויתור גם אילולא נחתם כתב הוויתור; ובשלה גם מנועה המשביר מלטעון כיום לאחר שנים ארוכות טענה בקשר לאי קיום תנאי השטח (שאף לא הוכח שלא קוים). אפרט להלן;</w:t>
      </w:r>
    </w:p>
    <w:p w:rsidR="00CD2861" w:rsidRDefault="00CD2861" w:rsidP="00CD2861">
      <w:pPr>
        <w:pStyle w:val="af"/>
        <w:rPr>
          <w:rFonts w:ascii="David" w:hAnsi="David"/>
          <w:rtl/>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b/>
          <w:bCs/>
          <w:rtl/>
        </w:rPr>
        <w:t>התנהלות הצדדים לאחר החתימה</w:t>
      </w:r>
      <w:r>
        <w:rPr>
          <w:rFonts w:ascii="David" w:hAnsi="David"/>
          <w:rtl/>
        </w:rPr>
        <w:t xml:space="preserve">, במה דברים אמורים? – בכך שהמשביר קיימה את ההסכם כלשונו ושילמה את דמי השכירות כפי שנקבעו בהסכם ללא עוררין ומבלי שהעלתה כל טענה ביחס לשטח המושכר במשך שנים ארוכות, עד שזו הועלתה במכתב הדרישה מאוגוסט 2016. יתר על כן, גם לאחר מכתב דרישה זה לא פעלה המשביר כמצופה ממי שאמנם סבור כי עליו לשלם דמי שכירות מופחתים נוכח שטח המושכר, כאשר לא נקטה כל פעולה ממשית ורלבנטית (אם בכלל). בין היתר, המשביר לא כפרה בחובתה לשלם את מלוא דמי השכירות כנקוב בהסכם, אף הודתה בחובתה לשלמם ושילמה אותם בפועל במלואם גם לאחר שהתברר לה, כטענתה, בשנת 2016, ששטח המושכר קטן מזה שהובטח לה. ולמעט מכתב הדרישה מאוגוסט 2016, עד לאזכור </w:t>
      </w:r>
      <w:r w:rsidRPr="00C86CD0">
        <w:rPr>
          <w:rFonts w:ascii="David" w:hAnsi="David"/>
          <w:rtl/>
        </w:rPr>
        <w:t>הנושא בשנת 2020 במסגרת</w:t>
      </w:r>
      <w:r>
        <w:rPr>
          <w:rFonts w:ascii="David" w:hAnsi="David"/>
          <w:rtl/>
        </w:rPr>
        <w:t xml:space="preserve"> המשא ומתן להנחות בדמי השכירות שנדון בתביעה העיקרית, לא העלתה המשביר כל טענה להפחתתם בשל היקף השטח. </w:t>
      </w:r>
    </w:p>
    <w:p w:rsidR="00CD2861" w:rsidRDefault="00CD2861" w:rsidP="00CD2861">
      <w:pPr>
        <w:pStyle w:val="af"/>
        <w:rPr>
          <w:rFonts w:ascii="David" w:hAnsi="David"/>
        </w:rPr>
      </w:pPr>
    </w:p>
    <w:p w:rsidR="00CD2861" w:rsidRDefault="00CD2861" w:rsidP="007A153D">
      <w:pPr>
        <w:pStyle w:val="af"/>
        <w:numPr>
          <w:ilvl w:val="0"/>
          <w:numId w:val="2"/>
        </w:numPr>
        <w:spacing w:before="0" w:after="0" w:line="360" w:lineRule="auto"/>
        <w:ind w:left="509" w:hanging="567"/>
        <w:jc w:val="both"/>
        <w:rPr>
          <w:rFonts w:ascii="David" w:hAnsi="David"/>
          <w:rtl/>
        </w:rPr>
      </w:pPr>
      <w:r>
        <w:rPr>
          <w:rFonts w:ascii="David" w:hAnsi="David"/>
          <w:rtl/>
        </w:rPr>
        <w:t>כך גם במסגרת הליכים משפטיים בתביעה על סך של כ- 1.5 מיליון ₪ שהגישה אזו-ריט נגד המשביר לתשלום דמי שכירות בנכס בשנת 2017 (כשנה לאחר שנודע לה לטענתה על שטח המושכר) לבית משפט שלום במסגרת תא"ק 32011-06-17. לא נטען דבר לגבי שטח המושכר והפחתת דמי השכירות בהתאם (עו"ד כשר, סעיף 13 ונספחים 6-7. המשביר שילמה 1.3 מיליון ₪ מהחוב, והתביעה תוקנה בהתאם, והצדדים הגיעו לפשרה ביחס ליתרת הסכום). יתר על כן, עו"ד קוק הצהירה שם כי</w:t>
      </w:r>
      <w:r>
        <w:rPr>
          <w:rFonts w:ascii="David" w:hAnsi="David"/>
          <w:b/>
          <w:bCs/>
          <w:rtl/>
        </w:rPr>
        <w:t xml:space="preserve"> "התביעה במקורה הוגשה לתשלום דמי שכירות בגין חודש אחד וחיובי ריבית פיגורים מתחילת תקופת השכירות. המשיבה אצה רצה לבית המשפט להגשת תביעה שמלכתחילה לא הייתה צריכה להיות מוגשת, שהרי המבקשת </w:t>
      </w:r>
      <w:r>
        <w:rPr>
          <w:rFonts w:ascii="David" w:hAnsi="David"/>
          <w:b/>
          <w:bCs/>
          <w:u w:val="single"/>
          <w:rtl/>
        </w:rPr>
        <w:t>לא התכחשה לחובתה</w:t>
      </w:r>
      <w:r>
        <w:rPr>
          <w:rFonts w:ascii="David" w:hAnsi="David"/>
          <w:b/>
          <w:bCs/>
          <w:rtl/>
        </w:rPr>
        <w:t xml:space="preserve"> לשלם את דמי השכירות"</w:t>
      </w:r>
      <w:r>
        <w:rPr>
          <w:rFonts w:ascii="David" w:hAnsi="David"/>
          <w:rtl/>
        </w:rPr>
        <w:t xml:space="preserve"> (נספח 2 לתצהיר עו"ד קוק, בסעיף 4). עוד הצהירה שם כי</w:t>
      </w:r>
      <w:r>
        <w:rPr>
          <w:rFonts w:ascii="David" w:hAnsi="David"/>
          <w:b/>
          <w:bCs/>
          <w:rtl/>
        </w:rPr>
        <w:t xml:space="preserve"> "אין מחלוקת כי המבקשת שילמה ומשלמת למשיבה את מלוא התשלומים החלים עליה על פי הסכם השכירות, לרבות ובמיוחד את דמי השכירות"</w:t>
      </w:r>
      <w:r>
        <w:rPr>
          <w:rFonts w:ascii="David" w:hAnsi="David"/>
          <w:rtl/>
        </w:rPr>
        <w:t xml:space="preserve"> (שם בסעיף 17; עדות עו"ד בעמ' 359 שורות 12-23).</w:t>
      </w:r>
    </w:p>
    <w:p w:rsidR="00CD2861" w:rsidRDefault="00CD2861" w:rsidP="00CD2861">
      <w:pPr>
        <w:pStyle w:val="af"/>
        <w:rPr>
          <w:rFonts w:ascii="David" w:hAnsi="David"/>
        </w:rPr>
      </w:pPr>
    </w:p>
    <w:p w:rsidR="00CD2861" w:rsidRDefault="00CD2861" w:rsidP="007A153D">
      <w:pPr>
        <w:pStyle w:val="af"/>
        <w:numPr>
          <w:ilvl w:val="0"/>
          <w:numId w:val="2"/>
        </w:numPr>
        <w:spacing w:before="0" w:after="0" w:line="360" w:lineRule="auto"/>
        <w:ind w:left="509" w:hanging="567"/>
        <w:jc w:val="both"/>
        <w:rPr>
          <w:rFonts w:ascii="David" w:hAnsi="David"/>
          <w:rtl/>
        </w:rPr>
      </w:pPr>
      <w:r>
        <w:rPr>
          <w:rFonts w:ascii="David" w:hAnsi="David"/>
          <w:rtl/>
        </w:rPr>
        <w:lastRenderedPageBreak/>
        <w:t xml:space="preserve">עו"ד קוק נחקרה בעניין זה (עמ' 356) </w:t>
      </w:r>
      <w:r>
        <w:rPr>
          <w:rFonts w:ascii="David" w:hAnsi="David"/>
          <w:b/>
          <w:bCs/>
          <w:rtl/>
        </w:rPr>
        <w:t>"אז אם אתם ב-2016 כבר גיליתם שעש</w:t>
      </w:r>
      <w:r w:rsidR="007A153D">
        <w:rPr>
          <w:rFonts w:ascii="David" w:hAnsi="David" w:hint="cs"/>
          <w:b/>
          <w:bCs/>
          <w:rtl/>
        </w:rPr>
        <w:t>ק</w:t>
      </w:r>
      <w:r>
        <w:rPr>
          <w:rFonts w:ascii="David" w:hAnsi="David"/>
          <w:b/>
          <w:bCs/>
          <w:rtl/>
        </w:rPr>
        <w:t>ו אתכם וגבו מכם שכר דירה ביתר וכו', למה מיהרתם לשלם במקום לטעון – חייבים לנו כסף? למה מיהרתם לשלם מיליון ומשהו ₪ במקום לטעון שאתם שחייבים לכם כסף?"</w:t>
      </w:r>
      <w:r>
        <w:rPr>
          <w:rFonts w:ascii="David" w:hAnsi="David"/>
          <w:rtl/>
        </w:rPr>
        <w:t xml:space="preserve">, והשיבה: </w:t>
      </w:r>
      <w:r>
        <w:rPr>
          <w:rFonts w:ascii="David" w:hAnsi="David"/>
          <w:b/>
          <w:bCs/>
          <w:rtl/>
        </w:rPr>
        <w:t>"שתי סיבות, אחד, היו לנו שיחות אז אם אבי לוי ומשה רוזנבלום בנושא הזה, וגם אם זהורית, והדבר השני, אם אני זוכרת נכון, זה בכלל היה בסדר דין מהיר, מה אתה רוצה? שנתחיל לטעון טענות בסדר דין מהיר? אני נמנעת מלהגיש תביעות כנגד מליסרון"</w:t>
      </w:r>
      <w:r>
        <w:rPr>
          <w:rFonts w:ascii="David" w:hAnsi="David"/>
          <w:rtl/>
        </w:rPr>
        <w:t xml:space="preserve"> (עמ' 356 ש' 26 – עמ' 357). לאחר מכן הוסיפה עו"ד קוק כי </w:t>
      </w:r>
      <w:r>
        <w:rPr>
          <w:rFonts w:ascii="David" w:hAnsi="David"/>
          <w:b/>
          <w:bCs/>
          <w:rtl/>
        </w:rPr>
        <w:t xml:space="preserve">"היו שיחות באותו זמן" </w:t>
      </w:r>
      <w:r>
        <w:rPr>
          <w:rFonts w:ascii="David" w:hAnsi="David"/>
          <w:rtl/>
        </w:rPr>
        <w:t>(עמ' 357 שורה 11), שיחות לא מתועדות (עמ' 359 ש' 24 ואילך). עוד העידה</w:t>
      </w:r>
      <w:r>
        <w:rPr>
          <w:rFonts w:ascii="David" w:hAnsi="David"/>
          <w:b/>
          <w:bCs/>
          <w:rtl/>
        </w:rPr>
        <w:t xml:space="preserve"> "כי אנחנו שילמנו את דמי השכירות ולכן אנחנו ממשיכים לשלם ותוך כדי מנהלים שיחות כפי שנהוג במערכת יחסים בינינו, כפי שהיה לאורך כל השנים וכפי שמובטח לנו אנחנו מטפלים בזה",</w:t>
      </w:r>
      <w:r>
        <w:rPr>
          <w:rFonts w:ascii="David" w:hAnsi="David"/>
          <w:rtl/>
        </w:rPr>
        <w:t xml:space="preserve"> ועמדה על כך שלמשביר אין זכות קיזוז (עמ' 357-358). הדברים אינם משכנעים. </w:t>
      </w:r>
      <w:r w:rsidR="007A153D">
        <w:rPr>
          <w:rFonts w:ascii="David" w:hAnsi="David" w:hint="cs"/>
          <w:rtl/>
        </w:rPr>
        <w:t xml:space="preserve">אציין כי </w:t>
      </w:r>
      <w:r>
        <w:rPr>
          <w:rFonts w:ascii="David" w:hAnsi="David"/>
          <w:rtl/>
        </w:rPr>
        <w:t>טענת הנתבעות</w:t>
      </w:r>
      <w:r w:rsidR="007A153D">
        <w:rPr>
          <w:rFonts w:ascii="David" w:hAnsi="David" w:hint="cs"/>
          <w:rtl/>
        </w:rPr>
        <w:t xml:space="preserve"> שכנגד</w:t>
      </w:r>
      <w:r>
        <w:rPr>
          <w:rFonts w:ascii="David" w:hAnsi="David"/>
          <w:rtl/>
        </w:rPr>
        <w:t xml:space="preserve"> בעניין זה הועלתה כבר בכתב ההגנה שכנגד</w:t>
      </w:r>
      <w:r w:rsidR="007A153D">
        <w:rPr>
          <w:rFonts w:ascii="David" w:hAnsi="David" w:hint="cs"/>
          <w:rtl/>
        </w:rPr>
        <w:t>,</w:t>
      </w:r>
      <w:r>
        <w:rPr>
          <w:rFonts w:ascii="David" w:hAnsi="David"/>
          <w:rtl/>
        </w:rPr>
        <w:t xml:space="preserve"> ובכתב התשובה שהגישה המשביר נטען כי הטענה לגבי השטחים לא הועלתה בתביעה זו "</w:t>
      </w:r>
      <w:r>
        <w:rPr>
          <w:rFonts w:ascii="David" w:hAnsi="David"/>
          <w:b/>
          <w:bCs/>
          <w:rtl/>
        </w:rPr>
        <w:t>שכן תביעות אלה הוגשו בגין סכומים זניחים...</w:t>
      </w:r>
      <w:r>
        <w:rPr>
          <w:rFonts w:ascii="David" w:hAnsi="David"/>
          <w:rtl/>
        </w:rPr>
        <w:t xml:space="preserve">" (סעיף 8). </w:t>
      </w:r>
      <w:r w:rsidR="007A153D">
        <w:rPr>
          <w:rFonts w:ascii="David" w:hAnsi="David"/>
          <w:rtl/>
        </w:rPr>
        <w:t xml:space="preserve">אוסיף </w:t>
      </w:r>
      <w:r w:rsidR="007A153D">
        <w:rPr>
          <w:rFonts w:ascii="David" w:hAnsi="David" w:hint="cs"/>
          <w:rtl/>
        </w:rPr>
        <w:t xml:space="preserve">גם </w:t>
      </w:r>
      <w:r w:rsidR="007A153D">
        <w:rPr>
          <w:rFonts w:ascii="David" w:hAnsi="David"/>
          <w:rtl/>
        </w:rPr>
        <w:t xml:space="preserve">כי לא הוכח קיומן של שיחות לא מתועדות בקשר עם עניין השטח. </w:t>
      </w:r>
      <w:r>
        <w:rPr>
          <w:rFonts w:ascii="David" w:hAnsi="David"/>
          <w:rtl/>
        </w:rPr>
        <w:t>סבורני כי כבישת הטענה משך שנים וגם לאחר שהתחוור למשביר לטענתה בשנת 2016 כי השטח קטן משהובטח, תוך תשלום מלוא דמי השכירות, מעידה אף היא על חוסר אמינות טענות התובעת שכנגד לגבי משמעות החתימה על כתב הוויתור ומשמעותו בעיניה בזמן אמת.</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b/>
          <w:bCs/>
          <w:rtl/>
        </w:rPr>
        <w:t>סיכום הדברים עד כאן</w:t>
      </w:r>
      <w:r>
        <w:rPr>
          <w:rFonts w:ascii="David" w:hAnsi="David"/>
          <w:rtl/>
        </w:rPr>
        <w:t xml:space="preserve"> – הוכח לפניי כדבעי כי המשביר ויתרה על התקיימות התנאי המתלה גם בקשר להיקף השטח בחתימה על כתב הוויתור וכך גם בהתנהגות. נוכח הוראותיו המפורשות של כתב הוויתור ועל רקע כל המקובץ, לא יכולה טענה בעניין היקף השטח להקים למשביר כנגד הנתבעות </w:t>
      </w:r>
      <w:r w:rsidR="007A153D">
        <w:rPr>
          <w:rFonts w:ascii="David" w:hAnsi="David" w:hint="cs"/>
          <w:rtl/>
        </w:rPr>
        <w:t xml:space="preserve">שכנגד </w:t>
      </w:r>
      <w:r>
        <w:rPr>
          <w:rFonts w:ascii="David" w:hAnsi="David"/>
          <w:rtl/>
        </w:rPr>
        <w:t xml:space="preserve">או מי מהן עילות תביעה כפי שתבעה ואין היא זכאית לסעדים שנתבעו. יש לדחות את התביעה </w:t>
      </w:r>
      <w:r w:rsidR="007A153D">
        <w:rPr>
          <w:rFonts w:ascii="David" w:hAnsi="David" w:hint="cs"/>
          <w:rtl/>
        </w:rPr>
        <w:t xml:space="preserve">במלואה </w:t>
      </w:r>
      <w:r>
        <w:rPr>
          <w:rFonts w:ascii="David" w:hAnsi="David"/>
          <w:rtl/>
        </w:rPr>
        <w:t xml:space="preserve">כבר מטעם זה, וכך אני מורה. </w:t>
      </w:r>
    </w:p>
    <w:p w:rsidR="00CD2861" w:rsidRDefault="00CD2861" w:rsidP="00CD2861">
      <w:pPr>
        <w:spacing w:line="360" w:lineRule="auto"/>
        <w:jc w:val="both"/>
        <w:rPr>
          <w:rFonts w:ascii="David" w:hAnsi="David"/>
        </w:rPr>
      </w:pPr>
    </w:p>
    <w:p w:rsidR="00CD2861" w:rsidRDefault="00CD2861" w:rsidP="00CD2861">
      <w:pPr>
        <w:pStyle w:val="af"/>
        <w:numPr>
          <w:ilvl w:val="0"/>
          <w:numId w:val="2"/>
        </w:numPr>
        <w:spacing w:before="0" w:after="0" w:line="360" w:lineRule="auto"/>
        <w:ind w:left="509" w:hanging="567"/>
        <w:jc w:val="both"/>
        <w:rPr>
          <w:rFonts w:ascii="David" w:hAnsi="David"/>
          <w:rtl/>
        </w:rPr>
      </w:pPr>
      <w:r>
        <w:rPr>
          <w:rFonts w:ascii="David" w:hAnsi="David"/>
          <w:rtl/>
        </w:rPr>
        <w:t xml:space="preserve">אוסיף כי המשביר גם לא הוכיחה את תביעתה, אילו עמדה לה עילת תביעה (ולא כך קבעתי). לא הוכח מהו בכלל "היקף השטח ברוטו" לצורך העניין; וגם אם אניח שגודל השטח נמוך מ- 5,600 מ"ר ברוטו הנקוב בסעיף 25.1 להסכם השכירות, עדיין צריך היה להמציא ראיות שילמדו מהו גודל השטח החסר לצורך ביצוע התחשיב. כזאת לא נעשה. זהו חלק בלתי נפרד מחובת הוכחת הנזק המוטלת על התובע (גם אם אניח שלא היה צורך במדידה כדי לקבוע שהתנאי לפי סעיף 25.1 לא קוים, כטענת המשביר בסיכומיה; ויודגש כי איני קובעת שכך). אין זה מסוג המקרים שבהם יש ליתן סעד על פי אומדנה. ניתן בנקל להמציא נתונים להוכחת הסעד. </w:t>
      </w:r>
    </w:p>
    <w:p w:rsidR="00CD2861" w:rsidRDefault="00CD2861" w:rsidP="00CD2861">
      <w:pPr>
        <w:spacing w:line="360" w:lineRule="auto"/>
        <w:jc w:val="both"/>
        <w:rPr>
          <w:rFonts w:ascii="David" w:hAnsi="David"/>
        </w:rPr>
      </w:pPr>
    </w:p>
    <w:p w:rsidR="00CD2861" w:rsidRDefault="00CD2861" w:rsidP="00A35064">
      <w:pPr>
        <w:pStyle w:val="af"/>
        <w:numPr>
          <w:ilvl w:val="0"/>
          <w:numId w:val="2"/>
        </w:numPr>
        <w:spacing w:before="0" w:after="0" w:line="360" w:lineRule="auto"/>
        <w:ind w:left="509" w:hanging="567"/>
        <w:jc w:val="both"/>
        <w:rPr>
          <w:rFonts w:ascii="David" w:hAnsi="David"/>
        </w:rPr>
      </w:pPr>
      <w:r>
        <w:rPr>
          <w:rFonts w:ascii="David" w:hAnsi="David"/>
          <w:rtl/>
        </w:rPr>
        <w:t xml:space="preserve">על מנת לסבר את האוזן אציין כי מתוך הראיות נמצא כי הועלו מספר אפשרויות אשר לגודל הנכס (ואין זה בהכרח השטח "ברוטו"). השטח </w:t>
      </w:r>
      <w:r w:rsidR="00A35064">
        <w:rPr>
          <w:rFonts w:ascii="David" w:hAnsi="David" w:hint="cs"/>
          <w:rtl/>
        </w:rPr>
        <w:t xml:space="preserve">הבנוי </w:t>
      </w:r>
      <w:r>
        <w:rPr>
          <w:rFonts w:ascii="David" w:hAnsi="David"/>
          <w:rtl/>
        </w:rPr>
        <w:t>לפי היתר הבניה</w:t>
      </w:r>
      <w:r w:rsidR="00A35064">
        <w:rPr>
          <w:rFonts w:ascii="David" w:hAnsi="David" w:hint="cs"/>
          <w:rtl/>
        </w:rPr>
        <w:t xml:space="preserve"> הוא</w:t>
      </w:r>
      <w:r>
        <w:rPr>
          <w:rFonts w:ascii="David" w:hAnsi="David"/>
          <w:rtl/>
        </w:rPr>
        <w:t xml:space="preserve"> 4,773.45 מ"ר, </w:t>
      </w:r>
      <w:r>
        <w:rPr>
          <w:rFonts w:ascii="David" w:hAnsi="David"/>
          <w:rtl/>
        </w:rPr>
        <w:lastRenderedPageBreak/>
        <w:t>שטח של 4,875 מ"ר צוין בכתב התביעה שכנגד על פי המדידה הנטענת בשנת 2016 שלא הוגשה (סעיף 28 שם וכן במכתב הדרישה מאוגוסט 2018). עו"ד קוק כי בנכס כ- 4,800-4,700 מ"ר (עמ' 353 ש' 22, עמ' 354 ש' 20-21)</w:t>
      </w:r>
      <w:r>
        <w:rPr>
          <w:rFonts w:ascii="David" w:hAnsi="David"/>
        </w:rPr>
        <w:t xml:space="preserve"> </w:t>
      </w:r>
      <w:r>
        <w:rPr>
          <w:rFonts w:ascii="David" w:hAnsi="David"/>
          <w:rtl/>
        </w:rPr>
        <w:t>ובהמשך "</w:t>
      </w:r>
      <w:r w:rsidRPr="00A35064">
        <w:rPr>
          <w:rFonts w:ascii="David" w:hAnsi="David"/>
          <w:b/>
          <w:bCs/>
          <w:rtl/>
        </w:rPr>
        <w:t>אם אני זוכרת נכון 4763, 4774 מ"ר</w:t>
      </w:r>
      <w:r>
        <w:rPr>
          <w:rFonts w:ascii="David" w:hAnsi="David"/>
          <w:rtl/>
        </w:rPr>
        <w:t>" ו"</w:t>
      </w:r>
      <w:r>
        <w:rPr>
          <w:rFonts w:ascii="David" w:hAnsi="David"/>
          <w:b/>
          <w:bCs/>
          <w:rtl/>
        </w:rPr>
        <w:t>אני לא זוכרת את המספר המדויק</w:t>
      </w:r>
      <w:r>
        <w:rPr>
          <w:rFonts w:ascii="David" w:hAnsi="David"/>
          <w:rtl/>
        </w:rPr>
        <w:t>" (עמ' 535 ש' 6-9) אך לשאלה כיצד נדע בדיוק השיבה "</w:t>
      </w:r>
      <w:r>
        <w:rPr>
          <w:rFonts w:ascii="David" w:hAnsi="David"/>
          <w:b/>
          <w:bCs/>
          <w:rtl/>
        </w:rPr>
        <w:t>אוי קי. אתה צודק, מה אגיד לך?</w:t>
      </w:r>
      <w:r>
        <w:rPr>
          <w:rFonts w:ascii="David" w:hAnsi="David"/>
          <w:rtl/>
        </w:rPr>
        <w:t>" (עמ' 535 ש' 26). לא ניתן כל הסבר משכנע להעדרה של מדידה או ראיה לביצוע בחקירות עדי המשביר (ובכלל) (ראו למשל חסאן בעמ' 333-334).</w:t>
      </w:r>
    </w:p>
    <w:p w:rsidR="00A35064" w:rsidRPr="00A35064" w:rsidRDefault="00A35064" w:rsidP="00A35064">
      <w:pPr>
        <w:spacing w:line="360" w:lineRule="auto"/>
        <w:jc w:val="both"/>
        <w:rPr>
          <w:rFonts w:ascii="David" w:hAnsi="David"/>
          <w:rtl/>
        </w:rPr>
      </w:pPr>
    </w:p>
    <w:p w:rsidR="00A35064" w:rsidRDefault="00A35064" w:rsidP="00A35064">
      <w:pPr>
        <w:pStyle w:val="af"/>
        <w:numPr>
          <w:ilvl w:val="0"/>
          <w:numId w:val="2"/>
        </w:numPr>
        <w:spacing w:before="0" w:after="0" w:line="360" w:lineRule="auto"/>
        <w:ind w:left="509" w:hanging="567"/>
        <w:jc w:val="both"/>
        <w:rPr>
          <w:rFonts w:ascii="David" w:hAnsi="David"/>
          <w:rtl/>
        </w:rPr>
      </w:pPr>
      <w:r>
        <w:rPr>
          <w:rFonts w:ascii="David" w:hAnsi="David" w:hint="cs"/>
          <w:rtl/>
        </w:rPr>
        <w:t>לא מצאתי שיש גם בטענות אחרות של הצדדים כדי לשנות מהכרעתי לעיל.</w:t>
      </w:r>
    </w:p>
    <w:p w:rsidR="00CD2861" w:rsidRPr="00A16166" w:rsidRDefault="00CD2861" w:rsidP="00CD2861">
      <w:pPr>
        <w:pStyle w:val="af"/>
        <w:rPr>
          <w:rFonts w:ascii="David" w:hAnsi="David"/>
          <w:sz w:val="28"/>
          <w:szCs w:val="28"/>
        </w:rPr>
      </w:pPr>
    </w:p>
    <w:p w:rsidR="00CD2861" w:rsidRPr="00A16166" w:rsidRDefault="00A16166" w:rsidP="00A16166">
      <w:pPr>
        <w:spacing w:after="120" w:line="360" w:lineRule="auto"/>
        <w:ind w:left="85" w:right="720"/>
        <w:jc w:val="both"/>
        <w:rPr>
          <w:rFonts w:ascii="David" w:hAnsi="David"/>
          <w:b/>
          <w:bCs/>
          <w:sz w:val="28"/>
          <w:szCs w:val="28"/>
          <w:u w:val="single"/>
          <w:rtl/>
        </w:rPr>
      </w:pPr>
      <w:r w:rsidRPr="00A16166">
        <w:rPr>
          <w:rFonts w:ascii="David" w:hAnsi="David" w:hint="cs"/>
          <w:b/>
          <w:bCs/>
          <w:sz w:val="28"/>
          <w:szCs w:val="28"/>
        </w:rPr>
        <w:t>IV</w:t>
      </w:r>
      <w:r w:rsidRPr="00A16166">
        <w:rPr>
          <w:rFonts w:ascii="David" w:hAnsi="David" w:hint="cs"/>
          <w:b/>
          <w:bCs/>
          <w:sz w:val="28"/>
          <w:szCs w:val="28"/>
          <w:rtl/>
        </w:rPr>
        <w:t xml:space="preserve"> </w:t>
      </w:r>
      <w:r w:rsidRPr="00A16166">
        <w:rPr>
          <w:rFonts w:ascii="David" w:hAnsi="David"/>
          <w:b/>
          <w:bCs/>
          <w:rtl/>
        </w:rPr>
        <w:t>–</w:t>
      </w:r>
      <w:r w:rsidRPr="00A16166">
        <w:rPr>
          <w:rFonts w:ascii="David" w:hAnsi="David" w:hint="cs"/>
          <w:b/>
          <w:bCs/>
          <w:rtl/>
        </w:rPr>
        <w:t xml:space="preserve"> </w:t>
      </w:r>
      <w:r w:rsidR="00CD2861" w:rsidRPr="00A16166">
        <w:rPr>
          <w:rFonts w:ascii="David" w:hAnsi="David"/>
          <w:b/>
          <w:bCs/>
          <w:sz w:val="28"/>
          <w:szCs w:val="28"/>
          <w:u w:val="single"/>
          <w:rtl/>
        </w:rPr>
        <w:t>סיכום והוצאות ההליך</w:t>
      </w:r>
    </w:p>
    <w:p w:rsidR="009717D9" w:rsidRPr="009717D9" w:rsidRDefault="00CD2861" w:rsidP="00B37253">
      <w:pPr>
        <w:pStyle w:val="af"/>
        <w:numPr>
          <w:ilvl w:val="0"/>
          <w:numId w:val="2"/>
        </w:numPr>
        <w:spacing w:before="0" w:after="0" w:line="360" w:lineRule="auto"/>
        <w:ind w:left="509" w:hanging="567"/>
        <w:jc w:val="both"/>
        <w:rPr>
          <w:rFonts w:ascii="David" w:hAnsi="David"/>
          <w:rtl/>
        </w:rPr>
      </w:pPr>
      <w:r w:rsidRPr="009717D9">
        <w:rPr>
          <w:rFonts w:ascii="David" w:hAnsi="David"/>
          <w:rtl/>
        </w:rPr>
        <w:t>כאמור, התביעה התקבלה במלואה</w:t>
      </w:r>
      <w:r w:rsidR="00B37253">
        <w:rPr>
          <w:rFonts w:ascii="David" w:hAnsi="David" w:hint="cs"/>
          <w:rtl/>
        </w:rPr>
        <w:t>,</w:t>
      </w:r>
      <w:r w:rsidRPr="009717D9">
        <w:rPr>
          <w:rFonts w:ascii="David" w:hAnsi="David"/>
          <w:rtl/>
        </w:rPr>
        <w:t xml:space="preserve"> </w:t>
      </w:r>
      <w:r w:rsidR="009717D9" w:rsidRPr="009717D9">
        <w:rPr>
          <w:rFonts w:ascii="David" w:hAnsi="David"/>
          <w:rtl/>
        </w:rPr>
        <w:t>ואני מחייבת את הנתבעת לשלם לתובעת סך של 12,489,324 ₪ נכון למועד הגשת התביעה, בצירוף הפרשי הצמדה וריבית כדין עד למועד התשלום</w:t>
      </w:r>
      <w:r w:rsidR="00991B1E">
        <w:rPr>
          <w:rFonts w:ascii="David" w:hAnsi="David" w:hint="cs"/>
          <w:rtl/>
        </w:rPr>
        <w:t xml:space="preserve"> בפועל</w:t>
      </w:r>
      <w:r w:rsidR="009717D9" w:rsidRPr="009717D9">
        <w:rPr>
          <w:rFonts w:ascii="David" w:hAnsi="David"/>
          <w:rtl/>
        </w:rPr>
        <w:t>.</w:t>
      </w:r>
      <w:r w:rsidR="009717D9">
        <w:rPr>
          <w:rFonts w:ascii="David" w:hAnsi="David"/>
          <w:rtl/>
        </w:rPr>
        <w:t xml:space="preserve"> </w:t>
      </w:r>
      <w:r w:rsidR="009717D9">
        <w:rPr>
          <w:rFonts w:ascii="David" w:hAnsi="David" w:hint="cs"/>
          <w:rtl/>
        </w:rPr>
        <w:t xml:space="preserve">לעניין התשלום שלפי הטענה בוצע לאחר הגשת התביעה, ראו </w:t>
      </w:r>
      <w:r w:rsidR="009717D9" w:rsidRPr="00A35064">
        <w:rPr>
          <w:rFonts w:ascii="David" w:hAnsi="David"/>
          <w:rtl/>
        </w:rPr>
        <w:t>סעיף 130</w:t>
      </w:r>
      <w:r w:rsidR="009717D9">
        <w:rPr>
          <w:rFonts w:ascii="David" w:hAnsi="David" w:hint="cs"/>
          <w:rtl/>
        </w:rPr>
        <w:t>.</w:t>
      </w:r>
      <w:r w:rsidR="009717D9">
        <w:rPr>
          <w:rFonts w:ascii="David" w:hAnsi="David"/>
          <w:rtl/>
        </w:rPr>
        <w:br/>
        <w:t>התביעה שכנגד נדחית במלואה. הכל מהטעמים כפי שפורטו לעיל.</w:t>
      </w:r>
      <w:r w:rsidR="009717D9" w:rsidRPr="009717D9">
        <w:rPr>
          <w:rFonts w:ascii="David" w:hAnsi="David"/>
          <w:rtl/>
        </w:rPr>
        <w:tab/>
      </w:r>
    </w:p>
    <w:p w:rsidR="00CD2861" w:rsidRDefault="00CD2861" w:rsidP="00CD2861">
      <w:pPr>
        <w:spacing w:line="360" w:lineRule="auto"/>
        <w:jc w:val="both"/>
        <w:rPr>
          <w:rFonts w:ascii="David" w:hAnsi="David"/>
        </w:rPr>
      </w:pPr>
    </w:p>
    <w:p w:rsidR="00CD2861" w:rsidRDefault="00CD2861" w:rsidP="00C2534E">
      <w:pPr>
        <w:pStyle w:val="af"/>
        <w:numPr>
          <w:ilvl w:val="0"/>
          <w:numId w:val="2"/>
        </w:numPr>
        <w:spacing w:before="0" w:after="0" w:line="360" w:lineRule="auto"/>
        <w:ind w:left="509" w:hanging="567"/>
        <w:jc w:val="both"/>
        <w:rPr>
          <w:rFonts w:ascii="David" w:hAnsi="David"/>
        </w:rPr>
      </w:pPr>
      <w:r w:rsidRPr="00A35064">
        <w:rPr>
          <w:rFonts w:ascii="David" w:hAnsi="David"/>
          <w:b/>
          <w:bCs/>
          <w:rtl/>
        </w:rPr>
        <w:t>לעניין הוצאות ושכר טרחת עו"ד</w:t>
      </w:r>
      <w:r>
        <w:rPr>
          <w:rFonts w:ascii="David" w:hAnsi="David"/>
          <w:rtl/>
        </w:rPr>
        <w:t xml:space="preserve">: </w:t>
      </w:r>
      <w:r w:rsidR="009D0561">
        <w:rPr>
          <w:rFonts w:ascii="David" w:hAnsi="David"/>
          <w:rtl/>
        </w:rPr>
        <w:t xml:space="preserve">אני מחייבת את המשביר לשלם לאזו-ריט ומליסרון את הוצאות ניהול ההליך בגין אגרה ותמלול בהתאם לקבלות שצורפו, </w:t>
      </w:r>
      <w:r w:rsidR="009D0561">
        <w:rPr>
          <w:rFonts w:ascii="David" w:hAnsi="David" w:hint="cs"/>
          <w:rtl/>
        </w:rPr>
        <w:t xml:space="preserve">בתוספת הפרשי הצמדה וריבית כדין ממועד ההוצאה ועד לתשלום בפועל, </w:t>
      </w:r>
      <w:r w:rsidR="009D0561">
        <w:rPr>
          <w:rFonts w:ascii="David" w:hAnsi="David"/>
          <w:rtl/>
        </w:rPr>
        <w:t>ו</w:t>
      </w:r>
      <w:r w:rsidR="009D0561">
        <w:rPr>
          <w:rFonts w:ascii="David" w:hAnsi="David" w:hint="cs"/>
          <w:rtl/>
        </w:rPr>
        <w:t xml:space="preserve">בנוסף </w:t>
      </w:r>
      <w:r w:rsidR="009D0561">
        <w:rPr>
          <w:rFonts w:ascii="David" w:hAnsi="David"/>
          <w:rtl/>
        </w:rPr>
        <w:t xml:space="preserve">שכ"ט עו"ד בסך של </w:t>
      </w:r>
      <w:r w:rsidR="009D0561">
        <w:rPr>
          <w:rFonts w:ascii="David" w:hAnsi="David" w:hint="cs"/>
          <w:rtl/>
        </w:rPr>
        <w:t>6</w:t>
      </w:r>
      <w:r w:rsidR="009D0561">
        <w:rPr>
          <w:rFonts w:ascii="David" w:hAnsi="David"/>
          <w:rtl/>
        </w:rPr>
        <w:t>00,000 ₪</w:t>
      </w:r>
      <w:r w:rsidR="009D0561">
        <w:rPr>
          <w:rFonts w:ascii="David" w:hAnsi="David" w:hint="cs"/>
          <w:rtl/>
        </w:rPr>
        <w:t xml:space="preserve"> בתוספת מע"מ כדין</w:t>
      </w:r>
      <w:r w:rsidR="009D0561">
        <w:rPr>
          <w:rFonts w:ascii="David" w:hAnsi="David"/>
          <w:rtl/>
        </w:rPr>
        <w:t xml:space="preserve">. </w:t>
      </w:r>
      <w:r w:rsidR="009D0561">
        <w:rPr>
          <w:rFonts w:ascii="David" w:hAnsi="David" w:hint="cs"/>
          <w:rtl/>
        </w:rPr>
        <w:t xml:space="preserve">בקביעת </w:t>
      </w:r>
      <w:r w:rsidR="00C2534E">
        <w:rPr>
          <w:rFonts w:ascii="David" w:hAnsi="David" w:hint="cs"/>
          <w:rtl/>
        </w:rPr>
        <w:t xml:space="preserve">שכר הטרחה </w:t>
      </w:r>
      <w:r w:rsidR="009D0561">
        <w:rPr>
          <w:rFonts w:ascii="David" w:hAnsi="David" w:hint="cs"/>
          <w:rtl/>
        </w:rPr>
        <w:t xml:space="preserve">הבאתי בחשבון את </w:t>
      </w:r>
      <w:r>
        <w:rPr>
          <w:rFonts w:ascii="David" w:hAnsi="David"/>
          <w:rtl/>
        </w:rPr>
        <w:t xml:space="preserve">התוצאה </w:t>
      </w:r>
      <w:r w:rsidR="009D0561">
        <w:rPr>
          <w:rFonts w:ascii="David" w:hAnsi="David" w:hint="cs"/>
          <w:rtl/>
        </w:rPr>
        <w:t>של פסק הדין</w:t>
      </w:r>
      <w:r>
        <w:rPr>
          <w:rFonts w:ascii="David" w:hAnsi="David"/>
          <w:rtl/>
        </w:rPr>
        <w:t xml:space="preserve"> </w:t>
      </w:r>
      <w:r w:rsidR="00C2534E">
        <w:rPr>
          <w:rFonts w:ascii="David" w:hAnsi="David" w:hint="cs"/>
          <w:rtl/>
        </w:rPr>
        <w:t xml:space="preserve">על </w:t>
      </w:r>
      <w:r>
        <w:rPr>
          <w:rFonts w:ascii="David" w:hAnsi="David"/>
          <w:rtl/>
        </w:rPr>
        <w:t xml:space="preserve">קביעותיי </w:t>
      </w:r>
      <w:r w:rsidR="009D0561">
        <w:rPr>
          <w:rFonts w:ascii="David" w:hAnsi="David" w:hint="cs"/>
          <w:rtl/>
        </w:rPr>
        <w:t>וסכומי התביעות</w:t>
      </w:r>
      <w:r w:rsidR="00C2534E">
        <w:rPr>
          <w:rFonts w:ascii="David" w:hAnsi="David" w:hint="cs"/>
          <w:rtl/>
        </w:rPr>
        <w:t>,</w:t>
      </w:r>
      <w:r>
        <w:rPr>
          <w:rFonts w:ascii="David" w:hAnsi="David"/>
          <w:rtl/>
        </w:rPr>
        <w:t xml:space="preserve"> </w:t>
      </w:r>
      <w:r w:rsidR="009D0561">
        <w:rPr>
          <w:rFonts w:ascii="David" w:hAnsi="David" w:hint="cs"/>
          <w:rtl/>
        </w:rPr>
        <w:t xml:space="preserve">את </w:t>
      </w:r>
      <w:r>
        <w:rPr>
          <w:rFonts w:ascii="David" w:hAnsi="David"/>
          <w:rtl/>
        </w:rPr>
        <w:t xml:space="preserve">היקף </w:t>
      </w:r>
      <w:r w:rsidR="009D0561">
        <w:rPr>
          <w:rFonts w:ascii="David" w:hAnsi="David" w:hint="cs"/>
          <w:rtl/>
        </w:rPr>
        <w:t xml:space="preserve">ההשקעה </w:t>
      </w:r>
      <w:r>
        <w:rPr>
          <w:rFonts w:ascii="David" w:hAnsi="David"/>
          <w:rtl/>
        </w:rPr>
        <w:t>בטיפול ב</w:t>
      </w:r>
      <w:r w:rsidR="00F97F52">
        <w:rPr>
          <w:rFonts w:ascii="David" w:hAnsi="David" w:hint="cs"/>
          <w:rtl/>
        </w:rPr>
        <w:t>תביעה ובתביעה שכנגד</w:t>
      </w:r>
      <w:r w:rsidR="00C2534E">
        <w:rPr>
          <w:rFonts w:ascii="David" w:hAnsi="David" w:hint="cs"/>
          <w:rtl/>
        </w:rPr>
        <w:t>,</w:t>
      </w:r>
      <w:r w:rsidR="009D0561">
        <w:rPr>
          <w:rFonts w:ascii="David" w:hAnsi="David" w:hint="cs"/>
          <w:rtl/>
        </w:rPr>
        <w:t xml:space="preserve"> וכן</w:t>
      </w:r>
      <w:r w:rsidR="009D0561" w:rsidRPr="009D0561">
        <w:rPr>
          <w:rFonts w:ascii="David" w:hAnsi="David" w:hint="cs"/>
          <w:rtl/>
        </w:rPr>
        <w:t xml:space="preserve"> </w:t>
      </w:r>
      <w:r w:rsidR="009D0561">
        <w:rPr>
          <w:rFonts w:ascii="David" w:hAnsi="David" w:hint="cs"/>
          <w:rtl/>
        </w:rPr>
        <w:t>את בקשת התובעת והנתבעות שכנגד לפסוק הוצאות ריאליות והתייחסות המשביר לכך.</w:t>
      </w:r>
      <w:r>
        <w:rPr>
          <w:rFonts w:ascii="David" w:hAnsi="David"/>
          <w:rtl/>
        </w:rPr>
        <w:t xml:space="preserve"> </w:t>
      </w:r>
    </w:p>
    <w:p w:rsidR="00CD2861" w:rsidRDefault="00CD2861" w:rsidP="00CD2861">
      <w:pPr>
        <w:spacing w:line="360" w:lineRule="auto"/>
        <w:ind w:left="84" w:right="720"/>
        <w:jc w:val="both"/>
        <w:rPr>
          <w:rFonts w:ascii="David" w:hAnsi="David"/>
          <w:rtl/>
        </w:rPr>
      </w:pPr>
    </w:p>
    <w:p w:rsidR="00694556" w:rsidRPr="009717D9" w:rsidRDefault="009717D9" w:rsidP="00B37253">
      <w:pPr>
        <w:spacing w:line="276" w:lineRule="auto"/>
        <w:jc w:val="both"/>
        <w:rPr>
          <w:rFonts w:ascii="Arial" w:hAnsi="Arial"/>
          <w:b/>
          <w:bCs/>
          <w:noProof w:val="0"/>
          <w:u w:val="single"/>
          <w:rtl/>
        </w:rPr>
      </w:pPr>
      <w:r w:rsidRPr="009717D9">
        <w:rPr>
          <w:rFonts w:ascii="Arial" w:hAnsi="Arial" w:hint="cs"/>
          <w:b/>
          <w:bCs/>
          <w:noProof w:val="0"/>
          <w:u w:val="single"/>
          <w:rtl/>
        </w:rPr>
        <w:t>המזכירות תדוור לצדדים</w:t>
      </w:r>
    </w:p>
    <w:p w:rsidR="00C43648" w:rsidRDefault="0043502B" w:rsidP="00B37253">
      <w:pPr>
        <w:spacing w:line="360" w:lineRule="auto"/>
        <w:jc w:val="both"/>
        <w:rPr>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ט"ז אב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hint="cs"/>
              <w:noProof w:val="0"/>
              <w:rtl/>
            </w:rPr>
            <w:t>10 אוגוסט 2025</w:t>
          </w:r>
        </w:sdtContent>
      </w:sdt>
      <w:r w:rsidR="00005C8B">
        <w:rPr>
          <w:rFonts w:ascii="Arial" w:hAnsi="Arial"/>
          <w:noProof w:val="0"/>
          <w:rtl/>
        </w:rPr>
        <w:t>, בהעדר הצדדים.</w:t>
      </w: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2020766448"/>
        </w:sdtPr>
        <w:sdtEndPr/>
        <w:sdtContent>
          <w:r w:rsidR="00083198">
            <w:drawing>
              <wp:inline distT="0" distB="0" distL="0" distR="0" wp14:editId="50D07946">
                <wp:extent cx="1028700"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6" cstate="print">
                          <a:extLst/>
                        </a:blip>
                        <a:stretch>
                          <a:fillRect/>
                        </a:stretch>
                      </pic:blipFill>
                      <pic:spPr>
                        <a:xfrm>
                          <a:off x="0" y="0"/>
                          <a:ext cx="1028700" cy="82867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CD2861">
      <w:headerReference w:type="even" r:id="rId17"/>
      <w:headerReference w:type="default" r:id="rId18"/>
      <w:footerReference w:type="even" r:id="rId19"/>
      <w:footerReference w:type="default" r:id="rId20"/>
      <w:headerReference w:type="first" r:id="rId21"/>
      <w:footerReference w:type="first" r:id="rId22"/>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485" w:rsidRDefault="00D70485">
      <w:r>
        <w:separator/>
      </w:r>
    </w:p>
  </w:endnote>
  <w:endnote w:type="continuationSeparator" w:id="0">
    <w:p w:rsidR="00D70485" w:rsidRDefault="00D70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00" w:rsidRDefault="00D07E0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8E1A3A" w:rsidRDefault="000C3B60">
    <w:pPr>
      <w:pStyle w:val="a5"/>
      <w:jc w:val="center"/>
      <w:rPr>
        <w:rStyle w:val="ad"/>
        <w:rFonts w:ascii="David" w:hAnsi="David"/>
        <w:sz w:val="22"/>
        <w:szCs w:val="22"/>
      </w:rPr>
    </w:pPr>
    <w:r w:rsidRPr="008E1A3A">
      <w:rPr>
        <w:rStyle w:val="ad"/>
        <w:rFonts w:ascii="David" w:hAnsi="David"/>
        <w:sz w:val="22"/>
        <w:szCs w:val="22"/>
      </w:rPr>
      <w:fldChar w:fldCharType="begin"/>
    </w:r>
    <w:r w:rsidR="00005C8B" w:rsidRPr="008E1A3A">
      <w:rPr>
        <w:rStyle w:val="ad"/>
        <w:rFonts w:ascii="David" w:hAnsi="David"/>
        <w:sz w:val="22"/>
        <w:szCs w:val="22"/>
      </w:rPr>
      <w:instrText xml:space="preserve"> PAGE </w:instrText>
    </w:r>
    <w:r w:rsidRPr="008E1A3A">
      <w:rPr>
        <w:rStyle w:val="ad"/>
        <w:rFonts w:ascii="David" w:hAnsi="David"/>
        <w:sz w:val="22"/>
        <w:szCs w:val="22"/>
      </w:rPr>
      <w:fldChar w:fldCharType="separate"/>
    </w:r>
    <w:r w:rsidR="00D07E00">
      <w:rPr>
        <w:rStyle w:val="ad"/>
        <w:rFonts w:ascii="David" w:hAnsi="David"/>
        <w:sz w:val="22"/>
        <w:szCs w:val="22"/>
        <w:rtl/>
      </w:rPr>
      <w:t>1</w:t>
    </w:r>
    <w:r w:rsidRPr="008E1A3A">
      <w:rPr>
        <w:rStyle w:val="ad"/>
        <w:rFonts w:ascii="David" w:hAnsi="David"/>
        <w:sz w:val="22"/>
        <w:szCs w:val="22"/>
      </w:rPr>
      <w:fldChar w:fldCharType="end"/>
    </w:r>
    <w:r w:rsidR="00005C8B" w:rsidRPr="008E1A3A">
      <w:rPr>
        <w:rStyle w:val="ad"/>
        <w:rFonts w:ascii="David" w:hAnsi="David"/>
        <w:sz w:val="22"/>
        <w:szCs w:val="22"/>
        <w:rtl/>
      </w:rPr>
      <w:t xml:space="preserve"> מתוך </w:t>
    </w:r>
    <w:r w:rsidRPr="008E1A3A">
      <w:rPr>
        <w:rStyle w:val="ad"/>
        <w:rFonts w:ascii="David" w:hAnsi="David"/>
        <w:sz w:val="22"/>
        <w:szCs w:val="22"/>
      </w:rPr>
      <w:fldChar w:fldCharType="begin"/>
    </w:r>
    <w:r w:rsidR="00005C8B" w:rsidRPr="008E1A3A">
      <w:rPr>
        <w:rStyle w:val="ad"/>
        <w:rFonts w:ascii="David" w:hAnsi="David"/>
        <w:sz w:val="22"/>
        <w:szCs w:val="22"/>
      </w:rPr>
      <w:instrText xml:space="preserve"> NUMPAGES </w:instrText>
    </w:r>
    <w:r w:rsidRPr="008E1A3A">
      <w:rPr>
        <w:rStyle w:val="ad"/>
        <w:rFonts w:ascii="David" w:hAnsi="David"/>
        <w:sz w:val="22"/>
        <w:szCs w:val="22"/>
      </w:rPr>
      <w:fldChar w:fldCharType="separate"/>
    </w:r>
    <w:r w:rsidR="00D07E00">
      <w:rPr>
        <w:rStyle w:val="ad"/>
        <w:rFonts w:ascii="David" w:hAnsi="David"/>
        <w:sz w:val="22"/>
        <w:szCs w:val="22"/>
        <w:rtl/>
      </w:rPr>
      <w:t>69</w:t>
    </w:r>
    <w:r w:rsidRPr="008E1A3A">
      <w:rPr>
        <w:rStyle w:val="ad"/>
        <w:rFonts w:ascii="David" w:hAnsi="David"/>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00" w:rsidRDefault="00D07E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485" w:rsidRDefault="00D70485">
      <w:r>
        <w:separator/>
      </w:r>
    </w:p>
  </w:footnote>
  <w:footnote w:type="continuationSeparator" w:id="0">
    <w:p w:rsidR="00D70485" w:rsidRDefault="00D70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00" w:rsidRDefault="00D07E0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9"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CD2861">
      <w:trPr>
        <w:trHeight w:hRule="exact" w:val="704"/>
        <w:jc w:val="center"/>
      </w:trPr>
      <w:sdt>
        <w:sdtPr>
          <w:rPr>
            <w:rFonts w:ascii="Tahoma" w:hAnsi="Tahoma"/>
            <w:color w:val="000080"/>
            <w:sz w:val="32"/>
            <w:szCs w:val="32"/>
            <w:rtl/>
          </w:rPr>
          <w:alias w:val="1174"/>
          <w:tag w:val="1174"/>
          <w:id w:val="-1585920285"/>
          <w:text w:multiLine="1"/>
        </w:sdtPr>
        <w:sdtEndPr/>
        <w:sdtContent>
          <w:tc>
            <w:tcPr>
              <w:tcW w:w="8307" w:type="dxa"/>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בתל אביב -יפו</w:t>
              </w:r>
            </w:p>
          </w:tc>
        </w:sdtContent>
      </w:sdt>
    </w:tr>
    <w:tr w:rsidR="00694556" w:rsidTr="00CD2861">
      <w:trPr>
        <w:trHeight w:val="337"/>
        <w:jc w:val="center"/>
      </w:trPr>
      <w:tc>
        <w:tcPr>
          <w:tcW w:w="8307" w:type="dxa"/>
        </w:tcPr>
        <w:p w:rsidR="007D45E3" w:rsidRDefault="00D70485" w:rsidP="007C2453">
          <w:pPr>
            <w:rPr>
              <w:b/>
              <w:bCs/>
              <w:noProof w:val="0"/>
              <w:sz w:val="26"/>
              <w:szCs w:val="26"/>
              <w:rtl/>
            </w:rPr>
          </w:pPr>
          <w:sdt>
            <w:sdtPr>
              <w:rPr>
                <w:rtl/>
              </w:rPr>
              <w:alias w:val="1170"/>
              <w:tag w:val="1170"/>
              <w:id w:val="1066377040"/>
              <w:text w:multiLine="1"/>
            </w:sdtPr>
            <w:sdtEndPr/>
            <w:sdtContent>
              <w:r w:rsidR="00424313">
                <w:rPr>
                  <w:b/>
                  <w:bCs/>
                  <w:noProof w:val="0"/>
                  <w:sz w:val="26"/>
                  <w:szCs w:val="26"/>
                  <w:rtl/>
                </w:rPr>
                <w:t>ת"א</w:t>
              </w:r>
            </w:sdtContent>
          </w:sdt>
          <w:r w:rsidR="00005C8B">
            <w:rPr>
              <w:b/>
              <w:bCs/>
              <w:noProof w:val="0"/>
              <w:sz w:val="26"/>
              <w:szCs w:val="26"/>
              <w:rtl/>
            </w:rPr>
            <w:t xml:space="preserve"> </w:t>
          </w:r>
          <w:bookmarkStart w:id="3" w:name="_GoBack"/>
          <w:sdt>
            <w:sdtPr>
              <w:rPr>
                <w:rtl/>
              </w:rPr>
              <w:alias w:val="1171"/>
              <w:tag w:val="1171"/>
              <w:id w:val="257034231"/>
              <w:text w:multiLine="1"/>
            </w:sdtPr>
            <w:sdtEndPr/>
            <w:sdtContent>
              <w:r w:rsidR="00424313">
                <w:rPr>
                  <w:b/>
                  <w:bCs/>
                  <w:noProof w:val="0"/>
                  <w:sz w:val="26"/>
                  <w:szCs w:val="26"/>
                  <w:rtl/>
                </w:rPr>
                <w:t>26891-11-21</w:t>
              </w:r>
            </w:sdtContent>
          </w:sdt>
          <w:bookmarkEnd w:id="3"/>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424313">
                <w:rPr>
                  <w:b/>
                  <w:bCs/>
                  <w:noProof w:val="0"/>
                  <w:sz w:val="26"/>
                  <w:szCs w:val="26"/>
                  <w:rtl/>
                </w:rPr>
                <w:t>מרכזי מסחר (אזו-ריט) בע"מ נ' המשביר 365 החזקות בע"מ</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E00" w:rsidRDefault="00D07E0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6F1D"/>
    <w:multiLevelType w:val="hybridMultilevel"/>
    <w:tmpl w:val="9E42D750"/>
    <w:lvl w:ilvl="0" w:tplc="9998DB5E">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40410"/>
    <w:rsid w:val="000529D2"/>
    <w:rsid w:val="000564AB"/>
    <w:rsid w:val="00064FBD"/>
    <w:rsid w:val="00082AB2"/>
    <w:rsid w:val="00083198"/>
    <w:rsid w:val="000906FE"/>
    <w:rsid w:val="00096AF7"/>
    <w:rsid w:val="000B344B"/>
    <w:rsid w:val="000C145C"/>
    <w:rsid w:val="000C3B0F"/>
    <w:rsid w:val="000C3B60"/>
    <w:rsid w:val="000E0DD2"/>
    <w:rsid w:val="000E3AF1"/>
    <w:rsid w:val="000F0BC8"/>
    <w:rsid w:val="000F0DD6"/>
    <w:rsid w:val="00107E6D"/>
    <w:rsid w:val="0011194C"/>
    <w:rsid w:val="0011424C"/>
    <w:rsid w:val="00115613"/>
    <w:rsid w:val="001173C6"/>
    <w:rsid w:val="00122A9F"/>
    <w:rsid w:val="00130916"/>
    <w:rsid w:val="001367BC"/>
    <w:rsid w:val="001370E6"/>
    <w:rsid w:val="00144D2A"/>
    <w:rsid w:val="0014653E"/>
    <w:rsid w:val="00164CFB"/>
    <w:rsid w:val="00180519"/>
    <w:rsid w:val="00191C82"/>
    <w:rsid w:val="001C4003"/>
    <w:rsid w:val="001C5882"/>
    <w:rsid w:val="001D4DBF"/>
    <w:rsid w:val="001E75CA"/>
    <w:rsid w:val="002265FF"/>
    <w:rsid w:val="00271B56"/>
    <w:rsid w:val="00272E32"/>
    <w:rsid w:val="002C344E"/>
    <w:rsid w:val="002E75E9"/>
    <w:rsid w:val="002F0B1E"/>
    <w:rsid w:val="00303A9C"/>
    <w:rsid w:val="00307A6A"/>
    <w:rsid w:val="00307C40"/>
    <w:rsid w:val="00320433"/>
    <w:rsid w:val="003230C7"/>
    <w:rsid w:val="00327E50"/>
    <w:rsid w:val="0033597A"/>
    <w:rsid w:val="00343D89"/>
    <w:rsid w:val="00361EE6"/>
    <w:rsid w:val="00362612"/>
    <w:rsid w:val="0036743F"/>
    <w:rsid w:val="003715DD"/>
    <w:rsid w:val="003823E0"/>
    <w:rsid w:val="003A4521"/>
    <w:rsid w:val="003D1C8C"/>
    <w:rsid w:val="003E38C7"/>
    <w:rsid w:val="0040096C"/>
    <w:rsid w:val="00414F1F"/>
    <w:rsid w:val="0042191A"/>
    <w:rsid w:val="00422BEE"/>
    <w:rsid w:val="00424313"/>
    <w:rsid w:val="00426427"/>
    <w:rsid w:val="0043125D"/>
    <w:rsid w:val="0043502B"/>
    <w:rsid w:val="004443AC"/>
    <w:rsid w:val="00444B02"/>
    <w:rsid w:val="00451E28"/>
    <w:rsid w:val="00462C62"/>
    <w:rsid w:val="00465D36"/>
    <w:rsid w:val="004C17EE"/>
    <w:rsid w:val="004C4812"/>
    <w:rsid w:val="004C4BDF"/>
    <w:rsid w:val="004D1187"/>
    <w:rsid w:val="004D3AA0"/>
    <w:rsid w:val="004E1987"/>
    <w:rsid w:val="004E2E15"/>
    <w:rsid w:val="004E6E3C"/>
    <w:rsid w:val="005005E9"/>
    <w:rsid w:val="00504413"/>
    <w:rsid w:val="00520898"/>
    <w:rsid w:val="00523621"/>
    <w:rsid w:val="00524986"/>
    <w:rsid w:val="005268F6"/>
    <w:rsid w:val="00534284"/>
    <w:rsid w:val="0054140F"/>
    <w:rsid w:val="00547DB7"/>
    <w:rsid w:val="00557717"/>
    <w:rsid w:val="00576A86"/>
    <w:rsid w:val="005F4F09"/>
    <w:rsid w:val="00603F73"/>
    <w:rsid w:val="0061431B"/>
    <w:rsid w:val="00622BAA"/>
    <w:rsid w:val="006306CF"/>
    <w:rsid w:val="00644E9A"/>
    <w:rsid w:val="00671BD5"/>
    <w:rsid w:val="00673CF6"/>
    <w:rsid w:val="006805C1"/>
    <w:rsid w:val="00686C21"/>
    <w:rsid w:val="006931C1"/>
    <w:rsid w:val="00694556"/>
    <w:rsid w:val="00695FB6"/>
    <w:rsid w:val="006C30C5"/>
    <w:rsid w:val="006C7314"/>
    <w:rsid w:val="006D3B31"/>
    <w:rsid w:val="006E0D96"/>
    <w:rsid w:val="006E1A53"/>
    <w:rsid w:val="006F56E6"/>
    <w:rsid w:val="00704EDA"/>
    <w:rsid w:val="00721122"/>
    <w:rsid w:val="00734689"/>
    <w:rsid w:val="007351F7"/>
    <w:rsid w:val="00753019"/>
    <w:rsid w:val="00754801"/>
    <w:rsid w:val="00761441"/>
    <w:rsid w:val="00795365"/>
    <w:rsid w:val="007A153D"/>
    <w:rsid w:val="007A351D"/>
    <w:rsid w:val="007B7765"/>
    <w:rsid w:val="007C2453"/>
    <w:rsid w:val="007C5BDD"/>
    <w:rsid w:val="007D45E3"/>
    <w:rsid w:val="007E1300"/>
    <w:rsid w:val="007E6115"/>
    <w:rsid w:val="007F4609"/>
    <w:rsid w:val="00805EFF"/>
    <w:rsid w:val="00814468"/>
    <w:rsid w:val="008176A1"/>
    <w:rsid w:val="00820005"/>
    <w:rsid w:val="0082489B"/>
    <w:rsid w:val="00844318"/>
    <w:rsid w:val="00860102"/>
    <w:rsid w:val="00863F5D"/>
    <w:rsid w:val="00870890"/>
    <w:rsid w:val="00873602"/>
    <w:rsid w:val="00875D12"/>
    <w:rsid w:val="00876170"/>
    <w:rsid w:val="0088479D"/>
    <w:rsid w:val="00891F42"/>
    <w:rsid w:val="00896889"/>
    <w:rsid w:val="008A6E97"/>
    <w:rsid w:val="008C5714"/>
    <w:rsid w:val="008D10B2"/>
    <w:rsid w:val="008E1A3A"/>
    <w:rsid w:val="00903896"/>
    <w:rsid w:val="00906F3D"/>
    <w:rsid w:val="00916416"/>
    <w:rsid w:val="0094424E"/>
    <w:rsid w:val="00955642"/>
    <w:rsid w:val="009622DF"/>
    <w:rsid w:val="0096493F"/>
    <w:rsid w:val="00967DFF"/>
    <w:rsid w:val="009717D9"/>
    <w:rsid w:val="00991B1E"/>
    <w:rsid w:val="00994341"/>
    <w:rsid w:val="009974EA"/>
    <w:rsid w:val="009D0561"/>
    <w:rsid w:val="009D1A48"/>
    <w:rsid w:val="009E1CE7"/>
    <w:rsid w:val="009E461A"/>
    <w:rsid w:val="009E4EA5"/>
    <w:rsid w:val="009F164B"/>
    <w:rsid w:val="009F323C"/>
    <w:rsid w:val="00A16166"/>
    <w:rsid w:val="00A3392B"/>
    <w:rsid w:val="00A35064"/>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4724"/>
    <w:rsid w:val="00AF7624"/>
    <w:rsid w:val="00AF7FDA"/>
    <w:rsid w:val="00B37253"/>
    <w:rsid w:val="00B5356E"/>
    <w:rsid w:val="00B60F1C"/>
    <w:rsid w:val="00B709D9"/>
    <w:rsid w:val="00B809AD"/>
    <w:rsid w:val="00B80CBD"/>
    <w:rsid w:val="00B859C5"/>
    <w:rsid w:val="00B86096"/>
    <w:rsid w:val="00B964D9"/>
    <w:rsid w:val="00BA0A7C"/>
    <w:rsid w:val="00BA517C"/>
    <w:rsid w:val="00BB3D05"/>
    <w:rsid w:val="00BB53D3"/>
    <w:rsid w:val="00BB73BE"/>
    <w:rsid w:val="00BC2D89"/>
    <w:rsid w:val="00BD6531"/>
    <w:rsid w:val="00BE05B2"/>
    <w:rsid w:val="00BF1908"/>
    <w:rsid w:val="00BF775D"/>
    <w:rsid w:val="00C22D93"/>
    <w:rsid w:val="00C23458"/>
    <w:rsid w:val="00C23AC9"/>
    <w:rsid w:val="00C2534E"/>
    <w:rsid w:val="00C31120"/>
    <w:rsid w:val="00C34482"/>
    <w:rsid w:val="00C34CF9"/>
    <w:rsid w:val="00C43648"/>
    <w:rsid w:val="00C50A9F"/>
    <w:rsid w:val="00C642FA"/>
    <w:rsid w:val="00C770E3"/>
    <w:rsid w:val="00C86CD0"/>
    <w:rsid w:val="00CC7622"/>
    <w:rsid w:val="00CD2861"/>
    <w:rsid w:val="00CD608F"/>
    <w:rsid w:val="00CF29D9"/>
    <w:rsid w:val="00CF6BB7"/>
    <w:rsid w:val="00D04AA4"/>
    <w:rsid w:val="00D07E00"/>
    <w:rsid w:val="00D27982"/>
    <w:rsid w:val="00D33B86"/>
    <w:rsid w:val="00D44968"/>
    <w:rsid w:val="00D53924"/>
    <w:rsid w:val="00D55D0C"/>
    <w:rsid w:val="00D65749"/>
    <w:rsid w:val="00D70485"/>
    <w:rsid w:val="00D96D8C"/>
    <w:rsid w:val="00DA2495"/>
    <w:rsid w:val="00DA6649"/>
    <w:rsid w:val="00DC1259"/>
    <w:rsid w:val="00DC1BD2"/>
    <w:rsid w:val="00DC2571"/>
    <w:rsid w:val="00DC487C"/>
    <w:rsid w:val="00DD05A8"/>
    <w:rsid w:val="00DD4335"/>
    <w:rsid w:val="00DE1E7D"/>
    <w:rsid w:val="00DE6BF6"/>
    <w:rsid w:val="00E00709"/>
    <w:rsid w:val="00E06255"/>
    <w:rsid w:val="00E1068A"/>
    <w:rsid w:val="00E25884"/>
    <w:rsid w:val="00E25B55"/>
    <w:rsid w:val="00E31C2B"/>
    <w:rsid w:val="00E5426A"/>
    <w:rsid w:val="00E54642"/>
    <w:rsid w:val="00E80CBE"/>
    <w:rsid w:val="00E9269D"/>
    <w:rsid w:val="00E962E3"/>
    <w:rsid w:val="00EB6C79"/>
    <w:rsid w:val="00EC37E9"/>
    <w:rsid w:val="00F038D8"/>
    <w:rsid w:val="00F03F05"/>
    <w:rsid w:val="00F06995"/>
    <w:rsid w:val="00F12D66"/>
    <w:rsid w:val="00F13623"/>
    <w:rsid w:val="00F44D1D"/>
    <w:rsid w:val="00F84B6D"/>
    <w:rsid w:val="00F957E8"/>
    <w:rsid w:val="00F97F52"/>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64423"/>
    <w:pPr>
      <w:tabs>
        <w:tab w:val="center" w:pos="4153"/>
        <w:tab w:val="right" w:pos="8306"/>
      </w:tabs>
    </w:pPr>
  </w:style>
  <w:style w:type="paragraph" w:styleId="a5">
    <w:name w:val="footer"/>
    <w:basedOn w:val="a"/>
    <w:link w:val="a6"/>
    <w:uiPriority w:val="99"/>
    <w:rsid w:val="00C64423"/>
    <w:pPr>
      <w:tabs>
        <w:tab w:val="center" w:pos="4153"/>
        <w:tab w:val="right" w:pos="8306"/>
      </w:tabs>
    </w:pPr>
  </w:style>
  <w:style w:type="paragraph" w:customStyle="1" w:styleId="a7">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8">
    <w:name w:val="annotation text"/>
    <w:basedOn w:val="a"/>
    <w:semiHidden/>
    <w:rsid w:val="00C64423"/>
    <w:rPr>
      <w:rFonts w:cs="Times New Roman"/>
      <w:noProof w:val="0"/>
    </w:rPr>
  </w:style>
  <w:style w:type="character" w:styleId="a9">
    <w:name w:val="annotation reference"/>
    <w:basedOn w:val="a0"/>
    <w:semiHidden/>
    <w:rsid w:val="00C64423"/>
    <w:rPr>
      <w:sz w:val="16"/>
      <w:szCs w:val="16"/>
    </w:rPr>
  </w:style>
  <w:style w:type="paragraph" w:styleId="aa">
    <w:name w:val="Balloon Text"/>
    <w:basedOn w:val="a"/>
    <w:semiHidden/>
    <w:rsid w:val="00C64423"/>
    <w:rPr>
      <w:rFonts w:ascii="Tahoma" w:hAnsi="Tahoma" w:cs="Tahoma"/>
      <w:sz w:val="16"/>
      <w:szCs w:val="16"/>
    </w:rPr>
  </w:style>
  <w:style w:type="table" w:styleId="ab">
    <w:name w:val="Table Grid"/>
    <w:basedOn w:val="a1"/>
    <w:uiPriority w:val="39"/>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line number"/>
    <w:basedOn w:val="a0"/>
    <w:rsid w:val="00C64423"/>
  </w:style>
  <w:style w:type="character" w:styleId="ad">
    <w:name w:val="page number"/>
    <w:basedOn w:val="a0"/>
    <w:rsid w:val="00C64423"/>
  </w:style>
  <w:style w:type="table" w:customStyle="1" w:styleId="1">
    <w:name w:val="טבלת רשת1"/>
    <w:basedOn w:val="a1"/>
    <w:next w:val="ab"/>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laceholder Text"/>
    <w:basedOn w:val="a0"/>
    <w:uiPriority w:val="99"/>
    <w:semiHidden/>
    <w:rsid w:val="003230C7"/>
    <w:rPr>
      <w:color w:val="808080"/>
    </w:rPr>
  </w:style>
  <w:style w:type="character" w:styleId="Hyperlink">
    <w:name w:val="Hyperlink"/>
    <w:basedOn w:val="a0"/>
    <w:uiPriority w:val="99"/>
    <w:semiHidden/>
    <w:unhideWhenUsed/>
    <w:rsid w:val="00CD2861"/>
    <w:rPr>
      <w:color w:val="0000FF" w:themeColor="hyperlink"/>
      <w:u w:val="single"/>
    </w:rPr>
  </w:style>
  <w:style w:type="character" w:styleId="FollowedHyperlink">
    <w:name w:val="FollowedHyperlink"/>
    <w:basedOn w:val="a0"/>
    <w:uiPriority w:val="99"/>
    <w:semiHidden/>
    <w:unhideWhenUsed/>
    <w:rsid w:val="00CD2861"/>
    <w:rPr>
      <w:color w:val="800080" w:themeColor="followedHyperlink"/>
      <w:u w:val="single"/>
    </w:rPr>
  </w:style>
  <w:style w:type="paragraph" w:customStyle="1" w:styleId="msonormal0">
    <w:name w:val="msonormal"/>
    <w:basedOn w:val="a"/>
    <w:rsid w:val="00CD2861"/>
    <w:pPr>
      <w:bidi w:val="0"/>
      <w:spacing w:before="100" w:beforeAutospacing="1" w:after="100" w:afterAutospacing="1"/>
    </w:pPr>
    <w:rPr>
      <w:rFonts w:cs="Times New Roman"/>
      <w:noProof w:val="0"/>
    </w:rPr>
  </w:style>
  <w:style w:type="character" w:customStyle="1" w:styleId="a4">
    <w:name w:val="כותרת עליונה תו"/>
    <w:basedOn w:val="a0"/>
    <w:link w:val="a3"/>
    <w:uiPriority w:val="99"/>
    <w:rsid w:val="00CD2861"/>
    <w:rPr>
      <w:rFonts w:cs="David"/>
      <w:noProof/>
      <w:sz w:val="24"/>
      <w:szCs w:val="24"/>
    </w:rPr>
  </w:style>
  <w:style w:type="character" w:customStyle="1" w:styleId="a6">
    <w:name w:val="כותרת תחתונה תו"/>
    <w:basedOn w:val="a0"/>
    <w:link w:val="a5"/>
    <w:uiPriority w:val="99"/>
    <w:rsid w:val="00CD2861"/>
    <w:rPr>
      <w:rFonts w:cs="David"/>
      <w:noProof/>
      <w:sz w:val="24"/>
      <w:szCs w:val="24"/>
    </w:rPr>
  </w:style>
  <w:style w:type="paragraph" w:styleId="af">
    <w:name w:val="List Paragraph"/>
    <w:basedOn w:val="a"/>
    <w:uiPriority w:val="34"/>
    <w:qFormat/>
    <w:rsid w:val="00CD2861"/>
    <w:pPr>
      <w:spacing w:before="120" w:after="160" w:line="256" w:lineRule="auto"/>
      <w:ind w:left="720" w:hanging="284"/>
      <w:contextualSpacing/>
    </w:pPr>
    <w:rPr>
      <w:rFonts w:ascii="Garamond" w:eastAsiaTheme="minorHAnsi" w:hAnsi="Garamond"/>
      <w:noProof w:val="0"/>
      <w14:ligatures w14:val="standardContextual"/>
    </w:rPr>
  </w:style>
  <w:style w:type="character" w:customStyle="1" w:styleId="10">
    <w:name w:val="אזכור לא מזוהה1"/>
    <w:basedOn w:val="a0"/>
    <w:uiPriority w:val="99"/>
    <w:semiHidden/>
    <w:rsid w:val="00CD2861"/>
    <w:rPr>
      <w:color w:val="605E5C"/>
      <w:shd w:val="clear" w:color="auto" w:fill="E1DFDD"/>
    </w:rPr>
  </w:style>
  <w:style w:type="character" w:customStyle="1" w:styleId="UnresolvedMention">
    <w:name w:val="Unresolved Mention"/>
    <w:basedOn w:val="a0"/>
    <w:uiPriority w:val="99"/>
    <w:semiHidden/>
    <w:rsid w:val="00CD28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227287">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0.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30.pn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nevo.co.il/safrut/bookgroup/596"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377AB" w:rsidP="006377AB">
          <w:pPr>
            <w:pStyle w:val="D290653DA13E4E738B7E725F79D7332920"/>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4C369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03806"/>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69</Pages>
  <Words>24549</Words>
  <Characters>122750</Characters>
  <Application>Microsoft Office Word</Application>
  <DocSecurity>0</DocSecurity>
  <Lines>1022</Lines>
  <Paragraphs>294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147005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2025-08-13T04:15:00Z</dcterms:created>
  <dcterms:modified xsi:type="dcterms:W3CDTF">2025-08-13T04:15:00Z</dcterms:modified>
</cp:coreProperties>
</file>