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77"/>
        <w:gridCol w:w="1902"/>
        <w:gridCol w:w="3328"/>
      </w:tblGrid>
      <w:tr w:rsidR="00B02C76" w:rsidRPr="00FA4EAF" w:rsidTr="007F09CE">
        <w:trPr>
          <w:trHeight w:val="295"/>
        </w:trPr>
        <w:tc>
          <w:tcPr>
            <w:tcW w:w="4979" w:type="dxa"/>
            <w:gridSpan w:val="2"/>
          </w:tcPr>
          <w:p w:rsidR="00B02C76" w:rsidRPr="00FA4EAF" w:rsidRDefault="00B02C76" w:rsidP="00B02C76">
            <w:pPr>
              <w:rPr>
                <w:rFonts w:ascii="Arial" w:hAnsi="Arial"/>
                <w:b/>
                <w:bCs/>
                <w:noProof w:val="0"/>
                <w:sz w:val="26"/>
                <w:szCs w:val="26"/>
                <w:rtl/>
              </w:rPr>
            </w:pPr>
          </w:p>
        </w:tc>
        <w:tc>
          <w:tcPr>
            <w:tcW w:w="3328" w:type="dxa"/>
          </w:tcPr>
          <w:p w:rsidR="00B02C76" w:rsidRPr="00FA4EAF" w:rsidRDefault="008924AB" w:rsidP="00A03128">
            <w:pPr>
              <w:jc w:val="right"/>
              <w:rPr>
                <w:rFonts w:ascii="Arial" w:hAnsi="Arial"/>
                <w:b/>
                <w:bCs/>
                <w:noProof w:val="0"/>
                <w:sz w:val="26"/>
                <w:szCs w:val="26"/>
                <w:rtl/>
              </w:rPr>
            </w:pPr>
            <w:r>
              <w:rPr>
                <w:rFonts w:hint="cs"/>
                <w:sz w:val="26"/>
                <w:szCs w:val="26"/>
                <w:rtl/>
              </w:rPr>
              <w:t xml:space="preserve"> </w:t>
            </w:r>
          </w:p>
        </w:tc>
      </w:tr>
      <w:tr w:rsidR="00B02C76" w:rsidRPr="00FA4EAF" w:rsidTr="007F09CE">
        <w:tc>
          <w:tcPr>
            <w:tcW w:w="8307" w:type="dxa"/>
            <w:gridSpan w:val="3"/>
          </w:tcPr>
          <w:p w:rsidR="00B02C76" w:rsidRDefault="00B02C76" w:rsidP="00B02C76">
            <w:pPr>
              <w:jc w:val="both"/>
              <w:rPr>
                <w:rFonts w:ascii="Arial" w:hAnsi="Arial"/>
                <w:b/>
                <w:bCs/>
                <w:sz w:val="26"/>
                <w:szCs w:val="26"/>
                <w:rtl/>
              </w:rPr>
            </w:pPr>
            <w:r>
              <w:rPr>
                <w:rFonts w:ascii="Arial" w:hAnsi="Arial" w:hint="cs"/>
                <w:b/>
                <w:bCs/>
                <w:sz w:val="26"/>
                <w:szCs w:val="26"/>
                <w:rtl/>
              </w:rPr>
              <w:t>ל</w:t>
            </w:r>
            <w:r>
              <w:rPr>
                <w:rFonts w:ascii="Arial" w:hAnsi="Arial"/>
                <w:b/>
                <w:bCs/>
                <w:sz w:val="26"/>
                <w:szCs w:val="26"/>
                <w:rtl/>
              </w:rPr>
              <w:t>פני</w:t>
            </w:r>
            <w:r>
              <w:rPr>
                <w:rFonts w:ascii="Arial" w:hAnsi="Arial" w:hint="cs"/>
                <w:b/>
                <w:bCs/>
                <w:sz w:val="26"/>
                <w:szCs w:val="26"/>
                <w:rtl/>
              </w:rPr>
              <w:t xml:space="preserve"> </w:t>
            </w:r>
            <w:r w:rsidRPr="00FA4EAF">
              <w:rPr>
                <w:rFonts w:ascii="Arial" w:hAnsi="Arial" w:hint="cs"/>
                <w:b/>
                <w:bCs/>
                <w:sz w:val="26"/>
                <w:szCs w:val="26"/>
                <w:rtl/>
              </w:rPr>
              <w:t>כבוד ה</w:t>
            </w:r>
            <w:sdt>
              <w:sdtPr>
                <w:rPr>
                  <w:sz w:val="26"/>
                  <w:szCs w:val="26"/>
                  <w:rtl/>
                </w:rPr>
                <w:alias w:val="1574"/>
                <w:tag w:val="1574"/>
                <w:id w:val="414602899"/>
                <w:text w:multiLine="1"/>
              </w:sdtPr>
              <w:sdtEndPr/>
              <w:sdtContent>
                <w:r>
                  <w:rPr>
                    <w:rFonts w:ascii="Arial" w:hAnsi="Arial"/>
                    <w:b/>
                    <w:bCs/>
                    <w:sz w:val="26"/>
                    <w:szCs w:val="26"/>
                    <w:rtl/>
                  </w:rPr>
                  <w:t>שופט</w:t>
                </w:r>
              </w:sdtContent>
            </w:sdt>
            <w:r w:rsidRPr="00FA4EAF">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אביים ברקאי</w:t>
                </w:r>
              </w:sdtContent>
            </w:sdt>
          </w:p>
          <w:p w:rsidR="008924AB" w:rsidRPr="00314311" w:rsidRDefault="008924AB" w:rsidP="00B02C76">
            <w:pPr>
              <w:jc w:val="both"/>
              <w:rPr>
                <w:rFonts w:ascii="Arial" w:hAnsi="Arial"/>
                <w:b/>
                <w:bCs/>
                <w:sz w:val="26"/>
                <w:szCs w:val="26"/>
              </w:rPr>
            </w:pPr>
          </w:p>
        </w:tc>
      </w:tr>
      <w:tr w:rsidR="00B02C76" w:rsidRPr="00FA4EAF" w:rsidTr="007F09CE">
        <w:tc>
          <w:tcPr>
            <w:tcW w:w="3077" w:type="dxa"/>
          </w:tcPr>
          <w:p w:rsidR="00B02C76" w:rsidRPr="00FA4EAF" w:rsidRDefault="00B02C76" w:rsidP="006A1E68">
            <w:pPr>
              <w:rPr>
                <w:rFonts w:ascii="Arial" w:hAnsi="Arial"/>
                <w:b/>
                <w:bCs/>
                <w:noProof w:val="0"/>
                <w:sz w:val="26"/>
                <w:szCs w:val="26"/>
                <w:rtl/>
              </w:rPr>
            </w:pPr>
            <w:r w:rsidRPr="002D2705">
              <w:rPr>
                <w:rFonts w:hint="cs"/>
                <w:b/>
                <w:bCs/>
                <w:sz w:val="26"/>
                <w:szCs w:val="26"/>
                <w:rtl/>
              </w:rPr>
              <w:t>ה</w:t>
            </w:r>
            <w:sdt>
              <w:sdtPr>
                <w:rPr>
                  <w:sz w:val="26"/>
                  <w:szCs w:val="26"/>
                  <w:rtl/>
                </w:rPr>
                <w:alias w:val="1180"/>
                <w:tag w:val="1180"/>
                <w:id w:val="637458750"/>
                <w:text w:multiLine="1"/>
              </w:sdtPr>
              <w:sdtEndPr/>
              <w:sdtContent>
                <w:r>
                  <w:rPr>
                    <w:rFonts w:ascii="Arial" w:hAnsi="Arial"/>
                    <w:b/>
                    <w:bCs/>
                    <w:noProof w:val="0"/>
                    <w:sz w:val="26"/>
                    <w:szCs w:val="26"/>
                    <w:rtl/>
                  </w:rPr>
                  <w:t>תובע</w:t>
                </w:r>
              </w:sdtContent>
            </w:sdt>
            <w:r>
              <w:rPr>
                <w:rFonts w:ascii="Arial" w:hAnsi="Arial" w:hint="cs"/>
                <w:b/>
                <w:bCs/>
                <w:noProof w:val="0"/>
                <w:sz w:val="26"/>
                <w:szCs w:val="26"/>
                <w:rtl/>
              </w:rPr>
              <w:t>:</w:t>
            </w:r>
          </w:p>
        </w:tc>
        <w:tc>
          <w:tcPr>
            <w:tcW w:w="5230" w:type="dxa"/>
            <w:gridSpan w:val="2"/>
          </w:tcPr>
          <w:p w:rsidR="00B02C76" w:rsidRPr="007F09CE" w:rsidRDefault="004567D1" w:rsidP="007F09CE">
            <w:pPr>
              <w:suppressLineNumbers/>
            </w:pPr>
            <w:sdt>
              <w:sdtPr>
                <w:rPr>
                  <w:rFonts w:ascii="Arial" w:hAnsi="Arial"/>
                  <w:b/>
                  <w:bCs/>
                  <w:noProof w:val="0"/>
                  <w:sz w:val="26"/>
                  <w:szCs w:val="26"/>
                  <w:rtl/>
                </w:rPr>
                <w:alias w:val="3151"/>
                <w:tag w:val="3151"/>
                <w:id w:val="1166218717"/>
                <w:placeholder>
                  <w:docPart w:val="6E9B64DE82404F9B827427D9CBC581D6"/>
                </w:placeholder>
                <w:text w:multiLine="1"/>
              </w:sdtPr>
              <w:sdtEndPr/>
              <w:sdtContent>
                <w:r w:rsidR="0016615E">
                  <w:rPr>
                    <w:rFonts w:ascii="Arial" w:hAnsi="Arial"/>
                    <w:b/>
                    <w:bCs/>
                    <w:noProof w:val="0"/>
                    <w:sz w:val="26"/>
                    <w:szCs w:val="26"/>
                    <w:rtl/>
                  </w:rPr>
                  <w:t>בנק לאומי לישראל בעמ</w:t>
                </w:r>
              </w:sdtContent>
            </w:sdt>
          </w:p>
        </w:tc>
      </w:tr>
      <w:tr w:rsidR="00B02C76" w:rsidRPr="00FA4EAF" w:rsidTr="007F09CE">
        <w:trPr>
          <w:trHeight w:val="601"/>
        </w:trPr>
        <w:tc>
          <w:tcPr>
            <w:tcW w:w="8307" w:type="dxa"/>
            <w:gridSpan w:val="3"/>
          </w:tcPr>
          <w:p w:rsidR="00B02C76" w:rsidRPr="00FA4EAF" w:rsidRDefault="00B02C76" w:rsidP="00B02C76">
            <w:pPr>
              <w:rPr>
                <w:rFonts w:ascii="Arial" w:hAnsi="Arial"/>
                <w:b/>
                <w:bCs/>
                <w:noProof w:val="0"/>
                <w:sz w:val="26"/>
                <w:szCs w:val="26"/>
                <w:rtl/>
              </w:rPr>
            </w:pPr>
          </w:p>
          <w:p w:rsidR="00B02C76" w:rsidRPr="00FA4EAF" w:rsidRDefault="00B02C76" w:rsidP="00B02C76">
            <w:pPr>
              <w:jc w:val="center"/>
              <w:rPr>
                <w:rFonts w:ascii="Arial" w:hAnsi="Arial"/>
                <w:b/>
                <w:bCs/>
                <w:noProof w:val="0"/>
                <w:sz w:val="26"/>
                <w:szCs w:val="26"/>
                <w:rtl/>
              </w:rPr>
            </w:pPr>
            <w:r w:rsidRPr="00FA4EAF">
              <w:rPr>
                <w:rFonts w:ascii="Arial" w:hAnsi="Arial"/>
                <w:b/>
                <w:bCs/>
                <w:noProof w:val="0"/>
                <w:sz w:val="26"/>
                <w:szCs w:val="26"/>
                <w:rtl/>
              </w:rPr>
              <w:t>נגד</w:t>
            </w:r>
          </w:p>
          <w:p w:rsidR="00B02C76" w:rsidRPr="00AA5158" w:rsidRDefault="00B02C76" w:rsidP="00B02C76">
            <w:pPr>
              <w:rPr>
                <w:rFonts w:ascii="Arial" w:hAnsi="Arial"/>
                <w:b/>
                <w:bCs/>
                <w:noProof w:val="0"/>
                <w:sz w:val="16"/>
                <w:szCs w:val="16"/>
              </w:rPr>
            </w:pPr>
          </w:p>
        </w:tc>
      </w:tr>
      <w:tr w:rsidR="00B02C76" w:rsidRPr="00FA4EAF" w:rsidTr="007F09CE">
        <w:tc>
          <w:tcPr>
            <w:tcW w:w="3077" w:type="dxa"/>
          </w:tcPr>
          <w:p w:rsidR="00B02C76" w:rsidRDefault="00B02C76" w:rsidP="006A1E68">
            <w:pPr>
              <w:rPr>
                <w:rFonts w:ascii="Arial" w:hAnsi="Arial"/>
                <w:b/>
                <w:bCs/>
                <w:noProof w:val="0"/>
                <w:sz w:val="26"/>
                <w:szCs w:val="26"/>
                <w:rtl/>
              </w:rPr>
            </w:pPr>
            <w:r w:rsidRPr="002D2705">
              <w:rPr>
                <w:rFonts w:hint="cs"/>
                <w:b/>
                <w:bCs/>
                <w:sz w:val="26"/>
                <w:szCs w:val="26"/>
                <w:rtl/>
              </w:rPr>
              <w:t>ה</w:t>
            </w:r>
            <w:sdt>
              <w:sdtPr>
                <w:rPr>
                  <w:sz w:val="26"/>
                  <w:szCs w:val="26"/>
                  <w:rtl/>
                </w:rPr>
                <w:alias w:val="1184"/>
                <w:tag w:val="1184"/>
                <w:id w:val="-340621022"/>
                <w:text w:multiLine="1"/>
              </w:sdtPr>
              <w:sdtEndPr/>
              <w:sdtContent>
                <w:r>
                  <w:rPr>
                    <w:rFonts w:ascii="Arial" w:hAnsi="Arial"/>
                    <w:b/>
                    <w:bCs/>
                    <w:noProof w:val="0"/>
                    <w:sz w:val="26"/>
                    <w:szCs w:val="26"/>
                    <w:rtl/>
                  </w:rPr>
                  <w:t>נתבע</w:t>
                </w:r>
                <w:r w:rsidR="006A1E68">
                  <w:rPr>
                    <w:rFonts w:ascii="Arial" w:hAnsi="Arial" w:hint="cs"/>
                    <w:b/>
                    <w:bCs/>
                    <w:noProof w:val="0"/>
                    <w:sz w:val="26"/>
                    <w:szCs w:val="26"/>
                    <w:rtl/>
                  </w:rPr>
                  <w:t>ת ומודיעת צד ג':</w:t>
                </w:r>
              </w:sdtContent>
            </w:sdt>
          </w:p>
          <w:p w:rsidR="006A1E68" w:rsidRDefault="006A1E68" w:rsidP="006A1E68">
            <w:pPr>
              <w:rPr>
                <w:rFonts w:ascii="Arial" w:hAnsi="Arial"/>
                <w:b/>
                <w:bCs/>
                <w:noProof w:val="0"/>
                <w:sz w:val="26"/>
                <w:szCs w:val="26"/>
                <w:rtl/>
              </w:rPr>
            </w:pPr>
          </w:p>
          <w:p w:rsidR="006A1E68" w:rsidRDefault="006A1E68" w:rsidP="006A1E68">
            <w:pPr>
              <w:rPr>
                <w:rFonts w:ascii="Arial" w:hAnsi="Arial"/>
                <w:b/>
                <w:bCs/>
                <w:noProof w:val="0"/>
                <w:sz w:val="26"/>
                <w:szCs w:val="26"/>
                <w:rtl/>
              </w:rPr>
            </w:pPr>
          </w:p>
          <w:p w:rsidR="006A1E68" w:rsidRPr="00FA4EAF" w:rsidRDefault="006A1E68" w:rsidP="006A1E68">
            <w:pPr>
              <w:rPr>
                <w:rFonts w:ascii="Arial" w:hAnsi="Arial"/>
                <w:b/>
                <w:bCs/>
                <w:noProof w:val="0"/>
                <w:sz w:val="26"/>
                <w:szCs w:val="26"/>
              </w:rPr>
            </w:pPr>
            <w:r>
              <w:rPr>
                <w:rFonts w:ascii="Arial" w:hAnsi="Arial" w:hint="cs"/>
                <w:b/>
                <w:bCs/>
                <w:noProof w:val="0"/>
                <w:sz w:val="26"/>
                <w:szCs w:val="26"/>
                <w:rtl/>
              </w:rPr>
              <w:t>צדדי ג':</w:t>
            </w:r>
          </w:p>
        </w:tc>
        <w:tc>
          <w:tcPr>
            <w:tcW w:w="5230" w:type="dxa"/>
            <w:gridSpan w:val="2"/>
          </w:tcPr>
          <w:p w:rsidR="007F09CE" w:rsidRDefault="004567D1" w:rsidP="006A1E68">
            <w:pPr>
              <w:suppressLineNumbers/>
            </w:pPr>
            <w:sdt>
              <w:sdtPr>
                <w:rPr>
                  <w:rFonts w:ascii="Arial" w:hAnsi="Arial"/>
                  <w:b/>
                  <w:bCs/>
                  <w:noProof w:val="0"/>
                  <w:sz w:val="26"/>
                  <w:szCs w:val="26"/>
                  <w:rtl/>
                </w:rPr>
                <w:alias w:val="3152"/>
                <w:tag w:val="3152"/>
                <w:id w:val="-1346628691"/>
                <w:placeholder>
                  <w:docPart w:val="4975FDB7C9824906A8EDDDC584D8F333"/>
                </w:placeholder>
                <w:text w:multiLine="1"/>
              </w:sdtPr>
              <w:sdtEndPr/>
              <w:sdtContent>
                <w:r w:rsidR="0016615E">
                  <w:rPr>
                    <w:rFonts w:ascii="Arial" w:hAnsi="Arial"/>
                    <w:b/>
                    <w:bCs/>
                    <w:noProof w:val="0"/>
                    <w:sz w:val="26"/>
                    <w:szCs w:val="26"/>
                    <w:rtl/>
                  </w:rPr>
                  <w:t>לשכת רישום מקרקעין - מחוז ת"א</w:t>
                </w:r>
                <w:r w:rsidR="006A1E68">
                  <w:rPr>
                    <w:rFonts w:ascii="Arial" w:hAnsi="Arial"/>
                    <w:b/>
                    <w:bCs/>
                    <w:noProof w:val="0"/>
                    <w:sz w:val="26"/>
                    <w:szCs w:val="26"/>
                    <w:rtl/>
                  </w:rPr>
                  <w:br/>
                </w:r>
                <w:r w:rsidR="006A1E68">
                  <w:rPr>
                    <w:rFonts w:ascii="Arial" w:hAnsi="Arial"/>
                    <w:b/>
                    <w:bCs/>
                    <w:noProof w:val="0"/>
                    <w:sz w:val="26"/>
                    <w:szCs w:val="26"/>
                    <w:rtl/>
                  </w:rPr>
                  <w:br/>
                </w:r>
                <w:r w:rsidR="006A1E68">
                  <w:rPr>
                    <w:rFonts w:ascii="Arial" w:hAnsi="Arial"/>
                    <w:b/>
                    <w:bCs/>
                    <w:noProof w:val="0"/>
                    <w:sz w:val="26"/>
                    <w:szCs w:val="26"/>
                    <w:rtl/>
                  </w:rPr>
                  <w:br/>
                </w:r>
                <w:r w:rsidR="006A1E68">
                  <w:rPr>
                    <w:rFonts w:ascii="Arial" w:hAnsi="Arial" w:hint="cs"/>
                    <w:b/>
                    <w:bCs/>
                    <w:noProof w:val="0"/>
                    <w:sz w:val="26"/>
                    <w:szCs w:val="26"/>
                    <w:rtl/>
                  </w:rPr>
                  <w:t>1. נסיה שטרוזברג</w:t>
                </w:r>
                <w:r w:rsidR="006A1E68">
                  <w:rPr>
                    <w:rFonts w:ascii="Arial" w:hAnsi="Arial"/>
                    <w:b/>
                    <w:bCs/>
                    <w:noProof w:val="0"/>
                    <w:sz w:val="26"/>
                    <w:szCs w:val="26"/>
                    <w:rtl/>
                  </w:rPr>
                  <w:br/>
                </w:r>
                <w:r w:rsidR="006A1E68">
                  <w:rPr>
                    <w:rFonts w:ascii="Arial" w:hAnsi="Arial"/>
                    <w:b/>
                    <w:bCs/>
                    <w:noProof w:val="0"/>
                    <w:sz w:val="26"/>
                    <w:szCs w:val="26"/>
                    <w:rtl/>
                  </w:rPr>
                  <w:br/>
                </w:r>
                <w:r w:rsidR="006A1E68">
                  <w:rPr>
                    <w:rFonts w:ascii="Arial" w:hAnsi="Arial" w:hint="cs"/>
                    <w:b/>
                    <w:bCs/>
                    <w:noProof w:val="0"/>
                    <w:sz w:val="26"/>
                    <w:szCs w:val="26"/>
                    <w:rtl/>
                  </w:rPr>
                  <w:t xml:space="preserve">2. עו"ד סלי (סלחית) גבאי שטרוזברג </w:t>
                </w:r>
                <w:r w:rsidR="006A1E68">
                  <w:rPr>
                    <w:rFonts w:ascii="Arial" w:hAnsi="Arial"/>
                    <w:b/>
                    <w:bCs/>
                    <w:noProof w:val="0"/>
                    <w:sz w:val="26"/>
                    <w:szCs w:val="26"/>
                    <w:rtl/>
                  </w:rPr>
                  <w:br/>
                </w:r>
              </w:sdtContent>
            </w:sdt>
          </w:p>
          <w:p w:rsidR="00B02C76" w:rsidRPr="007F09CE" w:rsidRDefault="00B02C76" w:rsidP="007F09CE">
            <w:pPr>
              <w:rPr>
                <w:sz w:val="26"/>
                <w:szCs w:val="26"/>
                <w:rtl/>
              </w:rPr>
            </w:pPr>
          </w:p>
        </w:tc>
      </w:tr>
      <w:tr w:rsidR="00B02C76" w:rsidRPr="00FA4EAF" w:rsidTr="007F09CE">
        <w:tc>
          <w:tcPr>
            <w:tcW w:w="8307" w:type="dxa"/>
            <w:gridSpan w:val="3"/>
          </w:tcPr>
          <w:p w:rsidR="00B02C76" w:rsidRPr="007F09CE" w:rsidRDefault="00B02C76" w:rsidP="006A1E68">
            <w:pPr>
              <w:rPr>
                <w:rFonts w:ascii="Arial" w:hAnsi="Arial"/>
                <w:b/>
                <w:bCs/>
                <w:noProof w:val="0"/>
                <w:sz w:val="26"/>
                <w:szCs w:val="26"/>
                <w:rtl/>
              </w:rPr>
            </w:pPr>
          </w:p>
        </w:tc>
      </w:tr>
      <w:tr w:rsidR="006A1E68" w:rsidRPr="00FA4EAF" w:rsidTr="007F09CE">
        <w:tc>
          <w:tcPr>
            <w:tcW w:w="8307" w:type="dxa"/>
            <w:gridSpan w:val="3"/>
          </w:tcPr>
          <w:p w:rsidR="006A1E68" w:rsidRDefault="006A1E68" w:rsidP="007F09CE">
            <w:pPr>
              <w:rPr>
                <w:rFonts w:cs="Times New Roman"/>
                <w:rtl/>
              </w:rPr>
            </w:pPr>
          </w:p>
        </w:tc>
      </w:tr>
    </w:tbl>
    <w:p w:rsidR="00E31C2B" w:rsidRPr="00D91DFC" w:rsidRDefault="006A1E68" w:rsidP="004D1998">
      <w:pPr>
        <w:rPr>
          <w:rtl/>
        </w:rPr>
      </w:pPr>
      <w:r w:rsidRPr="00D91DFC">
        <w:rPr>
          <w:rFonts w:hint="cs"/>
          <w:rtl/>
        </w:rPr>
        <w:t>ב"כ התובע:</w:t>
      </w:r>
      <w:r w:rsidRPr="00D91DFC">
        <w:rPr>
          <w:rtl/>
        </w:rPr>
        <w:tab/>
      </w:r>
      <w:r w:rsidRPr="00D91DFC">
        <w:rPr>
          <w:rFonts w:hint="cs"/>
          <w:rtl/>
        </w:rPr>
        <w:t>עו"ד ליאור סיגון, עו"ד משה הלוי עו"ד ענבר גליכמן קונסטנטינובסקי</w:t>
      </w:r>
    </w:p>
    <w:p w:rsidR="006A1E68" w:rsidRPr="00D91DFC" w:rsidRDefault="006A1E68" w:rsidP="004D1998">
      <w:pPr>
        <w:rPr>
          <w:rtl/>
        </w:rPr>
      </w:pPr>
      <w:r w:rsidRPr="00D91DFC">
        <w:rPr>
          <w:rFonts w:hint="cs"/>
          <w:rtl/>
        </w:rPr>
        <w:t>ב"כ הנתבעת:</w:t>
      </w:r>
      <w:r w:rsidRPr="00D91DFC">
        <w:rPr>
          <w:rtl/>
        </w:rPr>
        <w:tab/>
      </w:r>
      <w:r w:rsidRPr="00D91DFC">
        <w:rPr>
          <w:rFonts w:hint="cs"/>
          <w:rtl/>
        </w:rPr>
        <w:t xml:space="preserve">עו"ד ליז המאירי </w:t>
      </w:r>
      <w:r w:rsidRPr="00D91DFC">
        <w:rPr>
          <w:rtl/>
        </w:rPr>
        <w:t>–</w:t>
      </w:r>
      <w:r w:rsidRPr="00D91DFC">
        <w:rPr>
          <w:rFonts w:hint="cs"/>
          <w:rtl/>
        </w:rPr>
        <w:t xml:space="preserve"> פרקליטות מחוז תל אביב (אזרחי)</w:t>
      </w:r>
    </w:p>
    <w:p w:rsidR="006A1E68" w:rsidRDefault="006A1E68" w:rsidP="004D1998">
      <w:pPr>
        <w:rPr>
          <w:sz w:val="12"/>
          <w:szCs w:val="12"/>
          <w:rtl/>
        </w:rPr>
      </w:pPr>
      <w:r w:rsidRPr="00D91DFC">
        <w:rPr>
          <w:rFonts w:hint="cs"/>
          <w:rtl/>
        </w:rPr>
        <w:t>ב"כ צדדי ג':</w:t>
      </w:r>
      <w:r w:rsidRPr="00D91DFC">
        <w:rPr>
          <w:rtl/>
        </w:rPr>
        <w:tab/>
      </w:r>
      <w:r w:rsidRPr="00D91DFC">
        <w:rPr>
          <w:rFonts w:hint="cs"/>
          <w:rtl/>
        </w:rPr>
        <w:t>לא הוגש כתב הגנה</w:t>
      </w:r>
    </w:p>
    <w:p w:rsidR="00D91DFC" w:rsidRDefault="00D91DFC" w:rsidP="004D1998">
      <w:pPr>
        <w:rPr>
          <w:sz w:val="12"/>
          <w:szCs w:val="12"/>
          <w:rtl/>
        </w:rPr>
      </w:pPr>
    </w:p>
    <w:p w:rsidR="00D91DFC" w:rsidRPr="004C7358" w:rsidRDefault="00D91DFC" w:rsidP="004D1998">
      <w:pPr>
        <w:rPr>
          <w:sz w:val="12"/>
          <w:szCs w:val="12"/>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Tr="00D048DB">
        <w:trPr>
          <w:jc w:val="center"/>
        </w:trPr>
        <w:tc>
          <w:tcPr>
            <w:tcW w:w="8820" w:type="dxa"/>
          </w:tcPr>
          <w:p w:rsidR="00694556" w:rsidRPr="00D91DFC" w:rsidRDefault="0016615E">
            <w:pPr>
              <w:bidi w:val="0"/>
              <w:jc w:val="center"/>
              <w:rPr>
                <w:rFonts w:ascii="Arial" w:hAnsi="Arial"/>
                <w:b/>
                <w:bCs/>
                <w:noProof w:val="0"/>
                <w:sz w:val="42"/>
                <w:szCs w:val="42"/>
                <w:u w:val="single"/>
              </w:rPr>
            </w:pPr>
            <w:r w:rsidRPr="00D91DFC">
              <w:rPr>
                <w:rFonts w:ascii="Arial" w:hAnsi="Arial" w:hint="cs"/>
                <w:b/>
                <w:bCs/>
                <w:noProof w:val="0"/>
                <w:sz w:val="42"/>
                <w:szCs w:val="42"/>
                <w:u w:val="single"/>
                <w:rtl/>
              </w:rPr>
              <w:t>פסק דין</w:t>
            </w:r>
          </w:p>
          <w:p w:rsidR="00D91DFC" w:rsidRDefault="00D91DFC" w:rsidP="00D91DFC">
            <w:pPr>
              <w:bidi w:val="0"/>
              <w:jc w:val="center"/>
              <w:rPr>
                <w:rFonts w:ascii="Arial" w:hAnsi="Arial"/>
                <w:b/>
                <w:bCs/>
                <w:noProof w:val="0"/>
                <w:sz w:val="28"/>
                <w:szCs w:val="28"/>
                <w:u w:val="single"/>
              </w:rPr>
            </w:pPr>
          </w:p>
          <w:tbl>
            <w:tblPr>
              <w:tblStyle w:val="a9"/>
              <w:tblpPr w:leftFromText="180" w:rightFromText="180" w:vertAnchor="text" w:tblpY="-196"/>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103"/>
              <w:gridCol w:w="3402"/>
            </w:tblGrid>
            <w:tr w:rsidR="00D048DB" w:rsidTr="00D048DB">
              <w:trPr>
                <w:trHeight w:val="147"/>
              </w:trPr>
              <w:tc>
                <w:tcPr>
                  <w:tcW w:w="5103" w:type="dxa"/>
                </w:tcPr>
                <w:p w:rsidR="00D048DB" w:rsidRDefault="00D048DB" w:rsidP="00D048DB">
                  <w:pPr>
                    <w:spacing w:line="360" w:lineRule="auto"/>
                    <w:rPr>
                      <w:rFonts w:ascii="David" w:hAnsi="David"/>
                      <w:b/>
                      <w:bCs/>
                      <w:noProof w:val="0"/>
                    </w:rPr>
                  </w:pPr>
                </w:p>
              </w:tc>
              <w:tc>
                <w:tcPr>
                  <w:tcW w:w="3402" w:type="dxa"/>
                  <w:hideMark/>
                </w:tcPr>
                <w:p w:rsidR="00D048DB" w:rsidRDefault="00D048DB" w:rsidP="00D048DB">
                  <w:pPr>
                    <w:spacing w:line="360" w:lineRule="auto"/>
                    <w:rPr>
                      <w:rFonts w:ascii="David" w:hAnsi="David"/>
                      <w:b/>
                      <w:bCs/>
                    </w:rPr>
                  </w:pPr>
                  <w:r>
                    <w:rPr>
                      <w:rFonts w:ascii="David" w:hAnsi="David"/>
                      <w:rtl/>
                    </w:rPr>
                    <w:t xml:space="preserve"> </w:t>
                  </w:r>
                </w:p>
              </w:tc>
            </w:tr>
          </w:tbl>
          <w:p w:rsidR="00D048DB" w:rsidRDefault="00D048DB" w:rsidP="00D048DB">
            <w:pPr>
              <w:pStyle w:val="af"/>
              <w:spacing w:line="360" w:lineRule="auto"/>
              <w:ind w:left="-172"/>
              <w:jc w:val="both"/>
              <w:rPr>
                <w:rFonts w:ascii="David" w:hAnsi="David" w:cs="David"/>
                <w:b/>
                <w:bCs/>
                <w:sz w:val="28"/>
                <w:szCs w:val="28"/>
                <w:u w:val="single"/>
                <w:rtl/>
              </w:rPr>
            </w:pPr>
            <w:r>
              <w:rPr>
                <w:rFonts w:ascii="David" w:hAnsi="David" w:cs="David"/>
                <w:b/>
                <w:bCs/>
                <w:sz w:val="28"/>
                <w:szCs w:val="28"/>
                <w:u w:val="single"/>
                <w:rtl/>
              </w:rPr>
              <w:t>חלק ראשון – פתח דבר</w:t>
            </w:r>
          </w:p>
          <w:p w:rsidR="00D048DB" w:rsidRDefault="00D048DB" w:rsidP="00D048DB">
            <w:pPr>
              <w:pStyle w:val="af"/>
              <w:spacing w:line="360" w:lineRule="auto"/>
              <w:ind w:left="-456"/>
              <w:jc w:val="both"/>
              <w:rPr>
                <w:rFonts w:ascii="David" w:hAnsi="David" w:cs="David"/>
                <w:b/>
                <w:bCs/>
                <w:sz w:val="24"/>
                <w:szCs w:val="24"/>
                <w:u w:val="single"/>
                <w:rtl/>
              </w:rPr>
            </w:pPr>
          </w:p>
          <w:p w:rsidR="00D048DB" w:rsidRDefault="00D048DB" w:rsidP="00D048DB">
            <w:pPr>
              <w:pStyle w:val="af"/>
              <w:numPr>
                <w:ilvl w:val="0"/>
                <w:numId w:val="1"/>
              </w:numPr>
              <w:spacing w:line="360" w:lineRule="auto"/>
              <w:ind w:left="111" w:hanging="284"/>
              <w:jc w:val="both"/>
              <w:rPr>
                <w:rFonts w:ascii="David" w:hAnsi="David" w:cs="David"/>
                <w:sz w:val="24"/>
                <w:szCs w:val="24"/>
              </w:rPr>
            </w:pPr>
            <w:r>
              <w:rPr>
                <w:rFonts w:ascii="David" w:hAnsi="David" w:cs="David"/>
                <w:b/>
                <w:bCs/>
                <w:sz w:val="24"/>
                <w:szCs w:val="24"/>
                <w:u w:val="single"/>
                <w:rtl/>
              </w:rPr>
              <w:t>עניינו של פסק הדין וכן תוצאתו</w:t>
            </w:r>
          </w:p>
          <w:p w:rsidR="00D048DB" w:rsidRDefault="00D048DB" w:rsidP="00D048DB">
            <w:pPr>
              <w:pStyle w:val="af"/>
              <w:numPr>
                <w:ilvl w:val="1"/>
                <w:numId w:val="1"/>
              </w:numPr>
              <w:spacing w:line="360" w:lineRule="auto"/>
              <w:ind w:left="820" w:hanging="567"/>
              <w:jc w:val="both"/>
              <w:rPr>
                <w:rFonts w:ascii="David" w:hAnsi="David" w:cs="David"/>
                <w:sz w:val="24"/>
                <w:szCs w:val="24"/>
              </w:rPr>
            </w:pPr>
            <w:r>
              <w:rPr>
                <w:rFonts w:ascii="David" w:hAnsi="David" w:cs="David"/>
                <w:b/>
                <w:bCs/>
                <w:sz w:val="24"/>
                <w:szCs w:val="24"/>
                <w:u w:val="single"/>
                <w:rtl/>
              </w:rPr>
              <w:t>עניינו של פסק הדין</w:t>
            </w:r>
          </w:p>
          <w:p w:rsidR="00D048DB" w:rsidRDefault="00D048DB" w:rsidP="00D048DB">
            <w:pPr>
              <w:pStyle w:val="af"/>
              <w:numPr>
                <w:ilvl w:val="0"/>
                <w:numId w:val="2"/>
              </w:numPr>
              <w:spacing w:line="360" w:lineRule="auto"/>
              <w:ind w:left="1245"/>
              <w:jc w:val="both"/>
              <w:rPr>
                <w:rFonts w:ascii="David" w:hAnsi="David" w:cs="David"/>
                <w:sz w:val="24"/>
                <w:szCs w:val="24"/>
              </w:rPr>
            </w:pPr>
            <w:r>
              <w:rPr>
                <w:rFonts w:ascii="David" w:hAnsi="David" w:cs="David"/>
                <w:sz w:val="24"/>
                <w:szCs w:val="24"/>
                <w:rtl/>
              </w:rPr>
              <w:t>עניינו של פסק הדין הוא תביעה כספית על סך 137,421 ₪  שהגיש תאגיד בנקאי, לאחר שעיקול שהוטל ונרשם בלשכת רשם המקרקעין כדין – נמחק שלא כדין ותוך התרשלות לשכת רישום המקרקעין. התרשלות שהתבססה על החלטת בית משפט מזויפת שהוצגה לפקידי לשכת הרישום. התרשלות שניתן וצריך היה למנוע אותה – כפי שיובהר בהמשך פסק הדין.</w:t>
            </w:r>
          </w:p>
          <w:p w:rsidR="00D048DB" w:rsidRDefault="00D048DB" w:rsidP="00D048DB">
            <w:pPr>
              <w:pStyle w:val="af"/>
              <w:spacing w:line="360" w:lineRule="auto"/>
              <w:ind w:left="755"/>
              <w:jc w:val="both"/>
              <w:rPr>
                <w:rFonts w:ascii="David" w:hAnsi="David" w:cs="David"/>
                <w:sz w:val="24"/>
                <w:szCs w:val="24"/>
              </w:rPr>
            </w:pPr>
          </w:p>
          <w:p w:rsidR="00D048DB" w:rsidRDefault="00D048DB" w:rsidP="00D048DB">
            <w:pPr>
              <w:pStyle w:val="af"/>
              <w:numPr>
                <w:ilvl w:val="0"/>
                <w:numId w:val="2"/>
              </w:numPr>
              <w:spacing w:line="360" w:lineRule="auto"/>
              <w:ind w:left="1245"/>
              <w:jc w:val="both"/>
              <w:rPr>
                <w:rFonts w:ascii="David" w:hAnsi="David" w:cs="David"/>
                <w:sz w:val="24"/>
                <w:szCs w:val="24"/>
              </w:rPr>
            </w:pPr>
            <w:r>
              <w:rPr>
                <w:rFonts w:ascii="David" w:hAnsi="David" w:cs="David"/>
                <w:sz w:val="24"/>
                <w:szCs w:val="24"/>
                <w:rtl/>
              </w:rPr>
              <w:t xml:space="preserve">הנתבעת מחקה עיקול שהטיל רשם ההוצאה לפועל, </w:t>
            </w:r>
            <w:r>
              <w:rPr>
                <w:rFonts w:ascii="David" w:hAnsi="David" w:cs="David"/>
                <w:sz w:val="24"/>
                <w:szCs w:val="24"/>
                <w:u w:val="single"/>
                <w:rtl/>
              </w:rPr>
              <w:t>מבלי שהתקבל צו ביטול מקוון</w:t>
            </w:r>
            <w:r>
              <w:rPr>
                <w:rFonts w:ascii="David" w:hAnsi="David" w:cs="David"/>
                <w:sz w:val="24"/>
                <w:szCs w:val="24"/>
                <w:rtl/>
              </w:rPr>
              <w:t>. הנתבעת מחקה את העיקול ביום 14.</w:t>
            </w:r>
            <w:r>
              <w:rPr>
                <w:rFonts w:ascii="David" w:hAnsi="David" w:cs="David"/>
                <w:sz w:val="24"/>
                <w:szCs w:val="24"/>
                <w:u w:val="single"/>
                <w:rtl/>
              </w:rPr>
              <w:t>8</w:t>
            </w:r>
            <w:r>
              <w:rPr>
                <w:rFonts w:ascii="David" w:hAnsi="David" w:cs="David"/>
                <w:sz w:val="24"/>
                <w:szCs w:val="24"/>
                <w:rtl/>
              </w:rPr>
              <w:t>.2019 הסתמכה על מסמך מזויף הנושא תאריך 15.</w:t>
            </w:r>
            <w:r>
              <w:rPr>
                <w:rFonts w:ascii="David" w:hAnsi="David" w:cs="David"/>
                <w:sz w:val="24"/>
                <w:szCs w:val="24"/>
                <w:u w:val="single"/>
                <w:rtl/>
              </w:rPr>
              <w:t>7</w:t>
            </w:r>
            <w:r>
              <w:rPr>
                <w:rFonts w:ascii="David" w:hAnsi="David" w:cs="David"/>
                <w:sz w:val="24"/>
                <w:szCs w:val="24"/>
                <w:rtl/>
              </w:rPr>
              <w:t>.2019, כחודש מוקדם יותר. כאן ייאמר שלטענת התובע, העיקול הוסר רק ביום 12.9.2019, טענה זו אינה משנה את הדיון בפסק הדין וכן תוצאתו.</w:t>
            </w:r>
          </w:p>
          <w:p w:rsidR="00D048DB" w:rsidRDefault="00D048DB" w:rsidP="00D048DB">
            <w:pPr>
              <w:pStyle w:val="af"/>
              <w:rPr>
                <w:rFonts w:ascii="David" w:hAnsi="David" w:cs="David"/>
                <w:sz w:val="24"/>
                <w:szCs w:val="24"/>
              </w:rPr>
            </w:pPr>
          </w:p>
          <w:p w:rsidR="00D048DB" w:rsidRDefault="00D048DB" w:rsidP="00D048DB">
            <w:pPr>
              <w:pStyle w:val="af"/>
              <w:numPr>
                <w:ilvl w:val="0"/>
                <w:numId w:val="2"/>
              </w:numPr>
              <w:spacing w:line="360" w:lineRule="auto"/>
              <w:ind w:left="1245"/>
              <w:jc w:val="both"/>
              <w:rPr>
                <w:rFonts w:ascii="David" w:hAnsi="David" w:cs="David"/>
                <w:sz w:val="24"/>
                <w:szCs w:val="24"/>
                <w:rtl/>
              </w:rPr>
            </w:pPr>
            <w:r>
              <w:rPr>
                <w:rFonts w:ascii="David" w:hAnsi="David" w:cs="David"/>
                <w:sz w:val="24"/>
                <w:szCs w:val="24"/>
                <w:rtl/>
              </w:rPr>
              <w:t>לא בכדי הפניתי כבר עתה לאותו חודש שחלף בין מועד צו הביטול המזויף לבין מחיקת העיקול. ואסביר – במשך כ</w:t>
            </w:r>
            <w:r>
              <w:rPr>
                <w:rFonts w:ascii="David" w:hAnsi="David" w:cs="David"/>
                <w:sz w:val="24"/>
                <w:szCs w:val="24"/>
                <w:u w:val="single"/>
                <w:rtl/>
              </w:rPr>
              <w:t>חודש</w:t>
            </w:r>
            <w:r>
              <w:rPr>
                <w:rFonts w:ascii="David" w:hAnsi="David" w:cs="David"/>
                <w:sz w:val="24"/>
                <w:szCs w:val="24"/>
                <w:rtl/>
              </w:rPr>
              <w:t xml:space="preserve"> לא התקבל אצל הנתבעת צו מקוון למחיקת העיקול. צו שברגיל משודר ומתקבל לכל היותר בתוך ימים אחדים (ור' למשל חקירת נציג </w:t>
            </w:r>
            <w:r>
              <w:rPr>
                <w:rFonts w:ascii="David" w:hAnsi="David" w:cs="David"/>
                <w:sz w:val="24"/>
                <w:szCs w:val="24"/>
                <w:rtl/>
              </w:rPr>
              <w:lastRenderedPageBreak/>
              <w:t xml:space="preserve">הנתבעת כמפורט בסעיף 6.3 להלן). ולמרות זאת, ולמרות נהלי הרישום שהיא עצמה פרסמה – כאשר דאגה בעלת הזכויות בנכס להביא לפתע את הצו המזויף למשרדי הנתבעת –מיהרה הנתבעת למחוק את העיקול על אתר. </w:t>
            </w:r>
          </w:p>
          <w:p w:rsidR="00D048DB" w:rsidRDefault="00D048DB" w:rsidP="00D048DB">
            <w:pPr>
              <w:pStyle w:val="af"/>
              <w:spacing w:line="360" w:lineRule="auto"/>
              <w:ind w:left="395"/>
              <w:jc w:val="both"/>
              <w:rPr>
                <w:rFonts w:ascii="David" w:hAnsi="David" w:cs="David"/>
                <w:sz w:val="24"/>
                <w:szCs w:val="24"/>
              </w:rPr>
            </w:pPr>
          </w:p>
          <w:p w:rsidR="00D048DB" w:rsidRDefault="00D048DB" w:rsidP="00D048DB">
            <w:pPr>
              <w:pStyle w:val="af"/>
              <w:numPr>
                <w:ilvl w:val="1"/>
                <w:numId w:val="1"/>
              </w:numPr>
              <w:spacing w:line="360" w:lineRule="auto"/>
              <w:ind w:left="820" w:hanging="567"/>
              <w:jc w:val="both"/>
              <w:rPr>
                <w:rFonts w:ascii="David" w:hAnsi="David" w:cs="David"/>
                <w:sz w:val="24"/>
                <w:szCs w:val="24"/>
              </w:rPr>
            </w:pPr>
            <w:r>
              <w:rPr>
                <w:rFonts w:ascii="David" w:hAnsi="David" w:cs="David"/>
                <w:b/>
                <w:bCs/>
                <w:sz w:val="24"/>
                <w:szCs w:val="24"/>
                <w:u w:val="single"/>
                <w:rtl/>
              </w:rPr>
              <w:t>המחלוקת בקליפת אגוז</w:t>
            </w:r>
          </w:p>
          <w:p w:rsidR="00D048DB" w:rsidRDefault="00D048DB" w:rsidP="00D048DB">
            <w:pPr>
              <w:pStyle w:val="af"/>
              <w:numPr>
                <w:ilvl w:val="0"/>
                <w:numId w:val="3"/>
              </w:numPr>
              <w:spacing w:line="360" w:lineRule="auto"/>
              <w:ind w:left="1387" w:hanging="567"/>
              <w:jc w:val="both"/>
              <w:rPr>
                <w:rFonts w:ascii="David" w:hAnsi="David" w:cs="David"/>
                <w:sz w:val="24"/>
                <w:szCs w:val="24"/>
              </w:rPr>
            </w:pPr>
            <w:r>
              <w:rPr>
                <w:rFonts w:ascii="David" w:hAnsi="David" w:cs="David"/>
                <w:sz w:val="24"/>
                <w:szCs w:val="24"/>
                <w:rtl/>
              </w:rPr>
              <w:t xml:space="preserve">התובע הוא תאגיד בנקאי. הנתבעת היא גוף של מדינת ישראל האחראי לרישום זכויות במקרקעין. בתמצית ייאמר כי התובע הוא נושה של בעלת נכס מקרקעין (להלן: </w:t>
            </w:r>
            <w:r>
              <w:rPr>
                <w:rFonts w:ascii="David" w:hAnsi="David" w:cs="David"/>
                <w:b/>
                <w:bCs/>
                <w:sz w:val="24"/>
                <w:szCs w:val="24"/>
                <w:rtl/>
              </w:rPr>
              <w:t>"החייבת"</w:t>
            </w:r>
            <w:r>
              <w:rPr>
                <w:rFonts w:ascii="David" w:hAnsi="David" w:cs="David"/>
                <w:sz w:val="24"/>
                <w:szCs w:val="24"/>
                <w:rtl/>
              </w:rPr>
              <w:t>). התובע הטיל עיקול על זכויותיה של החייבת בנכס המקרקעין. הנתבעת קיבלה את העיקול ורשמה אותו היטב בספריה.</w:t>
            </w:r>
          </w:p>
          <w:p w:rsidR="00D048DB" w:rsidRDefault="00D048DB" w:rsidP="00D048DB">
            <w:pPr>
              <w:pStyle w:val="af"/>
              <w:spacing w:line="360" w:lineRule="auto"/>
              <w:ind w:left="755"/>
              <w:jc w:val="both"/>
              <w:rPr>
                <w:rFonts w:ascii="David" w:hAnsi="David" w:cs="David"/>
                <w:sz w:val="24"/>
                <w:szCs w:val="24"/>
              </w:rPr>
            </w:pPr>
          </w:p>
          <w:p w:rsidR="00D048DB" w:rsidRDefault="00D048DB" w:rsidP="00D048DB">
            <w:pPr>
              <w:pStyle w:val="af"/>
              <w:numPr>
                <w:ilvl w:val="0"/>
                <w:numId w:val="3"/>
              </w:numPr>
              <w:spacing w:line="360" w:lineRule="auto"/>
              <w:ind w:left="1387" w:hanging="567"/>
              <w:jc w:val="both"/>
              <w:rPr>
                <w:rFonts w:ascii="David" w:hAnsi="David" w:cs="David"/>
                <w:sz w:val="24"/>
                <w:szCs w:val="24"/>
              </w:rPr>
            </w:pPr>
            <w:r>
              <w:rPr>
                <w:rFonts w:ascii="David" w:hAnsi="David" w:cs="David"/>
                <w:sz w:val="24"/>
                <w:szCs w:val="24"/>
                <w:rtl/>
              </w:rPr>
              <w:t xml:space="preserve">בהמשך, וכאמור לעיל, ביטלה הנתבעת את רישום העיקול, וזאת על בסיס </w:t>
            </w:r>
            <w:r>
              <w:rPr>
                <w:rFonts w:ascii="David" w:hAnsi="David" w:cs="David"/>
                <w:sz w:val="24"/>
                <w:szCs w:val="24"/>
                <w:u w:val="single"/>
                <w:rtl/>
              </w:rPr>
              <w:t xml:space="preserve">מסמך מזויף, שאינו מסמך מקור </w:t>
            </w:r>
            <w:r>
              <w:rPr>
                <w:rFonts w:ascii="David" w:hAnsi="David" w:cs="David"/>
                <w:sz w:val="24"/>
                <w:szCs w:val="24"/>
                <w:rtl/>
              </w:rPr>
              <w:t xml:space="preserve">שהמציאה לה החייבת באמצעות עורכת דין שהיא בת משפחתה. עם ביטול העיקול, השלימה החייבת העברת זכויות במקרקעין והתובע נותר אל מול שוקת שבורה. </w:t>
            </w:r>
          </w:p>
          <w:p w:rsidR="00D048DB" w:rsidRDefault="00D048DB" w:rsidP="00D048DB">
            <w:pPr>
              <w:pStyle w:val="af"/>
              <w:jc w:val="both"/>
              <w:rPr>
                <w:rFonts w:ascii="David" w:hAnsi="David" w:cs="David"/>
                <w:sz w:val="24"/>
                <w:szCs w:val="24"/>
              </w:rPr>
            </w:pPr>
          </w:p>
          <w:p w:rsidR="00D048DB" w:rsidRDefault="00D048DB" w:rsidP="00D048DB">
            <w:pPr>
              <w:pStyle w:val="af"/>
              <w:numPr>
                <w:ilvl w:val="1"/>
                <w:numId w:val="1"/>
              </w:numPr>
              <w:spacing w:line="360" w:lineRule="auto"/>
              <w:ind w:left="820" w:hanging="567"/>
              <w:jc w:val="both"/>
              <w:rPr>
                <w:rFonts w:ascii="David" w:hAnsi="David" w:cs="David"/>
                <w:sz w:val="24"/>
                <w:szCs w:val="24"/>
                <w:rtl/>
              </w:rPr>
            </w:pPr>
            <w:r>
              <w:rPr>
                <w:rFonts w:ascii="David" w:hAnsi="David" w:cs="David"/>
                <w:b/>
                <w:bCs/>
                <w:sz w:val="24"/>
                <w:szCs w:val="24"/>
                <w:u w:val="single"/>
                <w:rtl/>
              </w:rPr>
              <w:t>התייחסות להודעת צד ג' שהוגשה ואשר לא הוגש בה כתב הגנה</w:t>
            </w:r>
          </w:p>
          <w:p w:rsidR="00D048DB" w:rsidRDefault="00D048DB" w:rsidP="00D048DB">
            <w:pPr>
              <w:pStyle w:val="af"/>
              <w:spacing w:line="360" w:lineRule="auto"/>
              <w:ind w:left="820"/>
              <w:jc w:val="both"/>
              <w:rPr>
                <w:rFonts w:ascii="David" w:hAnsi="David" w:cs="David"/>
                <w:sz w:val="24"/>
                <w:szCs w:val="24"/>
              </w:rPr>
            </w:pPr>
            <w:r>
              <w:rPr>
                <w:rFonts w:ascii="David" w:hAnsi="David" w:cs="David"/>
                <w:sz w:val="24"/>
                <w:szCs w:val="24"/>
                <w:rtl/>
              </w:rPr>
              <w:t>הנתבעת הגיש הודעת צד ג' כנגד החייבת וכנגד עורכת הדין, קרובת משפחתה. לא הוגש כת כתב הגנה בהודעת צד ג' ומכאן ניתנה על ידי החלטה אשר במהותה קבעה שהצדדים השלישיים יחויבו בכל תשלום בו תחויב הנתבעת, ככל שתחויב. על כך עוד יורחב בסעיף 11 להלן בסיומו של פסק הדין.</w:t>
            </w:r>
          </w:p>
          <w:p w:rsidR="00D048DB" w:rsidRDefault="00D048DB" w:rsidP="00D048DB">
            <w:pPr>
              <w:pStyle w:val="af"/>
              <w:spacing w:line="360" w:lineRule="auto"/>
              <w:ind w:left="395"/>
              <w:jc w:val="both"/>
              <w:rPr>
                <w:rFonts w:ascii="David" w:hAnsi="David" w:cs="David"/>
                <w:sz w:val="24"/>
                <w:szCs w:val="24"/>
              </w:rPr>
            </w:pPr>
          </w:p>
          <w:p w:rsidR="00D048DB" w:rsidRDefault="00D048DB" w:rsidP="00D048DB">
            <w:pPr>
              <w:pStyle w:val="af"/>
              <w:numPr>
                <w:ilvl w:val="1"/>
                <w:numId w:val="1"/>
              </w:numPr>
              <w:spacing w:line="360" w:lineRule="auto"/>
              <w:ind w:left="820" w:hanging="567"/>
              <w:jc w:val="both"/>
              <w:rPr>
                <w:rFonts w:ascii="David" w:hAnsi="David" w:cs="David"/>
                <w:sz w:val="24"/>
                <w:szCs w:val="24"/>
              </w:rPr>
            </w:pPr>
            <w:r>
              <w:rPr>
                <w:rFonts w:ascii="David" w:hAnsi="David" w:cs="David"/>
                <w:b/>
                <w:bCs/>
                <w:sz w:val="24"/>
                <w:szCs w:val="24"/>
                <w:u w:val="single"/>
                <w:rtl/>
              </w:rPr>
              <w:t>תוצאת פסק הדין</w:t>
            </w:r>
          </w:p>
          <w:p w:rsidR="00D048DB" w:rsidRDefault="00D048DB" w:rsidP="00D048DB">
            <w:pPr>
              <w:pStyle w:val="af"/>
              <w:numPr>
                <w:ilvl w:val="0"/>
                <w:numId w:val="4"/>
              </w:numPr>
              <w:spacing w:line="360" w:lineRule="auto"/>
              <w:ind w:left="1103"/>
              <w:jc w:val="both"/>
              <w:rPr>
                <w:rFonts w:ascii="David" w:hAnsi="David" w:cs="David"/>
                <w:sz w:val="24"/>
                <w:szCs w:val="24"/>
              </w:rPr>
            </w:pPr>
            <w:r>
              <w:rPr>
                <w:rFonts w:ascii="David" w:hAnsi="David" w:cs="David"/>
                <w:sz w:val="24"/>
                <w:szCs w:val="24"/>
                <w:rtl/>
              </w:rPr>
              <w:t>בסיומו של פסק הדין, התביעה תתקבל. הנתבעת תחויב בתשלום הסך  של 137,421 ש"ח בתוספת הפרשי הצמדה וריבית כחוק ממועד הגשת התביעה. בנוסף יחויבו צדדי ג' בתשלום לנתבעת ומודיעת צד ג'  – הכל כפי שיורחב בסעיף 13 לפסק הדין.</w:t>
            </w:r>
          </w:p>
          <w:p w:rsidR="00D048DB" w:rsidRDefault="00D048DB" w:rsidP="00D048DB">
            <w:pPr>
              <w:pStyle w:val="af"/>
              <w:spacing w:line="360" w:lineRule="auto"/>
              <w:ind w:left="755"/>
              <w:jc w:val="both"/>
              <w:rPr>
                <w:rFonts w:ascii="David" w:hAnsi="David" w:cs="David"/>
                <w:sz w:val="24"/>
                <w:szCs w:val="24"/>
              </w:rPr>
            </w:pPr>
          </w:p>
          <w:p w:rsidR="00D048DB" w:rsidRDefault="00D048DB" w:rsidP="00D048DB">
            <w:pPr>
              <w:pStyle w:val="af"/>
              <w:numPr>
                <w:ilvl w:val="0"/>
                <w:numId w:val="4"/>
              </w:numPr>
              <w:spacing w:line="360" w:lineRule="auto"/>
              <w:ind w:left="1103"/>
              <w:jc w:val="both"/>
              <w:rPr>
                <w:rFonts w:ascii="David" w:hAnsi="David" w:cs="David"/>
                <w:sz w:val="24"/>
                <w:szCs w:val="24"/>
              </w:rPr>
            </w:pPr>
            <w:r>
              <w:rPr>
                <w:rFonts w:ascii="David" w:hAnsi="David" w:cs="David"/>
                <w:sz w:val="24"/>
                <w:szCs w:val="24"/>
                <w:rtl/>
              </w:rPr>
              <w:t xml:space="preserve">פסק הדין אכן מוצא התרשלות בפעולות הנתבעת ואכן מחייב את הנתבעת בתשלום פיצוי לתובעת. </w:t>
            </w:r>
            <w:r>
              <w:rPr>
                <w:rFonts w:ascii="David" w:hAnsi="David" w:cs="David"/>
                <w:sz w:val="24"/>
                <w:szCs w:val="24"/>
                <w:u w:val="single"/>
                <w:rtl/>
              </w:rPr>
              <w:t>לצד זאת</w:t>
            </w:r>
            <w:r>
              <w:rPr>
                <w:rFonts w:ascii="David" w:hAnsi="David" w:cs="David"/>
                <w:sz w:val="24"/>
                <w:szCs w:val="24"/>
                <w:rtl/>
              </w:rPr>
              <w:t xml:space="preserve">, ובמיוחד לאחר ששמעתי את עדותו ההגונה של מר שלמה וייס, סגן רשם המקרקעין   - חשוב להוסיף את הערכתי לעבודתם האינטנסיבית והלחוצה של נשות ואנשי רשם המקרקעין. פסק הדין נועד להיטיב את נזקו של התובע, אך חלילה לא לרפות את ידי עובדי הנתבעת או להפחית מחשיבות עבודתם המאומצת. </w:t>
            </w:r>
          </w:p>
          <w:p w:rsidR="00D048DB" w:rsidRDefault="00D048DB" w:rsidP="00D048DB">
            <w:pPr>
              <w:pStyle w:val="af"/>
              <w:spacing w:line="360" w:lineRule="auto"/>
              <w:ind w:left="-172"/>
              <w:jc w:val="both"/>
              <w:rPr>
                <w:rFonts w:ascii="David" w:hAnsi="David" w:cs="David"/>
                <w:sz w:val="24"/>
                <w:szCs w:val="24"/>
                <w:u w:val="single"/>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Pr>
            </w:pPr>
            <w:r>
              <w:rPr>
                <w:rFonts w:ascii="David" w:hAnsi="David" w:cs="David"/>
                <w:b/>
                <w:bCs/>
                <w:sz w:val="24"/>
                <w:szCs w:val="24"/>
                <w:u w:val="single"/>
                <w:rtl/>
              </w:rPr>
              <w:t>שני העדים שנשמעו בהליך; תמצית טענות הצדדים</w:t>
            </w:r>
          </w:p>
          <w:p w:rsidR="00D048DB" w:rsidRDefault="00D048DB" w:rsidP="00D048DB">
            <w:pPr>
              <w:pStyle w:val="af"/>
              <w:numPr>
                <w:ilvl w:val="1"/>
                <w:numId w:val="1"/>
              </w:numPr>
              <w:spacing w:line="360" w:lineRule="auto"/>
              <w:ind w:left="820" w:hanging="567"/>
              <w:jc w:val="both"/>
              <w:rPr>
                <w:rFonts w:ascii="David" w:hAnsi="David" w:cs="David"/>
                <w:sz w:val="24"/>
                <w:szCs w:val="24"/>
                <w:u w:val="single"/>
              </w:rPr>
            </w:pPr>
            <w:r>
              <w:rPr>
                <w:rFonts w:ascii="David" w:hAnsi="David" w:cs="David"/>
                <w:b/>
                <w:bCs/>
                <w:sz w:val="24"/>
                <w:szCs w:val="24"/>
                <w:u w:val="single"/>
                <w:rtl/>
              </w:rPr>
              <w:t>שני העדים בהליך</w:t>
            </w:r>
          </w:p>
          <w:p w:rsidR="00D048DB" w:rsidRDefault="00D048DB" w:rsidP="00D048DB">
            <w:pPr>
              <w:pStyle w:val="af"/>
              <w:spacing w:line="360" w:lineRule="auto"/>
              <w:ind w:left="820"/>
              <w:jc w:val="both"/>
              <w:rPr>
                <w:rFonts w:ascii="David" w:hAnsi="David" w:cs="David"/>
                <w:sz w:val="24"/>
                <w:szCs w:val="24"/>
              </w:rPr>
            </w:pPr>
            <w:r>
              <w:rPr>
                <w:rFonts w:ascii="David" w:hAnsi="David" w:cs="David"/>
                <w:sz w:val="24"/>
                <w:szCs w:val="24"/>
                <w:rtl/>
              </w:rPr>
              <w:t>במסגרת ההליך נשמעו העדים הבאים:</w:t>
            </w:r>
          </w:p>
          <w:p w:rsidR="00D048DB" w:rsidRDefault="00D048DB" w:rsidP="00D048DB">
            <w:pPr>
              <w:pStyle w:val="af"/>
              <w:numPr>
                <w:ilvl w:val="0"/>
                <w:numId w:val="5"/>
              </w:numPr>
              <w:spacing w:line="360" w:lineRule="auto"/>
              <w:ind w:left="1245"/>
              <w:jc w:val="both"/>
              <w:rPr>
                <w:rFonts w:ascii="David" w:hAnsi="David" w:cs="David"/>
                <w:sz w:val="24"/>
                <w:szCs w:val="24"/>
                <w:rtl/>
              </w:rPr>
            </w:pPr>
            <w:r>
              <w:rPr>
                <w:rFonts w:ascii="David" w:hAnsi="David" w:cs="David"/>
                <w:sz w:val="24"/>
                <w:szCs w:val="24"/>
                <w:rtl/>
              </w:rPr>
              <w:t xml:space="preserve">מטעם התובע – </w:t>
            </w:r>
            <w:r>
              <w:rPr>
                <w:rFonts w:ascii="David" w:hAnsi="David" w:cs="David"/>
                <w:sz w:val="24"/>
                <w:szCs w:val="24"/>
                <w:rtl/>
              </w:rPr>
              <w:tab/>
              <w:t>מר שמוליק זבולון, מנהל אגף חוב"ב (חובות בעייתיים).</w:t>
            </w:r>
          </w:p>
          <w:p w:rsidR="00D048DB" w:rsidRDefault="00D048DB" w:rsidP="00D048DB">
            <w:pPr>
              <w:pStyle w:val="af"/>
              <w:numPr>
                <w:ilvl w:val="0"/>
                <w:numId w:val="5"/>
              </w:numPr>
              <w:spacing w:line="360" w:lineRule="auto"/>
              <w:ind w:left="1245"/>
              <w:jc w:val="both"/>
              <w:rPr>
                <w:rFonts w:ascii="David" w:hAnsi="David" w:cs="David"/>
                <w:sz w:val="24"/>
                <w:szCs w:val="24"/>
              </w:rPr>
            </w:pPr>
            <w:r>
              <w:rPr>
                <w:rFonts w:ascii="David" w:hAnsi="David" w:cs="David"/>
                <w:sz w:val="24"/>
                <w:szCs w:val="24"/>
                <w:rtl/>
              </w:rPr>
              <w:t xml:space="preserve">מטעם הנתבעת – </w:t>
            </w:r>
            <w:r>
              <w:rPr>
                <w:rFonts w:ascii="David" w:hAnsi="David" w:cs="David"/>
                <w:sz w:val="24"/>
                <w:szCs w:val="24"/>
                <w:rtl/>
              </w:rPr>
              <w:tab/>
              <w:t>מר שלמה וייס, סגן רשם המקרקעין בתל אביב.</w:t>
            </w:r>
          </w:p>
          <w:p w:rsidR="00D048DB" w:rsidRDefault="00D048DB" w:rsidP="00D048DB">
            <w:pPr>
              <w:pStyle w:val="af"/>
              <w:spacing w:line="360" w:lineRule="auto"/>
              <w:ind w:left="395"/>
              <w:jc w:val="both"/>
              <w:rPr>
                <w:rFonts w:ascii="David" w:hAnsi="David" w:cs="David"/>
                <w:sz w:val="24"/>
                <w:szCs w:val="24"/>
                <w:u w:val="single"/>
                <w:rtl/>
              </w:rPr>
            </w:pPr>
          </w:p>
          <w:p w:rsidR="00D048DB" w:rsidRDefault="00D048DB" w:rsidP="00D048DB">
            <w:pPr>
              <w:pStyle w:val="af"/>
              <w:numPr>
                <w:ilvl w:val="1"/>
                <w:numId w:val="1"/>
              </w:numPr>
              <w:spacing w:line="360" w:lineRule="auto"/>
              <w:ind w:left="820" w:hanging="567"/>
              <w:jc w:val="both"/>
              <w:rPr>
                <w:rFonts w:ascii="David" w:hAnsi="David" w:cs="David"/>
                <w:b/>
                <w:bCs/>
                <w:sz w:val="24"/>
                <w:szCs w:val="24"/>
                <w:u w:val="single"/>
                <w:rtl/>
              </w:rPr>
            </w:pPr>
            <w:r>
              <w:rPr>
                <w:rFonts w:ascii="David" w:hAnsi="David" w:cs="David"/>
                <w:b/>
                <w:bCs/>
                <w:sz w:val="24"/>
                <w:szCs w:val="24"/>
                <w:u w:val="single"/>
                <w:rtl/>
              </w:rPr>
              <w:t>תמצית טענות התובע</w:t>
            </w:r>
          </w:p>
          <w:p w:rsidR="00D048DB" w:rsidRDefault="00D048DB" w:rsidP="00D048DB">
            <w:pPr>
              <w:pStyle w:val="af"/>
              <w:numPr>
                <w:ilvl w:val="0"/>
                <w:numId w:val="6"/>
              </w:numPr>
              <w:spacing w:line="360" w:lineRule="auto"/>
              <w:ind w:left="1245"/>
              <w:jc w:val="both"/>
              <w:rPr>
                <w:rFonts w:ascii="David" w:hAnsi="David" w:cs="David"/>
                <w:sz w:val="24"/>
                <w:szCs w:val="24"/>
                <w:u w:val="single"/>
              </w:rPr>
            </w:pPr>
            <w:r>
              <w:rPr>
                <w:rFonts w:ascii="David" w:hAnsi="David" w:cs="David"/>
                <w:sz w:val="24"/>
                <w:szCs w:val="24"/>
                <w:rtl/>
              </w:rPr>
              <w:t xml:space="preserve">התובע מנהל הליכים שונים לרבות באמצעות תיקי הוצאה לפועל לגביית חובה של החייבת - גב' נסיה שטרוזברג.  נכון ליום 8.1.2020, עמד חובה של החייבת על הסך של </w:t>
            </w:r>
            <w:r>
              <w:rPr>
                <w:rFonts w:ascii="David" w:hAnsi="David" w:cs="David"/>
                <w:b/>
                <w:bCs/>
                <w:sz w:val="24"/>
                <w:szCs w:val="24"/>
                <w:u w:val="single"/>
                <w:rtl/>
              </w:rPr>
              <w:t>137,421 ₪</w:t>
            </w:r>
            <w:r>
              <w:rPr>
                <w:rFonts w:ascii="David" w:hAnsi="David" w:cs="David"/>
                <w:sz w:val="24"/>
                <w:szCs w:val="24"/>
                <w:rtl/>
              </w:rPr>
              <w:t xml:space="preserve"> (להלן: "</w:t>
            </w:r>
            <w:r>
              <w:rPr>
                <w:rFonts w:ascii="David" w:hAnsi="David" w:cs="David"/>
                <w:b/>
                <w:bCs/>
                <w:sz w:val="24"/>
                <w:szCs w:val="24"/>
                <w:rtl/>
              </w:rPr>
              <w:t>החוב</w:t>
            </w:r>
            <w:r>
              <w:rPr>
                <w:rFonts w:ascii="David" w:hAnsi="David" w:cs="David"/>
                <w:sz w:val="24"/>
                <w:szCs w:val="24"/>
                <w:rtl/>
              </w:rPr>
              <w:t>"). ביום 15.7.2019, התקבלה החלטת כב' רשמת ההוצאה לפועל בתיק 504423-04-19 במסגרתה ניתן לחייבת צו תשלומים בסך 1,000 ₪ בכל חודש, החל מיום 1.8.2019 ועד לסילוק יתרת החוב בתיק.</w:t>
            </w:r>
          </w:p>
          <w:p w:rsidR="00D048DB" w:rsidRDefault="00D048DB" w:rsidP="00D048DB">
            <w:pPr>
              <w:pStyle w:val="af"/>
              <w:spacing w:line="360" w:lineRule="auto"/>
              <w:ind w:left="2069"/>
              <w:jc w:val="both"/>
              <w:rPr>
                <w:rFonts w:ascii="David" w:hAnsi="David" w:cs="David"/>
                <w:sz w:val="24"/>
                <w:szCs w:val="24"/>
              </w:rPr>
            </w:pPr>
          </w:p>
          <w:p w:rsidR="00D048DB" w:rsidRDefault="00D048DB" w:rsidP="00D048DB">
            <w:pPr>
              <w:pStyle w:val="af"/>
              <w:numPr>
                <w:ilvl w:val="0"/>
                <w:numId w:val="6"/>
              </w:numPr>
              <w:spacing w:line="360" w:lineRule="auto"/>
              <w:ind w:left="1245"/>
              <w:jc w:val="both"/>
              <w:rPr>
                <w:rFonts w:ascii="David" w:hAnsi="David" w:cs="David"/>
                <w:sz w:val="24"/>
                <w:szCs w:val="24"/>
              </w:rPr>
            </w:pPr>
            <w:r>
              <w:rPr>
                <w:rFonts w:ascii="David" w:hAnsi="David" w:cs="David"/>
                <w:sz w:val="24"/>
                <w:szCs w:val="24"/>
                <w:rtl/>
              </w:rPr>
              <w:t>ביום 12.9.2019, הגישה החייבת מסמך מזויף לנתבעת. המסמך הוא החלטה של רשמת הוצאה לפועל לפיה יש להסיר עיקול הרשום לטובת התובע ביחס למקרקעין המצויים בעיר תל אביב (להלן: "</w:t>
            </w:r>
            <w:r>
              <w:rPr>
                <w:rFonts w:ascii="David" w:hAnsi="David" w:cs="David"/>
                <w:b/>
                <w:bCs/>
                <w:sz w:val="24"/>
                <w:szCs w:val="24"/>
                <w:rtl/>
              </w:rPr>
              <w:t>ההחלטה המזויפת</w:t>
            </w:r>
            <w:r>
              <w:rPr>
                <w:rFonts w:ascii="David" w:hAnsi="David" w:cs="David"/>
                <w:sz w:val="24"/>
                <w:szCs w:val="24"/>
                <w:rtl/>
              </w:rPr>
              <w:t>"  ו"</w:t>
            </w:r>
            <w:r>
              <w:rPr>
                <w:rFonts w:ascii="David" w:hAnsi="David" w:cs="David"/>
                <w:b/>
                <w:bCs/>
                <w:sz w:val="24"/>
                <w:szCs w:val="24"/>
                <w:rtl/>
              </w:rPr>
              <w:t>המקרקעין</w:t>
            </w:r>
            <w:r>
              <w:rPr>
                <w:rFonts w:ascii="David" w:hAnsi="David" w:cs="David"/>
                <w:sz w:val="24"/>
                <w:szCs w:val="24"/>
                <w:rtl/>
              </w:rPr>
              <w:t xml:space="preserve">", בהתאמה). </w:t>
            </w:r>
          </w:p>
          <w:p w:rsidR="00D048DB" w:rsidRDefault="00D048DB" w:rsidP="00D048DB">
            <w:pPr>
              <w:pStyle w:val="af"/>
              <w:spacing w:line="360" w:lineRule="auto"/>
              <w:ind w:left="2069"/>
              <w:jc w:val="both"/>
              <w:rPr>
                <w:rFonts w:ascii="David" w:hAnsi="David" w:cs="David"/>
                <w:sz w:val="24"/>
                <w:szCs w:val="24"/>
              </w:rPr>
            </w:pPr>
          </w:p>
          <w:p w:rsidR="00D048DB" w:rsidRDefault="00D048DB" w:rsidP="00D048DB">
            <w:pPr>
              <w:pStyle w:val="af"/>
              <w:numPr>
                <w:ilvl w:val="0"/>
                <w:numId w:val="6"/>
              </w:numPr>
              <w:spacing w:line="360" w:lineRule="auto"/>
              <w:ind w:left="1245"/>
              <w:jc w:val="both"/>
              <w:rPr>
                <w:rFonts w:ascii="David" w:hAnsi="David" w:cs="David"/>
                <w:sz w:val="24"/>
                <w:szCs w:val="24"/>
                <w:rtl/>
              </w:rPr>
            </w:pPr>
            <w:r>
              <w:rPr>
                <w:rFonts w:ascii="David" w:hAnsi="David" w:cs="David"/>
                <w:sz w:val="24"/>
                <w:szCs w:val="24"/>
                <w:rtl/>
              </w:rPr>
              <w:t>בהתאם להחלטה המזויפת הסירה הנתבעת את העיקול לטובת התובע ביחס למקרקעין תוך שהיא מותירה את התובע מול שוקת שבורה בגביית החוב מהחייבת. הזיוף בהחלטה המזויפת ברור לעיני כל, כאשר בין היתר כוללת ההחלטה המזויפת פסקה חדשה שלא היתה בהחלטה המקורית. פסקה המורה על הסרת העיקול.</w:t>
            </w:r>
          </w:p>
          <w:p w:rsidR="00D048DB" w:rsidRDefault="00D048DB" w:rsidP="00D048DB">
            <w:pPr>
              <w:pStyle w:val="af"/>
              <w:rPr>
                <w:rFonts w:ascii="David" w:hAnsi="David" w:cs="David"/>
                <w:sz w:val="24"/>
                <w:szCs w:val="24"/>
              </w:rPr>
            </w:pPr>
          </w:p>
          <w:p w:rsidR="00D048DB" w:rsidRDefault="00D048DB" w:rsidP="00D048DB">
            <w:pPr>
              <w:pStyle w:val="af"/>
              <w:numPr>
                <w:ilvl w:val="0"/>
                <w:numId w:val="6"/>
              </w:numPr>
              <w:spacing w:line="360" w:lineRule="auto"/>
              <w:ind w:left="1245"/>
              <w:jc w:val="both"/>
              <w:rPr>
                <w:rFonts w:ascii="David" w:hAnsi="David" w:cs="David"/>
                <w:sz w:val="24"/>
                <w:szCs w:val="24"/>
                <w:rtl/>
              </w:rPr>
            </w:pPr>
            <w:r>
              <w:rPr>
                <w:rFonts w:ascii="David" w:hAnsi="David" w:cs="David"/>
                <w:sz w:val="24"/>
                <w:szCs w:val="24"/>
                <w:rtl/>
              </w:rPr>
              <w:t xml:space="preserve">ההחלטה המזויפת, בת שלושה דפים – כאשר הדף הראשון והשלישי חתומים בחותמת עגולה. הדף השני ובו הפסקה המורה על הסרת העיקול </w:t>
            </w:r>
            <w:r>
              <w:rPr>
                <w:rFonts w:ascii="David" w:hAnsi="David" w:cs="David"/>
                <w:sz w:val="24"/>
                <w:szCs w:val="24"/>
                <w:u w:val="single"/>
                <w:rtl/>
              </w:rPr>
              <w:t>אינו מאומת</w:t>
            </w:r>
            <w:r>
              <w:rPr>
                <w:rFonts w:ascii="David" w:hAnsi="David" w:cs="David"/>
                <w:sz w:val="24"/>
                <w:szCs w:val="24"/>
                <w:rtl/>
              </w:rPr>
              <w:t>.</w:t>
            </w:r>
          </w:p>
          <w:p w:rsidR="00D048DB" w:rsidRDefault="00D048DB" w:rsidP="00D048DB">
            <w:pPr>
              <w:pStyle w:val="af"/>
              <w:rPr>
                <w:rFonts w:ascii="David" w:hAnsi="David" w:cs="David"/>
                <w:sz w:val="24"/>
                <w:szCs w:val="24"/>
              </w:rPr>
            </w:pPr>
          </w:p>
          <w:p w:rsidR="00D048DB" w:rsidRDefault="00D048DB" w:rsidP="00D048DB">
            <w:pPr>
              <w:pStyle w:val="af"/>
              <w:numPr>
                <w:ilvl w:val="0"/>
                <w:numId w:val="6"/>
              </w:numPr>
              <w:spacing w:line="360" w:lineRule="auto"/>
              <w:ind w:left="1245"/>
              <w:jc w:val="both"/>
              <w:rPr>
                <w:rFonts w:ascii="David" w:hAnsi="David" w:cs="David"/>
                <w:sz w:val="24"/>
                <w:szCs w:val="24"/>
                <w:rtl/>
              </w:rPr>
            </w:pPr>
            <w:r>
              <w:rPr>
                <w:rFonts w:ascii="David" w:hAnsi="David" w:cs="David"/>
                <w:sz w:val="24"/>
                <w:szCs w:val="24"/>
                <w:rtl/>
              </w:rPr>
              <w:t>זאת ועוד – בדף הראשון להחלטה המזויפת מופיע הסימון "תחילת מסמך" ובסף האחרון מופיע הסימון – "סוף". זאת כאשר סימונים אלה אינם מופיעים כדבר שבשגרה בהחלטת הניתנות בלשכות ההוצאה לפועל.</w:t>
            </w:r>
          </w:p>
          <w:p w:rsidR="00D048DB" w:rsidRDefault="00D048DB" w:rsidP="00D048DB">
            <w:pPr>
              <w:pStyle w:val="af"/>
              <w:rPr>
                <w:rFonts w:ascii="David" w:hAnsi="David" w:cs="David"/>
                <w:sz w:val="24"/>
                <w:szCs w:val="24"/>
              </w:rPr>
            </w:pPr>
          </w:p>
          <w:p w:rsidR="00D048DB" w:rsidRDefault="00D048DB" w:rsidP="00D048DB">
            <w:pPr>
              <w:pStyle w:val="af"/>
              <w:numPr>
                <w:ilvl w:val="0"/>
                <w:numId w:val="6"/>
              </w:numPr>
              <w:spacing w:line="360" w:lineRule="auto"/>
              <w:ind w:left="1245"/>
              <w:jc w:val="both"/>
              <w:rPr>
                <w:rFonts w:ascii="David" w:hAnsi="David" w:cs="David"/>
                <w:sz w:val="24"/>
                <w:szCs w:val="24"/>
                <w:rtl/>
              </w:rPr>
            </w:pPr>
            <w:r>
              <w:rPr>
                <w:rFonts w:ascii="David" w:hAnsi="David" w:cs="David"/>
                <w:sz w:val="24"/>
                <w:szCs w:val="24"/>
                <w:rtl/>
              </w:rPr>
              <w:t>התובע טוען שהנתבעת עוולה כלפיו, הן בעוולת הרשלנות, והן בעוולה של הפרת חובה חקוקה, כשהחובה שהופרה היא בהתאם להוראות תקנה 73(2) ל</w:t>
            </w:r>
            <w:r>
              <w:rPr>
                <w:rFonts w:ascii="David" w:hAnsi="David" w:cs="David"/>
                <w:sz w:val="24"/>
                <w:szCs w:val="24"/>
                <w:u w:val="single"/>
                <w:rtl/>
              </w:rPr>
              <w:t>תקנות המקרקעין (ניהול ורישום)</w:t>
            </w:r>
            <w:r>
              <w:rPr>
                <w:rFonts w:ascii="David" w:hAnsi="David" w:cs="David"/>
                <w:sz w:val="24"/>
                <w:szCs w:val="24"/>
                <w:rtl/>
              </w:rPr>
              <w:t xml:space="preserve">, תשע"ב – 2011.  </w:t>
            </w:r>
          </w:p>
          <w:p w:rsidR="00D048DB" w:rsidRDefault="00D048DB" w:rsidP="00D048DB">
            <w:pPr>
              <w:pStyle w:val="af"/>
              <w:spacing w:line="360" w:lineRule="auto"/>
              <w:ind w:left="2069"/>
              <w:jc w:val="both"/>
              <w:rPr>
                <w:rFonts w:ascii="David" w:hAnsi="David" w:cs="David"/>
                <w:sz w:val="24"/>
                <w:szCs w:val="24"/>
              </w:rPr>
            </w:pPr>
          </w:p>
          <w:p w:rsidR="00D048DB" w:rsidRDefault="00D048DB" w:rsidP="00D048DB">
            <w:pPr>
              <w:pStyle w:val="af"/>
              <w:numPr>
                <w:ilvl w:val="1"/>
                <w:numId w:val="1"/>
              </w:numPr>
              <w:spacing w:line="360" w:lineRule="auto"/>
              <w:ind w:left="820" w:hanging="567"/>
              <w:jc w:val="both"/>
              <w:rPr>
                <w:rFonts w:ascii="David" w:hAnsi="David" w:cs="David"/>
                <w:b/>
                <w:bCs/>
                <w:sz w:val="24"/>
                <w:szCs w:val="24"/>
                <w:u w:val="single"/>
                <w:rtl/>
              </w:rPr>
            </w:pPr>
            <w:r>
              <w:rPr>
                <w:rFonts w:ascii="David" w:hAnsi="David" w:cs="David"/>
                <w:b/>
                <w:bCs/>
                <w:sz w:val="24"/>
                <w:szCs w:val="24"/>
                <w:u w:val="single"/>
                <w:rtl/>
              </w:rPr>
              <w:t>תמצית טענות הנתבעת</w:t>
            </w:r>
          </w:p>
          <w:p w:rsidR="00D048DB" w:rsidRDefault="00D048DB" w:rsidP="00D048DB">
            <w:pPr>
              <w:pStyle w:val="af"/>
              <w:numPr>
                <w:ilvl w:val="0"/>
                <w:numId w:val="7"/>
              </w:numPr>
              <w:spacing w:line="360" w:lineRule="auto"/>
              <w:ind w:left="1245"/>
              <w:jc w:val="both"/>
              <w:rPr>
                <w:rFonts w:ascii="David" w:hAnsi="David" w:cs="David"/>
                <w:sz w:val="24"/>
                <w:szCs w:val="24"/>
                <w:u w:val="single"/>
              </w:rPr>
            </w:pPr>
            <w:r>
              <w:rPr>
                <w:rFonts w:ascii="David" w:hAnsi="David" w:cs="David"/>
                <w:sz w:val="24"/>
                <w:szCs w:val="24"/>
                <w:rtl/>
              </w:rPr>
              <w:t>הנתבעת ציינה ש</w:t>
            </w:r>
            <w:r>
              <w:rPr>
                <w:rFonts w:ascii="David" w:hAnsi="David" w:cs="David"/>
                <w:sz w:val="24"/>
                <w:szCs w:val="24"/>
                <w:u w:val="single"/>
                <w:rtl/>
              </w:rPr>
              <w:t>ביום 16.7.2017</w:t>
            </w:r>
            <w:r>
              <w:rPr>
                <w:rFonts w:ascii="David" w:hAnsi="David" w:cs="David"/>
                <w:sz w:val="24"/>
                <w:szCs w:val="24"/>
                <w:rtl/>
              </w:rPr>
              <w:t>, נרשם צו עיקול מקוון על זכויות החייבת במקרקעין וזאת מכח החלטה בתיק הוצאה לפועל. המקרקעין במסגרת שטר 37335/2019, וזאת בתיק הוצאה לפועל 504423-04-19 על זכויותיה של החייבת. לאחר כשנתיים ו</w:t>
            </w:r>
            <w:r>
              <w:rPr>
                <w:rFonts w:ascii="David" w:hAnsi="David" w:cs="David"/>
                <w:sz w:val="24"/>
                <w:szCs w:val="24"/>
                <w:u w:val="single"/>
                <w:rtl/>
              </w:rPr>
              <w:t>ביום 14.8.2019</w:t>
            </w:r>
            <w:r>
              <w:rPr>
                <w:rFonts w:ascii="David" w:hAnsi="David" w:cs="David"/>
                <w:sz w:val="24"/>
                <w:szCs w:val="24"/>
                <w:rtl/>
              </w:rPr>
              <w:t xml:space="preserve">, הוגשה על ידי עו"ד סלי  גבאי שטרוזברג, כמיופת כח של החייבת, בקשה למחיקת העיקול. לבקשה צורפה החלטת רשמת ההוצאה לפועל בדבר הסרת העיקול. לאחר שכל המסמכים שהוגשו ללשכת רישום המקרקעין נחזו להיות תקינים, הוסר העיקול בו ביום. </w:t>
            </w:r>
          </w:p>
          <w:p w:rsidR="00D048DB" w:rsidRDefault="00D048DB" w:rsidP="00D048DB">
            <w:pPr>
              <w:pStyle w:val="af"/>
              <w:spacing w:line="360" w:lineRule="auto"/>
              <w:ind w:left="2069"/>
              <w:jc w:val="both"/>
              <w:rPr>
                <w:rFonts w:ascii="David" w:hAnsi="David" w:cs="David"/>
                <w:sz w:val="24"/>
                <w:szCs w:val="24"/>
                <w:rtl/>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lastRenderedPageBreak/>
              <w:t xml:space="preserve">הנתבעת מציינת שהתובע הסתיר את נסח המקרקעין, המהווה פרט מהותי אשר שומט את המסד לתביעה. התובע הסתיר את העובדה שבעת שהגיש ללשכת ההוצאה לפועל את בקשת העיקול ביום 14.7.2019, כבר היתה רשומה על המקרקעין הערת אזהרה מיום 1.7.2019, לטובת דואני רחמים רמי ודואני דפנה. משכך, הרי זכותם של ה"ה דואני בהתאם להערת האזהרה המוקדמת  -  גוברת על עיקול מאוחר של התובע. מכאן טוענת הנתבעת שממילא לא נפגעה כל זכות של התובע בכך שהושלמה העסקה לטובת ה"ה דואני. </w:t>
            </w:r>
          </w:p>
          <w:p w:rsidR="00D048DB" w:rsidRDefault="00D048DB" w:rsidP="00D048DB">
            <w:pPr>
              <w:pStyle w:val="af"/>
              <w:spacing w:line="360" w:lineRule="auto"/>
              <w:ind w:left="1245"/>
              <w:jc w:val="both"/>
              <w:rPr>
                <w:rFonts w:ascii="David" w:hAnsi="David" w:cs="David"/>
                <w:sz w:val="24"/>
                <w:szCs w:val="24"/>
              </w:rPr>
            </w:pPr>
            <w:r>
              <w:rPr>
                <w:rFonts w:ascii="David" w:hAnsi="David" w:cs="David"/>
                <w:sz w:val="24"/>
                <w:szCs w:val="24"/>
                <w:rtl/>
              </w:rPr>
              <w:t>לטענת הנתבעת, התביעה נעדרת עילה משפטית שכן בהתאם להוראת סעיף 126(ב) ל</w:t>
            </w:r>
            <w:r>
              <w:rPr>
                <w:rFonts w:ascii="David" w:hAnsi="David" w:cs="David"/>
                <w:sz w:val="24"/>
                <w:szCs w:val="24"/>
                <w:u w:val="single"/>
                <w:rtl/>
              </w:rPr>
              <w:t>חוק המקרקעין</w:t>
            </w:r>
            <w:r>
              <w:rPr>
                <w:rFonts w:ascii="David" w:hAnsi="David" w:cs="David"/>
                <w:sz w:val="24"/>
                <w:szCs w:val="24"/>
                <w:rtl/>
              </w:rPr>
              <w:t>, התשכ"ט – 1969 - זכותם של בעלי הערת האזהרה גוברת על העיקול המאוחר של התובע. עוד מציינת הנתבעת כי הערת אזהרה מבטאת זכות מעין קניינית לעומת עיקול שהוא חיוב אובליגטורי בלבד ללא זיקה קניינית לנכס.</w:t>
            </w:r>
          </w:p>
          <w:p w:rsidR="00D048DB" w:rsidRDefault="00D048DB" w:rsidP="00D048DB">
            <w:pPr>
              <w:pStyle w:val="af"/>
              <w:spacing w:line="360" w:lineRule="auto"/>
              <w:jc w:val="both"/>
              <w:rPr>
                <w:rFonts w:ascii="David" w:hAnsi="David" w:cs="David"/>
                <w:sz w:val="24"/>
                <w:szCs w:val="24"/>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t>הנתבעת טוענת שהיה מצופה שהתובע יגיש תלונה מיידית במשטרה. כמו כן, היה מצופה מהתובע שיפעל מיידית לעדכן את רשמת ההוצאה לפועל על מנת שזו תוכל להפעיל את סמכויותיה. למרות זאת, לא כך פעל התובע. התובע לא הגיש תלונה מיידית במשטרה ונמנע מלעדכן את רשמת ההוצאה לפועל. לטענת הנתבעת, מדובר בהתנהלות שהיא, במקרה הטוב, חסרת היגיון ובמקרה הרע חסרת תום לב. במקום להתמודד אל מול החייבת בחר התובע להיפרע מ"כיס עמוק".</w:t>
            </w:r>
          </w:p>
          <w:p w:rsidR="00D048DB" w:rsidRDefault="00D048DB" w:rsidP="00D048DB">
            <w:pPr>
              <w:pStyle w:val="af"/>
              <w:rPr>
                <w:rFonts w:ascii="David" w:hAnsi="David" w:cs="David"/>
                <w:sz w:val="24"/>
                <w:szCs w:val="24"/>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t>הנתבעת טענה שיש לדחות התביעה בשל חוסר תום לב של התובע אשר נמנע מהגשת תלונה למשטרה, נמנע מעדכון רשמת ההוצאה לפועל אודות פעולות החייבת, נמנע מהגשת התביעה כנגד החייבת, ומסרב למסור פרטים אודות משא ומתן המנוהל עם החייבת בטענה שהוא חסוי.</w:t>
            </w:r>
          </w:p>
          <w:p w:rsidR="00D048DB" w:rsidRDefault="00D048DB" w:rsidP="00D048DB">
            <w:pPr>
              <w:pStyle w:val="af"/>
              <w:spacing w:line="360" w:lineRule="auto"/>
              <w:jc w:val="both"/>
              <w:rPr>
                <w:rFonts w:ascii="David" w:hAnsi="David" w:cs="David"/>
                <w:sz w:val="24"/>
                <w:szCs w:val="24"/>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t>באשר לטענה להפרת חובה חקוקה – מציינת הנתבעת שהוראת סעיף 73 ל</w:t>
            </w:r>
            <w:r>
              <w:rPr>
                <w:rFonts w:ascii="David" w:hAnsi="David" w:cs="David"/>
                <w:sz w:val="24"/>
                <w:szCs w:val="24"/>
                <w:u w:val="single"/>
                <w:rtl/>
              </w:rPr>
              <w:t>תקנות המקרקעין</w:t>
            </w:r>
            <w:r>
              <w:rPr>
                <w:rFonts w:ascii="David" w:hAnsi="David" w:cs="David"/>
                <w:b/>
                <w:bCs/>
                <w:sz w:val="24"/>
                <w:szCs w:val="24"/>
                <w:rtl/>
              </w:rPr>
              <w:t xml:space="preserve"> </w:t>
            </w:r>
            <w:r>
              <w:rPr>
                <w:rFonts w:ascii="David" w:hAnsi="David" w:cs="David"/>
                <w:sz w:val="24"/>
                <w:szCs w:val="24"/>
                <w:rtl/>
              </w:rPr>
              <w:t>מתייחסות למחיקת עיקולים שעברו 10 שנים ממועד רישומם. ההוראה אינה רלוונטית לעניינינו, שכן עניינו של ההליך הוא מחיקת עיקול מכוח צו של רשמת ההוצאה לפועל, ולא בשל חלוף הזמן.</w:t>
            </w:r>
          </w:p>
          <w:p w:rsidR="00D048DB" w:rsidRDefault="00D048DB" w:rsidP="00D048DB">
            <w:pPr>
              <w:pStyle w:val="af"/>
              <w:spacing w:line="360" w:lineRule="auto"/>
              <w:jc w:val="both"/>
              <w:rPr>
                <w:rFonts w:ascii="David" w:hAnsi="David" w:cs="David"/>
                <w:sz w:val="24"/>
                <w:szCs w:val="24"/>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t>עוד מציינת הנתבעת, שככל והחלטת הביטול מזויפת וזאת כתוצאה מהונאה או מרמה, הרי שמעבר לניתוק הקשר הסיבתי בשל המעשה הפלילי, אין כל התרשלות בהסתמכות הנתבעת על בקשת ביטול והחלטה הנחזית להיות תקינה. שעה שהנתבעת פעלה מתוך אמונה סבירה ובתום לב בקיומה של הרשאה חוקית על סמך מסמכים שהוגשו לה ונחזו להיות תקינים – אין היא חבה באחריות נוכח הוראת סעיף 3 ל</w:t>
            </w:r>
            <w:r>
              <w:rPr>
                <w:rFonts w:ascii="David" w:hAnsi="David" w:cs="David"/>
                <w:sz w:val="24"/>
                <w:szCs w:val="24"/>
                <w:u w:val="single"/>
                <w:rtl/>
              </w:rPr>
              <w:t>חוק הנזיקים האזרחיים (אחריות המדינה)</w:t>
            </w:r>
            <w:r>
              <w:rPr>
                <w:rFonts w:ascii="David" w:hAnsi="David" w:cs="David"/>
                <w:sz w:val="24"/>
                <w:szCs w:val="24"/>
                <w:rtl/>
              </w:rPr>
              <w:t xml:space="preserve">, התשי"ב-1952. </w:t>
            </w:r>
          </w:p>
          <w:p w:rsidR="00D048DB" w:rsidRDefault="00D048DB" w:rsidP="00D048DB">
            <w:pPr>
              <w:pStyle w:val="af"/>
              <w:rPr>
                <w:rFonts w:ascii="David" w:hAnsi="David" w:cs="David"/>
                <w:sz w:val="24"/>
                <w:szCs w:val="24"/>
              </w:rPr>
            </w:pPr>
          </w:p>
          <w:p w:rsidR="00D048DB" w:rsidRDefault="00D048DB" w:rsidP="00D048DB">
            <w:pPr>
              <w:pStyle w:val="af"/>
              <w:numPr>
                <w:ilvl w:val="0"/>
                <w:numId w:val="7"/>
              </w:numPr>
              <w:spacing w:line="360" w:lineRule="auto"/>
              <w:ind w:left="1245"/>
              <w:jc w:val="both"/>
              <w:rPr>
                <w:rFonts w:ascii="David" w:hAnsi="David" w:cs="David"/>
                <w:sz w:val="24"/>
                <w:szCs w:val="24"/>
                <w:rtl/>
              </w:rPr>
            </w:pPr>
            <w:r>
              <w:rPr>
                <w:rFonts w:ascii="David" w:hAnsi="David" w:cs="David"/>
                <w:sz w:val="24"/>
                <w:szCs w:val="24"/>
                <w:rtl/>
              </w:rPr>
              <w:lastRenderedPageBreak/>
              <w:t>עוד ובנוסף, טענה הנתבעת לאשם תורם של התובע בשיעור של 100%, וזאת בשל העמדת אשראי באופן רשלני לחייבת ללא ערובות מספקות ויכולת פירעון, אי הגשת תלונה במטרה מיד עם גילוי המרמה, אי הגשת פנייה מיידית ללשכת ההוצאה לפועל על מנת שרשמת ההוצאה לפועל תפעל אל מול החייבת ואי הגשת בקשה לאיתור נכסים נוספים של החייבת לצורך הטלת עיקולים עליהם על מנת לצמצם את הנזקים הנטענים.</w:t>
            </w:r>
          </w:p>
          <w:p w:rsidR="00D048DB" w:rsidRDefault="00D048DB" w:rsidP="00D048DB">
            <w:pPr>
              <w:pStyle w:val="af"/>
              <w:spacing w:line="360" w:lineRule="auto"/>
              <w:ind w:left="2069"/>
              <w:jc w:val="both"/>
              <w:rPr>
                <w:rFonts w:ascii="David" w:hAnsi="David" w:cs="David"/>
                <w:sz w:val="24"/>
                <w:szCs w:val="24"/>
              </w:rPr>
            </w:pPr>
          </w:p>
          <w:p w:rsidR="00D048DB" w:rsidRDefault="00D048DB" w:rsidP="00D048DB">
            <w:pPr>
              <w:pStyle w:val="af"/>
              <w:spacing w:line="360" w:lineRule="auto"/>
              <w:ind w:left="-172"/>
              <w:jc w:val="both"/>
              <w:rPr>
                <w:rFonts w:ascii="David" w:hAnsi="David" w:cs="David"/>
                <w:b/>
                <w:bCs/>
                <w:sz w:val="28"/>
                <w:szCs w:val="28"/>
                <w:u w:val="single"/>
              </w:rPr>
            </w:pPr>
            <w:r>
              <w:rPr>
                <w:rFonts w:ascii="David" w:hAnsi="David" w:cs="David"/>
                <w:b/>
                <w:bCs/>
                <w:sz w:val="28"/>
                <w:szCs w:val="28"/>
                <w:u w:val="single"/>
                <w:rtl/>
              </w:rPr>
              <w:t>חלק שני – דיון והכרעה</w:t>
            </w:r>
          </w:p>
          <w:p w:rsidR="00D048DB" w:rsidRDefault="00D048DB" w:rsidP="00D048DB">
            <w:pPr>
              <w:pStyle w:val="af"/>
              <w:numPr>
                <w:ilvl w:val="0"/>
                <w:numId w:val="1"/>
              </w:numPr>
              <w:spacing w:line="360" w:lineRule="auto"/>
              <w:ind w:left="111" w:hanging="284"/>
              <w:jc w:val="both"/>
              <w:rPr>
                <w:rFonts w:ascii="David" w:hAnsi="David" w:cs="David"/>
                <w:sz w:val="24"/>
                <w:szCs w:val="24"/>
                <w:u w:val="single"/>
                <w:rtl/>
              </w:rPr>
            </w:pPr>
            <w:r>
              <w:rPr>
                <w:rFonts w:ascii="David" w:hAnsi="David" w:cs="David"/>
                <w:b/>
                <w:bCs/>
                <w:sz w:val="24"/>
                <w:szCs w:val="24"/>
                <w:u w:val="single"/>
                <w:rtl/>
              </w:rPr>
              <w:t>כללי</w:t>
            </w:r>
          </w:p>
          <w:p w:rsidR="00D048DB" w:rsidRDefault="00D048DB" w:rsidP="00D048DB">
            <w:pPr>
              <w:pStyle w:val="af"/>
              <w:spacing w:line="360" w:lineRule="auto"/>
              <w:ind w:left="253"/>
              <w:jc w:val="both"/>
              <w:rPr>
                <w:rFonts w:ascii="David" w:hAnsi="David" w:cs="David"/>
                <w:sz w:val="24"/>
                <w:szCs w:val="24"/>
              </w:rPr>
            </w:pPr>
            <w:r>
              <w:rPr>
                <w:rFonts w:ascii="David" w:hAnsi="David" w:cs="David"/>
                <w:sz w:val="24"/>
                <w:szCs w:val="24"/>
                <w:rtl/>
              </w:rPr>
              <w:t>הדיון וההכרעה בהליך ייערך תוך התייחסות לחמישה נושאי המשנה הבאים:</w:t>
            </w:r>
          </w:p>
          <w:p w:rsidR="00D048DB" w:rsidRDefault="00D048DB" w:rsidP="00D048DB">
            <w:pPr>
              <w:pStyle w:val="af"/>
              <w:spacing w:line="360" w:lineRule="auto"/>
              <w:ind w:left="-172"/>
              <w:jc w:val="both"/>
              <w:rPr>
                <w:rFonts w:ascii="David" w:hAnsi="David" w:cs="David"/>
                <w:sz w:val="24"/>
                <w:szCs w:val="24"/>
                <w:rtl/>
              </w:rPr>
            </w:pPr>
          </w:p>
          <w:p w:rsidR="00D048DB" w:rsidRDefault="00D048DB" w:rsidP="00D048DB">
            <w:pPr>
              <w:pStyle w:val="af"/>
              <w:numPr>
                <w:ilvl w:val="0"/>
                <w:numId w:val="8"/>
              </w:numPr>
              <w:spacing w:line="360" w:lineRule="auto"/>
              <w:ind w:left="678"/>
              <w:jc w:val="both"/>
              <w:rPr>
                <w:rFonts w:ascii="David" w:hAnsi="David" w:cs="David"/>
                <w:sz w:val="24"/>
                <w:szCs w:val="24"/>
                <w:rtl/>
              </w:rPr>
            </w:pPr>
            <w:r>
              <w:rPr>
                <w:rFonts w:ascii="David" w:hAnsi="David" w:cs="David"/>
                <w:sz w:val="24"/>
                <w:szCs w:val="24"/>
                <w:rtl/>
              </w:rPr>
              <w:t>נושא דיון ראשון מחמישה – המסגרת הנורמטיבית בה פועלות הנתבעת (סעיף 4 לפסק הדין).</w:t>
            </w:r>
          </w:p>
          <w:p w:rsidR="00D048DB" w:rsidRDefault="00D048DB" w:rsidP="00D048DB">
            <w:pPr>
              <w:pStyle w:val="af"/>
              <w:spacing w:line="360" w:lineRule="auto"/>
              <w:ind w:left="188"/>
              <w:jc w:val="both"/>
              <w:rPr>
                <w:rFonts w:ascii="David" w:hAnsi="David" w:cs="David"/>
                <w:sz w:val="24"/>
                <w:szCs w:val="24"/>
              </w:rPr>
            </w:pPr>
          </w:p>
          <w:p w:rsidR="00D048DB" w:rsidRDefault="00D048DB" w:rsidP="00D048DB">
            <w:pPr>
              <w:pStyle w:val="af"/>
              <w:numPr>
                <w:ilvl w:val="0"/>
                <w:numId w:val="8"/>
              </w:numPr>
              <w:spacing w:line="360" w:lineRule="auto"/>
              <w:ind w:left="678"/>
              <w:jc w:val="both"/>
              <w:rPr>
                <w:rFonts w:ascii="David" w:hAnsi="David" w:cs="David"/>
                <w:sz w:val="24"/>
                <w:szCs w:val="24"/>
              </w:rPr>
            </w:pPr>
            <w:r>
              <w:rPr>
                <w:rFonts w:ascii="David" w:hAnsi="David" w:cs="David"/>
                <w:sz w:val="24"/>
                <w:szCs w:val="24"/>
                <w:rtl/>
              </w:rPr>
              <w:t>נושא דיון שני מחמישה – נהלי הרישום המחייבים את הנתבעת ומעמדם המשפטי (סעיף 5 לפסק הדין).</w:t>
            </w:r>
          </w:p>
          <w:p w:rsidR="00D048DB" w:rsidRDefault="00D048DB" w:rsidP="00D048DB">
            <w:pPr>
              <w:pStyle w:val="af"/>
              <w:rPr>
                <w:rFonts w:ascii="David" w:hAnsi="David" w:cs="David"/>
                <w:sz w:val="24"/>
                <w:szCs w:val="24"/>
              </w:rPr>
            </w:pPr>
          </w:p>
          <w:p w:rsidR="00D048DB" w:rsidRDefault="00D048DB" w:rsidP="00D048DB">
            <w:pPr>
              <w:pStyle w:val="af"/>
              <w:numPr>
                <w:ilvl w:val="0"/>
                <w:numId w:val="8"/>
              </w:numPr>
              <w:spacing w:line="360" w:lineRule="auto"/>
              <w:ind w:left="678"/>
              <w:jc w:val="both"/>
              <w:rPr>
                <w:rFonts w:ascii="David" w:hAnsi="David" w:cs="David"/>
                <w:sz w:val="24"/>
                <w:szCs w:val="24"/>
                <w:rtl/>
              </w:rPr>
            </w:pPr>
            <w:r>
              <w:rPr>
                <w:rFonts w:ascii="David" w:hAnsi="David" w:cs="David"/>
                <w:sz w:val="24"/>
                <w:szCs w:val="24"/>
                <w:rtl/>
              </w:rPr>
              <w:t>נושא דיון שלישי מחמישה – הנתבעת התעלמה מנוהלי הרישום של עצמה ונציגה אפילו טען בעדותו שאלה לא מתייחסים לביטול צווי עיקול אלמלא ההתעלמות, לא היה נמחק העיקול (סעיף 6 לפסק הדין).</w:t>
            </w:r>
          </w:p>
          <w:p w:rsidR="00D048DB" w:rsidRDefault="00D048DB" w:rsidP="00D048DB">
            <w:pPr>
              <w:pStyle w:val="af"/>
              <w:rPr>
                <w:rFonts w:ascii="David" w:hAnsi="David" w:cs="David"/>
                <w:sz w:val="24"/>
                <w:szCs w:val="24"/>
              </w:rPr>
            </w:pPr>
          </w:p>
          <w:p w:rsidR="00D048DB" w:rsidRDefault="00D048DB" w:rsidP="00D048DB">
            <w:pPr>
              <w:pStyle w:val="af"/>
              <w:numPr>
                <w:ilvl w:val="0"/>
                <w:numId w:val="8"/>
              </w:numPr>
              <w:spacing w:line="360" w:lineRule="auto"/>
              <w:ind w:left="678"/>
              <w:jc w:val="both"/>
              <w:rPr>
                <w:rFonts w:ascii="David" w:hAnsi="David" w:cs="David"/>
                <w:sz w:val="24"/>
                <w:szCs w:val="24"/>
                <w:rtl/>
              </w:rPr>
            </w:pPr>
            <w:r>
              <w:rPr>
                <w:rFonts w:ascii="David" w:hAnsi="David" w:cs="David"/>
                <w:sz w:val="24"/>
                <w:szCs w:val="24"/>
                <w:rtl/>
              </w:rPr>
              <w:t>נושא דיון רביעי מחמישה – הנתבעת אשר החליטה להתעלם מכך שלא קיבלה במערכותיה צו ביטול עיקול מקוון, אף התעלמה מתמרורי אזהרה ברורים שנשא הצו המזויף בגינו נמחק העיקול (סעיף 7 לפסק הדין).</w:t>
            </w:r>
          </w:p>
          <w:p w:rsidR="00D048DB" w:rsidRDefault="00D048DB" w:rsidP="00D048DB">
            <w:pPr>
              <w:pStyle w:val="af"/>
              <w:spacing w:line="360" w:lineRule="auto"/>
              <w:ind w:left="188"/>
              <w:jc w:val="both"/>
              <w:rPr>
                <w:rFonts w:ascii="David" w:hAnsi="David" w:cs="David"/>
                <w:sz w:val="24"/>
                <w:szCs w:val="24"/>
              </w:rPr>
            </w:pPr>
          </w:p>
          <w:p w:rsidR="00D048DB" w:rsidRDefault="00D048DB" w:rsidP="00D048DB">
            <w:pPr>
              <w:pStyle w:val="af"/>
              <w:numPr>
                <w:ilvl w:val="0"/>
                <w:numId w:val="8"/>
              </w:numPr>
              <w:spacing w:line="360" w:lineRule="auto"/>
              <w:ind w:left="678"/>
              <w:jc w:val="both"/>
              <w:rPr>
                <w:rFonts w:ascii="David" w:hAnsi="David" w:cs="David"/>
                <w:sz w:val="24"/>
                <w:szCs w:val="24"/>
              </w:rPr>
            </w:pPr>
            <w:r>
              <w:rPr>
                <w:rFonts w:ascii="David" w:hAnsi="David" w:cs="David"/>
                <w:sz w:val="24"/>
                <w:szCs w:val="24"/>
                <w:rtl/>
              </w:rPr>
              <w:t>נושא דיון חמישי מחמישה – דיון בנזק שהתרשלות הנתבעת גרמה לתובע (סעיף 9 לפסק הדין).</w:t>
            </w:r>
          </w:p>
          <w:p w:rsidR="00D048DB" w:rsidRDefault="00D048DB" w:rsidP="00D048DB">
            <w:pPr>
              <w:pStyle w:val="af"/>
              <w:spacing w:line="360" w:lineRule="auto"/>
              <w:ind w:left="-456"/>
              <w:jc w:val="both"/>
              <w:rPr>
                <w:rFonts w:ascii="David" w:hAnsi="David" w:cs="David"/>
                <w:b/>
                <w:bCs/>
                <w:sz w:val="24"/>
                <w:szCs w:val="24"/>
              </w:rPr>
            </w:pPr>
          </w:p>
          <w:p w:rsidR="00D048DB" w:rsidRDefault="00D048DB" w:rsidP="00D048DB">
            <w:pPr>
              <w:pStyle w:val="af"/>
              <w:spacing w:line="360" w:lineRule="auto"/>
              <w:ind w:left="111"/>
              <w:jc w:val="both"/>
              <w:rPr>
                <w:rFonts w:ascii="David" w:hAnsi="David" w:cs="David"/>
                <w:b/>
                <w:bCs/>
                <w:sz w:val="24"/>
                <w:szCs w:val="24"/>
                <w:rtl/>
              </w:rPr>
            </w:pPr>
            <w:r>
              <w:rPr>
                <w:rFonts w:ascii="David" w:hAnsi="David" w:cs="David"/>
                <w:b/>
                <w:bCs/>
                <w:sz w:val="24"/>
                <w:szCs w:val="24"/>
                <w:rtl/>
              </w:rPr>
              <w:t>הערת מעבר – משלב זה ידון פסק הדין בכל אחד מחמישה הנושאים שפורטו לעיל.</w:t>
            </w:r>
          </w:p>
          <w:p w:rsidR="00D048DB" w:rsidRDefault="00D048DB" w:rsidP="00D048DB">
            <w:pPr>
              <w:pStyle w:val="af"/>
              <w:spacing w:line="360" w:lineRule="auto"/>
              <w:ind w:left="-172"/>
              <w:jc w:val="both"/>
              <w:rPr>
                <w:rFonts w:ascii="David" w:hAnsi="David" w:cs="David"/>
                <w:sz w:val="24"/>
                <w:szCs w:val="24"/>
                <w:u w:val="single"/>
                <w:rtl/>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Pr>
            </w:pPr>
            <w:r>
              <w:rPr>
                <w:rFonts w:ascii="David" w:hAnsi="David" w:cs="David"/>
                <w:b/>
                <w:bCs/>
                <w:sz w:val="24"/>
                <w:szCs w:val="24"/>
                <w:u w:val="single"/>
                <w:rtl/>
              </w:rPr>
              <w:t>נושא דיון ראשון מחמישה - המסגרת הנורמטיבית בה פועלת הנתבעת</w:t>
            </w:r>
          </w:p>
          <w:p w:rsidR="00D048DB" w:rsidRDefault="00D048DB" w:rsidP="00D048DB">
            <w:pPr>
              <w:pStyle w:val="af"/>
              <w:numPr>
                <w:ilvl w:val="1"/>
                <w:numId w:val="1"/>
              </w:numPr>
              <w:spacing w:line="360" w:lineRule="auto"/>
              <w:ind w:left="678" w:hanging="567"/>
              <w:jc w:val="both"/>
              <w:rPr>
                <w:rFonts w:ascii="David" w:hAnsi="David" w:cs="David"/>
                <w:sz w:val="24"/>
                <w:szCs w:val="24"/>
                <w:u w:val="single"/>
              </w:rPr>
            </w:pPr>
            <w:r>
              <w:rPr>
                <w:rFonts w:ascii="David" w:hAnsi="David" w:cs="David"/>
                <w:sz w:val="24"/>
                <w:szCs w:val="24"/>
                <w:rtl/>
              </w:rPr>
              <w:t>חוק המקרקעין העניק ללשכות רישום המקרקעין את הסמכות לניהול ורישום מקרקעין במדינה, כאשר הרישום בפנקסי הנתבעת הוא קונסטיטוטיבי. לענין זה סעיף 125 ל</w:t>
            </w:r>
            <w:r>
              <w:rPr>
                <w:rFonts w:ascii="David" w:hAnsi="David" w:cs="David"/>
                <w:sz w:val="24"/>
                <w:szCs w:val="24"/>
                <w:u w:val="single"/>
                <w:rtl/>
              </w:rPr>
              <w:t>חוק המקרקעין</w:t>
            </w:r>
            <w:r>
              <w:rPr>
                <w:rFonts w:ascii="David" w:hAnsi="David" w:cs="David"/>
                <w:b/>
                <w:bCs/>
                <w:sz w:val="24"/>
                <w:szCs w:val="24"/>
                <w:rtl/>
              </w:rPr>
              <w:t xml:space="preserve"> </w:t>
            </w:r>
            <w:r>
              <w:rPr>
                <w:rFonts w:ascii="David" w:hAnsi="David" w:cs="David"/>
                <w:sz w:val="24"/>
                <w:szCs w:val="24"/>
                <w:rtl/>
              </w:rPr>
              <w:t>מתייחס אל  "כוח ההוכחה" של הרישום בפנקסי הנתבעת וקובע כך (ההדגשות לא במקור):</w:t>
            </w:r>
          </w:p>
          <w:p w:rsidR="00D048DB" w:rsidRDefault="00D048DB" w:rsidP="00D048DB">
            <w:pPr>
              <w:spacing w:line="360" w:lineRule="auto"/>
              <w:ind w:left="1954" w:hanging="567"/>
              <w:jc w:val="both"/>
              <w:rPr>
                <w:rFonts w:ascii="David" w:hAnsi="David"/>
                <w:b/>
                <w:bCs/>
                <w:rtl/>
              </w:rPr>
            </w:pPr>
            <w:r>
              <w:rPr>
                <w:rFonts w:ascii="David" w:hAnsi="David"/>
                <w:rtl/>
              </w:rPr>
              <w:t>"</w:t>
            </w:r>
            <w:r>
              <w:rPr>
                <w:rFonts w:ascii="David" w:hAnsi="David"/>
                <w:b/>
                <w:bCs/>
                <w:rtl/>
              </w:rPr>
              <w:t>(א)</w:t>
            </w:r>
            <w:r>
              <w:rPr>
                <w:rFonts w:ascii="David" w:hAnsi="David"/>
                <w:b/>
                <w:bCs/>
                <w:rtl/>
              </w:rPr>
              <w:tab/>
              <w:t xml:space="preserve">רישום בפנקסים לגבי </w:t>
            </w:r>
            <w:r>
              <w:rPr>
                <w:rFonts w:ascii="David" w:hAnsi="David"/>
                <w:b/>
                <w:bCs/>
                <w:u w:val="single"/>
                <w:rtl/>
              </w:rPr>
              <w:t>מקרקעין מוסדרים יהווה ראיה חותכת לתכנו</w:t>
            </w:r>
            <w:r>
              <w:rPr>
                <w:rFonts w:ascii="David" w:hAnsi="David"/>
                <w:b/>
                <w:bCs/>
                <w:rtl/>
              </w:rPr>
              <w:t>, אולם אין בכך כדי לגרוע מהוראות סעיפים 93 עד 97 לפקודת הסדר זכויות במקרקעין [נוסח חדש], תשכ"ט-1969.</w:t>
            </w:r>
          </w:p>
          <w:p w:rsidR="00D048DB" w:rsidRDefault="00D048DB" w:rsidP="00D048DB">
            <w:pPr>
              <w:spacing w:line="360" w:lineRule="auto"/>
              <w:ind w:left="1954" w:hanging="567"/>
              <w:jc w:val="both"/>
              <w:rPr>
                <w:rFonts w:ascii="David" w:hAnsi="David"/>
                <w:sz w:val="22"/>
                <w:rtl/>
              </w:rPr>
            </w:pPr>
            <w:r>
              <w:rPr>
                <w:rFonts w:ascii="David" w:hAnsi="David"/>
                <w:b/>
                <w:bCs/>
                <w:rtl/>
              </w:rPr>
              <w:t>(ב)</w:t>
            </w:r>
            <w:r>
              <w:rPr>
                <w:rFonts w:ascii="David" w:hAnsi="David"/>
                <w:b/>
                <w:bCs/>
                <w:rtl/>
              </w:rPr>
              <w:tab/>
              <w:t>רישום בפנקסים לגבי מקרקעין לא-מוסדרים יהווה ראיה לכאורה לתכנו</w:t>
            </w:r>
            <w:r>
              <w:rPr>
                <w:rFonts w:ascii="David" w:hAnsi="David"/>
                <w:rtl/>
              </w:rPr>
              <w:t>."</w:t>
            </w:r>
          </w:p>
          <w:p w:rsidR="00D048DB" w:rsidRDefault="00D048DB" w:rsidP="00D048DB">
            <w:pPr>
              <w:pStyle w:val="af"/>
              <w:spacing w:line="360" w:lineRule="auto"/>
              <w:ind w:left="395"/>
              <w:jc w:val="both"/>
              <w:rPr>
                <w:rFonts w:ascii="David" w:hAnsi="David" w:cs="David"/>
                <w:sz w:val="24"/>
                <w:szCs w:val="24"/>
                <w:rtl/>
              </w:rPr>
            </w:pPr>
          </w:p>
          <w:p w:rsidR="00D048DB" w:rsidRDefault="00D048DB" w:rsidP="00D048DB">
            <w:pPr>
              <w:pStyle w:val="af"/>
              <w:numPr>
                <w:ilvl w:val="1"/>
                <w:numId w:val="1"/>
              </w:numPr>
              <w:spacing w:line="360" w:lineRule="auto"/>
              <w:ind w:left="678" w:hanging="567"/>
              <w:jc w:val="both"/>
              <w:rPr>
                <w:rFonts w:ascii="David" w:hAnsi="David" w:cs="David"/>
                <w:sz w:val="24"/>
                <w:szCs w:val="24"/>
              </w:rPr>
            </w:pPr>
            <w:r>
              <w:rPr>
                <w:rFonts w:ascii="David" w:hAnsi="David" w:cs="David"/>
                <w:sz w:val="24"/>
                <w:szCs w:val="24"/>
                <w:rtl/>
              </w:rPr>
              <w:t>על חשיבות הרישום ועל הנזק שעלול להיגרם בשל טעות ברישום ר' ע"א (מחוזי ת"א) 1729/06</w:t>
            </w:r>
            <w:r>
              <w:rPr>
                <w:rFonts w:ascii="David" w:hAnsi="David" w:cs="David"/>
                <w:sz w:val="24"/>
                <w:szCs w:val="24"/>
              </w:rPr>
              <w:t> </w:t>
            </w:r>
            <w:r>
              <w:rPr>
                <w:rFonts w:ascii="David" w:hAnsi="David" w:cs="David"/>
                <w:sz w:val="24"/>
                <w:szCs w:val="24"/>
                <w:u w:val="single"/>
                <w:rtl/>
              </w:rPr>
              <w:t>עו"ד אובניק טניה נ' בנק ירושלים בע"מ</w:t>
            </w:r>
            <w:r>
              <w:rPr>
                <w:rFonts w:ascii="David" w:hAnsi="David" w:cs="David"/>
                <w:sz w:val="24"/>
                <w:szCs w:val="24"/>
                <w:rtl/>
              </w:rPr>
              <w:t xml:space="preserve"> (22.12.2008, הש' י' שנלר, הש' ד"ר ק' ורדי, השופטת ר' לבהר שרון) שם נקבע כך (ההדגשות לא במקור):</w:t>
            </w:r>
          </w:p>
          <w:p w:rsidR="00D048DB" w:rsidRDefault="00D048DB" w:rsidP="00D048DB">
            <w:pPr>
              <w:spacing w:line="360" w:lineRule="auto"/>
              <w:ind w:left="1245"/>
              <w:jc w:val="both"/>
              <w:rPr>
                <w:rFonts w:ascii="David" w:hAnsi="David"/>
                <w:u w:val="single"/>
                <w:rtl/>
              </w:rPr>
            </w:pPr>
            <w:r>
              <w:rPr>
                <w:rFonts w:ascii="David" w:hAnsi="David"/>
                <w:color w:val="000000"/>
              </w:rPr>
              <w:t>"</w:t>
            </w:r>
            <w:r>
              <w:rPr>
                <w:rFonts w:ascii="David" w:hAnsi="David"/>
                <w:b/>
                <w:bCs/>
                <w:color w:val="000000"/>
                <w:rtl/>
              </w:rPr>
              <w:t xml:space="preserve">לשכת רישום המקרקעין אמנם גוף שלטוני הוא, אולם מופקד הוא על אותו רישום שהינו למעשה "חזות הכל", מעת שעסקינן במקרקעין. כך ברי הוא, כי </w:t>
            </w:r>
            <w:r>
              <w:rPr>
                <w:rFonts w:ascii="David" w:hAnsi="David"/>
                <w:b/>
                <w:bCs/>
                <w:color w:val="000000"/>
                <w:u w:val="single"/>
                <w:rtl/>
              </w:rPr>
              <w:t>אזרחי המדינה נסמכים על הרישום, ולא בכדי קובע הדין, כי הרישום הוא המחייב</w:t>
            </w:r>
            <w:r>
              <w:rPr>
                <w:rFonts w:ascii="David" w:hAnsi="David"/>
                <w:b/>
                <w:bCs/>
                <w:color w:val="000000"/>
                <w:rtl/>
              </w:rPr>
              <w:t xml:space="preserve"> ...</w:t>
            </w:r>
            <w:r>
              <w:rPr>
                <w:rFonts w:ascii="David" w:hAnsi="David"/>
                <w:b/>
                <w:bCs/>
                <w:color w:val="000000"/>
              </w:rPr>
              <w:t xml:space="preserve"> </w:t>
            </w:r>
            <w:r>
              <w:rPr>
                <w:rFonts w:ascii="David" w:hAnsi="David"/>
                <w:b/>
                <w:bCs/>
                <w:color w:val="000000"/>
                <w:rtl/>
              </w:rPr>
              <w:t xml:space="preserve">מכאן שהסמכות שניתנה לפועלים בלשכת רישום המקרקעין, הינה </w:t>
            </w:r>
            <w:r>
              <w:rPr>
                <w:rFonts w:ascii="David" w:hAnsi="David"/>
                <w:b/>
                <w:bCs/>
                <w:color w:val="000000"/>
                <w:u w:val="single"/>
                <w:rtl/>
              </w:rPr>
              <w:t>סמכות ששוברה בצדה</w:t>
            </w:r>
            <w:r>
              <w:rPr>
                <w:rFonts w:ascii="David" w:hAnsi="David"/>
                <w:b/>
                <w:bCs/>
                <w:color w:val="000000"/>
                <w:rtl/>
              </w:rPr>
              <w:t>. לית מאן דפליג, כי טעות ברישום זה או אחר, יכול ותגרום לנזק כלכלי רב, ויכול ואף תפגע בזכויות קנייניות</w:t>
            </w:r>
            <w:r>
              <w:rPr>
                <w:rFonts w:ascii="David" w:hAnsi="David"/>
                <w:rtl/>
              </w:rPr>
              <w:t>"</w:t>
            </w:r>
          </w:p>
          <w:p w:rsidR="00D048DB" w:rsidRDefault="00D048DB" w:rsidP="00D048DB">
            <w:pPr>
              <w:pStyle w:val="af"/>
              <w:spacing w:line="360" w:lineRule="auto"/>
              <w:ind w:left="395"/>
              <w:jc w:val="both"/>
              <w:rPr>
                <w:rFonts w:ascii="David" w:hAnsi="David" w:cs="David"/>
                <w:sz w:val="24"/>
                <w:szCs w:val="24"/>
                <w:rtl/>
              </w:rPr>
            </w:pPr>
          </w:p>
          <w:p w:rsidR="00D048DB" w:rsidRDefault="00D048DB" w:rsidP="00D048DB">
            <w:pPr>
              <w:pStyle w:val="af"/>
              <w:spacing w:line="360" w:lineRule="auto"/>
              <w:ind w:left="678"/>
              <w:jc w:val="both"/>
              <w:rPr>
                <w:rFonts w:ascii="David" w:hAnsi="David" w:cs="David"/>
                <w:color w:val="000000"/>
                <w:sz w:val="24"/>
                <w:szCs w:val="24"/>
                <w:rtl/>
              </w:rPr>
            </w:pPr>
            <w:r>
              <w:rPr>
                <w:rFonts w:ascii="David" w:hAnsi="David" w:cs="David"/>
                <w:sz w:val="24"/>
                <w:szCs w:val="24"/>
                <w:rtl/>
              </w:rPr>
              <w:t>אותה סמכות שמקימה גם חובת בדיקה קפדנית של אנשי הנתבעת מופיעה גם ב</w:t>
            </w:r>
            <w:r>
              <w:rPr>
                <w:rFonts w:ascii="David" w:hAnsi="David" w:cs="David"/>
                <w:color w:val="000000"/>
                <w:sz w:val="24"/>
                <w:szCs w:val="24"/>
                <w:rtl/>
              </w:rPr>
              <w:t xml:space="preserve">ע"א 8124/18 </w:t>
            </w:r>
            <w:r>
              <w:rPr>
                <w:rFonts w:ascii="David" w:hAnsi="David" w:cs="David"/>
                <w:color w:val="000000"/>
                <w:sz w:val="24"/>
                <w:szCs w:val="24"/>
                <w:u w:val="single"/>
                <w:rtl/>
              </w:rPr>
              <w:t>יורשי המנוח אלקנה ביישיץ נ' יעקב ז'רוט</w:t>
            </w:r>
            <w:r>
              <w:rPr>
                <w:rFonts w:ascii="David" w:hAnsi="David" w:cs="David"/>
                <w:color w:val="000000"/>
                <w:sz w:val="24"/>
                <w:szCs w:val="24"/>
                <w:rtl/>
              </w:rPr>
              <w:t xml:space="preserve"> (4.8.2020, הש' י' עמית, ד' מינץ וע' גרוסקופף)</w:t>
            </w:r>
            <w:r>
              <w:rPr>
                <w:rFonts w:ascii="David" w:hAnsi="David" w:cs="David"/>
                <w:sz w:val="24"/>
                <w:szCs w:val="24"/>
                <w:rtl/>
              </w:rPr>
              <w:t xml:space="preserve"> שם נקבע כך (ההדגשות לא במקור) - </w:t>
            </w:r>
            <w:r>
              <w:rPr>
                <w:rFonts w:ascii="David" w:hAnsi="David" w:cs="David"/>
                <w:color w:val="000000"/>
                <w:sz w:val="24"/>
                <w:szCs w:val="24"/>
              </w:rPr>
              <w:t>"</w:t>
            </w:r>
            <w:r>
              <w:rPr>
                <w:rFonts w:ascii="David" w:hAnsi="David" w:cs="David"/>
                <w:b/>
                <w:bCs/>
                <w:color w:val="000000"/>
                <w:sz w:val="24"/>
                <w:szCs w:val="24"/>
                <w:rtl/>
              </w:rPr>
              <w:t>גם אם בתפקידו של רשם המקרקעין כרוך ממד טכני</w:t>
            </w:r>
            <w:r>
              <w:rPr>
                <w:rFonts w:ascii="David" w:hAnsi="David" w:cs="David"/>
                <w:b/>
                <w:bCs/>
                <w:color w:val="000000"/>
                <w:sz w:val="24"/>
                <w:szCs w:val="24"/>
              </w:rPr>
              <w:t>, </w:t>
            </w:r>
            <w:r>
              <w:rPr>
                <w:rFonts w:ascii="David" w:hAnsi="David" w:cs="David"/>
                <w:b/>
                <w:bCs/>
                <w:color w:val="000000"/>
                <w:sz w:val="24"/>
                <w:szCs w:val="24"/>
                <w:rtl/>
              </w:rPr>
              <w:t xml:space="preserve">ושיקול הדעת הנתון לו צר, </w:t>
            </w:r>
            <w:r>
              <w:rPr>
                <w:rFonts w:ascii="David" w:hAnsi="David" w:cs="David"/>
                <w:b/>
                <w:bCs/>
                <w:color w:val="000000"/>
                <w:sz w:val="24"/>
                <w:szCs w:val="24"/>
                <w:u w:val="single"/>
                <w:rtl/>
              </w:rPr>
              <w:t>הרשם נושא בחובות ובאחריות שסטייה מהן עשויה ליצור התרשלות</w:t>
            </w:r>
            <w:r>
              <w:rPr>
                <w:rFonts w:ascii="David" w:hAnsi="David" w:cs="David"/>
                <w:b/>
                <w:bCs/>
                <w:color w:val="000000"/>
                <w:sz w:val="24"/>
                <w:szCs w:val="24"/>
                <w:rtl/>
              </w:rPr>
              <w:t>"</w:t>
            </w:r>
            <w:r>
              <w:rPr>
                <w:rFonts w:ascii="David" w:hAnsi="David" w:cs="David"/>
                <w:color w:val="000000"/>
                <w:sz w:val="24"/>
                <w:szCs w:val="24"/>
                <w:rtl/>
              </w:rPr>
              <w:t xml:space="preserve">. </w:t>
            </w:r>
          </w:p>
          <w:p w:rsidR="00D048DB" w:rsidRDefault="00D048DB" w:rsidP="00D048DB">
            <w:pPr>
              <w:pStyle w:val="af"/>
              <w:spacing w:line="360" w:lineRule="auto"/>
              <w:ind w:left="395"/>
              <w:jc w:val="both"/>
              <w:rPr>
                <w:rFonts w:ascii="David" w:hAnsi="David" w:cs="David"/>
                <w:color w:val="000000"/>
                <w:sz w:val="24"/>
                <w:szCs w:val="24"/>
                <w:rtl/>
              </w:rPr>
            </w:pPr>
          </w:p>
          <w:p w:rsidR="00D048DB" w:rsidRDefault="00D048DB" w:rsidP="00D048DB">
            <w:pPr>
              <w:pStyle w:val="af"/>
              <w:spacing w:line="360" w:lineRule="auto"/>
              <w:ind w:left="678"/>
              <w:jc w:val="both"/>
              <w:rPr>
                <w:rFonts w:ascii="David" w:hAnsi="David" w:cs="David"/>
                <w:color w:val="000000"/>
                <w:sz w:val="24"/>
                <w:szCs w:val="24"/>
                <w:rtl/>
              </w:rPr>
            </w:pPr>
            <w:r>
              <w:rPr>
                <w:rFonts w:ascii="David" w:hAnsi="David" w:cs="David"/>
                <w:color w:val="000000"/>
                <w:sz w:val="24"/>
                <w:szCs w:val="24"/>
                <w:rtl/>
              </w:rPr>
              <w:t xml:space="preserve">אין צורך להכביר מילים על חשיבות ההסתמכות על הרישום במרשם המקרקעין, ועל הדיוק המצופה מאנשי רשם המקרקעין כאשר הם עוסקים ברישומי זכויות או בביטולן, כמו גם ברישומי עיקולים או מחיקתם. ניתן לדמות את אנשי רשם המקרקעין כשומרי סף העומדים בשערי אוצרם וקניינם של כל בעלי המקרקעין במדינת ישראל. עצימת עיניים, התרשלות או אי הקפדה על שמירת קניינם של בעלי הזכויות – עלולה להביא לנזק בלתי הפיך. היעדר הקפדה מצידם של שומרי הסף עלולה להביא אבדן זכויות במקרקעין ולכל הפחות אבדן, הפסד ונזק כספי של מי שהתבסס על הרישום עליו מופקדת רשם המקרקעין. אשר על כן, על אנשי רשם המקרקעין להקפיד ומחובתם אף לבדוק בדיקה כפולה של כל עסקה או פעולה המבוצעת במרשם. לענין זה ר' ע"א 3391/22, </w:t>
            </w:r>
            <w:r>
              <w:rPr>
                <w:rFonts w:ascii="David" w:hAnsi="David" w:cs="David"/>
                <w:color w:val="000000"/>
                <w:sz w:val="24"/>
                <w:szCs w:val="24"/>
                <w:u w:val="single"/>
                <w:rtl/>
              </w:rPr>
              <w:t>בנק לאומי לישראל בע"מ נ' דוד קונפינו</w:t>
            </w:r>
            <w:r>
              <w:rPr>
                <w:rFonts w:ascii="David" w:hAnsi="David" w:cs="David"/>
                <w:color w:val="000000"/>
                <w:sz w:val="24"/>
                <w:szCs w:val="24"/>
                <w:rtl/>
              </w:rPr>
              <w:t xml:space="preserve"> (מיום 3.12.2023, הש' י' אלרון, הש' א' שטיין, השופטת ר' רונן) שם בסעיף 134  לפסק דינו של כב' הש' א' שטיין נקבע כך (ההדגשות לא במקור):</w:t>
            </w:r>
          </w:p>
          <w:p w:rsidR="00D048DB" w:rsidRDefault="00D048DB" w:rsidP="00D048DB">
            <w:pPr>
              <w:pStyle w:val="af"/>
              <w:spacing w:line="360" w:lineRule="auto"/>
              <w:ind w:left="1360"/>
              <w:jc w:val="both"/>
              <w:rPr>
                <w:rFonts w:ascii="David" w:hAnsi="David" w:cs="David"/>
                <w:b/>
                <w:bCs/>
                <w:color w:val="000000"/>
                <w:sz w:val="24"/>
                <w:szCs w:val="24"/>
                <w:rtl/>
              </w:rPr>
            </w:pPr>
            <w:r>
              <w:rPr>
                <w:rFonts w:ascii="David" w:hAnsi="David" w:cs="David"/>
                <w:b/>
                <w:bCs/>
                <w:color w:val="000000"/>
                <w:sz w:val="24"/>
                <w:szCs w:val="24"/>
                <w:rtl/>
              </w:rPr>
              <w:t xml:space="preserve">"ברי הוא גם, כי בחינה כפולה כאמור צריכה להתבצע במקצועית ובמלוא הזהירות הנדרשת – זאת, בפרט לנוכח עיקרון ההסתמכות על המרשם הקבוע בסעיף 10 לחוק המקרקעין. </w:t>
            </w:r>
            <w:r>
              <w:rPr>
                <w:rFonts w:ascii="David" w:hAnsi="David" w:cs="David"/>
                <w:b/>
                <w:bCs/>
                <w:color w:val="000000"/>
                <w:sz w:val="24"/>
                <w:szCs w:val="24"/>
                <w:u w:val="single"/>
                <w:rtl/>
              </w:rPr>
              <w:t>מרשם המקרקעין אמור לשמור על אמינותו כמנגנון ממלכתי של רישום זכויות שאזרחים שמים בו את מבטחם</w:t>
            </w:r>
            <w:r>
              <w:rPr>
                <w:rFonts w:ascii="David" w:hAnsi="David" w:cs="David"/>
                <w:b/>
                <w:bCs/>
                <w:color w:val="000000"/>
                <w:sz w:val="24"/>
                <w:szCs w:val="24"/>
                <w:rtl/>
              </w:rPr>
              <w:t>"</w:t>
            </w:r>
          </w:p>
          <w:p w:rsidR="00D048DB" w:rsidRDefault="00D048DB" w:rsidP="00D048DB">
            <w:pPr>
              <w:pStyle w:val="af"/>
              <w:spacing w:line="360" w:lineRule="auto"/>
              <w:ind w:left="395"/>
              <w:jc w:val="both"/>
              <w:rPr>
                <w:rFonts w:ascii="David" w:hAnsi="David" w:cs="David"/>
                <w:color w:val="000000"/>
                <w:sz w:val="24"/>
                <w:szCs w:val="24"/>
                <w:rtl/>
              </w:rPr>
            </w:pPr>
          </w:p>
          <w:p w:rsidR="00D048DB" w:rsidRDefault="00D048DB" w:rsidP="00D048DB">
            <w:pPr>
              <w:pStyle w:val="af"/>
              <w:spacing w:line="360" w:lineRule="auto"/>
              <w:ind w:left="678"/>
              <w:jc w:val="both"/>
              <w:rPr>
                <w:rFonts w:ascii="David" w:hAnsi="David" w:cs="David"/>
                <w:color w:val="000000"/>
                <w:sz w:val="24"/>
                <w:szCs w:val="24"/>
                <w:rtl/>
              </w:rPr>
            </w:pPr>
            <w:r>
              <w:rPr>
                <w:rFonts w:ascii="David" w:hAnsi="David" w:cs="David"/>
                <w:color w:val="000000"/>
                <w:sz w:val="24"/>
                <w:szCs w:val="24"/>
                <w:rtl/>
              </w:rPr>
              <w:t xml:space="preserve">להשלמה ייאמר שעל פסק דין זה הוגשה בקשה לדיון נוסף וזו נדחתה במסגרת דנא 8908/23, </w:t>
            </w:r>
            <w:r>
              <w:rPr>
                <w:rFonts w:ascii="David" w:hAnsi="David" w:cs="David"/>
                <w:color w:val="000000"/>
                <w:sz w:val="24"/>
                <w:szCs w:val="24"/>
                <w:u w:val="single"/>
                <w:rtl/>
              </w:rPr>
              <w:t>רשות לרישום והסדר זכויות במקרקעין נ' דוד קונפינו</w:t>
            </w:r>
            <w:r>
              <w:rPr>
                <w:rFonts w:ascii="David" w:hAnsi="David" w:cs="David"/>
                <w:color w:val="000000"/>
                <w:sz w:val="24"/>
                <w:szCs w:val="24"/>
                <w:rtl/>
              </w:rPr>
              <w:t xml:space="preserve"> (מיום 13/3/2024, מ"מ הנש' הש' ע' פוגלמן).</w:t>
            </w:r>
          </w:p>
          <w:p w:rsidR="00D048DB" w:rsidRDefault="00D048DB" w:rsidP="00D048DB">
            <w:pPr>
              <w:pStyle w:val="af"/>
              <w:spacing w:line="360" w:lineRule="auto"/>
              <w:ind w:left="395"/>
              <w:jc w:val="both"/>
              <w:rPr>
                <w:rFonts w:ascii="David" w:hAnsi="David" w:cs="David"/>
                <w:color w:val="000000"/>
                <w:sz w:val="24"/>
                <w:szCs w:val="24"/>
                <w:rtl/>
              </w:rPr>
            </w:pPr>
          </w:p>
          <w:p w:rsidR="00D048DB" w:rsidRDefault="00D048DB" w:rsidP="00D048DB">
            <w:pPr>
              <w:pStyle w:val="af"/>
              <w:numPr>
                <w:ilvl w:val="1"/>
                <w:numId w:val="1"/>
              </w:numPr>
              <w:spacing w:line="360" w:lineRule="auto"/>
              <w:ind w:left="678" w:hanging="567"/>
              <w:jc w:val="both"/>
              <w:rPr>
                <w:rFonts w:ascii="David" w:hAnsi="David" w:cs="David"/>
                <w:color w:val="000000"/>
                <w:sz w:val="24"/>
                <w:szCs w:val="24"/>
                <w:rtl/>
              </w:rPr>
            </w:pPr>
            <w:r>
              <w:rPr>
                <w:rFonts w:ascii="David" w:hAnsi="David" w:cs="David"/>
                <w:sz w:val="24"/>
                <w:szCs w:val="24"/>
                <w:rtl/>
              </w:rPr>
              <w:t xml:space="preserve">להרחבה באשר לחשיבות הרישום בפנקסי רשם המקרקעין, ולמקרים בהם נדונה אחריות רשם המקרקעין לרישום שגוי ר' פסק הדין הנרחב והאסמכתאות בו במסגרת </w:t>
            </w:r>
            <w:r>
              <w:rPr>
                <w:rFonts w:ascii="David" w:hAnsi="David" w:cs="David"/>
                <w:color w:val="000000"/>
                <w:sz w:val="24"/>
                <w:szCs w:val="24"/>
                <w:rtl/>
              </w:rPr>
              <w:t>ת"א (מחוזי ת"א) 64575-12-21‏ ‏</w:t>
            </w:r>
            <w:r>
              <w:rPr>
                <w:rFonts w:ascii="David" w:hAnsi="David" w:cs="David"/>
                <w:color w:val="000000"/>
                <w:sz w:val="24"/>
                <w:szCs w:val="24"/>
                <w:u w:val="single"/>
                <w:rtl/>
              </w:rPr>
              <w:t>עדנה שושני נ' מדינת ישראל - רשם המקרקעין</w:t>
            </w:r>
            <w:r>
              <w:rPr>
                <w:rFonts w:ascii="David" w:hAnsi="David" w:cs="David"/>
                <w:color w:val="000000"/>
                <w:sz w:val="24"/>
                <w:szCs w:val="24"/>
                <w:rtl/>
              </w:rPr>
              <w:t xml:space="preserve">‏ (21.10.2024, הש' נ' שילה); עוד ר' ע"א 6894/15 </w:t>
            </w:r>
            <w:r>
              <w:rPr>
                <w:rFonts w:ascii="David" w:hAnsi="David" w:cs="David"/>
                <w:color w:val="000000"/>
                <w:sz w:val="24"/>
                <w:szCs w:val="24"/>
                <w:u w:val="single"/>
                <w:rtl/>
              </w:rPr>
              <w:t>משה זלצר נ' יעקב אבירם</w:t>
            </w:r>
            <w:r>
              <w:rPr>
                <w:rFonts w:ascii="David" w:hAnsi="David" w:cs="David"/>
                <w:color w:val="000000"/>
                <w:sz w:val="24"/>
                <w:szCs w:val="24"/>
                <w:rtl/>
              </w:rPr>
              <w:t xml:space="preserve"> (7.9.2017, המש' לנש' בדימ' א' רובינשטיין , הש' נ' הנדל , הש' מ' מזוז); ע"א 3507/14 </w:t>
            </w:r>
            <w:r>
              <w:rPr>
                <w:rFonts w:ascii="David" w:hAnsi="David" w:cs="David"/>
                <w:color w:val="000000"/>
                <w:sz w:val="24"/>
                <w:szCs w:val="24"/>
                <w:u w:val="single"/>
                <w:rtl/>
              </w:rPr>
              <w:t>ציפורה נ' אדמון נג'יב ג'רוס</w:t>
            </w:r>
            <w:r>
              <w:rPr>
                <w:rFonts w:ascii="David" w:hAnsi="David" w:cs="David"/>
                <w:color w:val="000000"/>
                <w:sz w:val="24"/>
                <w:szCs w:val="24"/>
                <w:rtl/>
              </w:rPr>
              <w:t xml:space="preserve">, (11.10.2015, הש' י' עמית, השופטת ד' ברק-ארז, השופטת ע' ברון). </w:t>
            </w:r>
          </w:p>
          <w:p w:rsidR="00D048DB" w:rsidRDefault="00D048DB" w:rsidP="00D048DB">
            <w:pPr>
              <w:pStyle w:val="af"/>
              <w:spacing w:line="360" w:lineRule="auto"/>
              <w:ind w:left="-172"/>
              <w:jc w:val="both"/>
              <w:rPr>
                <w:rFonts w:ascii="David" w:hAnsi="David" w:cs="David"/>
                <w:sz w:val="24"/>
                <w:szCs w:val="24"/>
                <w:u w:val="single"/>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Pr>
            </w:pPr>
            <w:r>
              <w:rPr>
                <w:rFonts w:ascii="David" w:hAnsi="David" w:cs="David"/>
                <w:b/>
                <w:bCs/>
                <w:sz w:val="24"/>
                <w:szCs w:val="24"/>
                <w:u w:val="single"/>
                <w:rtl/>
              </w:rPr>
              <w:t>נושא דיון שני מחמישה - נהלי הרישום המחייבים את הנתבעת ומעמדם המשפטי</w:t>
            </w:r>
          </w:p>
          <w:p w:rsidR="00D048DB" w:rsidRDefault="00D048DB" w:rsidP="00D048DB">
            <w:pPr>
              <w:pStyle w:val="af"/>
              <w:numPr>
                <w:ilvl w:val="1"/>
                <w:numId w:val="1"/>
              </w:numPr>
              <w:spacing w:line="360" w:lineRule="auto"/>
              <w:ind w:left="678" w:hanging="567"/>
              <w:jc w:val="both"/>
              <w:rPr>
                <w:rFonts w:ascii="David" w:hAnsi="David" w:cs="David"/>
                <w:sz w:val="24"/>
                <w:szCs w:val="24"/>
                <w:u w:val="single"/>
              </w:rPr>
            </w:pPr>
            <w:r>
              <w:rPr>
                <w:rFonts w:ascii="David" w:hAnsi="David" w:cs="David"/>
                <w:b/>
                <w:bCs/>
                <w:sz w:val="24"/>
                <w:szCs w:val="24"/>
                <w:u w:val="single"/>
                <w:rtl/>
              </w:rPr>
              <w:t>היכרות עם נהלי הרישום המחייבים את הנתבעת</w:t>
            </w:r>
          </w:p>
          <w:p w:rsidR="00D048DB" w:rsidRDefault="00D048DB" w:rsidP="00D048DB">
            <w:pPr>
              <w:pStyle w:val="af"/>
              <w:numPr>
                <w:ilvl w:val="0"/>
                <w:numId w:val="9"/>
              </w:numPr>
              <w:spacing w:line="360" w:lineRule="auto"/>
              <w:ind w:left="1103"/>
              <w:jc w:val="both"/>
              <w:rPr>
                <w:rFonts w:ascii="David" w:hAnsi="David" w:cs="David"/>
                <w:sz w:val="24"/>
                <w:szCs w:val="24"/>
                <w:u w:val="single"/>
              </w:rPr>
            </w:pPr>
            <w:r>
              <w:rPr>
                <w:rFonts w:ascii="David" w:hAnsi="David" w:cs="David"/>
                <w:color w:val="000000"/>
                <w:sz w:val="24"/>
                <w:szCs w:val="24"/>
                <w:rtl/>
              </w:rPr>
              <w:t>הפעולות במרשם המקרקעין מבוצעות בהתאם </w:t>
            </w:r>
            <w:r>
              <w:rPr>
                <w:rFonts w:ascii="David" w:hAnsi="David" w:cs="David"/>
                <w:sz w:val="24"/>
                <w:szCs w:val="24"/>
                <w:rtl/>
              </w:rPr>
              <w:t>ל</w:t>
            </w:r>
            <w:r>
              <w:rPr>
                <w:rFonts w:ascii="David" w:hAnsi="David" w:cs="David"/>
                <w:sz w:val="24"/>
                <w:szCs w:val="24"/>
                <w:u w:val="single"/>
                <w:rtl/>
              </w:rPr>
              <w:t>תקנות המקרקעין (ניהול ורישום)</w:t>
            </w:r>
            <w:r>
              <w:rPr>
                <w:rFonts w:ascii="David" w:hAnsi="David" w:cs="David"/>
                <w:sz w:val="24"/>
                <w:szCs w:val="24"/>
                <w:rtl/>
              </w:rPr>
              <w:t xml:space="preserve">, תשע"ב – 2011, כאשר לנתבעת גם </w:t>
            </w:r>
            <w:r>
              <w:rPr>
                <w:rFonts w:ascii="David" w:hAnsi="David" w:cs="David"/>
                <w:sz w:val="24"/>
                <w:szCs w:val="24"/>
                <w:u w:val="single"/>
                <w:rtl/>
              </w:rPr>
              <w:t>קובץ נהלי רישום והסדר מקרקעין</w:t>
            </w:r>
            <w:r>
              <w:rPr>
                <w:rFonts w:ascii="David" w:hAnsi="David" w:cs="David"/>
                <w:sz w:val="24"/>
                <w:szCs w:val="24"/>
                <w:rtl/>
              </w:rPr>
              <w:t xml:space="preserve"> המחייב אותה (להלן: </w:t>
            </w:r>
            <w:r>
              <w:rPr>
                <w:rFonts w:ascii="David" w:hAnsi="David" w:cs="David"/>
                <w:b/>
                <w:bCs/>
                <w:sz w:val="24"/>
                <w:szCs w:val="24"/>
                <w:rtl/>
              </w:rPr>
              <w:t>"נהלי הרישום"</w:t>
            </w:r>
            <w:r>
              <w:rPr>
                <w:rFonts w:ascii="David" w:hAnsi="David" w:cs="David"/>
                <w:sz w:val="24"/>
                <w:szCs w:val="24"/>
                <w:rtl/>
              </w:rPr>
              <w:t xml:space="preserve">). קובץ הנהלים מחייב בפועל גם את הציבור, אשר פועל בהתאם לו בכל מקרה של בקשה לרישום כלשהו במרשם או למחיקת רישום. קובץ הנהלים האחיד, הוא זה שמבטיח גם את תקפותו של המרשם את אמיתות הפרטים הנמצאים בו. </w:t>
            </w:r>
          </w:p>
          <w:p w:rsidR="00D048DB" w:rsidRDefault="00D048DB" w:rsidP="00D048DB">
            <w:pPr>
              <w:pStyle w:val="af"/>
              <w:spacing w:line="360" w:lineRule="auto"/>
              <w:ind w:left="755"/>
              <w:jc w:val="both"/>
              <w:rPr>
                <w:rFonts w:ascii="David" w:hAnsi="David" w:cs="David"/>
                <w:sz w:val="24"/>
                <w:szCs w:val="24"/>
                <w:u w:val="single"/>
              </w:rPr>
            </w:pPr>
          </w:p>
          <w:p w:rsidR="00D048DB" w:rsidRDefault="00D048DB" w:rsidP="00D048DB">
            <w:pPr>
              <w:pStyle w:val="af"/>
              <w:numPr>
                <w:ilvl w:val="0"/>
                <w:numId w:val="9"/>
              </w:numPr>
              <w:spacing w:line="360" w:lineRule="auto"/>
              <w:ind w:left="1103"/>
              <w:jc w:val="both"/>
              <w:rPr>
                <w:rFonts w:ascii="David" w:hAnsi="David" w:cs="David"/>
                <w:sz w:val="24"/>
                <w:szCs w:val="24"/>
                <w:u w:val="single"/>
              </w:rPr>
            </w:pPr>
            <w:r>
              <w:rPr>
                <w:rFonts w:ascii="David" w:hAnsi="David" w:cs="David"/>
                <w:sz w:val="24"/>
                <w:szCs w:val="24"/>
                <w:rtl/>
              </w:rPr>
              <w:t xml:space="preserve">על כך שהרישום נעשה תוך הסתמכות על תקנות המקרקעין ונהלי הרישום ר' למשל </w:t>
            </w:r>
            <w:r>
              <w:rPr>
                <w:rFonts w:ascii="David" w:hAnsi="David" w:cs="David"/>
                <w:color w:val="000000"/>
                <w:sz w:val="24"/>
                <w:szCs w:val="24"/>
                <w:rtl/>
              </w:rPr>
              <w:t>ת"א (מחוזי חי') 31294-08-19 </w:t>
            </w:r>
            <w:r>
              <w:rPr>
                <w:rFonts w:ascii="David" w:hAnsi="David" w:cs="David"/>
                <w:color w:val="000000"/>
                <w:sz w:val="24"/>
                <w:szCs w:val="24"/>
                <w:u w:val="single"/>
                <w:rtl/>
              </w:rPr>
              <w:t>עזבון המנוח ליאו פריש ז"ל נ' דרורה פריש</w:t>
            </w:r>
            <w:r>
              <w:rPr>
                <w:rFonts w:ascii="David" w:hAnsi="David" w:cs="David"/>
                <w:color w:val="000000"/>
                <w:sz w:val="24"/>
                <w:szCs w:val="24"/>
                <w:rtl/>
              </w:rPr>
              <w:t xml:space="preserve"> (22.3.2023, השופט מאזן דאוד); או ה"פ (מרכז) 24426-03-19</w:t>
            </w:r>
            <w:r>
              <w:rPr>
                <w:rFonts w:ascii="David" w:hAnsi="David" w:cs="David"/>
                <w:color w:val="000000"/>
                <w:sz w:val="24"/>
                <w:szCs w:val="24"/>
                <w:u w:val="single"/>
                <w:rtl/>
              </w:rPr>
              <w:t>‏ ‏רינה עוזיאל נ' מדינת ישראל לשכת רישום המקרקעין נתניה</w:t>
            </w:r>
            <w:r>
              <w:rPr>
                <w:rFonts w:ascii="David" w:hAnsi="David" w:cs="David"/>
                <w:color w:val="000000"/>
                <w:sz w:val="24"/>
                <w:szCs w:val="24"/>
                <w:rtl/>
              </w:rPr>
              <w:t xml:space="preserve"> (24.7.2019, סג' הנש' הש' י' שפסר).</w:t>
            </w:r>
          </w:p>
          <w:p w:rsidR="00D048DB" w:rsidRDefault="00D048DB" w:rsidP="00D048DB">
            <w:pPr>
              <w:pStyle w:val="af"/>
              <w:spacing w:line="360" w:lineRule="auto"/>
              <w:ind w:left="395"/>
              <w:jc w:val="both"/>
              <w:rPr>
                <w:rFonts w:ascii="David" w:hAnsi="David" w:cs="David"/>
                <w:sz w:val="24"/>
                <w:szCs w:val="24"/>
                <w:u w:val="single"/>
              </w:rPr>
            </w:pPr>
          </w:p>
          <w:p w:rsidR="00D048DB" w:rsidRDefault="00D048DB" w:rsidP="00D048DB">
            <w:pPr>
              <w:pStyle w:val="af"/>
              <w:numPr>
                <w:ilvl w:val="1"/>
                <w:numId w:val="1"/>
              </w:numPr>
              <w:spacing w:line="360" w:lineRule="auto"/>
              <w:ind w:left="678" w:hanging="567"/>
              <w:jc w:val="both"/>
              <w:rPr>
                <w:rFonts w:ascii="David" w:hAnsi="David" w:cs="David"/>
                <w:sz w:val="24"/>
                <w:szCs w:val="24"/>
                <w:u w:val="single"/>
              </w:rPr>
            </w:pPr>
            <w:r>
              <w:rPr>
                <w:rFonts w:ascii="David" w:hAnsi="David" w:cs="David"/>
                <w:b/>
                <w:bCs/>
                <w:sz w:val="24"/>
                <w:szCs w:val="24"/>
                <w:u w:val="single"/>
                <w:rtl/>
              </w:rPr>
              <w:t>נהלי הרישום, כבסיס לבדיקת סבירות מעשי ומחדלי רשם המקרקעין</w:t>
            </w:r>
          </w:p>
          <w:p w:rsidR="00D048DB" w:rsidRDefault="00D048DB" w:rsidP="00D048DB">
            <w:pPr>
              <w:pStyle w:val="af"/>
              <w:numPr>
                <w:ilvl w:val="0"/>
                <w:numId w:val="10"/>
              </w:numPr>
              <w:spacing w:line="360" w:lineRule="auto"/>
              <w:ind w:left="1103"/>
              <w:jc w:val="both"/>
              <w:rPr>
                <w:rFonts w:ascii="David" w:eastAsia="Times New Roman" w:hAnsi="David" w:cs="David"/>
                <w:color w:val="000000"/>
                <w:sz w:val="24"/>
                <w:szCs w:val="24"/>
              </w:rPr>
            </w:pPr>
            <w:r>
              <w:rPr>
                <w:rFonts w:ascii="David" w:hAnsi="David" w:cs="David"/>
                <w:sz w:val="24"/>
                <w:szCs w:val="24"/>
                <w:rtl/>
              </w:rPr>
              <w:t xml:space="preserve">בפסקאות הבאות אתייחס למעמדם של נהלי הרישום וזאת תוך השוואה לדין הכללי החל על הנחיות מנהליות ונהלים של רשויות השלטון. אך עוד טרם התייחסות כאמור, יודגש שלמרות שנהלי הרישום </w:t>
            </w:r>
            <w:r>
              <w:rPr>
                <w:rFonts w:ascii="David" w:eastAsia="Times New Roman" w:hAnsi="David" w:cs="David"/>
                <w:color w:val="000000"/>
                <w:sz w:val="24"/>
                <w:szCs w:val="24"/>
                <w:rtl/>
              </w:rPr>
              <w:t xml:space="preserve">אינם דבר חקיקה, הרי עדיין מדובר בהנחיות מנהליות ומקצועית להן נודעת חשיבות רבה. </w:t>
            </w:r>
          </w:p>
          <w:p w:rsidR="00D048DB" w:rsidRDefault="00D048DB" w:rsidP="00D048DB">
            <w:pPr>
              <w:pStyle w:val="af"/>
              <w:spacing w:line="360" w:lineRule="auto"/>
              <w:ind w:left="755"/>
              <w:jc w:val="both"/>
              <w:rPr>
                <w:rFonts w:ascii="David" w:eastAsia="Times New Roman" w:hAnsi="David" w:cs="David"/>
                <w:color w:val="000000"/>
                <w:sz w:val="24"/>
                <w:szCs w:val="24"/>
              </w:rPr>
            </w:pPr>
          </w:p>
          <w:p w:rsidR="00D048DB" w:rsidRDefault="00D048DB" w:rsidP="00D048DB">
            <w:pPr>
              <w:pStyle w:val="af"/>
              <w:numPr>
                <w:ilvl w:val="0"/>
                <w:numId w:val="10"/>
              </w:numPr>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הנתבעת אמונה על פי דין לנהל את רישום המקרקעין, ומכאן יש לראות בהנחיות שמפורסמות על ידה את האופן בו היא מפרשת את הדין ומיישמת אותו. אפילו ייאמר שנהלי הרישום אינם מחייבים כדבר חקיקה – הרי עדיין אין חולק על כך שאת הנתבעת בהחלט מחייבים נהלי הרישום שניסחה. </w:t>
            </w:r>
            <w:r>
              <w:rPr>
                <w:rFonts w:ascii="David" w:eastAsia="Times New Roman" w:hAnsi="David" w:cs="David"/>
                <w:color w:val="000000"/>
                <w:sz w:val="24"/>
                <w:szCs w:val="24"/>
                <w:u w:val="single"/>
                <w:rtl/>
              </w:rPr>
              <w:t>ובמילים אחרות</w:t>
            </w:r>
            <w:r>
              <w:rPr>
                <w:rFonts w:ascii="David" w:eastAsia="Times New Roman" w:hAnsi="David" w:cs="David"/>
                <w:color w:val="000000"/>
                <w:sz w:val="24"/>
                <w:szCs w:val="24"/>
                <w:rtl/>
              </w:rPr>
              <w:t xml:space="preserve"> – ככל שהדיון בהליך כאן היה מתייחס לדרישת בעל זכויות במקרקעין לחרוג מנהלי הרישום – הרי אולי ובמקרה קיצון ניתן היה להיעתר לבקשה. ואולם כאשר הדיון מתייחס לעמידת הנתבעת בנהליה שלה – הרי בוודאי אין מקום לאפשר לה לחרוג ממסגרת הכללים שקבעה עבור עצמה. </w:t>
            </w:r>
          </w:p>
          <w:p w:rsidR="00D048DB" w:rsidRDefault="00D048DB" w:rsidP="00D048DB">
            <w:pPr>
              <w:pStyle w:val="af"/>
              <w:spacing w:line="360" w:lineRule="auto"/>
              <w:ind w:left="1360"/>
              <w:jc w:val="both"/>
              <w:rPr>
                <w:rFonts w:ascii="David" w:hAnsi="David" w:cs="David"/>
                <w:color w:val="000000"/>
                <w:sz w:val="24"/>
                <w:szCs w:val="24"/>
                <w:rtl/>
              </w:rPr>
            </w:pPr>
          </w:p>
          <w:p w:rsidR="005958EA" w:rsidRDefault="005958EA" w:rsidP="00D048DB">
            <w:pPr>
              <w:pStyle w:val="af"/>
              <w:spacing w:line="360" w:lineRule="auto"/>
              <w:ind w:left="1360"/>
              <w:jc w:val="both"/>
              <w:rPr>
                <w:rFonts w:ascii="David" w:hAnsi="David" w:cs="David"/>
                <w:color w:val="000000"/>
                <w:sz w:val="24"/>
                <w:szCs w:val="24"/>
              </w:rPr>
            </w:pPr>
          </w:p>
          <w:p w:rsidR="00D048DB" w:rsidRDefault="00D048DB" w:rsidP="00D048DB">
            <w:pPr>
              <w:pStyle w:val="af"/>
              <w:numPr>
                <w:ilvl w:val="1"/>
                <w:numId w:val="1"/>
              </w:numPr>
              <w:spacing w:line="360" w:lineRule="auto"/>
              <w:ind w:left="678" w:hanging="567"/>
              <w:jc w:val="both"/>
              <w:rPr>
                <w:rFonts w:ascii="David" w:hAnsi="David" w:cs="David"/>
                <w:b/>
                <w:bCs/>
                <w:sz w:val="24"/>
                <w:szCs w:val="24"/>
                <w:u w:val="single"/>
                <w:rtl/>
              </w:rPr>
            </w:pPr>
            <w:r>
              <w:rPr>
                <w:rFonts w:ascii="David" w:hAnsi="David" w:cs="David"/>
                <w:b/>
                <w:bCs/>
                <w:sz w:val="24"/>
                <w:szCs w:val="24"/>
                <w:u w:val="single"/>
                <w:rtl/>
              </w:rPr>
              <w:lastRenderedPageBreak/>
              <w:t>מעמדם של נהלים והנחיות מנהליות – הוראות הדין</w:t>
            </w:r>
          </w:p>
          <w:p w:rsidR="00D048DB" w:rsidRDefault="00D048DB" w:rsidP="00D048DB">
            <w:pPr>
              <w:pStyle w:val="af"/>
              <w:numPr>
                <w:ilvl w:val="0"/>
                <w:numId w:val="11"/>
              </w:numPr>
              <w:spacing w:line="360" w:lineRule="auto"/>
              <w:ind w:left="1103"/>
              <w:jc w:val="both"/>
              <w:rPr>
                <w:rFonts w:ascii="David" w:hAnsi="David" w:cs="David"/>
                <w:sz w:val="24"/>
                <w:szCs w:val="24"/>
              </w:rPr>
            </w:pPr>
            <w:r>
              <w:rPr>
                <w:rFonts w:ascii="David" w:hAnsi="David" w:cs="David"/>
                <w:sz w:val="24"/>
                <w:szCs w:val="24"/>
                <w:rtl/>
              </w:rPr>
              <w:t>על חשיבותם של נהלים ושל הנחיות פנימיות, ובאשר לדרך בה על רשם המקרקעין לפעול, ניתן ללמוד מ</w:t>
            </w:r>
            <w:r>
              <w:rPr>
                <w:rFonts w:ascii="David" w:hAnsi="David" w:cs="David"/>
                <w:sz w:val="24"/>
                <w:szCs w:val="24"/>
                <w:u w:val="single"/>
                <w:rtl/>
              </w:rPr>
              <w:t>הנחיות היועץ המשפטי לממשלה, הנחיות מנהליות, מספר הנחיה 1.0002 (60.13)</w:t>
            </w:r>
            <w:r>
              <w:rPr>
                <w:rFonts w:ascii="David" w:hAnsi="David" w:cs="David"/>
                <w:sz w:val="24"/>
                <w:szCs w:val="24"/>
                <w:rtl/>
              </w:rPr>
              <w:t>. במסגרת סקירת הדרך בה יש להתייחס להנחיות מנהליות, נכתב, בין היתר כך (סעיף 1.2 להנחיות היועץ המשפטי לממשלה הנזכרות לעיל, ההדגשות לא במקור):</w:t>
            </w:r>
          </w:p>
          <w:p w:rsidR="00D048DB" w:rsidRDefault="00D048DB" w:rsidP="00D048DB">
            <w:pPr>
              <w:pStyle w:val="af"/>
              <w:spacing w:line="360" w:lineRule="auto"/>
              <w:ind w:left="755"/>
              <w:jc w:val="both"/>
              <w:rPr>
                <w:rFonts w:ascii="David" w:hAnsi="David" w:cs="David"/>
                <w:sz w:val="24"/>
                <w:szCs w:val="24"/>
              </w:rPr>
            </w:pPr>
          </w:p>
          <w:p w:rsidR="00D048DB" w:rsidRDefault="00D048DB" w:rsidP="00D048DB">
            <w:pPr>
              <w:pStyle w:val="af"/>
              <w:spacing w:line="360" w:lineRule="auto"/>
              <w:ind w:left="1360"/>
              <w:jc w:val="both"/>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"ההנחיות המינהליות אמורות לשרת </w:t>
            </w:r>
            <w:r>
              <w:rPr>
                <w:rFonts w:ascii="David" w:eastAsia="Times New Roman" w:hAnsi="David" w:cs="David"/>
                <w:b/>
                <w:bCs/>
                <w:color w:val="000000"/>
                <w:sz w:val="24"/>
                <w:szCs w:val="24"/>
                <w:u w:val="single"/>
                <w:rtl/>
              </w:rPr>
              <w:t>הן את צרכי המינהל הציבורי</w:t>
            </w:r>
            <w:r>
              <w:rPr>
                <w:rFonts w:ascii="David" w:eastAsia="Times New Roman" w:hAnsi="David" w:cs="David"/>
                <w:b/>
                <w:bCs/>
                <w:color w:val="000000"/>
                <w:sz w:val="24"/>
                <w:szCs w:val="24"/>
                <w:rtl/>
              </w:rPr>
              <w:t xml:space="preserve"> ו</w:t>
            </w:r>
            <w:r>
              <w:rPr>
                <w:rFonts w:ascii="David" w:eastAsia="Times New Roman" w:hAnsi="David" w:cs="David"/>
                <w:b/>
                <w:bCs/>
                <w:color w:val="000000"/>
                <w:sz w:val="24"/>
                <w:szCs w:val="24"/>
                <w:u w:val="single"/>
                <w:rtl/>
              </w:rPr>
              <w:t>הן את טובת האזרח</w:t>
            </w:r>
            <w:r>
              <w:rPr>
                <w:rFonts w:ascii="David" w:eastAsia="Times New Roman" w:hAnsi="David" w:cs="David"/>
                <w:b/>
                <w:bCs/>
                <w:color w:val="000000"/>
                <w:sz w:val="24"/>
                <w:szCs w:val="24"/>
                <w:rtl/>
              </w:rPr>
              <w:t>:</w:t>
            </w:r>
          </w:p>
          <w:p w:rsidR="00D048DB" w:rsidRDefault="00D048DB" w:rsidP="00D048DB">
            <w:pPr>
              <w:pStyle w:val="af"/>
              <w:numPr>
                <w:ilvl w:val="3"/>
                <w:numId w:val="7"/>
              </w:numPr>
              <w:spacing w:line="360" w:lineRule="auto"/>
              <w:ind w:left="1670" w:hanging="283"/>
              <w:jc w:val="both"/>
              <w:rPr>
                <w:rFonts w:ascii="David" w:eastAsia="Times New Roman" w:hAnsi="David" w:cs="David"/>
                <w:b/>
                <w:bCs/>
                <w:color w:val="000000"/>
                <w:sz w:val="24"/>
                <w:szCs w:val="24"/>
              </w:rPr>
            </w:pPr>
            <w:r>
              <w:rPr>
                <w:rFonts w:ascii="David" w:eastAsia="Times New Roman" w:hAnsi="David" w:cs="David"/>
                <w:b/>
                <w:bCs/>
                <w:color w:val="000000"/>
                <w:sz w:val="24"/>
                <w:szCs w:val="24"/>
                <w:u w:val="single"/>
                <w:rtl/>
              </w:rPr>
              <w:t>מבחינת המינהל הציבורי</w:t>
            </w:r>
            <w:r>
              <w:rPr>
                <w:rFonts w:ascii="David" w:eastAsia="Times New Roman" w:hAnsi="David" w:cs="David"/>
                <w:b/>
                <w:bCs/>
                <w:color w:val="000000"/>
                <w:sz w:val="24"/>
                <w:szCs w:val="24"/>
                <w:rtl/>
              </w:rPr>
              <w:t>, ההנחיות מכוונות לסייע בידי הרשות המינהלית בעיקר –</w:t>
            </w:r>
          </w:p>
          <w:p w:rsidR="00D048DB" w:rsidRDefault="00D048DB" w:rsidP="00D048DB">
            <w:pPr>
              <w:pStyle w:val="af"/>
              <w:numPr>
                <w:ilvl w:val="0"/>
                <w:numId w:val="12"/>
              </w:numPr>
              <w:spacing w:line="360" w:lineRule="auto"/>
              <w:jc w:val="both"/>
              <w:rPr>
                <w:rFonts w:ascii="David" w:eastAsia="Times New Roman" w:hAnsi="David" w:cs="David"/>
                <w:b/>
                <w:bCs/>
                <w:color w:val="000000"/>
                <w:sz w:val="24"/>
                <w:szCs w:val="24"/>
              </w:rPr>
            </w:pPr>
            <w:r>
              <w:rPr>
                <w:rFonts w:ascii="David" w:eastAsia="Times New Roman" w:hAnsi="David" w:cs="David"/>
                <w:b/>
                <w:bCs/>
                <w:color w:val="000000"/>
                <w:sz w:val="24"/>
                <w:szCs w:val="24"/>
                <w:rtl/>
              </w:rPr>
              <w:t>לגבש מדיניות, לאחר בירור הנתונים ותוך התחשבות בגורמים ובשיקולים השייכים לעניין, ובכך להתוות דרך להשגת המטרות של הרשות;</w:t>
            </w:r>
          </w:p>
          <w:p w:rsidR="00D048DB" w:rsidRDefault="00D048DB" w:rsidP="00D048DB">
            <w:pPr>
              <w:pStyle w:val="af"/>
              <w:numPr>
                <w:ilvl w:val="0"/>
                <w:numId w:val="12"/>
              </w:numPr>
              <w:spacing w:line="360" w:lineRule="auto"/>
              <w:jc w:val="both"/>
              <w:rPr>
                <w:rFonts w:ascii="David" w:eastAsia="Times New Roman" w:hAnsi="David" w:cs="David"/>
                <w:b/>
                <w:bCs/>
                <w:color w:val="000000"/>
                <w:sz w:val="24"/>
                <w:szCs w:val="24"/>
                <w:rtl/>
              </w:rPr>
            </w:pPr>
            <w:r>
              <w:rPr>
                <w:rFonts w:ascii="David" w:eastAsia="Times New Roman" w:hAnsi="David" w:cs="David"/>
                <w:b/>
                <w:bCs/>
                <w:color w:val="000000"/>
                <w:sz w:val="24"/>
                <w:szCs w:val="24"/>
                <w:rtl/>
              </w:rPr>
              <w:t>להחליט בכל מקרה הנופל במסגרת ההנחיות במהירות וביעילות על יסוד ההנחיות;</w:t>
            </w:r>
          </w:p>
          <w:p w:rsidR="00D048DB" w:rsidRDefault="00D048DB" w:rsidP="00D048DB">
            <w:pPr>
              <w:pStyle w:val="af"/>
              <w:numPr>
                <w:ilvl w:val="0"/>
                <w:numId w:val="12"/>
              </w:numPr>
              <w:spacing w:line="360" w:lineRule="auto"/>
              <w:jc w:val="both"/>
              <w:rPr>
                <w:rFonts w:ascii="David" w:eastAsia="Times New Roman" w:hAnsi="David" w:cs="David"/>
                <w:b/>
                <w:bCs/>
                <w:color w:val="000000"/>
                <w:sz w:val="24"/>
                <w:szCs w:val="24"/>
              </w:rPr>
            </w:pPr>
            <w:r>
              <w:rPr>
                <w:rFonts w:ascii="David" w:eastAsia="Times New Roman" w:hAnsi="David" w:cs="David"/>
                <w:b/>
                <w:bCs/>
                <w:color w:val="000000"/>
                <w:sz w:val="24"/>
                <w:szCs w:val="24"/>
                <w:rtl/>
              </w:rPr>
              <w:t>להימנע במקרים דומים מהחלטות הסותרות זו את זו ואף את מטרות הרשות.</w:t>
            </w:r>
          </w:p>
          <w:p w:rsidR="00D048DB" w:rsidRDefault="00D048DB" w:rsidP="00D048DB">
            <w:pPr>
              <w:pStyle w:val="af"/>
              <w:spacing w:line="360" w:lineRule="auto"/>
              <w:ind w:left="2516"/>
              <w:jc w:val="both"/>
              <w:rPr>
                <w:rFonts w:ascii="David" w:eastAsia="Times New Roman" w:hAnsi="David" w:cs="David"/>
                <w:b/>
                <w:bCs/>
                <w:color w:val="000000"/>
                <w:sz w:val="24"/>
                <w:szCs w:val="24"/>
              </w:rPr>
            </w:pPr>
          </w:p>
          <w:p w:rsidR="00D048DB" w:rsidRDefault="00D048DB" w:rsidP="00D048DB">
            <w:pPr>
              <w:pStyle w:val="af"/>
              <w:numPr>
                <w:ilvl w:val="3"/>
                <w:numId w:val="7"/>
              </w:numPr>
              <w:spacing w:line="360" w:lineRule="auto"/>
              <w:ind w:left="1670" w:hanging="283"/>
              <w:jc w:val="both"/>
              <w:rPr>
                <w:rFonts w:ascii="David" w:eastAsia="Times New Roman" w:hAnsi="David" w:cs="David"/>
                <w:b/>
                <w:bCs/>
                <w:color w:val="000000"/>
                <w:sz w:val="24"/>
                <w:szCs w:val="24"/>
                <w:rtl/>
              </w:rPr>
            </w:pPr>
            <w:r>
              <w:rPr>
                <w:rFonts w:ascii="David" w:eastAsia="Times New Roman" w:hAnsi="David" w:cs="David"/>
                <w:b/>
                <w:bCs/>
                <w:color w:val="000000"/>
                <w:sz w:val="24"/>
                <w:szCs w:val="24"/>
                <w:u w:val="single"/>
                <w:rtl/>
              </w:rPr>
              <w:t>מבחינת האזרח</w:t>
            </w:r>
            <w:r>
              <w:rPr>
                <w:rFonts w:ascii="David" w:eastAsia="Times New Roman" w:hAnsi="David" w:cs="David"/>
                <w:b/>
                <w:bCs/>
                <w:color w:val="000000"/>
                <w:sz w:val="24"/>
                <w:szCs w:val="24"/>
                <w:rtl/>
              </w:rPr>
              <w:t xml:space="preserve"> יש בהנחיות כדי לאפשר לו בעיקר:</w:t>
            </w:r>
          </w:p>
          <w:p w:rsidR="00D048DB" w:rsidRDefault="00D048DB" w:rsidP="00D048DB">
            <w:pPr>
              <w:pStyle w:val="af"/>
              <w:numPr>
                <w:ilvl w:val="0"/>
                <w:numId w:val="13"/>
              </w:numPr>
              <w:spacing w:line="360" w:lineRule="auto"/>
              <w:ind w:left="2521"/>
              <w:jc w:val="both"/>
              <w:rPr>
                <w:rFonts w:ascii="David" w:eastAsia="Times New Roman" w:hAnsi="David" w:cs="David"/>
                <w:b/>
                <w:bCs/>
                <w:color w:val="000000"/>
                <w:sz w:val="24"/>
                <w:szCs w:val="24"/>
              </w:rPr>
            </w:pPr>
            <w:r>
              <w:rPr>
                <w:rFonts w:ascii="David" w:eastAsia="Times New Roman" w:hAnsi="David" w:cs="David"/>
                <w:b/>
                <w:bCs/>
                <w:color w:val="000000"/>
                <w:sz w:val="24"/>
                <w:szCs w:val="24"/>
                <w:rtl/>
              </w:rPr>
              <w:t xml:space="preserve">לשער מראש, במידה סבירה של בטחון, מה ההחלטה הצפויה במקרה מסויים, הנופל במסגרת ההנחיות, ולתכנן את מעשיו בהתאם לכך; </w:t>
            </w:r>
          </w:p>
          <w:p w:rsidR="00D048DB" w:rsidRDefault="00D048DB" w:rsidP="00D048DB">
            <w:pPr>
              <w:pStyle w:val="af"/>
              <w:numPr>
                <w:ilvl w:val="0"/>
                <w:numId w:val="13"/>
              </w:numPr>
              <w:spacing w:line="360" w:lineRule="auto"/>
              <w:ind w:left="2521"/>
              <w:jc w:val="both"/>
              <w:rPr>
                <w:rFonts w:ascii="David" w:eastAsia="Times New Roman" w:hAnsi="David" w:cs="David"/>
                <w:b/>
                <w:bCs/>
                <w:color w:val="000000"/>
                <w:sz w:val="24"/>
                <w:szCs w:val="24"/>
              </w:rPr>
            </w:pPr>
            <w:r>
              <w:rPr>
                <w:rFonts w:ascii="David" w:eastAsia="Times New Roman" w:hAnsi="David" w:cs="David"/>
                <w:b/>
                <w:bCs/>
                <w:color w:val="000000"/>
                <w:sz w:val="24"/>
                <w:szCs w:val="24"/>
                <w:rtl/>
              </w:rPr>
              <w:t>למנוע החלטה הסוטה מן ההנחיות ומקפחת אותן ללא הצדקה</w:t>
            </w:r>
            <w:r>
              <w:rPr>
                <w:rFonts w:ascii="David" w:eastAsia="Times New Roman" w:hAnsi="David" w:cs="David"/>
                <w:b/>
                <w:bCs/>
                <w:color w:val="000000"/>
                <w:sz w:val="24"/>
                <w:szCs w:val="24"/>
              </w:rPr>
              <w:t>.</w:t>
            </w:r>
          </w:p>
          <w:p w:rsidR="00D048DB" w:rsidRDefault="00D048DB" w:rsidP="00D048DB">
            <w:pPr>
              <w:pStyle w:val="af"/>
              <w:spacing w:line="360" w:lineRule="auto"/>
              <w:ind w:left="395"/>
              <w:jc w:val="both"/>
              <w:rPr>
                <w:rFonts w:ascii="David" w:hAnsi="David" w:cs="David"/>
                <w:sz w:val="24"/>
                <w:szCs w:val="24"/>
                <w:u w:val="single"/>
                <w:rtl/>
              </w:rPr>
            </w:pPr>
          </w:p>
          <w:p w:rsidR="00D048DB" w:rsidRDefault="00D048DB" w:rsidP="00D048DB">
            <w:pPr>
              <w:pStyle w:val="af"/>
              <w:numPr>
                <w:ilvl w:val="0"/>
                <w:numId w:val="11"/>
              </w:numPr>
              <w:spacing w:line="360" w:lineRule="auto"/>
              <w:ind w:left="1103"/>
              <w:jc w:val="both"/>
              <w:rPr>
                <w:rFonts w:ascii="David" w:hAnsi="David" w:cs="David"/>
                <w:sz w:val="24"/>
                <w:szCs w:val="24"/>
                <w:u w:val="single"/>
                <w:rtl/>
              </w:rPr>
            </w:pPr>
            <w:r>
              <w:rPr>
                <w:rFonts w:ascii="David" w:hAnsi="David" w:cs="David"/>
                <w:sz w:val="24"/>
                <w:szCs w:val="24"/>
                <w:rtl/>
              </w:rPr>
              <w:t xml:space="preserve">גם פסיקת בתי המשפט הרחיבה בדבר חשיבות ההתייחסות להנחיות מנהליות. מבלי להרחיב באשר למלוא פסקי הדין והאסמכתאות המתייחסים לאופן בו יש להתייחס להנחיות מנהליות, דוגמת נהלי הרישום של הנתבעת אפנה בתמצות אל </w:t>
            </w:r>
            <w:r>
              <w:rPr>
                <w:rFonts w:ascii="David" w:hAnsi="David" w:cs="David"/>
                <w:color w:val="000000"/>
                <w:sz w:val="24"/>
                <w:szCs w:val="24"/>
                <w:rtl/>
              </w:rPr>
              <w:t xml:space="preserve">בר"מ 1126/18 </w:t>
            </w:r>
            <w:r>
              <w:rPr>
                <w:rFonts w:ascii="David" w:hAnsi="David" w:cs="David"/>
                <w:color w:val="000000"/>
                <w:sz w:val="24"/>
                <w:szCs w:val="24"/>
                <w:u w:val="single"/>
                <w:rtl/>
              </w:rPr>
              <w:t>לול זרגוזי נ' רשות האוכלוסין וההגירה משרד הפנים</w:t>
            </w:r>
            <w:r>
              <w:rPr>
                <w:rFonts w:ascii="David" w:hAnsi="David" w:cs="David"/>
                <w:color w:val="000000"/>
                <w:sz w:val="24"/>
                <w:szCs w:val="24"/>
                <w:rtl/>
              </w:rPr>
              <w:t xml:space="preserve"> (30.9.2021, הש' י' עמית, השופטת ד' ברק-ארז, הש' א' שטיין) שם נקבע כך:</w:t>
            </w:r>
          </w:p>
          <w:p w:rsidR="00D048DB" w:rsidRDefault="00D048DB" w:rsidP="00D048DB">
            <w:pPr>
              <w:spacing w:line="360" w:lineRule="auto"/>
              <w:ind w:left="1387"/>
              <w:jc w:val="both"/>
              <w:rPr>
                <w:rFonts w:ascii="David" w:hAnsi="David"/>
                <w:b/>
                <w:bCs/>
                <w:color w:val="000000"/>
                <w:sz w:val="22"/>
                <w:rtl/>
              </w:rPr>
            </w:pPr>
            <w:r>
              <w:rPr>
                <w:rFonts w:ascii="David" w:hAnsi="David"/>
                <w:b/>
                <w:bCs/>
                <w:color w:val="000000"/>
                <w:rtl/>
              </w:rPr>
              <w:t>"ככלל, הנחיות פנימיות הן הוראות המגדירות את נהלי העבודה של הרשות ואת העקרונות שצריכים להנחות אותה בהפעלת שיקול דעתה ...רשויות מינהליות ככלל, ... נוהגות לגבש ולפרסם נהלים מפורטים המכוונים להנחות אותן בקבלת החלטות עתידיות במסגרת הפעלת סמכויותיהן..."</w:t>
            </w: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וכן בהמשך (ההדגשות לא במקור):</w:t>
            </w:r>
          </w:p>
          <w:p w:rsidR="00D048DB" w:rsidRDefault="00D048DB" w:rsidP="00D048DB">
            <w:pPr>
              <w:spacing w:line="360" w:lineRule="auto"/>
              <w:ind w:left="1387"/>
              <w:jc w:val="both"/>
              <w:rPr>
                <w:rFonts w:ascii="David" w:hAnsi="David"/>
                <w:color w:val="000000"/>
                <w:rtl/>
              </w:rPr>
            </w:pPr>
            <w:r>
              <w:rPr>
                <w:rFonts w:ascii="David" w:hAnsi="David"/>
                <w:b/>
                <w:bCs/>
                <w:color w:val="000000"/>
                <w:rtl/>
              </w:rPr>
              <w:t xml:space="preserve"> </w:t>
            </w:r>
            <w:r>
              <w:rPr>
                <w:rFonts w:ascii="David" w:hAnsi="David"/>
                <w:b/>
                <w:bCs/>
                <w:color w:val="000000"/>
                <w:spacing w:val="10"/>
                <w:rtl/>
              </w:rPr>
              <w:t>"</w:t>
            </w:r>
            <w:r>
              <w:rPr>
                <w:rFonts w:ascii="David" w:hAnsi="David"/>
                <w:b/>
                <w:bCs/>
                <w:color w:val="000000"/>
                <w:rtl/>
              </w:rPr>
              <w:t xml:space="preserve">... בהקשר זה נזכרו בפסיקה היתרונות הרבים הגלומים בקביעת הנחיות פנימיות: מתן האפשרות לרשות לערוך בירור יסודי ולהתייעץ עם גורמים רלוונטיים; ייעול </w:t>
            </w:r>
            <w:r>
              <w:rPr>
                <w:rFonts w:ascii="David" w:hAnsi="David"/>
                <w:b/>
                <w:bCs/>
                <w:color w:val="000000"/>
                <w:rtl/>
              </w:rPr>
              <w:lastRenderedPageBreak/>
              <w:t xml:space="preserve">פעולת הרשות תוך אחידות, יציבות, שוויוניות ועקביות של פעולתה; וכן מתן האפשרות לאזרח, הנזקק לרשות המנהלית, לצפות ולכלכל את צעדיו במידה סבירה של ודאות. לבסוף, </w:t>
            </w:r>
            <w:r>
              <w:rPr>
                <w:rFonts w:ascii="David" w:hAnsi="David"/>
                <w:b/>
                <w:bCs/>
                <w:color w:val="000000"/>
                <w:u w:val="single"/>
                <w:rtl/>
              </w:rPr>
              <w:t>קביעת הנחיות מקלה על הפעלת ביקורת שיפוטית על פעולת הרשות</w:t>
            </w:r>
            <w:r>
              <w:rPr>
                <w:rFonts w:ascii="David" w:hAnsi="David"/>
                <w:b/>
                <w:bCs/>
                <w:color w:val="000000"/>
                <w:rtl/>
              </w:rPr>
              <w:t>...</w:t>
            </w:r>
            <w:r>
              <w:rPr>
                <w:rFonts w:ascii="David" w:hAnsi="David"/>
                <w:color w:val="000000"/>
                <w:rtl/>
              </w:rPr>
              <w:t>"</w:t>
            </w: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להרחבה ר' גם כבר ב</w:t>
            </w:r>
            <w:r>
              <w:rPr>
                <w:rFonts w:ascii="David" w:hAnsi="David" w:cs="David"/>
                <w:color w:val="000000"/>
                <w:sz w:val="24"/>
                <w:szCs w:val="24"/>
                <w:rtl/>
              </w:rPr>
              <w:t xml:space="preserve">ע"ע (ארצי) 1493/02 </w:t>
            </w:r>
            <w:r>
              <w:rPr>
                <w:rFonts w:ascii="David" w:hAnsi="David" w:cs="David"/>
                <w:color w:val="000000"/>
                <w:sz w:val="24"/>
                <w:szCs w:val="24"/>
                <w:u w:val="single"/>
                <w:rtl/>
              </w:rPr>
              <w:t>תג'ריד נופל נ' שרות התעסוקה</w:t>
            </w:r>
            <w:r>
              <w:rPr>
                <w:rFonts w:ascii="David" w:hAnsi="David" w:cs="David"/>
                <w:color w:val="000000"/>
                <w:sz w:val="24"/>
                <w:szCs w:val="24"/>
                <w:rtl/>
              </w:rPr>
              <w:t xml:space="preserve"> (27.8.2003, סגנית הנש' השופטת א' ברק, השופטת נ' ארד, הש' ש' צור)</w:t>
            </w:r>
            <w:r>
              <w:rPr>
                <w:rFonts w:ascii="David" w:hAnsi="David" w:cs="David"/>
                <w:sz w:val="24"/>
                <w:szCs w:val="24"/>
                <w:rtl/>
              </w:rPr>
              <w:t xml:space="preserve">; עוד ר' </w:t>
            </w:r>
            <w:r>
              <w:rPr>
                <w:rFonts w:ascii="David" w:hAnsi="David" w:cs="David"/>
                <w:color w:val="000000"/>
                <w:sz w:val="24"/>
                <w:szCs w:val="24"/>
                <w:rtl/>
              </w:rPr>
              <w:t>עע"ם</w:t>
            </w:r>
            <w:r>
              <w:rPr>
                <w:rFonts w:ascii="David" w:hAnsi="David" w:cs="David"/>
                <w:color w:val="000000"/>
                <w:sz w:val="24"/>
                <w:szCs w:val="24"/>
              </w:rPr>
              <w:t xml:space="preserve">9187/07 </w:t>
            </w:r>
            <w:r>
              <w:rPr>
                <w:rFonts w:ascii="David" w:hAnsi="David" w:cs="David"/>
                <w:color w:val="000000"/>
                <w:sz w:val="24"/>
                <w:szCs w:val="24"/>
                <w:rtl/>
              </w:rPr>
              <w:t xml:space="preserve"> </w:t>
            </w:r>
            <w:r>
              <w:rPr>
                <w:rFonts w:ascii="David" w:hAnsi="David" w:cs="David" w:hint="cs"/>
                <w:color w:val="000000"/>
                <w:sz w:val="24"/>
                <w:szCs w:val="24"/>
                <w:u w:val="single"/>
                <w:rtl/>
              </w:rPr>
              <w:t>אורי לוזון נ' משרד הפנים</w:t>
            </w:r>
            <w:r>
              <w:rPr>
                <w:rFonts w:ascii="David" w:hAnsi="David" w:cs="David" w:hint="cs"/>
                <w:color w:val="000000"/>
                <w:sz w:val="24"/>
                <w:szCs w:val="24"/>
                <w:rtl/>
              </w:rPr>
              <w:t xml:space="preserve"> (24.7.2008, הש' א' רובינשטיין, הש' ס' ג'ובראן, הש' י' דנציגר) שם נקבע כך - </w:t>
            </w:r>
            <w:r>
              <w:rPr>
                <w:rFonts w:ascii="David" w:hAnsi="David" w:cs="David"/>
                <w:color w:val="000000"/>
                <w:spacing w:val="10"/>
                <w:sz w:val="24"/>
                <w:szCs w:val="24"/>
              </w:rPr>
              <w:t> </w:t>
            </w:r>
            <w:r>
              <w:rPr>
                <w:rFonts w:ascii="David" w:hAnsi="David" w:cs="David"/>
                <w:b/>
                <w:bCs/>
                <w:color w:val="000000"/>
                <w:sz w:val="24"/>
                <w:szCs w:val="24"/>
                <w:rtl/>
              </w:rPr>
              <w:t>הגישה המקובלת הינה, כי מאחר שהנחיות מנהליות אינן מוצאות מכוח חוק (שהרי החוק אינו מסמיך רשות מנהלית לקבוע אותן, אף שאינו אוסר זאת), לא נהוג לראות הנחיות מנהליות כאקטים הקובעים נורמה משפטית המשנה את המשפט הנוהג במדינה, ויתרה מכך, מאחר שהרשות רשאית לסטות מהן במקרים מסוימים, הרי שהנחיות פנימיות אינן נחשבות תקנות בנות פועל תחיקתי המצריכות פרסום ברשומות, אף אם יש להן השפעה על ציבורים בלתי מסוימים".</w:t>
            </w:r>
          </w:p>
          <w:p w:rsidR="00D048DB" w:rsidRDefault="00D048DB" w:rsidP="00D048DB">
            <w:pPr>
              <w:pStyle w:val="af"/>
              <w:spacing w:line="360" w:lineRule="auto"/>
              <w:ind w:left="1360"/>
              <w:jc w:val="both"/>
              <w:rPr>
                <w:rFonts w:ascii="David" w:hAnsi="David" w:cs="David"/>
                <w:color w:val="000000"/>
                <w:sz w:val="24"/>
                <w:szCs w:val="24"/>
                <w:rtl/>
              </w:rPr>
            </w:pPr>
          </w:p>
          <w:p w:rsidR="00D048DB" w:rsidRDefault="00D048DB" w:rsidP="00D048DB">
            <w:pPr>
              <w:pStyle w:val="af"/>
              <w:numPr>
                <w:ilvl w:val="1"/>
                <w:numId w:val="1"/>
              </w:numPr>
              <w:spacing w:line="360" w:lineRule="auto"/>
              <w:ind w:left="678" w:hanging="567"/>
              <w:jc w:val="both"/>
              <w:rPr>
                <w:rFonts w:ascii="David" w:hAnsi="David" w:cs="David"/>
                <w:sz w:val="24"/>
                <w:szCs w:val="24"/>
                <w:rtl/>
              </w:rPr>
            </w:pPr>
            <w:r>
              <w:rPr>
                <w:rFonts w:ascii="David" w:hAnsi="David" w:cs="David"/>
                <w:b/>
                <w:bCs/>
                <w:sz w:val="24"/>
                <w:szCs w:val="24"/>
                <w:u w:val="single"/>
                <w:rtl/>
              </w:rPr>
              <w:t>מעמדם של נהלי הרישום, כפי שהתייחס אליו נציג הנתבעת</w:t>
            </w:r>
          </w:p>
          <w:p w:rsidR="00D048DB" w:rsidRDefault="00D048DB" w:rsidP="00D048DB">
            <w:pPr>
              <w:pStyle w:val="af"/>
              <w:spacing w:line="360" w:lineRule="auto"/>
              <w:ind w:left="678"/>
              <w:jc w:val="both"/>
              <w:rPr>
                <w:rFonts w:ascii="David" w:hAnsi="David" w:cs="David"/>
                <w:sz w:val="24"/>
                <w:szCs w:val="24"/>
              </w:rPr>
            </w:pPr>
            <w:r>
              <w:rPr>
                <w:rFonts w:ascii="David" w:hAnsi="David" w:cs="David"/>
                <w:sz w:val="24"/>
                <w:szCs w:val="24"/>
                <w:rtl/>
              </w:rPr>
              <w:t xml:space="preserve">על חשיבותם של נהלי הרישום ניתן ללמוד גם מעדותו של נציג הנתבעת אשר הבהיר שהנתבעת מתנהלת לפיהם. וכך נשאל והשיב: </w:t>
            </w:r>
          </w:p>
          <w:p w:rsidR="00D048DB" w:rsidRDefault="00D048DB" w:rsidP="00D048DB">
            <w:pPr>
              <w:spacing w:line="360" w:lineRule="auto"/>
              <w:ind w:left="2160"/>
              <w:jc w:val="both"/>
              <w:rPr>
                <w:rFonts w:ascii="David" w:hAnsi="David"/>
                <w:b/>
                <w:bCs/>
                <w:color w:val="000000"/>
                <w:rtl/>
              </w:rPr>
            </w:pPr>
            <w:r>
              <w:rPr>
                <w:rFonts w:ascii="David" w:hAnsi="David"/>
                <w:b/>
                <w:bCs/>
                <w:color w:val="000000"/>
                <w:rtl/>
              </w:rPr>
              <w:t xml:space="preserve">"עו"ד הלוי : </w:t>
            </w:r>
            <w:r>
              <w:rPr>
                <w:rFonts w:ascii="David" w:hAnsi="David"/>
                <w:b/>
                <w:bCs/>
                <w:color w:val="000000"/>
                <w:rtl/>
              </w:rPr>
              <w:tab/>
              <w:t>או-קיי. אתה בקיא בנהלים של לשכת רישום מקרקעין?</w:t>
            </w:r>
          </w:p>
          <w:p w:rsidR="00D048DB" w:rsidRDefault="00D048DB" w:rsidP="00D048DB">
            <w:pPr>
              <w:spacing w:line="360" w:lineRule="auto"/>
              <w:ind w:left="2160"/>
              <w:jc w:val="both"/>
              <w:rPr>
                <w:rFonts w:ascii="David" w:hAnsi="David"/>
                <w:b/>
                <w:bCs/>
                <w:color w:val="000000"/>
                <w:sz w:val="22"/>
                <w:rtl/>
              </w:rPr>
            </w:pPr>
            <w:r>
              <w:rPr>
                <w:rFonts w:ascii="David" w:hAnsi="David"/>
                <w:b/>
                <w:bCs/>
                <w:color w:val="000000"/>
                <w:rtl/>
              </w:rPr>
              <w:t xml:space="preserve">העד, מר וייס: </w:t>
            </w:r>
            <w:r>
              <w:rPr>
                <w:rFonts w:ascii="David" w:hAnsi="David"/>
                <w:b/>
                <w:bCs/>
                <w:color w:val="000000"/>
                <w:rtl/>
              </w:rPr>
              <w:tab/>
              <w:t>חושב שכן.</w:t>
            </w:r>
          </w:p>
          <w:p w:rsidR="00D048DB" w:rsidRDefault="00D048DB" w:rsidP="00D048DB">
            <w:pPr>
              <w:spacing w:line="360" w:lineRule="auto"/>
              <w:ind w:left="3600" w:hanging="1440"/>
              <w:jc w:val="both"/>
              <w:rPr>
                <w:rFonts w:ascii="David" w:hAnsi="David"/>
                <w:b/>
                <w:bCs/>
                <w:color w:val="000000"/>
                <w:rtl/>
              </w:rPr>
            </w:pPr>
            <w:r>
              <w:rPr>
                <w:rFonts w:ascii="David" w:hAnsi="David"/>
                <w:b/>
                <w:bCs/>
                <w:color w:val="000000"/>
                <w:rtl/>
              </w:rPr>
              <w:t xml:space="preserve">עו"ד הלוי : </w:t>
            </w:r>
            <w:r>
              <w:rPr>
                <w:rFonts w:ascii="David" w:hAnsi="David"/>
                <w:b/>
                <w:bCs/>
                <w:color w:val="000000"/>
                <w:rtl/>
              </w:rPr>
              <w:tab/>
              <w:t xml:space="preserve">או-קיי. </w:t>
            </w:r>
            <w:r>
              <w:rPr>
                <w:rFonts w:ascii="David" w:hAnsi="David"/>
                <w:b/>
                <w:bCs/>
                <w:color w:val="000000"/>
                <w:u w:val="single"/>
                <w:rtl/>
              </w:rPr>
              <w:t>יש איזשהו קובץ נהלים של לשכת רישום מקרקעין שעל-פיו עובדים הפקידים</w:t>
            </w:r>
            <w:r>
              <w:rPr>
                <w:rFonts w:ascii="David" w:hAnsi="David"/>
                <w:b/>
                <w:bCs/>
                <w:color w:val="000000"/>
                <w:rtl/>
              </w:rPr>
              <w:t>?</w:t>
            </w:r>
          </w:p>
          <w:p w:rsidR="00D048DB" w:rsidRDefault="00D048DB" w:rsidP="00D048DB">
            <w:pPr>
              <w:spacing w:line="360" w:lineRule="auto"/>
              <w:ind w:left="2160"/>
              <w:jc w:val="both"/>
              <w:rPr>
                <w:rFonts w:ascii="David" w:hAnsi="David"/>
                <w:b/>
                <w:bCs/>
                <w:color w:val="000000"/>
              </w:rPr>
            </w:pPr>
            <w:r>
              <w:rPr>
                <w:rFonts w:ascii="David" w:hAnsi="David"/>
                <w:b/>
                <w:bCs/>
                <w:color w:val="000000"/>
                <w:rtl/>
              </w:rPr>
              <w:t xml:space="preserve">העד, מר וייס: </w:t>
            </w:r>
            <w:r>
              <w:rPr>
                <w:rFonts w:ascii="David" w:hAnsi="David"/>
                <w:b/>
                <w:bCs/>
                <w:color w:val="000000"/>
                <w:rtl/>
              </w:rPr>
              <w:tab/>
              <w:t xml:space="preserve">זה </w:t>
            </w:r>
            <w:r>
              <w:rPr>
                <w:rFonts w:ascii="David" w:hAnsi="David"/>
                <w:b/>
                <w:bCs/>
                <w:color w:val="000000"/>
                <w:u w:val="single"/>
                <w:rtl/>
              </w:rPr>
              <w:t>קובץ נהלים של הרשות לרישום והסדר</w:t>
            </w:r>
            <w:r>
              <w:rPr>
                <w:rFonts w:ascii="David" w:hAnsi="David"/>
                <w:b/>
                <w:bCs/>
                <w:color w:val="000000"/>
                <w:rtl/>
              </w:rPr>
              <w:t>.</w:t>
            </w:r>
          </w:p>
          <w:p w:rsidR="00D048DB" w:rsidRDefault="00D048DB" w:rsidP="00D048DB">
            <w:pPr>
              <w:spacing w:line="360" w:lineRule="auto"/>
              <w:ind w:left="2160"/>
              <w:jc w:val="both"/>
              <w:rPr>
                <w:rFonts w:ascii="David" w:hAnsi="David"/>
                <w:b/>
                <w:bCs/>
                <w:color w:val="000000"/>
              </w:rPr>
            </w:pPr>
            <w:r>
              <w:rPr>
                <w:rFonts w:ascii="David" w:hAnsi="David"/>
                <w:b/>
                <w:bCs/>
                <w:color w:val="000000"/>
                <w:rtl/>
              </w:rPr>
              <w:t xml:space="preserve">עו"ד הלוי : </w:t>
            </w:r>
            <w:r>
              <w:rPr>
                <w:rFonts w:ascii="David" w:hAnsi="David"/>
                <w:b/>
                <w:bCs/>
                <w:color w:val="000000"/>
                <w:rtl/>
              </w:rPr>
              <w:tab/>
              <w:t xml:space="preserve">או-קיי." </w:t>
            </w:r>
            <w:r>
              <w:rPr>
                <w:rFonts w:ascii="David" w:hAnsi="David"/>
                <w:color w:val="000000"/>
                <w:rtl/>
              </w:rPr>
              <w:t xml:space="preserve">(פ', ע' 38, ש' 14 -19, ההדגשות לא במקור) </w:t>
            </w:r>
          </w:p>
          <w:p w:rsidR="00D048DB" w:rsidRDefault="00D048DB" w:rsidP="00D048DB">
            <w:pPr>
              <w:pStyle w:val="af"/>
              <w:spacing w:line="360" w:lineRule="auto"/>
              <w:ind w:left="678"/>
              <w:jc w:val="both"/>
              <w:rPr>
                <w:rFonts w:ascii="David" w:hAnsi="David" w:cs="David"/>
                <w:sz w:val="24"/>
                <w:szCs w:val="24"/>
              </w:rPr>
            </w:pPr>
            <w:r>
              <w:rPr>
                <w:rFonts w:ascii="David" w:hAnsi="David" w:cs="David"/>
                <w:sz w:val="24"/>
                <w:szCs w:val="24"/>
                <w:rtl/>
              </w:rPr>
              <w:t>ומכאן, גם בהתאם לתשובה זו יש לבדוק את קבוץ נהלי הרישום ולבחון את אופן פעולת הנתבעת בהתאם לו.</w:t>
            </w:r>
          </w:p>
          <w:p w:rsidR="00D048DB" w:rsidRDefault="00D048DB" w:rsidP="00D048DB">
            <w:pPr>
              <w:pStyle w:val="af"/>
              <w:spacing w:line="360" w:lineRule="auto"/>
              <w:ind w:left="395"/>
              <w:jc w:val="both"/>
              <w:rPr>
                <w:rFonts w:ascii="David" w:hAnsi="David" w:cs="David"/>
                <w:sz w:val="24"/>
                <w:szCs w:val="24"/>
                <w:rtl/>
              </w:rPr>
            </w:pPr>
          </w:p>
          <w:p w:rsidR="00D048DB" w:rsidRDefault="00D048DB" w:rsidP="00D048DB">
            <w:pPr>
              <w:pStyle w:val="af"/>
              <w:numPr>
                <w:ilvl w:val="1"/>
                <w:numId w:val="1"/>
              </w:numPr>
              <w:spacing w:line="360" w:lineRule="auto"/>
              <w:ind w:left="678" w:hanging="567"/>
              <w:jc w:val="both"/>
              <w:rPr>
                <w:rFonts w:ascii="David" w:eastAsia="Times New Roman" w:hAnsi="David" w:cs="David"/>
                <w:color w:val="000000"/>
                <w:sz w:val="24"/>
                <w:szCs w:val="24"/>
                <w:rtl/>
              </w:rPr>
            </w:pPr>
            <w:r>
              <w:rPr>
                <w:rFonts w:ascii="David" w:hAnsi="David" w:cs="David"/>
                <w:b/>
                <w:bCs/>
                <w:sz w:val="24"/>
                <w:szCs w:val="24"/>
                <w:u w:val="single"/>
                <w:rtl/>
              </w:rPr>
              <w:t>לסיכום הדיון בנושא השני מחמישה – נהלי הרישום המחייבים את הנתבעת</w:t>
            </w:r>
            <w:r>
              <w:rPr>
                <w:rFonts w:ascii="David" w:hAnsi="David" w:cs="David"/>
                <w:sz w:val="24"/>
                <w:szCs w:val="24"/>
                <w:rtl/>
              </w:rPr>
              <w:t xml:space="preserve"> </w:t>
            </w:r>
          </w:p>
          <w:p w:rsidR="00D048DB" w:rsidRDefault="00D048DB" w:rsidP="00D048DB">
            <w:pPr>
              <w:pStyle w:val="af"/>
              <w:spacing w:line="360" w:lineRule="auto"/>
              <w:ind w:left="678"/>
              <w:jc w:val="both"/>
              <w:rPr>
                <w:rFonts w:ascii="David" w:hAnsi="David" w:cs="David"/>
                <w:sz w:val="24"/>
                <w:szCs w:val="24"/>
                <w:rtl/>
              </w:rPr>
            </w:pPr>
            <w:r>
              <w:rPr>
                <w:rFonts w:ascii="David" w:hAnsi="David" w:cs="David"/>
                <w:sz w:val="24"/>
                <w:szCs w:val="24"/>
                <w:rtl/>
              </w:rPr>
              <w:t xml:space="preserve">מכל האמור לעיל עולה שההנחיות המנהליות לא נועדו רק על מנת לכוון את פעולת הרשות ולא רק על מנת לאפשר לציבור לכלכל צעדיו בהתאם להן. ההנחיות המנהליות נועדו גם על מנת להקל על </w:t>
            </w:r>
            <w:r>
              <w:rPr>
                <w:rFonts w:ascii="David" w:hAnsi="David" w:cs="David"/>
                <w:b/>
                <w:bCs/>
                <w:sz w:val="24"/>
                <w:szCs w:val="24"/>
                <w:rtl/>
              </w:rPr>
              <w:t>"הפעלת ביקורת שיפוטית על פעולת הרשות"</w:t>
            </w:r>
            <w:r>
              <w:rPr>
                <w:rFonts w:ascii="David" w:hAnsi="David" w:cs="David"/>
                <w:sz w:val="24"/>
                <w:szCs w:val="24"/>
                <w:rtl/>
              </w:rPr>
              <w:t>. ביקורת, דוגמת הבקרה והדיון הנערכים כעת בפסק הדין באשר להתנהלות הנתבעת והטענות להתרשלותה.</w:t>
            </w:r>
          </w:p>
          <w:p w:rsidR="00D048DB" w:rsidRDefault="00D048DB" w:rsidP="00D048DB">
            <w:pPr>
              <w:pStyle w:val="af"/>
              <w:spacing w:line="360" w:lineRule="auto"/>
              <w:ind w:left="678"/>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על אף שנהלי רישום והסדר מקרקעין אינם מהווים דבר חקיקה, הרי מדובר בהנחיות מנהליות ומקצועית להן נודעת חשיבות רבה. מאחר והנתבעת אמונה לפי חוק המקרקעין על רישום מקרקעין יש לראות בהנחיות שמפורסמות על ידה את האופן בו היא מפרשת את הדין ומיישמת אותו. לאור האמור, בית המשפט ייתן משקל לעמדתה הפרשנית של הנתבעת כפי שעולה מנהלי רישום והסדר במקרקעין.  </w:t>
            </w:r>
          </w:p>
          <w:p w:rsidR="00D048DB" w:rsidRDefault="00D048DB" w:rsidP="00D048DB">
            <w:pPr>
              <w:pStyle w:val="af"/>
              <w:spacing w:line="360" w:lineRule="auto"/>
              <w:ind w:left="1360"/>
              <w:jc w:val="both"/>
              <w:rPr>
                <w:rFonts w:ascii="David" w:eastAsia="Times New Roman" w:hAnsi="David" w:cs="David"/>
                <w:color w:val="000000"/>
                <w:sz w:val="24"/>
                <w:szCs w:val="24"/>
                <w:rtl/>
              </w:rPr>
            </w:pPr>
          </w:p>
          <w:p w:rsidR="00D048DB" w:rsidRDefault="00D048DB" w:rsidP="00D048DB">
            <w:pPr>
              <w:pStyle w:val="af"/>
              <w:numPr>
                <w:ilvl w:val="0"/>
                <w:numId w:val="1"/>
              </w:numPr>
              <w:spacing w:line="360" w:lineRule="auto"/>
              <w:ind w:left="111" w:hanging="284"/>
              <w:jc w:val="both"/>
              <w:rPr>
                <w:rFonts w:ascii="David" w:eastAsia="Times New Roman" w:hAnsi="David" w:cs="David"/>
                <w:color w:val="000000"/>
                <w:sz w:val="24"/>
                <w:szCs w:val="24"/>
                <w:u w:val="single"/>
                <w:rtl/>
              </w:rPr>
            </w:pPr>
            <w:r>
              <w:rPr>
                <w:rFonts w:ascii="David" w:hAnsi="David" w:cs="David"/>
                <w:b/>
                <w:bCs/>
                <w:sz w:val="24"/>
                <w:szCs w:val="24"/>
                <w:u w:val="single"/>
                <w:rtl/>
              </w:rPr>
              <w:t>נושא דיון שלישי מחמישה – הוראות הנוהל למחיקת עיקול; העובדה שהנתבעת התעלמה מנוהלי הרישום של עצמה ונציגה אפילו טען בעדותו שאלה לא מתייחסים לביטול צווי עיקול. אלמלא התעלמות הנתבעת - לא היה נמחק העיקול</w:t>
            </w:r>
          </w:p>
          <w:p w:rsidR="00D048DB" w:rsidRDefault="00D048DB" w:rsidP="00D048DB">
            <w:pPr>
              <w:pStyle w:val="af"/>
              <w:spacing w:line="360" w:lineRule="auto"/>
              <w:ind w:left="-172"/>
              <w:jc w:val="both"/>
              <w:rPr>
                <w:rFonts w:ascii="David" w:eastAsia="Times New Roman" w:hAnsi="David" w:cs="David"/>
                <w:color w:val="000000"/>
                <w:sz w:val="24"/>
                <w:szCs w:val="24"/>
                <w:u w:val="single"/>
              </w:rPr>
            </w:pPr>
          </w:p>
          <w:p w:rsidR="00D048DB" w:rsidRDefault="00D048DB" w:rsidP="00D048DB">
            <w:pPr>
              <w:pStyle w:val="af"/>
              <w:numPr>
                <w:ilvl w:val="1"/>
                <w:numId w:val="1"/>
              </w:numPr>
              <w:spacing w:line="360" w:lineRule="auto"/>
              <w:ind w:left="678" w:hanging="567"/>
              <w:jc w:val="both"/>
              <w:rPr>
                <w:rFonts w:ascii="David" w:eastAsia="Times New Roman" w:hAnsi="David" w:cs="David"/>
                <w:color w:val="000000"/>
                <w:sz w:val="24"/>
                <w:szCs w:val="24"/>
                <w:u w:val="single"/>
              </w:rPr>
            </w:pPr>
            <w:r>
              <w:rPr>
                <w:rFonts w:ascii="David" w:eastAsia="Times New Roman" w:hAnsi="David" w:cs="David"/>
                <w:b/>
                <w:bCs/>
                <w:color w:val="000000"/>
                <w:sz w:val="24"/>
                <w:szCs w:val="24"/>
                <w:u w:val="single"/>
                <w:rtl/>
              </w:rPr>
              <w:t xml:space="preserve">הנוהל המפורש לרישום או מחיקת צו עיקול שהוצא על ידי לשכת ההוצאה לפועל </w:t>
            </w:r>
          </w:p>
          <w:p w:rsidR="00D048DB" w:rsidRDefault="00D048DB" w:rsidP="00D048DB">
            <w:pPr>
              <w:pStyle w:val="af"/>
              <w:numPr>
                <w:ilvl w:val="0"/>
                <w:numId w:val="14"/>
              </w:numPr>
              <w:spacing w:line="360" w:lineRule="auto"/>
              <w:ind w:left="1103" w:hanging="425"/>
              <w:jc w:val="both"/>
              <w:rPr>
                <w:rFonts w:ascii="David" w:eastAsia="Times New Roman" w:hAnsi="David" w:cs="David"/>
                <w:color w:val="000000"/>
                <w:sz w:val="24"/>
                <w:szCs w:val="24"/>
              </w:rPr>
            </w:pPr>
            <w:r>
              <w:rPr>
                <w:rFonts w:ascii="David" w:eastAsia="Times New Roman" w:hAnsi="David" w:cs="David"/>
                <w:color w:val="000000"/>
                <w:sz w:val="24"/>
                <w:szCs w:val="24"/>
                <w:rtl/>
              </w:rPr>
              <w:t>סעיף 1.5.7(א) לנהלי הרישום מתווה וקובע את הדרך בה יש לפעול בעת רישום או מחיקת עיקול שהוטל על ידי לשכת ההוצאה לפועל. לענין זה נקבע כך (ההדגשות לא במקור):</w:t>
            </w:r>
          </w:p>
          <w:p w:rsidR="00D048DB" w:rsidRDefault="00D048DB" w:rsidP="00D048DB">
            <w:pPr>
              <w:pStyle w:val="af"/>
              <w:spacing w:after="0" w:line="360" w:lineRule="auto"/>
              <w:ind w:left="1529"/>
              <w:jc w:val="both"/>
              <w:rPr>
                <w:rFonts w:ascii="David" w:eastAsia="Times New Roman" w:hAnsi="David" w:cs="David"/>
                <w:b/>
                <w:bCs/>
                <w:color w:val="000000"/>
                <w:sz w:val="24"/>
                <w:szCs w:val="24"/>
              </w:rPr>
            </w:pPr>
            <w:r>
              <w:rPr>
                <w:rFonts w:ascii="David" w:eastAsia="Times New Roman" w:hAnsi="David" w:cs="David"/>
                <w:b/>
                <w:bCs/>
                <w:color w:val="000000"/>
                <w:sz w:val="24"/>
                <w:szCs w:val="24"/>
                <w:rtl/>
              </w:rPr>
              <w:t xml:space="preserve">"צווי עיקול והודעות על ביטול עיקולים וביטול הליכים ע"י לשכות ההוצאה לפועל </w:t>
            </w:r>
            <w:r>
              <w:rPr>
                <w:rFonts w:ascii="David" w:eastAsia="Times New Roman" w:hAnsi="David" w:cs="David"/>
                <w:b/>
                <w:bCs/>
                <w:color w:val="000000"/>
                <w:sz w:val="24"/>
                <w:szCs w:val="24"/>
                <w:u w:val="single"/>
                <w:rtl/>
              </w:rPr>
              <w:t>יוגשו באמצעות ממשק מקוון עם רשות האכיפה</w:t>
            </w:r>
            <w:r>
              <w:rPr>
                <w:rFonts w:ascii="David" w:eastAsia="Times New Roman" w:hAnsi="David" w:cs="David"/>
                <w:b/>
                <w:bCs/>
                <w:color w:val="000000"/>
                <w:sz w:val="24"/>
                <w:szCs w:val="24"/>
                <w:rtl/>
              </w:rPr>
              <w:t xml:space="preserve">. על אף האמור לעיל, </w:t>
            </w:r>
            <w:r>
              <w:rPr>
                <w:rFonts w:ascii="David" w:eastAsia="Times New Roman" w:hAnsi="David" w:cs="David"/>
                <w:b/>
                <w:bCs/>
                <w:color w:val="000000"/>
                <w:sz w:val="24"/>
                <w:szCs w:val="24"/>
                <w:u w:val="single"/>
                <w:rtl/>
              </w:rPr>
              <w:t>לרשם המקרקעין שיקול דעת להורות</w:t>
            </w:r>
            <w:r>
              <w:rPr>
                <w:rFonts w:ascii="David" w:eastAsia="Times New Roman" w:hAnsi="David" w:cs="David"/>
                <w:b/>
                <w:bCs/>
                <w:color w:val="000000"/>
                <w:sz w:val="24"/>
                <w:szCs w:val="24"/>
                <w:rtl/>
              </w:rPr>
              <w:t xml:space="preserve"> על רישום צווי עיקול ו/או צווי ביטול עיקול ו/או צווי ביטול הליכים </w:t>
            </w:r>
            <w:r>
              <w:rPr>
                <w:rFonts w:ascii="David" w:eastAsia="Times New Roman" w:hAnsi="David" w:cs="David"/>
                <w:b/>
                <w:bCs/>
                <w:color w:val="000000"/>
                <w:sz w:val="24"/>
                <w:szCs w:val="24"/>
                <w:u w:val="single"/>
                <w:rtl/>
              </w:rPr>
              <w:t>באמצעות הגשת הצווים הנ"ל במקור בלשכת הרישום</w:t>
            </w:r>
            <w:r>
              <w:rPr>
                <w:rFonts w:ascii="David" w:eastAsia="Times New Roman" w:hAnsi="David" w:cs="David"/>
                <w:b/>
                <w:bCs/>
                <w:color w:val="000000"/>
                <w:sz w:val="24"/>
                <w:szCs w:val="24"/>
                <w:rtl/>
              </w:rPr>
              <w:t>"</w:t>
            </w:r>
          </w:p>
          <w:p w:rsidR="00D048DB" w:rsidRDefault="00D048DB" w:rsidP="00D048DB">
            <w:pPr>
              <w:pStyle w:val="af"/>
              <w:spacing w:after="0" w:line="360" w:lineRule="auto"/>
              <w:ind w:left="2520"/>
              <w:jc w:val="both"/>
              <w:rPr>
                <w:rFonts w:ascii="David" w:eastAsia="Times New Roman" w:hAnsi="David" w:cs="David"/>
                <w:b/>
                <w:bCs/>
                <w:color w:val="000000"/>
                <w:sz w:val="24"/>
                <w:szCs w:val="24"/>
                <w:rtl/>
              </w:rPr>
            </w:pP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u w:val="single"/>
                <w:rtl/>
              </w:rPr>
              <w:t>כלומר – דרך המלך</w:t>
            </w:r>
            <w:r>
              <w:rPr>
                <w:rFonts w:ascii="David" w:hAnsi="David" w:cs="David"/>
                <w:sz w:val="24"/>
                <w:szCs w:val="24"/>
                <w:rtl/>
              </w:rPr>
              <w:t xml:space="preserve"> למחיקת צו העיקול, היא בדרך של קבלת צו ביטול "באמצעות ממשק מקוון עם רשות האכיפה" – ממשק באמצעות מערכת "כלים שלובים". </w:t>
            </w:r>
            <w:r>
              <w:rPr>
                <w:rFonts w:ascii="David" w:hAnsi="David" w:cs="David"/>
                <w:sz w:val="24"/>
                <w:szCs w:val="24"/>
                <w:u w:val="single"/>
                <w:rtl/>
              </w:rPr>
              <w:t>למרות זאת</w:t>
            </w:r>
            <w:r>
              <w:rPr>
                <w:rFonts w:ascii="David" w:hAnsi="David" w:cs="David"/>
                <w:sz w:val="24"/>
                <w:szCs w:val="24"/>
                <w:rtl/>
              </w:rPr>
              <w:t xml:space="preserve">, רשאי רשם המקרקעין להורות על ביטול עיקול, ככל שיוגש המקור של צו לביטול עיקול במקור. </w:t>
            </w:r>
          </w:p>
          <w:p w:rsidR="00D048DB" w:rsidRDefault="00D048DB" w:rsidP="00D048DB">
            <w:pPr>
              <w:pStyle w:val="af"/>
              <w:spacing w:line="360" w:lineRule="auto"/>
              <w:ind w:left="1360"/>
              <w:jc w:val="both"/>
              <w:rPr>
                <w:rFonts w:ascii="David" w:eastAsia="Times New Roman" w:hAnsi="David" w:cs="David"/>
                <w:color w:val="000000"/>
                <w:sz w:val="24"/>
                <w:szCs w:val="24"/>
              </w:rPr>
            </w:pPr>
          </w:p>
          <w:p w:rsidR="00D048DB" w:rsidRDefault="00D048DB" w:rsidP="00D048DB">
            <w:pPr>
              <w:pStyle w:val="af"/>
              <w:numPr>
                <w:ilvl w:val="0"/>
                <w:numId w:val="14"/>
              </w:numPr>
              <w:spacing w:line="360" w:lineRule="auto"/>
              <w:ind w:left="1103" w:hanging="425"/>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בעניינינו, הנתבעת כלל </w:t>
            </w:r>
            <w:r>
              <w:rPr>
                <w:rFonts w:ascii="David" w:eastAsia="Times New Roman" w:hAnsi="David" w:cs="David"/>
                <w:color w:val="000000"/>
                <w:sz w:val="24"/>
                <w:szCs w:val="24"/>
                <w:u w:val="single"/>
                <w:rtl/>
              </w:rPr>
              <w:t>לא ידעה</w:t>
            </w:r>
            <w:r>
              <w:rPr>
                <w:rFonts w:ascii="David" w:eastAsia="Times New Roman" w:hAnsi="David" w:cs="David"/>
                <w:color w:val="000000"/>
                <w:sz w:val="24"/>
                <w:szCs w:val="24"/>
                <w:rtl/>
              </w:rPr>
              <w:t xml:space="preserve"> אודות הוראות סעיף 1.5.7 לנוהל; הנתבעת </w:t>
            </w:r>
            <w:r>
              <w:rPr>
                <w:rFonts w:ascii="David" w:eastAsia="Times New Roman" w:hAnsi="David" w:cs="David"/>
                <w:color w:val="000000"/>
                <w:sz w:val="24"/>
                <w:szCs w:val="24"/>
                <w:u w:val="single"/>
                <w:rtl/>
              </w:rPr>
              <w:t>לא</w:t>
            </w:r>
            <w:r>
              <w:rPr>
                <w:rFonts w:ascii="David" w:eastAsia="Times New Roman" w:hAnsi="David" w:cs="David"/>
                <w:color w:val="000000"/>
                <w:sz w:val="24"/>
                <w:szCs w:val="24"/>
                <w:rtl/>
              </w:rPr>
              <w:t xml:space="preserve"> קיבלה צו לביטול עיקול באמצעות המערכת המקוונת; הנתבעת אף לא קיבלה מסמך מקור של הצו. ולמרות כל אלה ביטלה את העיקול. על כך בפסקאות הבאות.</w:t>
            </w:r>
          </w:p>
          <w:p w:rsidR="00D048DB" w:rsidRDefault="00D048DB" w:rsidP="00D048DB">
            <w:pPr>
              <w:pStyle w:val="af"/>
              <w:jc w:val="both"/>
              <w:rPr>
                <w:rFonts w:ascii="David" w:eastAsia="Times New Roman" w:hAnsi="David" w:cs="David"/>
                <w:color w:val="000000"/>
                <w:sz w:val="24"/>
                <w:szCs w:val="24"/>
              </w:rPr>
            </w:pPr>
          </w:p>
          <w:p w:rsidR="00D048DB" w:rsidRDefault="00D048DB" w:rsidP="00D048DB">
            <w:pPr>
              <w:pStyle w:val="af"/>
              <w:numPr>
                <w:ilvl w:val="1"/>
                <w:numId w:val="1"/>
              </w:numPr>
              <w:spacing w:line="360" w:lineRule="auto"/>
              <w:ind w:left="678" w:hanging="567"/>
              <w:jc w:val="both"/>
              <w:rPr>
                <w:rFonts w:ascii="David" w:eastAsia="Times New Roman" w:hAnsi="David" w:cs="David"/>
                <w:b/>
                <w:bCs/>
                <w:color w:val="000000"/>
                <w:sz w:val="24"/>
                <w:szCs w:val="24"/>
                <w:u w:val="single"/>
                <w:rtl/>
              </w:rPr>
            </w:pPr>
            <w:r>
              <w:rPr>
                <w:rFonts w:ascii="David" w:eastAsia="Times New Roman" w:hAnsi="David" w:cs="David"/>
                <w:b/>
                <w:bCs/>
                <w:color w:val="000000"/>
                <w:sz w:val="24"/>
                <w:szCs w:val="24"/>
                <w:u w:val="single"/>
                <w:rtl/>
              </w:rPr>
              <w:t xml:space="preserve">הנתבעת </w:t>
            </w:r>
            <w:r>
              <w:rPr>
                <w:rFonts w:ascii="David" w:eastAsia="Times New Roman" w:hAnsi="David" w:cs="David"/>
                <w:b/>
                <w:bCs/>
                <w:color w:val="000000"/>
                <w:sz w:val="28"/>
                <w:szCs w:val="28"/>
                <w:u w:val="single"/>
                <w:rtl/>
              </w:rPr>
              <w:t>לא</w:t>
            </w:r>
            <w:r>
              <w:rPr>
                <w:rFonts w:ascii="David" w:eastAsia="Times New Roman" w:hAnsi="David" w:cs="David"/>
                <w:b/>
                <w:bCs/>
                <w:color w:val="000000"/>
                <w:sz w:val="24"/>
                <w:szCs w:val="24"/>
                <w:u w:val="single"/>
                <w:rtl/>
              </w:rPr>
              <w:t xml:space="preserve"> ידעה אודות ההוראות למחיקת רישום כפי שהם בנהליה הפנימיים</w:t>
            </w:r>
          </w:p>
          <w:p w:rsidR="00D048DB" w:rsidRDefault="00D048DB" w:rsidP="00D048DB">
            <w:pPr>
              <w:pStyle w:val="af"/>
              <w:numPr>
                <w:ilvl w:val="0"/>
                <w:numId w:val="15"/>
              </w:numPr>
              <w:spacing w:line="360" w:lineRule="auto"/>
              <w:ind w:left="1103" w:hanging="425"/>
              <w:jc w:val="both"/>
              <w:rPr>
                <w:rFonts w:ascii="David" w:eastAsia="Times New Roman" w:hAnsi="David" w:cs="David"/>
                <w:color w:val="000000"/>
                <w:sz w:val="24"/>
                <w:szCs w:val="24"/>
              </w:rPr>
            </w:pPr>
            <w:r>
              <w:rPr>
                <w:rFonts w:ascii="David" w:eastAsia="Times New Roman" w:hAnsi="David" w:cs="David"/>
                <w:color w:val="000000"/>
                <w:sz w:val="24"/>
                <w:szCs w:val="24"/>
                <w:rtl/>
              </w:rPr>
              <w:t>מר שלמה וייס מטעם הנתבעת העיד בהגינות רבה וציין שקיימת מערכת מקוונת אל מול רשות האכיפה והגביה, אשר כונתה – "ההוצאה לפועל" וכך נשאל והשיב:</w:t>
            </w:r>
          </w:p>
          <w:p w:rsidR="00D048DB" w:rsidRDefault="00D048DB" w:rsidP="00D048DB">
            <w:pPr>
              <w:pStyle w:val="ae"/>
              <w:shd w:val="clear" w:color="auto" w:fill="auto"/>
              <w:spacing w:line="360" w:lineRule="auto"/>
              <w:ind w:left="3088" w:hanging="1559"/>
              <w:jc w:val="both"/>
              <w:rPr>
                <w:rFonts w:ascii="David" w:hAnsi="David" w:cs="David"/>
                <w:sz w:val="24"/>
                <w:szCs w:val="24"/>
                <w:u w:val="none"/>
              </w:rPr>
            </w:pPr>
            <w:r>
              <w:rPr>
                <w:rFonts w:ascii="David" w:hAnsi="David" w:cs="David"/>
                <w:b w:val="0"/>
                <w:bCs w:val="0"/>
                <w:sz w:val="24"/>
                <w:szCs w:val="24"/>
                <w:u w:val="none"/>
                <w:rtl/>
              </w:rPr>
              <w:t>"</w:t>
            </w:r>
            <w:r>
              <w:rPr>
                <w:rFonts w:ascii="David" w:hAnsi="David" w:cs="David"/>
                <w:sz w:val="24"/>
                <w:szCs w:val="24"/>
                <w:u w:val="none"/>
                <w:rtl/>
              </w:rPr>
              <w:t xml:space="preserve">עו"ד הלוי : </w:t>
            </w:r>
            <w:r>
              <w:rPr>
                <w:rFonts w:ascii="David" w:hAnsi="David" w:cs="David"/>
                <w:sz w:val="24"/>
                <w:szCs w:val="24"/>
                <w:u w:val="none"/>
                <w:rtl/>
              </w:rPr>
              <w:tab/>
              <w:t>או-קיי. האם יש מערכת מקוונת בין הוצאה לפועל לבין, לבין הלשכה?</w:t>
            </w:r>
          </w:p>
          <w:p w:rsidR="00D048DB" w:rsidRDefault="00D048DB" w:rsidP="00D048DB">
            <w:pPr>
              <w:pStyle w:val="ae"/>
              <w:shd w:val="clear" w:color="auto" w:fill="auto"/>
              <w:spacing w:line="360" w:lineRule="auto"/>
              <w:ind w:left="3088" w:hanging="1559"/>
              <w:jc w:val="both"/>
              <w:rPr>
                <w:rFonts w:ascii="David" w:hAnsi="David" w:cs="David"/>
                <w:b w:val="0"/>
                <w:bCs w:val="0"/>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יש מערכת מקוונת בין רשות האכיפה לבין הרשות לרישום והסדר מקרקעין, כן</w:t>
            </w:r>
            <w:r>
              <w:rPr>
                <w:rFonts w:ascii="David" w:hAnsi="David" w:cs="David"/>
                <w:b w:val="0"/>
                <w:bCs w:val="0"/>
                <w:sz w:val="24"/>
                <w:szCs w:val="24"/>
                <w:u w:val="none"/>
                <w:rtl/>
              </w:rPr>
              <w:t>." (פ', ע' 39, ש' 6 -8).</w:t>
            </w:r>
          </w:p>
          <w:p w:rsidR="00D048DB" w:rsidRDefault="00D048DB" w:rsidP="00D048DB">
            <w:pPr>
              <w:spacing w:line="360" w:lineRule="auto"/>
              <w:jc w:val="both"/>
              <w:rPr>
                <w:rFonts w:ascii="David" w:hAnsi="David"/>
                <w:color w:val="000000"/>
                <w:rtl/>
              </w:rPr>
            </w:pPr>
            <w:r>
              <w:rPr>
                <w:rFonts w:ascii="David" w:hAnsi="David"/>
                <w:color w:val="000000"/>
                <w:rtl/>
              </w:rPr>
              <w:tab/>
            </w:r>
          </w:p>
          <w:p w:rsidR="00D048DB" w:rsidRDefault="00D048DB" w:rsidP="00D048DB">
            <w:pPr>
              <w:pStyle w:val="af"/>
              <w:spacing w:line="360" w:lineRule="auto"/>
              <w:ind w:left="1103"/>
              <w:jc w:val="both"/>
              <w:rPr>
                <w:rFonts w:ascii="David" w:hAnsi="David" w:cs="David"/>
                <w:color w:val="000000"/>
                <w:sz w:val="24"/>
                <w:szCs w:val="24"/>
                <w:rtl/>
              </w:rPr>
            </w:pPr>
            <w:r>
              <w:rPr>
                <w:rFonts w:ascii="David" w:hAnsi="David" w:cs="David"/>
                <w:color w:val="000000"/>
                <w:sz w:val="24"/>
                <w:szCs w:val="24"/>
                <w:rtl/>
              </w:rPr>
              <w:t xml:space="preserve">בהמשך אף ידע מר שלמה וייס לפרט שניתן לבטל את העיקול במקרה של קבלת ביטול צו במערכת המקוונת, או בדרך בה מתייצב "האדם עצמו" בלשכת רשם המקרקעין עם צו לביטול העיקול, וכלשונו (ע"מ 39 לפר' ש' 17-18) - </w:t>
            </w:r>
            <w:r>
              <w:rPr>
                <w:rFonts w:ascii="David" w:hAnsi="David" w:cs="David"/>
                <w:b/>
                <w:bCs/>
                <w:color w:val="000000"/>
                <w:sz w:val="24"/>
                <w:szCs w:val="24"/>
                <w:rtl/>
              </w:rPr>
              <w:t xml:space="preserve">"... </w:t>
            </w:r>
            <w:r>
              <w:rPr>
                <w:rFonts w:ascii="David" w:hAnsi="David" w:cs="David"/>
                <w:b/>
                <w:bCs/>
                <w:sz w:val="24"/>
                <w:szCs w:val="24"/>
                <w:rtl/>
              </w:rPr>
              <w:t>אתה יכול לבטל את העיקול, שהמערכת המקוונת מבטלת אותו או שהאדם עצמו פיזית מגיע ללשכה עם ביטול"</w:t>
            </w:r>
            <w:r>
              <w:rPr>
                <w:rFonts w:ascii="David" w:hAnsi="David" w:cs="David"/>
                <w:sz w:val="24"/>
                <w:szCs w:val="24"/>
                <w:rtl/>
              </w:rPr>
              <w:t xml:space="preserve">. </w:t>
            </w:r>
            <w:r>
              <w:rPr>
                <w:rFonts w:ascii="David" w:hAnsi="David" w:cs="David"/>
                <w:color w:val="000000"/>
                <w:sz w:val="24"/>
                <w:szCs w:val="24"/>
                <w:rtl/>
              </w:rPr>
              <w:t>ואולם, באופן מפתיע, כלל לא ידע נציג הנתבעת אודות הנוהל המיוחד העוסק בביטול עיקול. על כך בפסקה הבאה.</w:t>
            </w:r>
          </w:p>
          <w:p w:rsidR="00D048DB" w:rsidRDefault="00D048DB" w:rsidP="00D048DB">
            <w:pPr>
              <w:pStyle w:val="ae"/>
              <w:shd w:val="clear" w:color="auto" w:fill="auto"/>
              <w:spacing w:line="360" w:lineRule="auto"/>
              <w:ind w:left="3061"/>
              <w:jc w:val="both"/>
              <w:rPr>
                <w:rFonts w:ascii="David" w:hAnsi="David" w:cs="David"/>
                <w:b w:val="0"/>
                <w:bCs w:val="0"/>
                <w:sz w:val="24"/>
                <w:szCs w:val="24"/>
                <w:u w:val="none"/>
                <w:rtl/>
              </w:rPr>
            </w:pPr>
          </w:p>
          <w:p w:rsidR="00D048DB" w:rsidRDefault="00D048DB" w:rsidP="00D048DB">
            <w:pPr>
              <w:pStyle w:val="af"/>
              <w:numPr>
                <w:ilvl w:val="0"/>
                <w:numId w:val="15"/>
              </w:numPr>
              <w:spacing w:line="360" w:lineRule="auto"/>
              <w:ind w:left="1103" w:hanging="425"/>
              <w:jc w:val="both"/>
              <w:rPr>
                <w:rFonts w:ascii="David" w:eastAsia="Times New Roman" w:hAnsi="David" w:cs="David"/>
                <w:color w:val="000000"/>
                <w:sz w:val="24"/>
                <w:szCs w:val="24"/>
                <w:rtl/>
              </w:rPr>
            </w:pPr>
            <w:r>
              <w:rPr>
                <w:rFonts w:ascii="David" w:eastAsia="Times New Roman" w:hAnsi="David" w:cs="David"/>
                <w:color w:val="000000"/>
                <w:sz w:val="24"/>
                <w:szCs w:val="24"/>
                <w:rtl/>
              </w:rPr>
              <w:t>מעדותו של שלמה וייס, שהוא כאמור סגן הרשם משנת 2002, עולה כי על אף מודעותה של הנתבעת לקיומם של נהלי רישום והסדר מקרקעין, ועל אף שעובדי הנתבעת אמורים לעבוד לפי הנהלים, הלכה למעשה, לא ידעה הנתבעת על אודות הנוהל הספציפי העוסק בביטול עיקול. כך ציין העד כי בנהלי רישום והסדר מקרקעין אין הנחיות ספציפיות כיצד יש לבצע ביטול עיקול, וכך נשאל והשיב מר שלמה וייס (ע"מ 38-39, ההדגשות לא במקור):</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b w:val="0"/>
                <w:bCs w:val="0"/>
                <w:sz w:val="24"/>
                <w:szCs w:val="24"/>
                <w:u w:val="none"/>
                <w:rtl/>
              </w:rPr>
              <w:t>"</w:t>
            </w:r>
            <w:r>
              <w:rPr>
                <w:rFonts w:ascii="David" w:hAnsi="David" w:cs="David"/>
                <w:sz w:val="24"/>
                <w:szCs w:val="24"/>
                <w:u w:val="none"/>
                <w:rtl/>
              </w:rPr>
              <w:t xml:space="preserve">עו"ד הלוי : </w:t>
            </w:r>
            <w:r>
              <w:rPr>
                <w:rFonts w:ascii="David" w:hAnsi="David" w:cs="David"/>
                <w:sz w:val="24"/>
                <w:szCs w:val="24"/>
                <w:u w:val="none"/>
                <w:rtl/>
              </w:rPr>
              <w:tab/>
            </w:r>
            <w:r>
              <w:rPr>
                <w:rFonts w:ascii="David" w:hAnsi="David" w:cs="David"/>
                <w:sz w:val="24"/>
                <w:szCs w:val="24"/>
                <w:rtl/>
              </w:rPr>
              <w:t>יש במסמך הזה התייחסות למחיקת, למחיקת עיקול</w:t>
            </w:r>
            <w:r>
              <w:rPr>
                <w:rFonts w:ascii="David" w:hAnsi="David" w:cs="David"/>
                <w:sz w:val="24"/>
                <w:szCs w:val="24"/>
                <w:u w:val="none"/>
                <w:rtl/>
              </w:rPr>
              <w:t xml:space="preserve"> שניתן ע"י הוצאה לפועל?</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r>
            <w:r>
              <w:rPr>
                <w:rFonts w:ascii="David" w:hAnsi="David" w:cs="David"/>
                <w:sz w:val="24"/>
                <w:szCs w:val="24"/>
                <w:rtl/>
              </w:rPr>
              <w:t>לא</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tl/>
              </w:rPr>
            </w:pP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ואין מדובר בשגגה, או בפליטת פה של נציג הנתבעת, שכן מיד לאחר מכן הוא שב וחזר על טענתו לפיה אין שום נוהל לביטול עיקול, וכך נשאל והשיב:</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זאת אומרת מהו ההליך?</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r>
            <w:r>
              <w:rPr>
                <w:rFonts w:ascii="David" w:hAnsi="David" w:cs="David"/>
                <w:sz w:val="24"/>
                <w:szCs w:val="24"/>
                <w:rtl/>
              </w:rPr>
              <w:t>לא, במסמך אין איזושהי התייחסות למחיקת עיקול</w:t>
            </w:r>
            <w:r>
              <w:rPr>
                <w:rFonts w:ascii="David" w:hAnsi="David" w:cs="David"/>
                <w:sz w:val="24"/>
                <w:szCs w:val="24"/>
                <w:u w:val="none"/>
                <w:rtl/>
              </w:rPr>
              <w:t xml:space="preserve">. ההליך הוא שבדרך כלל מפקידים אצלנו את התיקים או באים בקבלת הקהל כשהיא נמצאת או שהיום זה גם עובד בצורה מקוונת. ההליך הוא שעוה"ד מפקיד את התיק, לתיק הוא מצרף את צילום הרישיון שלו ואת הודעת הביטול שהתקבלה מבית המשפט או ייפוי כוח למישהו לתת את התיק. הבעלים עצמו נותן לעוה"ד ייפוי כוח למסור את התיק בלשכת הרישום, </w:t>
            </w:r>
            <w:r>
              <w:rPr>
                <w:rFonts w:ascii="David" w:hAnsi="David" w:cs="David"/>
                <w:sz w:val="24"/>
                <w:szCs w:val="24"/>
                <w:rtl/>
              </w:rPr>
              <w:t>עוה"ד מוסר את התיק עם הודעת הביטול או בקבלת קהל מגיע שליח של עוה"ד או עוה"ד עצמו</w:t>
            </w:r>
            <w:r>
              <w:rPr>
                <w:rFonts w:ascii="David" w:hAnsi="David" w:cs="David"/>
                <w:sz w:val="24"/>
                <w:szCs w:val="24"/>
                <w:u w:val="none"/>
                <w:rtl/>
              </w:rPr>
              <w:t>,</w:t>
            </w: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צא וראה – נציג הנתבעת התעלם לחלוטין מדרך המלך של מחיקת עיקול, היא הדרך של קבלת צו ביטול מקוון. נציג הנתבעת התייחס אך ורק לחריג בנוהל, אך ורק למקרה בו מתייחסים ל</w:t>
            </w:r>
            <w:r>
              <w:rPr>
                <w:rFonts w:ascii="David" w:hAnsi="David" w:cs="David"/>
                <w:sz w:val="24"/>
                <w:szCs w:val="24"/>
                <w:u w:val="single"/>
                <w:rtl/>
              </w:rPr>
              <w:t>מקור צו ביטול העיקול</w:t>
            </w:r>
            <w:r>
              <w:rPr>
                <w:rFonts w:ascii="David" w:hAnsi="David" w:cs="David"/>
                <w:sz w:val="24"/>
                <w:szCs w:val="24"/>
                <w:rtl/>
              </w:rPr>
              <w:t xml:space="preserve"> – ומבחינתו זו דרך המלך.</w:t>
            </w:r>
          </w:p>
          <w:p w:rsidR="00D048DB" w:rsidRDefault="00D048DB" w:rsidP="00D048DB">
            <w:pPr>
              <w:pStyle w:val="af"/>
              <w:spacing w:line="360" w:lineRule="auto"/>
              <w:ind w:left="755"/>
              <w:jc w:val="both"/>
              <w:rPr>
                <w:rFonts w:ascii="David" w:hAnsi="David" w:cs="David"/>
                <w:sz w:val="24"/>
                <w:szCs w:val="24"/>
                <w:rtl/>
              </w:rPr>
            </w:pP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ועוד מיד לאחר מכן, שב נציג הנתבעת ועמד על כך שלא קיים שום נוהל למחיקת עיקול וכלשונו:</w:t>
            </w:r>
          </w:p>
          <w:p w:rsidR="00D048DB" w:rsidRDefault="00D048DB" w:rsidP="00D048DB">
            <w:pPr>
              <w:pStyle w:val="ae"/>
              <w:shd w:val="clear" w:color="auto" w:fill="auto"/>
              <w:spacing w:line="360" w:lineRule="auto"/>
              <w:ind w:left="3861"/>
              <w:jc w:val="both"/>
              <w:rPr>
                <w:rFonts w:ascii="David" w:hAnsi="David" w:cs="David"/>
                <w:b w:val="0"/>
                <w:bCs w:val="0"/>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 xml:space="preserve">ומבטלים את העיקול. </w:t>
            </w:r>
            <w:r>
              <w:rPr>
                <w:rFonts w:ascii="David" w:hAnsi="David" w:cs="David"/>
                <w:sz w:val="24"/>
                <w:szCs w:val="24"/>
                <w:rtl/>
              </w:rPr>
              <w:t>אין הוראה ספציפית בקובץ הנהלים שאומרת בדיוק ככה לעשות</w:t>
            </w:r>
            <w:r>
              <w:rPr>
                <w:rFonts w:ascii="David" w:hAnsi="David" w:cs="David"/>
                <w:b w:val="0"/>
                <w:bCs w:val="0"/>
                <w:sz w:val="24"/>
                <w:szCs w:val="24"/>
                <w:u w:val="none"/>
                <w:rtl/>
              </w:rPr>
              <w:t xml:space="preserve">" </w:t>
            </w:r>
          </w:p>
          <w:p w:rsidR="00D048DB" w:rsidRDefault="00D048DB" w:rsidP="00D048DB">
            <w:pPr>
              <w:pStyle w:val="af"/>
              <w:spacing w:line="360" w:lineRule="auto"/>
              <w:ind w:left="1103"/>
              <w:jc w:val="both"/>
              <w:rPr>
                <w:rFonts w:ascii="David" w:hAnsi="David" w:cs="David"/>
                <w:sz w:val="24"/>
                <w:szCs w:val="24"/>
              </w:rPr>
            </w:pPr>
            <w:r>
              <w:rPr>
                <w:rFonts w:ascii="David" w:hAnsi="David" w:cs="David"/>
                <w:sz w:val="24"/>
                <w:szCs w:val="24"/>
                <w:rtl/>
              </w:rPr>
              <w:t>בהמשך, עומת נציג הנתבעת עם נוסחו של סעיף 1.5.7 לנהלי הרישום ובשלב זה לאחר שהקריא ב"כ התובע את הנוהל הספציפי הנוגע לביטול עיקול, ועל אף שציין עד הנתבעת כי אין הוראה ספציפית כיצד יש לבטל עיקול בנהלי הנתבעת, השיב העד: "</w:t>
            </w:r>
            <w:r>
              <w:rPr>
                <w:rFonts w:ascii="David" w:hAnsi="David" w:cs="David"/>
                <w:b/>
                <w:bCs/>
                <w:sz w:val="24"/>
                <w:szCs w:val="24"/>
                <w:rtl/>
              </w:rPr>
              <w:t>נכון</w:t>
            </w:r>
            <w:r>
              <w:rPr>
                <w:rFonts w:ascii="David" w:hAnsi="David" w:cs="David"/>
                <w:sz w:val="24"/>
                <w:szCs w:val="24"/>
                <w:rtl/>
              </w:rPr>
              <w:t>"</w:t>
            </w:r>
            <w:r>
              <w:rPr>
                <w:rFonts w:ascii="David" w:hAnsi="David" w:cs="David"/>
                <w:sz w:val="24"/>
                <w:szCs w:val="24"/>
              </w:rPr>
              <w:t xml:space="preserve"> </w:t>
            </w:r>
            <w:r>
              <w:rPr>
                <w:rFonts w:ascii="David" w:hAnsi="David" w:cs="David"/>
                <w:sz w:val="24"/>
                <w:szCs w:val="24"/>
                <w:rtl/>
              </w:rPr>
              <w:t xml:space="preserve">(פ', ע' 40, ש' 19 -26). </w:t>
            </w:r>
          </w:p>
          <w:p w:rsidR="00D048DB" w:rsidRDefault="00D048DB" w:rsidP="00D048DB">
            <w:pPr>
              <w:pStyle w:val="af"/>
              <w:spacing w:line="360" w:lineRule="auto"/>
              <w:ind w:left="1360"/>
              <w:jc w:val="both"/>
              <w:rPr>
                <w:rFonts w:ascii="David" w:hAnsi="David" w:cs="David"/>
                <w:sz w:val="24"/>
                <w:szCs w:val="24"/>
              </w:rPr>
            </w:pPr>
          </w:p>
          <w:p w:rsidR="00D048DB" w:rsidRDefault="00D048DB" w:rsidP="00D048DB">
            <w:pPr>
              <w:pStyle w:val="af"/>
              <w:numPr>
                <w:ilvl w:val="1"/>
                <w:numId w:val="1"/>
              </w:numPr>
              <w:spacing w:line="360" w:lineRule="auto"/>
              <w:ind w:left="678" w:hanging="567"/>
              <w:jc w:val="both"/>
              <w:rPr>
                <w:rFonts w:ascii="David" w:eastAsia="Times New Roman" w:hAnsi="David" w:cs="David"/>
                <w:b/>
                <w:bCs/>
                <w:color w:val="000000"/>
                <w:sz w:val="24"/>
                <w:szCs w:val="24"/>
                <w:u w:val="single"/>
                <w:rtl/>
              </w:rPr>
            </w:pPr>
            <w:r>
              <w:rPr>
                <w:rFonts w:ascii="David" w:eastAsia="Times New Roman" w:hAnsi="David" w:cs="David"/>
                <w:b/>
                <w:bCs/>
                <w:color w:val="000000"/>
                <w:sz w:val="24"/>
                <w:szCs w:val="24"/>
                <w:u w:val="single"/>
                <w:rtl/>
              </w:rPr>
              <w:t>הנתבעת התעלמה מכך שכלל לא קיבלה צו למחיקת העיקול באמצעות המערכת המקוונת</w:t>
            </w:r>
          </w:p>
          <w:p w:rsidR="00D048DB" w:rsidRDefault="00D048DB" w:rsidP="00D048DB">
            <w:pPr>
              <w:pStyle w:val="af"/>
              <w:numPr>
                <w:ilvl w:val="0"/>
                <w:numId w:val="16"/>
              </w:numPr>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rtl/>
              </w:rPr>
              <w:t>ברגיל, אפשר וצו לביטול עיקול יועבר במערכת המקוונת לאחר מספר ימים. בוודאי יש לצפות שלאחר כ</w:t>
            </w:r>
            <w:r>
              <w:rPr>
                <w:rFonts w:ascii="David" w:eastAsia="Times New Roman" w:hAnsi="David" w:cs="David"/>
                <w:color w:val="000000"/>
                <w:sz w:val="24"/>
                <w:szCs w:val="24"/>
                <w:u w:val="single"/>
                <w:rtl/>
              </w:rPr>
              <w:t>חודשיים ימים</w:t>
            </w:r>
            <w:r>
              <w:rPr>
                <w:rFonts w:ascii="David" w:eastAsia="Times New Roman" w:hAnsi="David" w:cs="David"/>
                <w:color w:val="000000"/>
                <w:sz w:val="24"/>
                <w:szCs w:val="24"/>
                <w:rtl/>
              </w:rPr>
              <w:t xml:space="preserve"> – אכן יועבר הצו המקוון. הנתבעת, מצידה, </w:t>
            </w:r>
            <w:r>
              <w:rPr>
                <w:rFonts w:ascii="David" w:eastAsia="Times New Roman" w:hAnsi="David" w:cs="David"/>
                <w:color w:val="000000"/>
                <w:sz w:val="24"/>
                <w:szCs w:val="24"/>
                <w:u w:val="single"/>
                <w:rtl/>
              </w:rPr>
              <w:t>לא</w:t>
            </w:r>
            <w:r>
              <w:rPr>
                <w:rFonts w:ascii="David" w:eastAsia="Times New Roman" w:hAnsi="David" w:cs="David"/>
                <w:color w:val="000000"/>
                <w:sz w:val="24"/>
                <w:szCs w:val="24"/>
                <w:rtl/>
              </w:rPr>
              <w:t xml:space="preserve"> קיבלה כל צו ביטול מקוון. למרות שהצו המזויף שהוצג לה ביום 14.8.2019 נשא תאריך 15.7.2019 – כלומר תאריך מוקדם בכחודש.</w:t>
            </w:r>
          </w:p>
          <w:p w:rsidR="00D048DB" w:rsidRDefault="00D048DB" w:rsidP="00D048DB">
            <w:pPr>
              <w:pStyle w:val="af"/>
              <w:spacing w:line="360" w:lineRule="auto"/>
              <w:ind w:left="755"/>
              <w:jc w:val="both"/>
              <w:rPr>
                <w:rFonts w:ascii="David" w:eastAsia="Times New Roman" w:hAnsi="David" w:cs="David"/>
                <w:color w:val="000000"/>
                <w:sz w:val="24"/>
                <w:szCs w:val="24"/>
              </w:rPr>
            </w:pPr>
          </w:p>
          <w:p w:rsidR="00D048DB" w:rsidRDefault="00D048DB" w:rsidP="00D048DB">
            <w:pPr>
              <w:pStyle w:val="af"/>
              <w:numPr>
                <w:ilvl w:val="0"/>
                <w:numId w:val="16"/>
              </w:numPr>
              <w:spacing w:line="360" w:lineRule="auto"/>
              <w:ind w:left="1103"/>
              <w:jc w:val="both"/>
              <w:rPr>
                <w:rFonts w:ascii="David" w:eastAsia="Times New Roman" w:hAnsi="David" w:cs="David"/>
                <w:color w:val="000000"/>
                <w:sz w:val="24"/>
                <w:szCs w:val="24"/>
              </w:rPr>
            </w:pPr>
            <w:r>
              <w:rPr>
                <w:rFonts w:ascii="David" w:hAnsi="David" w:cs="David"/>
                <w:sz w:val="24"/>
                <w:szCs w:val="24"/>
                <w:rtl/>
              </w:rPr>
              <w:t>מעדותו של מר שלמה וייס מטעם הנתבעת עולה כאמור שהעברת צו הביטול אינה מיידית ולעיתים אורכת מספר ימים. בעדותו ציין עד הנתבעת כי קיימת אפשרות לוודא אודות קיומו של צו ביטול עיקול, אך זאת רק לאחר שרשות האכיפה משגרת את המידע. וכך נשאל והשיב נציג הנתבעת:</w:t>
            </w:r>
          </w:p>
          <w:p w:rsidR="00D048DB" w:rsidRDefault="00D048DB" w:rsidP="00D048DB">
            <w:pPr>
              <w:pStyle w:val="ae"/>
              <w:shd w:val="clear" w:color="auto" w:fill="auto"/>
              <w:spacing w:line="360" w:lineRule="auto"/>
              <w:ind w:left="2946" w:hanging="1417"/>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אבל אתם תקבלו, יומיים אחר כך אתם תקבלו את הרישום הזה. זה לא משהו שהוא לעד נמצא שם. הוא עובר אליכם, לוקח זמן שהוא יעבור אליכם, הוא נמצא, הוא קיים, יש אפשרות לוודא אותו.</w:t>
            </w:r>
          </w:p>
          <w:p w:rsidR="00D048DB" w:rsidRDefault="00D048DB" w:rsidP="00D048DB">
            <w:pPr>
              <w:pStyle w:val="ae"/>
              <w:shd w:val="clear" w:color="auto" w:fill="auto"/>
              <w:spacing w:line="360" w:lineRule="auto"/>
              <w:ind w:left="2946" w:hanging="1417"/>
              <w:jc w:val="both"/>
              <w:rPr>
                <w:rFonts w:ascii="David" w:hAnsi="David" w:cs="David"/>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הביטול אתה מדבר?</w:t>
            </w:r>
          </w:p>
          <w:p w:rsidR="00D048DB" w:rsidRDefault="00D048DB" w:rsidP="00D048DB">
            <w:pPr>
              <w:pStyle w:val="ae"/>
              <w:shd w:val="clear" w:color="auto" w:fill="auto"/>
              <w:spacing w:line="360" w:lineRule="auto"/>
              <w:ind w:left="2946" w:hanging="1417"/>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כן.</w:t>
            </w:r>
          </w:p>
          <w:p w:rsidR="00D048DB" w:rsidRDefault="00D048DB" w:rsidP="00D048DB">
            <w:pPr>
              <w:pStyle w:val="ae"/>
              <w:shd w:val="clear" w:color="auto" w:fill="auto"/>
              <w:spacing w:line="360" w:lineRule="auto"/>
              <w:ind w:left="2946" w:hanging="1417"/>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t xml:space="preserve">נו בסדר, אז מה?" </w:t>
            </w:r>
            <w:r>
              <w:rPr>
                <w:rFonts w:ascii="David" w:hAnsi="David" w:cs="David"/>
                <w:b w:val="0"/>
                <w:bCs w:val="0"/>
                <w:sz w:val="24"/>
                <w:szCs w:val="24"/>
                <w:u w:val="none"/>
                <w:rtl/>
              </w:rPr>
              <w:t xml:space="preserve">(פ', ע' 44, ש' 25 -30). </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 </w:t>
            </w:r>
          </w:p>
          <w:p w:rsidR="00D048DB" w:rsidRDefault="00D048DB" w:rsidP="00D048DB">
            <w:pPr>
              <w:pStyle w:val="af"/>
              <w:spacing w:line="360" w:lineRule="auto"/>
              <w:ind w:left="1103"/>
              <w:jc w:val="both"/>
              <w:rPr>
                <w:rFonts w:ascii="David" w:hAnsi="David" w:cs="David"/>
                <w:sz w:val="24"/>
                <w:szCs w:val="24"/>
                <w:rtl/>
              </w:rPr>
            </w:pPr>
            <w:r>
              <w:rPr>
                <w:rFonts w:ascii="David" w:hAnsi="David" w:cs="David"/>
                <w:sz w:val="24"/>
                <w:szCs w:val="24"/>
                <w:rtl/>
              </w:rPr>
              <w:t>הנתבעת התעלמה לחלוטין מדרך המלך של קבלת צו ביטול עיקול באופן מקוון. ויותר מכך - כחודשיים לאחר צו ביטול העיקול בוודאי ניתן היה לבדוק במערכת המקוונת אודות קיומו. וגם זאת כלל לא עשתה הנתבעת.</w:t>
            </w:r>
          </w:p>
          <w:p w:rsidR="00D048DB" w:rsidRDefault="00D048DB" w:rsidP="00D048DB">
            <w:pPr>
              <w:pStyle w:val="af"/>
              <w:spacing w:line="360" w:lineRule="auto"/>
              <w:ind w:left="755"/>
              <w:jc w:val="both"/>
              <w:rPr>
                <w:rFonts w:ascii="David" w:hAnsi="David" w:cs="David"/>
                <w:sz w:val="24"/>
                <w:szCs w:val="24"/>
                <w:rtl/>
              </w:rPr>
            </w:pPr>
          </w:p>
          <w:p w:rsidR="00D048DB" w:rsidRDefault="00D048DB" w:rsidP="00D048DB">
            <w:pPr>
              <w:pStyle w:val="af"/>
              <w:numPr>
                <w:ilvl w:val="0"/>
                <w:numId w:val="16"/>
              </w:numPr>
              <w:spacing w:line="360" w:lineRule="auto"/>
              <w:ind w:left="1103"/>
              <w:jc w:val="both"/>
              <w:rPr>
                <w:rFonts w:ascii="David" w:hAnsi="David" w:cs="David"/>
                <w:sz w:val="24"/>
                <w:szCs w:val="24"/>
              </w:rPr>
            </w:pPr>
            <w:r>
              <w:rPr>
                <w:rFonts w:ascii="David" w:hAnsi="David" w:cs="David"/>
                <w:sz w:val="24"/>
                <w:szCs w:val="24"/>
                <w:rtl/>
              </w:rPr>
              <w:t>ככל שהיתה הנתבעת פועלת לפי דרך המלך הקבועה בסעיף 1.5.7 לנהלי הרישום, הרי לא היה נמחק העיקול ותביעה זו לא היתה באה לעולם.</w:t>
            </w:r>
          </w:p>
          <w:p w:rsidR="00D048DB" w:rsidRDefault="00D048DB" w:rsidP="00D048DB">
            <w:pPr>
              <w:pStyle w:val="af"/>
              <w:spacing w:line="360" w:lineRule="auto"/>
              <w:ind w:left="395"/>
              <w:jc w:val="both"/>
              <w:rPr>
                <w:rFonts w:ascii="David" w:eastAsia="Times New Roman" w:hAnsi="David" w:cs="David"/>
                <w:b/>
                <w:bCs/>
                <w:color w:val="000000"/>
                <w:sz w:val="24"/>
                <w:szCs w:val="24"/>
                <w:u w:val="single"/>
                <w:rtl/>
              </w:rPr>
            </w:pPr>
          </w:p>
          <w:p w:rsidR="00D048DB" w:rsidRDefault="00D048DB" w:rsidP="00D048DB">
            <w:pPr>
              <w:pStyle w:val="af"/>
              <w:numPr>
                <w:ilvl w:val="1"/>
                <w:numId w:val="1"/>
              </w:numPr>
              <w:spacing w:line="360" w:lineRule="auto"/>
              <w:ind w:left="678" w:hanging="567"/>
              <w:jc w:val="both"/>
              <w:rPr>
                <w:rFonts w:ascii="David" w:eastAsia="Times New Roman" w:hAnsi="David" w:cs="David"/>
                <w:b/>
                <w:bCs/>
                <w:color w:val="000000"/>
                <w:sz w:val="24"/>
                <w:szCs w:val="24"/>
                <w:u w:val="single"/>
              </w:rPr>
            </w:pPr>
            <w:r>
              <w:rPr>
                <w:rFonts w:ascii="David" w:eastAsia="Times New Roman" w:hAnsi="David" w:cs="David"/>
                <w:b/>
                <w:bCs/>
                <w:color w:val="000000"/>
                <w:sz w:val="24"/>
                <w:szCs w:val="24"/>
                <w:u w:val="single"/>
                <w:rtl/>
              </w:rPr>
              <w:t>הנתבעת גם לא פעלה בהתאם לחריג בנהליה – שכן בעליל לא הוצג לה מקור הצו</w:t>
            </w: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בסעיף 6.1 לעיל התייחסתי לסעיף 1.5.7(א) לנהלי הרישום אשר נקבע בו כי  "... </w:t>
            </w:r>
            <w:r>
              <w:rPr>
                <w:rFonts w:ascii="David" w:eastAsia="Times New Roman" w:hAnsi="David" w:cs="David"/>
                <w:b/>
                <w:bCs/>
                <w:color w:val="000000"/>
                <w:sz w:val="24"/>
                <w:szCs w:val="24"/>
                <w:rtl/>
              </w:rPr>
              <w:t xml:space="preserve">על אף האמור לעיל, </w:t>
            </w:r>
            <w:r>
              <w:rPr>
                <w:rFonts w:ascii="David" w:eastAsia="Times New Roman" w:hAnsi="David" w:cs="David"/>
                <w:b/>
                <w:bCs/>
                <w:color w:val="000000"/>
                <w:sz w:val="24"/>
                <w:szCs w:val="24"/>
                <w:u w:val="single"/>
                <w:rtl/>
              </w:rPr>
              <w:t>לרשם המקרקעין שיקול דעת להורות</w:t>
            </w:r>
            <w:r>
              <w:rPr>
                <w:rFonts w:ascii="David" w:eastAsia="Times New Roman" w:hAnsi="David" w:cs="David"/>
                <w:b/>
                <w:bCs/>
                <w:color w:val="000000"/>
                <w:sz w:val="24"/>
                <w:szCs w:val="24"/>
                <w:rtl/>
              </w:rPr>
              <w:t xml:space="preserve"> על רישום צווי עיקול ו/או צווי ביטול עיקול ו/או צווי ביטול הליכים באמצעות הגשת </w:t>
            </w:r>
            <w:r>
              <w:rPr>
                <w:rFonts w:ascii="David" w:eastAsia="Times New Roman" w:hAnsi="David" w:cs="David"/>
                <w:b/>
                <w:bCs/>
                <w:color w:val="000000"/>
                <w:sz w:val="24"/>
                <w:szCs w:val="24"/>
                <w:u w:val="single"/>
                <w:rtl/>
              </w:rPr>
              <w:t>הצווים הנ"ל במקור</w:t>
            </w:r>
            <w:r>
              <w:rPr>
                <w:rFonts w:ascii="David" w:eastAsia="Times New Roman" w:hAnsi="David" w:cs="David"/>
                <w:b/>
                <w:bCs/>
                <w:color w:val="000000"/>
                <w:sz w:val="24"/>
                <w:szCs w:val="24"/>
                <w:rtl/>
              </w:rPr>
              <w:t xml:space="preserve"> בלשכת הרישום</w:t>
            </w:r>
            <w:r>
              <w:rPr>
                <w:rFonts w:ascii="David" w:eastAsia="Times New Roman" w:hAnsi="David" w:cs="David"/>
                <w:color w:val="000000"/>
                <w:sz w:val="24"/>
                <w:szCs w:val="24"/>
                <w:rtl/>
              </w:rPr>
              <w:t xml:space="preserve">". כלומר – החריג הוא הצגת </w:t>
            </w:r>
            <w:r>
              <w:rPr>
                <w:rFonts w:ascii="David" w:eastAsia="Times New Roman" w:hAnsi="David" w:cs="David"/>
                <w:color w:val="000000"/>
                <w:sz w:val="24"/>
                <w:szCs w:val="24"/>
                <w:u w:val="single"/>
                <w:rtl/>
              </w:rPr>
              <w:t>מקור</w:t>
            </w:r>
            <w:r>
              <w:rPr>
                <w:rFonts w:ascii="David" w:eastAsia="Times New Roman" w:hAnsi="David" w:cs="David"/>
                <w:color w:val="000000"/>
                <w:sz w:val="24"/>
                <w:szCs w:val="24"/>
                <w:rtl/>
              </w:rPr>
              <w:t xml:space="preserve"> הצו. ומכאן – על הנתבעת ל</w:t>
            </w:r>
            <w:r>
              <w:rPr>
                <w:rFonts w:ascii="David" w:eastAsia="Times New Roman" w:hAnsi="David" w:cs="David"/>
                <w:color w:val="000000"/>
                <w:sz w:val="24"/>
                <w:szCs w:val="24"/>
                <w:u w:val="single"/>
                <w:rtl/>
              </w:rPr>
              <w:t>וודא שאכן מדובר במקור</w:t>
            </w:r>
            <w:r>
              <w:rPr>
                <w:rFonts w:ascii="David" w:eastAsia="Times New Roman" w:hAnsi="David" w:cs="David"/>
                <w:color w:val="000000"/>
                <w:sz w:val="24"/>
                <w:szCs w:val="24"/>
                <w:rtl/>
              </w:rPr>
              <w:t xml:space="preserve"> הצו.</w:t>
            </w:r>
          </w:p>
          <w:p w:rsidR="00D048DB" w:rsidRDefault="00D048DB" w:rsidP="00D048DB">
            <w:pPr>
              <w:pStyle w:val="af"/>
              <w:spacing w:line="360" w:lineRule="auto"/>
              <w:ind w:left="755"/>
              <w:jc w:val="both"/>
              <w:rPr>
                <w:rFonts w:ascii="David" w:eastAsia="Times New Roman" w:hAnsi="David" w:cs="David"/>
                <w:color w:val="000000"/>
                <w:sz w:val="24"/>
                <w:szCs w:val="24"/>
              </w:rPr>
            </w:pP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u w:val="single"/>
                <w:rtl/>
              </w:rPr>
              <w:t>בעניינינו לא הוצג מקור הצו</w:t>
            </w:r>
            <w:r>
              <w:rPr>
                <w:rFonts w:ascii="David" w:eastAsia="Times New Roman" w:hAnsi="David" w:cs="David"/>
                <w:color w:val="000000"/>
                <w:sz w:val="24"/>
                <w:szCs w:val="24"/>
                <w:rtl/>
              </w:rPr>
              <w:t>. גם בדיון כלל לא הוצג מקור הצו. לענין זה נשאל נציג הנתבעת והשיב תוך שהוא מפנה לחותמת שדווקא היתה חסרה בדף הרלוונטי לצו המזויף (ע"מ 40-41 לפרוטוקול, ההדגשות לא במקור):</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lastRenderedPageBreak/>
              <w:t xml:space="preserve">עו"ד הלוי : </w:t>
            </w:r>
            <w:r>
              <w:rPr>
                <w:rFonts w:ascii="David" w:eastAsia="Times New Roman" w:hAnsi="David" w:cs="David"/>
                <w:b/>
                <w:bCs/>
                <w:color w:val="000000"/>
                <w:sz w:val="24"/>
                <w:szCs w:val="24"/>
                <w:rtl/>
              </w:rPr>
              <w:tab/>
              <w:t xml:space="preserve">נכון, או-קיי. עכשיו השאלה שלי אליך, </w:t>
            </w:r>
            <w:r>
              <w:rPr>
                <w:rFonts w:ascii="David" w:eastAsia="Times New Roman" w:hAnsi="David" w:cs="David"/>
                <w:b/>
                <w:bCs/>
                <w:color w:val="000000"/>
                <w:sz w:val="24"/>
                <w:szCs w:val="24"/>
                <w:u w:val="single"/>
                <w:rtl/>
              </w:rPr>
              <w:t>האם הוגש במקרה דנן מקור</w:t>
            </w:r>
            <w:r>
              <w:rPr>
                <w:rFonts w:ascii="David" w:eastAsia="Times New Roman" w:hAnsi="David" w:cs="David"/>
                <w:b/>
                <w:bCs/>
                <w:color w:val="000000"/>
                <w:sz w:val="24"/>
                <w:szCs w:val="24"/>
                <w:rtl/>
              </w:rPr>
              <w:t>?</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העד, מר וייס: </w:t>
            </w:r>
            <w:r>
              <w:rPr>
                <w:rFonts w:ascii="David" w:eastAsia="Times New Roman" w:hAnsi="David" w:cs="David"/>
                <w:b/>
                <w:bCs/>
                <w:color w:val="000000"/>
                <w:sz w:val="24"/>
                <w:szCs w:val="24"/>
                <w:rtl/>
              </w:rPr>
              <w:tab/>
            </w:r>
            <w:r>
              <w:rPr>
                <w:rFonts w:ascii="David" w:eastAsia="Times New Roman" w:hAnsi="David" w:cs="David"/>
                <w:b/>
                <w:bCs/>
                <w:color w:val="000000"/>
                <w:sz w:val="24"/>
                <w:szCs w:val="24"/>
                <w:u w:val="single"/>
                <w:rtl/>
              </w:rPr>
              <w:t>כן</w:t>
            </w:r>
            <w:r>
              <w:rPr>
                <w:rFonts w:ascii="David" w:eastAsia="Times New Roman" w:hAnsi="David" w:cs="David"/>
                <w:b/>
                <w:bCs/>
                <w:color w:val="000000"/>
                <w:sz w:val="24"/>
                <w:szCs w:val="24"/>
                <w:rtl/>
              </w:rPr>
              <w:t>.</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עו"ד הלוי : </w:t>
            </w:r>
            <w:r>
              <w:rPr>
                <w:rFonts w:ascii="David" w:eastAsia="Times New Roman" w:hAnsi="David" w:cs="David"/>
                <w:b/>
                <w:bCs/>
                <w:color w:val="000000"/>
                <w:sz w:val="24"/>
                <w:szCs w:val="24"/>
                <w:rtl/>
              </w:rPr>
              <w:tab/>
              <w:t>בוא נראה.</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כב' הש' ברקאי: </w:t>
            </w:r>
            <w:r>
              <w:rPr>
                <w:rFonts w:ascii="David" w:eastAsia="Times New Roman" w:hAnsi="David" w:cs="David"/>
                <w:b/>
                <w:bCs/>
                <w:color w:val="000000"/>
                <w:sz w:val="24"/>
                <w:szCs w:val="24"/>
                <w:rtl/>
              </w:rPr>
              <w:tab/>
            </w:r>
            <w:r>
              <w:rPr>
                <w:rFonts w:ascii="David" w:eastAsia="Times New Roman" w:hAnsi="David" w:cs="David"/>
                <w:b/>
                <w:bCs/>
                <w:color w:val="000000"/>
                <w:sz w:val="24"/>
                <w:szCs w:val="24"/>
                <w:u w:val="single"/>
                <w:rtl/>
              </w:rPr>
              <w:t>לפי מה אתה אומר כן</w:t>
            </w:r>
            <w:r>
              <w:rPr>
                <w:rFonts w:ascii="David" w:eastAsia="Times New Roman" w:hAnsi="David" w:cs="David"/>
                <w:b/>
                <w:bCs/>
                <w:color w:val="000000"/>
                <w:sz w:val="24"/>
                <w:szCs w:val="24"/>
                <w:rtl/>
              </w:rPr>
              <w:t>?</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העד, מר וייס: </w:t>
            </w:r>
            <w:r>
              <w:rPr>
                <w:rFonts w:ascii="David" w:eastAsia="Times New Roman" w:hAnsi="David" w:cs="David"/>
                <w:b/>
                <w:bCs/>
                <w:color w:val="000000"/>
                <w:sz w:val="24"/>
                <w:szCs w:val="24"/>
                <w:rtl/>
              </w:rPr>
              <w:tab/>
              <w:t>אני אמצא את העיקול, איפה זה הודעת העיקול?</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עו"ד אברונין : </w:t>
            </w:r>
            <w:r>
              <w:rPr>
                <w:rFonts w:ascii="David" w:eastAsia="Times New Roman" w:hAnsi="David" w:cs="David"/>
                <w:b/>
                <w:bCs/>
                <w:color w:val="000000"/>
                <w:sz w:val="24"/>
                <w:szCs w:val="24"/>
                <w:rtl/>
              </w:rPr>
              <w:tab/>
              <w:t>נספח ט'.</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העד, מר וייס: </w:t>
            </w:r>
            <w:r>
              <w:rPr>
                <w:rFonts w:ascii="David" w:eastAsia="Times New Roman" w:hAnsi="David" w:cs="David"/>
                <w:b/>
                <w:bCs/>
                <w:color w:val="000000"/>
                <w:sz w:val="24"/>
                <w:szCs w:val="24"/>
                <w:rtl/>
              </w:rPr>
              <w:tab/>
              <w:t>ט'. תראה, מופיע לי פה לשכת ההוצאה לפועל תל-אביב,</w:t>
            </w:r>
          </w:p>
          <w:p w:rsidR="00D048DB" w:rsidRDefault="00D048DB" w:rsidP="00D048DB">
            <w:pPr>
              <w:pStyle w:val="af"/>
              <w:spacing w:line="360" w:lineRule="auto"/>
              <w:ind w:left="124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עו"ד הלוי : </w:t>
            </w:r>
            <w:r>
              <w:rPr>
                <w:rFonts w:ascii="David" w:eastAsia="Times New Roman" w:hAnsi="David" w:cs="David"/>
                <w:b/>
                <w:bCs/>
                <w:color w:val="000000"/>
                <w:sz w:val="24"/>
                <w:szCs w:val="24"/>
                <w:rtl/>
              </w:rPr>
              <w:tab/>
              <w:t>כן,</w:t>
            </w:r>
          </w:p>
          <w:p w:rsidR="00D048DB" w:rsidRDefault="00D048DB" w:rsidP="00D048DB">
            <w:pPr>
              <w:pStyle w:val="af"/>
              <w:spacing w:line="360" w:lineRule="auto"/>
              <w:ind w:left="2880" w:hanging="1635"/>
              <w:rPr>
                <w:rFonts w:ascii="David" w:eastAsia="Times New Roman" w:hAnsi="David" w:cs="David"/>
                <w:b/>
                <w:bCs/>
                <w:color w:val="000000"/>
                <w:sz w:val="24"/>
                <w:szCs w:val="24"/>
                <w:rtl/>
              </w:rPr>
            </w:pPr>
            <w:r>
              <w:rPr>
                <w:rFonts w:ascii="David" w:eastAsia="Times New Roman" w:hAnsi="David" w:cs="David"/>
                <w:b/>
                <w:bCs/>
                <w:color w:val="000000"/>
                <w:sz w:val="24"/>
                <w:szCs w:val="24"/>
                <w:rtl/>
              </w:rPr>
              <w:t xml:space="preserve">העד, מר וייס: </w:t>
            </w:r>
            <w:r>
              <w:rPr>
                <w:rFonts w:ascii="David" w:eastAsia="Times New Roman" w:hAnsi="David" w:cs="David"/>
                <w:b/>
                <w:bCs/>
                <w:color w:val="000000"/>
                <w:sz w:val="24"/>
                <w:szCs w:val="24"/>
                <w:rtl/>
              </w:rPr>
              <w:tab/>
              <w:t xml:space="preserve">מופיע לי מספר התיק, מופיע לי מי החייב, מופיע לי מספר ההליך, </w:t>
            </w:r>
            <w:r>
              <w:rPr>
                <w:rFonts w:ascii="David" w:eastAsia="Times New Roman" w:hAnsi="David" w:cs="David"/>
                <w:b/>
                <w:bCs/>
                <w:color w:val="000000"/>
                <w:sz w:val="24"/>
                <w:szCs w:val="24"/>
                <w:u w:val="single"/>
                <w:rtl/>
              </w:rPr>
              <w:t>יש לי חותמת פה</w:t>
            </w:r>
            <w:r>
              <w:rPr>
                <w:rFonts w:ascii="David" w:eastAsia="Times New Roman" w:hAnsi="David" w:cs="David"/>
                <w:b/>
                <w:bCs/>
                <w:color w:val="000000"/>
                <w:sz w:val="24"/>
                <w:szCs w:val="24"/>
                <w:rtl/>
              </w:rPr>
              <w:t xml:space="preserve">, </w:t>
            </w:r>
            <w:r>
              <w:rPr>
                <w:rFonts w:ascii="David" w:eastAsia="Times New Roman" w:hAnsi="David" w:cs="David"/>
                <w:b/>
                <w:bCs/>
                <w:color w:val="000000"/>
                <w:sz w:val="24"/>
                <w:szCs w:val="24"/>
                <w:u w:val="single"/>
                <w:rtl/>
              </w:rPr>
              <w:t>יש לי חותמת בסוף של ההוצאה לפועל</w:t>
            </w:r>
            <w:r>
              <w:rPr>
                <w:rFonts w:ascii="David" w:eastAsia="Times New Roman" w:hAnsi="David" w:cs="David"/>
                <w:b/>
                <w:bCs/>
                <w:color w:val="000000"/>
                <w:sz w:val="24"/>
                <w:szCs w:val="24"/>
                <w:rtl/>
              </w:rPr>
              <w:t>. לכאורה זה נראה הודעת ביטול ויש לי הוראה פה לבטל את העיקול.</w:t>
            </w:r>
          </w:p>
          <w:p w:rsidR="00D048DB" w:rsidRDefault="00D048DB" w:rsidP="00D048DB">
            <w:pPr>
              <w:pStyle w:val="af"/>
              <w:spacing w:line="360" w:lineRule="auto"/>
              <w:ind w:left="395"/>
              <w:jc w:val="both"/>
              <w:rPr>
                <w:rFonts w:ascii="David" w:eastAsia="Times New Roman" w:hAnsi="David" w:cs="David"/>
                <w:color w:val="000000"/>
                <w:sz w:val="24"/>
                <w:szCs w:val="24"/>
                <w:u w:val="single"/>
                <w:rtl/>
              </w:rPr>
            </w:pPr>
          </w:p>
          <w:p w:rsidR="00D048DB" w:rsidRDefault="00D048DB" w:rsidP="00D048DB">
            <w:pPr>
              <w:pStyle w:val="af"/>
              <w:spacing w:line="360" w:lineRule="auto"/>
              <w:ind w:left="1103"/>
              <w:jc w:val="both"/>
              <w:rPr>
                <w:rFonts w:ascii="David" w:eastAsia="Times New Roman" w:hAnsi="David" w:cs="David"/>
                <w:color w:val="000000"/>
                <w:sz w:val="24"/>
                <w:szCs w:val="24"/>
                <w:rtl/>
              </w:rPr>
            </w:pPr>
            <w:r>
              <w:rPr>
                <w:rFonts w:ascii="David" w:eastAsia="Times New Roman" w:hAnsi="David" w:cs="David"/>
                <w:color w:val="000000"/>
                <w:sz w:val="24"/>
                <w:szCs w:val="24"/>
                <w:rtl/>
              </w:rPr>
              <w:t>כלומר – הנתבעת שכלל לא הציגה את "מקור הצו" , טענה שמדובר במקור מכיוון שהצו נושא חותמת של ההוצאה לפועל. ואולם טענה זו, במלוא הכבוד, אינה מדויקת ועל כך בפסקה הבאה.</w:t>
            </w:r>
          </w:p>
          <w:p w:rsidR="00D048DB" w:rsidRDefault="00D048DB" w:rsidP="00D048DB">
            <w:pPr>
              <w:pStyle w:val="af"/>
              <w:spacing w:line="360" w:lineRule="auto"/>
              <w:ind w:left="395"/>
              <w:jc w:val="both"/>
              <w:rPr>
                <w:rFonts w:ascii="David" w:eastAsia="Times New Roman" w:hAnsi="David" w:cs="David"/>
                <w:color w:val="000000"/>
                <w:sz w:val="24"/>
                <w:szCs w:val="24"/>
                <w:rtl/>
              </w:rPr>
            </w:pP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לא הוצג לנתבעת מסמך המקור של הצו</w:t>
            </w:r>
          </w:p>
          <w:p w:rsidR="00D048DB" w:rsidRDefault="00D048DB" w:rsidP="00D048DB">
            <w:pPr>
              <w:pStyle w:val="af"/>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rtl/>
              </w:rPr>
              <w:t>נציג הנתבעת טען כאמור שהוצג לה מסמך המקור. טען, מבלי שהביא את אותו מסמך מקור. גם הסבריו בחקירה הנגדית מלמדים שאין מדובר במסמך מקור, ואבהיר:</w:t>
            </w:r>
          </w:p>
          <w:p w:rsidR="00D048DB" w:rsidRDefault="00D048DB" w:rsidP="00D048DB">
            <w:pPr>
              <w:pStyle w:val="af"/>
              <w:spacing w:line="360" w:lineRule="auto"/>
              <w:ind w:left="395"/>
              <w:jc w:val="both"/>
              <w:rPr>
                <w:rFonts w:ascii="David" w:eastAsia="Times New Roman" w:hAnsi="David" w:cs="David"/>
                <w:color w:val="000000"/>
                <w:sz w:val="24"/>
                <w:szCs w:val="24"/>
                <w:rtl/>
              </w:rPr>
            </w:pP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tl/>
              </w:rPr>
            </w:pPr>
            <w:r>
              <w:rPr>
                <w:rFonts w:ascii="David" w:eastAsia="Times New Roman" w:hAnsi="David" w:cs="David"/>
                <w:color w:val="000000"/>
                <w:sz w:val="24"/>
                <w:szCs w:val="24"/>
                <w:rtl/>
              </w:rPr>
              <w:t>צו מחיקת העיקול הוא מסמך מיום 15.7.2019 המכיל שלושה דפים בלבד.</w:t>
            </w: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בדף הראשון ובדף השלישי לצו, מופיעה חותמת עגולה של "לשכת ההוצאה לפועל תל אביב".</w:t>
            </w: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אך דווקא בדף האמצעי, בו מופיע הזיוף – כלל </w:t>
            </w:r>
            <w:r>
              <w:rPr>
                <w:rFonts w:ascii="David" w:eastAsia="Times New Roman" w:hAnsi="David" w:cs="David"/>
                <w:color w:val="000000"/>
                <w:sz w:val="24"/>
                <w:szCs w:val="24"/>
                <w:u w:val="single"/>
                <w:rtl/>
              </w:rPr>
              <w:t>אין חותמת</w:t>
            </w:r>
            <w:r>
              <w:rPr>
                <w:rFonts w:ascii="David" w:eastAsia="Times New Roman" w:hAnsi="David" w:cs="David"/>
                <w:color w:val="000000"/>
                <w:sz w:val="24"/>
                <w:szCs w:val="24"/>
                <w:rtl/>
              </w:rPr>
              <w:t xml:space="preserve"> של לשכת ההוצאה לפועל.</w:t>
            </w: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דווקא בדף האמצעי בו הוסיף מאן דהוא את המילים – </w:t>
            </w:r>
            <w:r>
              <w:rPr>
                <w:rFonts w:ascii="David" w:eastAsia="Times New Roman" w:hAnsi="David" w:cs="David"/>
                <w:b/>
                <w:bCs/>
                <w:color w:val="000000"/>
                <w:sz w:val="24"/>
                <w:szCs w:val="24"/>
                <w:rtl/>
              </w:rPr>
              <w:t>"בנוסף יוסר העיקול על המקרקעין בבעלות החייבת..."</w:t>
            </w:r>
            <w:r>
              <w:rPr>
                <w:rFonts w:ascii="David" w:eastAsia="Times New Roman" w:hAnsi="David" w:cs="David"/>
                <w:color w:val="000000"/>
                <w:sz w:val="24"/>
                <w:szCs w:val="24"/>
                <w:rtl/>
              </w:rPr>
              <w:t xml:space="preserve">, דווקא בדף זה </w:t>
            </w:r>
            <w:r>
              <w:rPr>
                <w:rFonts w:ascii="David" w:eastAsia="Times New Roman" w:hAnsi="David" w:cs="David"/>
                <w:color w:val="000000"/>
                <w:sz w:val="24"/>
                <w:szCs w:val="24"/>
                <w:u w:val="single"/>
                <w:rtl/>
              </w:rPr>
              <w:t>לא מופיעה אותה חותמת</w:t>
            </w:r>
            <w:r>
              <w:rPr>
                <w:rFonts w:ascii="David" w:eastAsia="Times New Roman" w:hAnsi="David" w:cs="David"/>
                <w:color w:val="000000"/>
                <w:sz w:val="24"/>
                <w:szCs w:val="24"/>
                <w:rtl/>
              </w:rPr>
              <w:t xml:space="preserve"> עגולה שנציג הנתבעת כה חיפש כדי למצוא. </w:t>
            </w:r>
          </w:p>
          <w:p w:rsidR="00D048DB" w:rsidRDefault="00D048DB" w:rsidP="00D048DB">
            <w:pPr>
              <w:pStyle w:val="af"/>
              <w:spacing w:line="360" w:lineRule="auto"/>
              <w:ind w:left="395"/>
              <w:jc w:val="both"/>
              <w:rPr>
                <w:rFonts w:ascii="David" w:eastAsia="Times New Roman" w:hAnsi="David" w:cs="David"/>
                <w:color w:val="000000"/>
                <w:sz w:val="24"/>
                <w:szCs w:val="24"/>
                <w:rtl/>
              </w:rPr>
            </w:pP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עוד על כך שכלל לא הוצג לנתבעת מסמך המקור של הצו</w:t>
            </w: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כאשר דאג נציג הנתבעת להסביר שהצו שהוצג הוא "המקור" – הרי הוא דאג לחפש את חותמות ההוצאה לפועל. אין מדובר במסמך עב כרס, אלא במסמך קצר בן שלושה דפים בלבד, הנושא בכל דף חותמת – </w:t>
            </w:r>
            <w:r>
              <w:rPr>
                <w:rFonts w:ascii="David" w:eastAsia="Times New Roman" w:hAnsi="David" w:cs="David"/>
                <w:color w:val="000000"/>
                <w:sz w:val="24"/>
                <w:szCs w:val="24"/>
                <w:u w:val="single"/>
                <w:rtl/>
              </w:rPr>
              <w:t>למעט בדף ובו ההוראה האופרטיבית למחיקת צו העיקול</w:t>
            </w:r>
            <w:r>
              <w:rPr>
                <w:rFonts w:ascii="David" w:eastAsia="Times New Roman" w:hAnsi="David" w:cs="David"/>
                <w:color w:val="000000"/>
                <w:sz w:val="24"/>
                <w:szCs w:val="24"/>
                <w:rtl/>
              </w:rPr>
              <w:t>.</w:t>
            </w:r>
          </w:p>
          <w:p w:rsidR="00D048DB" w:rsidRDefault="00D048DB" w:rsidP="00D048DB">
            <w:pPr>
              <w:pStyle w:val="af"/>
              <w:spacing w:line="360" w:lineRule="auto"/>
              <w:ind w:left="755"/>
              <w:jc w:val="both"/>
              <w:rPr>
                <w:rFonts w:ascii="David" w:eastAsia="Times New Roman" w:hAnsi="David" w:cs="David"/>
                <w:color w:val="000000"/>
                <w:sz w:val="24"/>
                <w:szCs w:val="24"/>
              </w:rPr>
            </w:pP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tl/>
              </w:rPr>
            </w:pPr>
            <w:r>
              <w:rPr>
                <w:rFonts w:ascii="David" w:eastAsia="Times New Roman" w:hAnsi="David" w:cs="David"/>
                <w:color w:val="000000"/>
                <w:sz w:val="24"/>
                <w:szCs w:val="24"/>
                <w:rtl/>
              </w:rPr>
              <w:lastRenderedPageBreak/>
              <w:t xml:space="preserve">גם אין מדובר במסמך אשר נפרש כמניפה, והוטבעו עליו ועל גבי המניפה חותמות ההוצאה לפועל. המסמך הוא בעליל אינו מסמך מקור וכך – </w:t>
            </w:r>
            <w:r>
              <w:rPr>
                <w:rFonts w:ascii="David" w:eastAsia="Times New Roman" w:hAnsi="David" w:cs="David"/>
                <w:b/>
                <w:bCs/>
                <w:color w:val="000000"/>
                <w:sz w:val="24"/>
                <w:szCs w:val="24"/>
                <w:u w:val="single"/>
                <w:rtl/>
              </w:rPr>
              <w:t>ראשית</w:t>
            </w:r>
            <w:r>
              <w:rPr>
                <w:rFonts w:ascii="David" w:eastAsia="Times New Roman" w:hAnsi="David" w:cs="David"/>
                <w:color w:val="000000"/>
                <w:sz w:val="24"/>
                <w:szCs w:val="24"/>
                <w:rtl/>
              </w:rPr>
              <w:t xml:space="preserve">,  הנתבעת שעליה נטל ההוכחה – לא הביאה את המסמך ולא הוכיחה שהוא מסמך המקור; </w:t>
            </w:r>
            <w:r>
              <w:rPr>
                <w:rFonts w:ascii="David" w:eastAsia="Times New Roman" w:hAnsi="David" w:cs="David"/>
                <w:b/>
                <w:bCs/>
                <w:color w:val="000000"/>
                <w:sz w:val="24"/>
                <w:szCs w:val="24"/>
                <w:u w:val="single"/>
                <w:rtl/>
              </w:rPr>
              <w:t>שנית</w:t>
            </w:r>
            <w:r>
              <w:rPr>
                <w:rFonts w:ascii="David" w:eastAsia="Times New Roman" w:hAnsi="David" w:cs="David"/>
                <w:color w:val="000000"/>
                <w:sz w:val="24"/>
                <w:szCs w:val="24"/>
                <w:rtl/>
              </w:rPr>
              <w:t>, לא ניתן להתעלם מהיעדרה של החותמת – אותה חותמת שנציג הנתבעת דאג לחפש בחקירתו הנגדית וטען שהיא נמצאת.</w:t>
            </w:r>
          </w:p>
          <w:p w:rsidR="00D048DB" w:rsidRDefault="00D048DB" w:rsidP="00D048DB">
            <w:pPr>
              <w:pStyle w:val="af"/>
              <w:rPr>
                <w:rFonts w:ascii="David" w:eastAsia="Times New Roman" w:hAnsi="David" w:cs="David"/>
                <w:color w:val="000000"/>
                <w:sz w:val="24"/>
                <w:szCs w:val="24"/>
              </w:rPr>
            </w:pP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u w:val="single"/>
                <w:rtl/>
              </w:rPr>
            </w:pPr>
            <w:r>
              <w:rPr>
                <w:rFonts w:ascii="David" w:eastAsia="Times New Roman" w:hAnsi="David" w:cs="David"/>
                <w:b/>
                <w:bCs/>
                <w:color w:val="000000"/>
                <w:sz w:val="24"/>
                <w:szCs w:val="24"/>
                <w:u w:val="single"/>
                <w:rtl/>
              </w:rPr>
              <w:t>הסברי נציג הנתבעת לכך שהעיקול נמחק למרות שלא הוצג מסמך המקור</w:t>
            </w:r>
          </w:p>
          <w:p w:rsidR="00D048DB" w:rsidRDefault="00D048DB" w:rsidP="00D048DB">
            <w:pPr>
              <w:pStyle w:val="af"/>
              <w:spacing w:line="360" w:lineRule="auto"/>
              <w:ind w:left="1103"/>
              <w:jc w:val="both"/>
              <w:rPr>
                <w:rFonts w:ascii="David" w:eastAsia="Times New Roman" w:hAnsi="David" w:cs="David"/>
                <w:color w:val="000000"/>
                <w:sz w:val="24"/>
                <w:szCs w:val="24"/>
              </w:rPr>
            </w:pPr>
            <w:r>
              <w:rPr>
                <w:rFonts w:ascii="David" w:eastAsia="Times New Roman" w:hAnsi="David" w:cs="David"/>
                <w:color w:val="000000"/>
                <w:sz w:val="24"/>
                <w:szCs w:val="24"/>
                <w:rtl/>
              </w:rPr>
              <w:t>כאשר עומת נציג הנתבעת באשר למסמך החסר את חותמת האישור, אשר כה חיפש, השיב כך (ההדגשות לא במקור):</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"עו"ד הלוי : </w:t>
            </w:r>
            <w:r>
              <w:rPr>
                <w:rFonts w:ascii="David" w:hAnsi="David" w:cs="David"/>
                <w:sz w:val="24"/>
                <w:szCs w:val="24"/>
                <w:u w:val="none"/>
                <w:rtl/>
              </w:rPr>
              <w:tab/>
              <w:t>או-קיי. תאשר לי ש</w:t>
            </w:r>
            <w:r>
              <w:rPr>
                <w:rFonts w:ascii="David" w:hAnsi="David" w:cs="David"/>
                <w:sz w:val="24"/>
                <w:szCs w:val="24"/>
                <w:rtl/>
              </w:rPr>
              <w:t>זה העמוד היחיד שאין עליו שום חתימה או חותמת</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מאשר.</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 xml:space="preserve">כן. עכשיו, אז בוא, בוא נבהיר הדברים. </w:t>
            </w:r>
            <w:r>
              <w:rPr>
                <w:rFonts w:ascii="David" w:hAnsi="David" w:cs="David"/>
                <w:sz w:val="24"/>
                <w:szCs w:val="24"/>
                <w:rtl/>
              </w:rPr>
              <w:t>לשכת רישום המקרקעין מחקה את העיקול על בסיס העמוד הזה</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t>כן.</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עו"ד הלוי : </w:t>
            </w:r>
            <w:r>
              <w:rPr>
                <w:rFonts w:ascii="David" w:hAnsi="David" w:cs="David"/>
                <w:sz w:val="24"/>
                <w:szCs w:val="24"/>
                <w:u w:val="none"/>
                <w:rtl/>
              </w:rPr>
              <w:tab/>
            </w:r>
            <w:r>
              <w:rPr>
                <w:rFonts w:ascii="David" w:hAnsi="David" w:cs="David"/>
                <w:sz w:val="24"/>
                <w:szCs w:val="24"/>
                <w:rtl/>
              </w:rPr>
              <w:t>על גביו אין שום חותמת</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t xml:space="preserve">." </w:t>
            </w:r>
            <w:r>
              <w:rPr>
                <w:rFonts w:ascii="David" w:hAnsi="David" w:cs="David"/>
                <w:b w:val="0"/>
                <w:bCs w:val="0"/>
                <w:sz w:val="24"/>
                <w:szCs w:val="24"/>
                <w:u w:val="none"/>
                <w:rtl/>
              </w:rPr>
              <w:t>(פ', ע' 41, ש' 12 -18).</w:t>
            </w:r>
          </w:p>
          <w:p w:rsidR="00D048DB" w:rsidRDefault="00D048DB" w:rsidP="00D048DB">
            <w:pPr>
              <w:pStyle w:val="af"/>
              <w:spacing w:line="360" w:lineRule="auto"/>
              <w:ind w:left="1103"/>
              <w:jc w:val="both"/>
              <w:rPr>
                <w:rFonts w:ascii="David" w:eastAsia="Times New Roman" w:hAnsi="David" w:cs="David"/>
                <w:color w:val="000000"/>
                <w:sz w:val="24"/>
                <w:szCs w:val="24"/>
              </w:rPr>
            </w:pPr>
          </w:p>
          <w:p w:rsidR="00D048DB" w:rsidRDefault="00D048DB" w:rsidP="00D048DB">
            <w:pPr>
              <w:pStyle w:val="af"/>
              <w:spacing w:line="360" w:lineRule="auto"/>
              <w:ind w:left="1103"/>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ומדוע בכלל למחוק עיקול, כאשר לא הועבר צו מקוון? לכך העניק נציג הנתבעת הסבר כללי, שמתעלם מהעובדה שהצו המזויף נושא תאריך 15.7.2019, כלומר כשלושים ימים </w:t>
            </w:r>
            <w:r>
              <w:rPr>
                <w:rFonts w:ascii="David" w:eastAsia="Times New Roman" w:hAnsi="David" w:cs="David"/>
                <w:color w:val="000000"/>
                <w:sz w:val="24"/>
                <w:szCs w:val="24"/>
                <w:u w:val="single"/>
                <w:rtl/>
              </w:rPr>
              <w:t>לפני</w:t>
            </w:r>
            <w:r>
              <w:rPr>
                <w:rFonts w:ascii="David" w:eastAsia="Times New Roman" w:hAnsi="David" w:cs="David"/>
                <w:color w:val="000000"/>
                <w:sz w:val="24"/>
                <w:szCs w:val="24"/>
                <w:rtl/>
              </w:rPr>
              <w:t xml:space="preserve"> ההתייצבות היום 14.8.2019 במשרדי רשם המקרקעין ולפני הבקשה למחיקת העיקול. נציג הנתבעת דיבר על מקרים בהם אחד הצדדים "לחוץ" כלשונו להסרת הצו וציין כך: </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 xml:space="preserve">... </w:t>
            </w:r>
            <w:r>
              <w:rPr>
                <w:rFonts w:ascii="David" w:hAnsi="David" w:cs="David"/>
                <w:sz w:val="24"/>
                <w:szCs w:val="24"/>
                <w:rtl/>
              </w:rPr>
              <w:t>ויש כשאדם לחוץ ולא מחכה למערכות</w:t>
            </w:r>
            <w:r>
              <w:rPr>
                <w:rFonts w:ascii="David" w:hAnsi="David" w:cs="David"/>
                <w:sz w:val="24"/>
                <w:szCs w:val="24"/>
                <w:u w:val="none"/>
                <w:rtl/>
              </w:rPr>
              <w:t>, הוא רץ עם העיקול ללשכת הרישום, מבקש לרשום אותו ואז הוא מביא את הודעת העיקול המפורטת, מי ביקש, מה ביקש וכנ"ל לגבי ביטול, אותו דבר." (פ', ע' 40, ש' 4 -7).</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r>
            <w:r>
              <w:rPr>
                <w:rFonts w:ascii="David" w:hAnsi="David" w:cs="David"/>
                <w:sz w:val="24"/>
                <w:szCs w:val="24"/>
                <w:rtl/>
              </w:rPr>
              <w:t>מועדים שבהם העסקה היא צריכה להיחתם בימים הקרובים וצריך למחוק את העיקול ואז מגיע אדם עוד בטרם יגיע מידע באופן מקוון</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t xml:space="preserve">כן, </w:t>
            </w:r>
            <w:r>
              <w:rPr>
                <w:rFonts w:ascii="David" w:hAnsi="David" w:cs="David"/>
                <w:sz w:val="24"/>
                <w:szCs w:val="24"/>
                <w:rtl/>
              </w:rPr>
              <w:t>נכון</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ומבקש למחוק.</w:t>
            </w:r>
          </w:p>
          <w:p w:rsidR="00D048DB" w:rsidRDefault="00D048DB" w:rsidP="00D048DB">
            <w:pPr>
              <w:pStyle w:val="ae"/>
              <w:shd w:val="clear" w:color="auto" w:fill="auto"/>
              <w:spacing w:line="360" w:lineRule="auto"/>
              <w:ind w:left="3861"/>
              <w:jc w:val="both"/>
              <w:rPr>
                <w:rFonts w:ascii="David" w:hAnsi="David" w:cs="David"/>
                <w:b w:val="0"/>
                <w:bCs w:val="0"/>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r>
            <w:r>
              <w:rPr>
                <w:rFonts w:ascii="David" w:hAnsi="David" w:cs="David"/>
                <w:sz w:val="24"/>
                <w:szCs w:val="24"/>
                <w:rtl/>
              </w:rPr>
              <w:t>נכון, נכון</w:t>
            </w:r>
            <w:r>
              <w:rPr>
                <w:rFonts w:ascii="David" w:hAnsi="David" w:cs="David"/>
                <w:sz w:val="24"/>
                <w:szCs w:val="24"/>
                <w:u w:val="none"/>
                <w:rtl/>
              </w:rPr>
              <w:t>."</w:t>
            </w:r>
            <w:r>
              <w:rPr>
                <w:rFonts w:ascii="David" w:hAnsi="David" w:cs="David"/>
                <w:b w:val="0"/>
                <w:bCs w:val="0"/>
                <w:sz w:val="24"/>
                <w:szCs w:val="24"/>
                <w:u w:val="none"/>
                <w:rtl/>
              </w:rPr>
              <w:t xml:space="preserve"> (פ', ע' 40, ש' 14 -18).</w:t>
            </w:r>
          </w:p>
          <w:p w:rsidR="00D048DB" w:rsidRDefault="00D048DB" w:rsidP="00D048DB">
            <w:pPr>
              <w:pStyle w:val="af"/>
              <w:spacing w:line="360" w:lineRule="auto"/>
              <w:ind w:left="1103"/>
              <w:jc w:val="both"/>
              <w:rPr>
                <w:rFonts w:ascii="David" w:eastAsia="Times New Roman" w:hAnsi="David" w:cs="David"/>
                <w:color w:val="000000"/>
                <w:sz w:val="24"/>
                <w:szCs w:val="24"/>
                <w:rtl/>
              </w:rPr>
            </w:pPr>
          </w:p>
          <w:p w:rsidR="005958EA" w:rsidRDefault="005958EA" w:rsidP="00D048DB">
            <w:pPr>
              <w:pStyle w:val="af"/>
              <w:spacing w:line="360" w:lineRule="auto"/>
              <w:ind w:left="1103"/>
              <w:jc w:val="both"/>
              <w:rPr>
                <w:rFonts w:ascii="David" w:eastAsia="Times New Roman" w:hAnsi="David" w:cs="David"/>
                <w:color w:val="000000"/>
                <w:sz w:val="24"/>
                <w:szCs w:val="24"/>
              </w:rPr>
            </w:pPr>
          </w:p>
          <w:p w:rsidR="00D048DB" w:rsidRDefault="00D048DB" w:rsidP="00D048DB">
            <w:pPr>
              <w:pStyle w:val="af"/>
              <w:spacing w:line="360" w:lineRule="auto"/>
              <w:ind w:left="1103"/>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אבל בעניינינו לא היה מדובר באדם "לחוץ" אשר "לא מחכה למערכות", כהגדרת נציג הנתבעת. והרי מיד ניתן לראות שהצו המזויף נושא תאריך 15.5.2019, כלומר –  היו די והותר ימים על מנת שהצו המקוון יגיע אל הנתבעת.  </w:t>
            </w:r>
          </w:p>
          <w:p w:rsidR="00D048DB" w:rsidRDefault="00D048DB" w:rsidP="00D048DB">
            <w:pPr>
              <w:pStyle w:val="af"/>
              <w:rPr>
                <w:rFonts w:ascii="David" w:eastAsia="Times New Roman" w:hAnsi="David" w:cs="David"/>
                <w:color w:val="000000"/>
                <w:sz w:val="24"/>
                <w:szCs w:val="24"/>
                <w:rtl/>
              </w:rPr>
            </w:pPr>
          </w:p>
          <w:p w:rsidR="00D048DB" w:rsidRDefault="00D048DB" w:rsidP="00D048DB">
            <w:pPr>
              <w:pStyle w:val="af"/>
              <w:rPr>
                <w:rFonts w:ascii="David" w:eastAsia="Times New Roman" w:hAnsi="David" w:cs="David"/>
                <w:color w:val="000000"/>
                <w:sz w:val="24"/>
                <w:szCs w:val="24"/>
                <w:rtl/>
              </w:rPr>
            </w:pPr>
          </w:p>
          <w:p w:rsidR="00D048DB" w:rsidRDefault="00D048DB" w:rsidP="00D048DB">
            <w:pPr>
              <w:pStyle w:val="af"/>
              <w:numPr>
                <w:ilvl w:val="0"/>
                <w:numId w:val="17"/>
              </w:numPr>
              <w:spacing w:line="360" w:lineRule="auto"/>
              <w:ind w:left="1103"/>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הנתבעת, שכלל לא ידעה על נהליה שלה, פעלה לפי החריג שבשיקול דעת רשם המקרקעין – מבלי שביצעה כל בדיקה</w:t>
            </w:r>
            <w:r>
              <w:rPr>
                <w:rFonts w:ascii="David" w:eastAsia="Times New Roman" w:hAnsi="David" w:cs="David"/>
                <w:color w:val="000000"/>
                <w:sz w:val="24"/>
                <w:szCs w:val="24"/>
                <w:rtl/>
              </w:rPr>
              <w:t xml:space="preserve"> </w:t>
            </w: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דווקא כאשר המצאת מסמך המקור היא החריג – המחייב הפעלת שיקול דעת של רשם המקרקעין, הרי יש לצפות מהנתבעת שתנהג במקרה זה כ"חריג" ותוך התייחסות לכך שהוא נתון לשיקול דעת רשם המקרקעין.</w:t>
            </w:r>
          </w:p>
          <w:p w:rsidR="00D048DB" w:rsidRDefault="00D048DB" w:rsidP="00D048DB">
            <w:pPr>
              <w:pStyle w:val="af"/>
              <w:spacing w:line="360" w:lineRule="auto"/>
              <w:ind w:left="1103"/>
              <w:jc w:val="both"/>
              <w:rPr>
                <w:rFonts w:ascii="David" w:eastAsia="Times New Roman" w:hAnsi="David" w:cs="David"/>
                <w:color w:val="000000"/>
                <w:sz w:val="24"/>
                <w:szCs w:val="24"/>
              </w:rPr>
            </w:pP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Pr>
            </w:pPr>
            <w:r>
              <w:rPr>
                <w:rFonts w:ascii="David" w:eastAsia="Times New Roman" w:hAnsi="David" w:cs="David"/>
                <w:color w:val="000000"/>
                <w:sz w:val="24"/>
                <w:szCs w:val="24"/>
                <w:rtl/>
              </w:rPr>
              <w:t>בעניינינו, כלל לא הופעל שיקול הדעת של רשם המקרקעין שכן הנתבעת כלל לא ידעה על נהליה שלה, על כך הורחב כבר בסעיף 6.2 לעיל.</w:t>
            </w:r>
          </w:p>
          <w:p w:rsidR="00D048DB" w:rsidRDefault="00D048DB" w:rsidP="00D048DB">
            <w:pPr>
              <w:pStyle w:val="af"/>
              <w:rPr>
                <w:rFonts w:ascii="David" w:eastAsia="Times New Roman" w:hAnsi="David" w:cs="David"/>
                <w:color w:val="000000"/>
                <w:sz w:val="24"/>
                <w:szCs w:val="24"/>
              </w:rPr>
            </w:pPr>
          </w:p>
          <w:p w:rsidR="00D048DB" w:rsidRDefault="00D048DB" w:rsidP="00D048DB">
            <w:pPr>
              <w:pStyle w:val="af"/>
              <w:numPr>
                <w:ilvl w:val="0"/>
                <w:numId w:val="5"/>
              </w:numPr>
              <w:spacing w:line="360" w:lineRule="auto"/>
              <w:ind w:left="1529"/>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זאת ועוד, כאשר מחליטה הנתבעת להתעלם מכך </w:t>
            </w:r>
            <w:r>
              <w:rPr>
                <w:rFonts w:ascii="David" w:eastAsia="Times New Roman" w:hAnsi="David" w:cs="David"/>
                <w:color w:val="000000"/>
                <w:sz w:val="24"/>
                <w:szCs w:val="24"/>
                <w:u w:val="single"/>
                <w:rtl/>
              </w:rPr>
              <w:t>שלא</w:t>
            </w:r>
            <w:r>
              <w:rPr>
                <w:rFonts w:ascii="David" w:eastAsia="Times New Roman" w:hAnsi="David" w:cs="David"/>
                <w:color w:val="000000"/>
                <w:sz w:val="24"/>
                <w:szCs w:val="24"/>
                <w:rtl/>
              </w:rPr>
              <w:t xml:space="preserve"> קיבלה כל הודעה מקוונת מרשות האכיפה והגביה – הרי יש לצפות ממנה שתבחן היטב את שלושת דפי ההחלטה. לכל הפחות שתבחן היטב את דף ההחלטה היחיד שבו ההוראה על הסרת העיקול. בדיקה כזו לא היתה. ניתן לקבוע שבדיקה כזו לא היתה – שכן אילו היתה בדיקה, הרי מיד היתה בולטת העובדה שהדף אינו נושא חותמת עגולה של לשכת ההוצאה לפועל. זאת להבדיל מהדף הראשון ומהדף השלישי בהחלטה הקצרה. </w:t>
            </w:r>
          </w:p>
          <w:p w:rsidR="00D048DB" w:rsidRDefault="00D048DB" w:rsidP="00D048DB">
            <w:pPr>
              <w:pStyle w:val="af"/>
              <w:spacing w:line="360" w:lineRule="auto"/>
              <w:ind w:left="755"/>
              <w:jc w:val="both"/>
              <w:rPr>
                <w:rFonts w:ascii="David" w:eastAsia="Times New Roman" w:hAnsi="David" w:cs="David"/>
                <w:color w:val="000000"/>
                <w:sz w:val="24"/>
                <w:szCs w:val="24"/>
                <w:rtl/>
              </w:rPr>
            </w:pPr>
          </w:p>
          <w:p w:rsidR="00D048DB" w:rsidRDefault="00D048DB" w:rsidP="00D048DB">
            <w:pPr>
              <w:pStyle w:val="af"/>
              <w:numPr>
                <w:ilvl w:val="1"/>
                <w:numId w:val="1"/>
              </w:numPr>
              <w:spacing w:line="360" w:lineRule="auto"/>
              <w:ind w:left="678" w:hanging="567"/>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לסיכום נושא הדיון השלישי מחמישה – הנתבעת לא פעלה בהתאם לנהליה (אותם כלל לא הכירה) – הצו לביטול העיקול לא הועבר באופן מקוון, ובנוסף – לא הוצג לה מקור הצו</w:t>
            </w:r>
          </w:p>
          <w:p w:rsidR="00D048DB" w:rsidRDefault="00D048DB" w:rsidP="00D048DB">
            <w:pPr>
              <w:pStyle w:val="af"/>
              <w:spacing w:line="360" w:lineRule="auto"/>
              <w:ind w:left="678"/>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מהאמור לעיל עולה תמונה ברורה – הנתבעת כלל לא הכירה את נהליה. זאת ועוד, הנתבעת ביטלה ומחקה את צו העיקול למרות שכלל לא קיבלה במערכת המקוונת צו לביטולו; </w:t>
            </w:r>
            <w:r>
              <w:rPr>
                <w:rFonts w:ascii="David" w:eastAsia="Times New Roman" w:hAnsi="David" w:cs="David"/>
                <w:color w:val="000000"/>
                <w:sz w:val="24"/>
                <w:szCs w:val="24"/>
                <w:u w:val="single"/>
                <w:rtl/>
              </w:rPr>
              <w:t>זאת ועוד</w:t>
            </w:r>
            <w:r>
              <w:rPr>
                <w:rFonts w:ascii="David" w:eastAsia="Times New Roman" w:hAnsi="David" w:cs="David"/>
                <w:color w:val="000000"/>
                <w:sz w:val="24"/>
                <w:szCs w:val="24"/>
                <w:rtl/>
              </w:rPr>
              <w:t xml:space="preserve"> – הנתבעת מחקה את צו העיקול, מבלי שהוצג לה צו ביטול העיקול </w:t>
            </w:r>
            <w:r>
              <w:rPr>
                <w:rFonts w:ascii="David" w:eastAsia="Times New Roman" w:hAnsi="David" w:cs="David"/>
                <w:color w:val="000000"/>
                <w:sz w:val="24"/>
                <w:szCs w:val="24"/>
                <w:u w:val="single"/>
                <w:rtl/>
              </w:rPr>
              <w:t>במקור</w:t>
            </w:r>
            <w:r>
              <w:rPr>
                <w:rFonts w:ascii="David" w:eastAsia="Times New Roman" w:hAnsi="David" w:cs="David"/>
                <w:color w:val="000000"/>
                <w:sz w:val="24"/>
                <w:szCs w:val="24"/>
                <w:rtl/>
              </w:rPr>
              <w:t xml:space="preserve">, כדרישת נהלי הרישום. </w:t>
            </w:r>
          </w:p>
          <w:p w:rsidR="00D048DB" w:rsidRDefault="00D048DB" w:rsidP="00D048DB">
            <w:pPr>
              <w:pStyle w:val="af"/>
              <w:spacing w:line="360" w:lineRule="auto"/>
              <w:ind w:left="755"/>
              <w:jc w:val="both"/>
              <w:rPr>
                <w:rFonts w:ascii="David" w:eastAsia="Times New Roman" w:hAnsi="David" w:cs="David"/>
                <w:b/>
                <w:bCs/>
                <w:color w:val="000000"/>
                <w:sz w:val="24"/>
                <w:szCs w:val="24"/>
                <w:rtl/>
              </w:rPr>
            </w:pPr>
          </w:p>
          <w:p w:rsidR="005958EA" w:rsidRDefault="005958EA" w:rsidP="00D048DB">
            <w:pPr>
              <w:pStyle w:val="af"/>
              <w:spacing w:line="360" w:lineRule="auto"/>
              <w:ind w:left="755"/>
              <w:jc w:val="both"/>
              <w:rPr>
                <w:rFonts w:ascii="David" w:eastAsia="Times New Roman" w:hAnsi="David" w:cs="David"/>
                <w:b/>
                <w:bCs/>
                <w:color w:val="000000"/>
                <w:sz w:val="24"/>
                <w:szCs w:val="24"/>
                <w:rtl/>
              </w:rPr>
            </w:pPr>
          </w:p>
          <w:p w:rsidR="00D048DB" w:rsidRDefault="00D048DB" w:rsidP="00D048DB">
            <w:pPr>
              <w:pStyle w:val="af"/>
              <w:spacing w:line="360" w:lineRule="auto"/>
              <w:ind w:left="111"/>
              <w:jc w:val="both"/>
              <w:rPr>
                <w:rFonts w:ascii="David" w:eastAsia="Times New Roman" w:hAnsi="David" w:cs="David"/>
                <w:b/>
                <w:bCs/>
                <w:color w:val="000000"/>
                <w:sz w:val="24"/>
                <w:szCs w:val="24"/>
                <w:rtl/>
              </w:rPr>
            </w:pPr>
            <w:r>
              <w:rPr>
                <w:rFonts w:ascii="David" w:eastAsia="Times New Roman" w:hAnsi="David" w:cs="David"/>
                <w:b/>
                <w:bCs/>
                <w:color w:val="000000"/>
                <w:sz w:val="24"/>
                <w:szCs w:val="24"/>
                <w:rtl/>
              </w:rPr>
              <w:t>הערת מעבר – ניתן לסיים פסק הדין כבר כאן, שכן די בכך שהנתבעת לא פעלה בהתאם לנהליה על מנת לקבוע בעניינינו שהתרשלה. עם זאת, ולמעלה מהנדרש, אתייחס לכך שהנתבעת אף התרשלה כאשר התעלמה משלושה תמרורי אזהרה ברורים – "נורות אזהרה" כהגדרת הפסיקה. על כך בפסקאות הבאות.</w:t>
            </w:r>
          </w:p>
          <w:p w:rsidR="00D048DB" w:rsidRDefault="00D048DB" w:rsidP="00D048DB">
            <w:pPr>
              <w:pStyle w:val="af"/>
              <w:spacing w:line="360" w:lineRule="auto"/>
              <w:ind w:left="1360"/>
              <w:jc w:val="both"/>
              <w:rPr>
                <w:rFonts w:ascii="David" w:eastAsia="Times New Roman" w:hAnsi="David" w:cs="David"/>
                <w:color w:val="000000"/>
                <w:sz w:val="24"/>
                <w:szCs w:val="24"/>
                <w:rtl/>
              </w:rPr>
            </w:pPr>
          </w:p>
          <w:p w:rsidR="005958EA" w:rsidRDefault="005958EA" w:rsidP="00D048DB">
            <w:pPr>
              <w:pStyle w:val="af"/>
              <w:spacing w:line="360" w:lineRule="auto"/>
              <w:ind w:left="1360"/>
              <w:jc w:val="both"/>
              <w:rPr>
                <w:rFonts w:ascii="David" w:eastAsia="Times New Roman" w:hAnsi="David" w:cs="David"/>
                <w:color w:val="000000"/>
                <w:sz w:val="24"/>
                <w:szCs w:val="24"/>
                <w:rtl/>
              </w:rPr>
            </w:pPr>
          </w:p>
          <w:p w:rsidR="00D048DB" w:rsidRDefault="00D048DB" w:rsidP="00D048DB">
            <w:pPr>
              <w:pStyle w:val="af"/>
              <w:numPr>
                <w:ilvl w:val="0"/>
                <w:numId w:val="1"/>
              </w:numPr>
              <w:spacing w:line="360" w:lineRule="auto"/>
              <w:ind w:left="111" w:hanging="284"/>
              <w:jc w:val="both"/>
              <w:rPr>
                <w:rFonts w:ascii="David" w:eastAsia="Times New Roman" w:hAnsi="David" w:cs="David"/>
                <w:color w:val="000000"/>
                <w:sz w:val="24"/>
                <w:szCs w:val="24"/>
                <w:u w:val="single"/>
                <w:rtl/>
              </w:rPr>
            </w:pPr>
            <w:r>
              <w:rPr>
                <w:rFonts w:ascii="David" w:hAnsi="David" w:cs="David"/>
                <w:b/>
                <w:bCs/>
                <w:sz w:val="24"/>
                <w:szCs w:val="24"/>
                <w:rtl/>
              </w:rPr>
              <w:lastRenderedPageBreak/>
              <w:t>נ</w:t>
            </w:r>
            <w:r>
              <w:rPr>
                <w:rFonts w:ascii="David" w:hAnsi="David" w:cs="David"/>
                <w:b/>
                <w:bCs/>
                <w:sz w:val="24"/>
                <w:szCs w:val="24"/>
                <w:u w:val="single"/>
                <w:rtl/>
              </w:rPr>
              <w:t>ושא דיון רביעי מחמישה – הנתבעת אשר התעלמה מכך שלא קיבלה במערכותיה צו ביטול עיקול מקוון, אף התעלמה משלושה תמרורי אזהרה ברורים שנשא הצו המזויף</w:t>
            </w:r>
          </w:p>
          <w:p w:rsidR="00D048DB" w:rsidRDefault="00D048DB" w:rsidP="00D048DB">
            <w:pPr>
              <w:pStyle w:val="af"/>
              <w:numPr>
                <w:ilvl w:val="1"/>
                <w:numId w:val="1"/>
              </w:numPr>
              <w:tabs>
                <w:tab w:val="left" w:pos="1954"/>
              </w:tabs>
              <w:spacing w:line="360" w:lineRule="auto"/>
              <w:ind w:left="678" w:hanging="567"/>
              <w:jc w:val="both"/>
              <w:rPr>
                <w:rFonts w:ascii="David" w:eastAsia="Times New Roman" w:hAnsi="David" w:cs="David"/>
                <w:color w:val="000000"/>
                <w:sz w:val="24"/>
                <w:szCs w:val="24"/>
                <w:u w:val="single"/>
              </w:rPr>
            </w:pPr>
            <w:r>
              <w:rPr>
                <w:rFonts w:ascii="David" w:hAnsi="David" w:cs="David"/>
                <w:sz w:val="24"/>
                <w:szCs w:val="24"/>
                <w:rtl/>
              </w:rPr>
              <w:t xml:space="preserve">הנתבעת, כאמור, קבעה נהלים </w:t>
            </w:r>
            <w:r>
              <w:rPr>
                <w:rFonts w:ascii="David" w:eastAsia="Times New Roman" w:hAnsi="David" w:cs="David"/>
                <w:color w:val="000000"/>
                <w:sz w:val="24"/>
                <w:szCs w:val="24"/>
                <w:rtl/>
              </w:rPr>
              <w:t>אשר על פיהם נוהג הציבור. בקשה המוגשת אל הנתבעת נבחנת בהתאם לקריטריונים שהציבה הנתבעת עצמה ובהתאם לנהליה. מכאן, אך ברור הוא שגם התובעת ציפתה שהנתבעת תקפיד על הבדיקה הנאותה ועל קיום הוראותיה שלה.</w:t>
            </w:r>
          </w:p>
          <w:p w:rsidR="00D048DB" w:rsidRDefault="00D048DB" w:rsidP="00D048DB">
            <w:pPr>
              <w:pStyle w:val="af"/>
              <w:tabs>
                <w:tab w:val="left" w:pos="1954"/>
              </w:tabs>
              <w:spacing w:line="360" w:lineRule="auto"/>
              <w:ind w:left="678"/>
              <w:jc w:val="both"/>
              <w:rPr>
                <w:rFonts w:ascii="David" w:eastAsia="Times New Roman" w:hAnsi="David" w:cs="David"/>
                <w:color w:val="000000"/>
                <w:sz w:val="24"/>
                <w:szCs w:val="24"/>
                <w:u w:val="single"/>
              </w:rPr>
            </w:pPr>
            <w:r>
              <w:rPr>
                <w:rFonts w:ascii="David" w:hAnsi="David" w:cs="David"/>
                <w:sz w:val="24"/>
                <w:szCs w:val="24"/>
                <w:rtl/>
              </w:rPr>
              <w:t xml:space="preserve">כפי שצוין בסעיף 6.1 לעיל, הנתבעת קבעה בסיפת סעיף 1.5.7 לנהלים  חריג אשר מטרתו, כך לפי עד הנתבעת, להתגבר על כך שהממשק המקוון שלא מתעדכן מיידית ובזמן אמת ולנתבעת אין אפשרות למשוך ממנו נתונים. משכך וכחריג לכלל, ניתנה אפשרות לדווח על ביטול העיקול ישירות ובאופן פרונטלי במשרדי הנתבעת. </w:t>
            </w:r>
          </w:p>
          <w:p w:rsidR="00D048DB" w:rsidRDefault="00D048DB" w:rsidP="00D048DB">
            <w:pPr>
              <w:pStyle w:val="af"/>
              <w:tabs>
                <w:tab w:val="left" w:pos="1954"/>
              </w:tabs>
              <w:spacing w:line="360" w:lineRule="auto"/>
              <w:ind w:left="678"/>
              <w:jc w:val="both"/>
              <w:rPr>
                <w:rFonts w:ascii="David" w:eastAsia="Times New Roman" w:hAnsi="David" w:cs="David"/>
                <w:b/>
                <w:bCs/>
                <w:color w:val="000000"/>
                <w:sz w:val="24"/>
                <w:szCs w:val="24"/>
                <w:u w:val="single"/>
              </w:rPr>
            </w:pPr>
          </w:p>
          <w:p w:rsidR="00D048DB" w:rsidRDefault="00D048DB" w:rsidP="00D048DB">
            <w:pPr>
              <w:pStyle w:val="af"/>
              <w:numPr>
                <w:ilvl w:val="1"/>
                <w:numId w:val="1"/>
              </w:numPr>
              <w:tabs>
                <w:tab w:val="left" w:pos="1954"/>
              </w:tabs>
              <w:spacing w:line="360" w:lineRule="auto"/>
              <w:ind w:left="678" w:hanging="567"/>
              <w:jc w:val="both"/>
              <w:rPr>
                <w:rFonts w:ascii="David" w:eastAsia="Times New Roman" w:hAnsi="David" w:cs="David"/>
                <w:b/>
                <w:bCs/>
                <w:color w:val="000000"/>
                <w:sz w:val="24"/>
                <w:szCs w:val="24"/>
                <w:u w:val="single"/>
              </w:rPr>
            </w:pPr>
            <w:r>
              <w:rPr>
                <w:rFonts w:ascii="David" w:hAnsi="David" w:cs="David"/>
                <w:sz w:val="24"/>
                <w:szCs w:val="24"/>
                <w:rtl/>
              </w:rPr>
              <w:t xml:space="preserve">בענייננו, החליטה הנתבעת שדי בדיווח הפרונטלי ועל פיו מחקה את העיקול. ואולם ניתן להצביע על לפחות שלושה תמרורי אזהרה, שלוש נורות אדומות בוהקות, אשר בזכות ההתעלמות מהן הצליחה החייבת במזימתה, ואילו הנתבעת כשלה כשמחקה שלא כדין את העיקול בספריה. בהתנהלותה של הנתבעת חרגה זו מהאופן בו רשות סבירה היתה צריכה לפעול בנסיבות העניין ובמלוא הכבוד התרשלה. </w:t>
            </w:r>
            <w:r>
              <w:rPr>
                <w:rFonts w:ascii="David" w:eastAsia="Times New Roman" w:hAnsi="David" w:cs="David"/>
                <w:color w:val="000000"/>
                <w:sz w:val="24"/>
                <w:szCs w:val="24"/>
                <w:rtl/>
              </w:rPr>
              <w:t>על כך שעל הנתבעת להתייחס לתמרורי אזהרה שניצבים בדרכה, למדים גם מהוראות סעיף 35 ל</w:t>
            </w:r>
            <w:r>
              <w:rPr>
                <w:rFonts w:ascii="David" w:eastAsia="Times New Roman" w:hAnsi="David" w:cs="David"/>
                <w:color w:val="000000"/>
                <w:sz w:val="24"/>
                <w:szCs w:val="24"/>
                <w:u w:val="single"/>
                <w:rtl/>
              </w:rPr>
              <w:t>פקודת הנזיקין [נוסח חדש]</w:t>
            </w:r>
            <w:r>
              <w:rPr>
                <w:rFonts w:ascii="David" w:eastAsia="Times New Roman" w:hAnsi="David" w:cs="David"/>
                <w:color w:val="000000"/>
                <w:sz w:val="24"/>
                <w:szCs w:val="24"/>
                <w:rtl/>
              </w:rPr>
              <w:t xml:space="preserve"> המתייחס אל החובה לפעול, ומנגד על החובה להימנע מפעולה וכלשון הוראת הפקודה </w:t>
            </w:r>
            <w:r>
              <w:rPr>
                <w:rFonts w:ascii="David" w:eastAsia="Times New Roman" w:hAnsi="David" w:cs="David"/>
                <w:b/>
                <w:bCs/>
                <w:color w:val="000000"/>
                <w:sz w:val="24"/>
                <w:szCs w:val="24"/>
                <w:rtl/>
              </w:rPr>
              <w:t>"עשה אדם מעשה שאדם סביר ונבון לא היה עושה באותן נסיבות, או לא עשה מעשה שאדם סביר ונבון היה עושה באותן נסיבות, או שבמשלח יד פלוני לא השתמש במיומנות, או לא נקט מידת זהירות, שאדם סביר ונבון וכשיר לפעול באותו משלח יד היה משתמש או נוקט באותן נסיבות – הרי זו התרשלות"</w:t>
            </w:r>
            <w:r>
              <w:rPr>
                <w:rFonts w:ascii="David" w:eastAsia="Times New Roman" w:hAnsi="David" w:cs="David"/>
                <w:color w:val="000000"/>
                <w:sz w:val="24"/>
                <w:szCs w:val="24"/>
                <w:rtl/>
              </w:rPr>
              <w:t>.</w:t>
            </w:r>
          </w:p>
          <w:p w:rsidR="00D048DB" w:rsidRDefault="00D048DB" w:rsidP="00D048DB">
            <w:pPr>
              <w:pStyle w:val="af"/>
              <w:tabs>
                <w:tab w:val="left" w:pos="1954"/>
              </w:tabs>
              <w:spacing w:line="360" w:lineRule="auto"/>
              <w:ind w:left="678"/>
              <w:jc w:val="both"/>
              <w:rPr>
                <w:rFonts w:ascii="David" w:eastAsia="Times New Roman" w:hAnsi="David" w:cs="David"/>
                <w:b/>
                <w:bCs/>
                <w:color w:val="000000"/>
                <w:sz w:val="24"/>
                <w:szCs w:val="24"/>
                <w:u w:val="single"/>
              </w:rPr>
            </w:pPr>
            <w:r>
              <w:rPr>
                <w:rFonts w:ascii="David" w:hAnsi="David" w:cs="David"/>
                <w:sz w:val="24"/>
                <w:szCs w:val="24"/>
                <w:rtl/>
              </w:rPr>
              <w:t>ואולם, גם באופן ספציפי להתנהלות הנתבעת קבע בית המשפט שעליה להתייחס לתמרורי אזהרה הניצבים בדרכה בטרם אישור או ביטול רישום בספריה.</w:t>
            </w:r>
            <w:r>
              <w:rPr>
                <w:rFonts w:ascii="David" w:eastAsia="Times New Roman" w:hAnsi="David" w:cs="David"/>
                <w:color w:val="000000"/>
                <w:sz w:val="24"/>
                <w:szCs w:val="24"/>
                <w:rtl/>
              </w:rPr>
              <w:t xml:space="preserve"> התייחסות זו הובאה במפורש במסגרת </w:t>
            </w:r>
          </w:p>
          <w:p w:rsidR="00D048DB" w:rsidRDefault="00D048DB" w:rsidP="00D048DB">
            <w:pPr>
              <w:pStyle w:val="af"/>
              <w:tabs>
                <w:tab w:val="left" w:pos="1954"/>
              </w:tabs>
              <w:spacing w:line="360" w:lineRule="auto"/>
              <w:ind w:left="678"/>
              <w:jc w:val="both"/>
              <w:rPr>
                <w:rFonts w:ascii="David" w:eastAsia="Times New Roman" w:hAnsi="David" w:cs="David"/>
                <w:b/>
                <w:bCs/>
                <w:color w:val="000000"/>
                <w:sz w:val="24"/>
                <w:szCs w:val="24"/>
                <w:u w:val="single"/>
                <w:rtl/>
              </w:rPr>
            </w:pPr>
            <w:r>
              <w:rPr>
                <w:rFonts w:ascii="David" w:hAnsi="David" w:cs="David"/>
                <w:color w:val="000000"/>
                <w:sz w:val="24"/>
                <w:szCs w:val="24"/>
                <w:rtl/>
              </w:rPr>
              <w:t>ת"א (מחוזי ת"א) 64575-12-21‏ ‏</w:t>
            </w:r>
            <w:r>
              <w:rPr>
                <w:rFonts w:ascii="David" w:hAnsi="David" w:cs="David"/>
                <w:color w:val="000000"/>
                <w:sz w:val="24"/>
                <w:szCs w:val="24"/>
                <w:u w:val="single"/>
                <w:rtl/>
              </w:rPr>
              <w:t>עדנה שושני נ' מדינת ישראל - רשם המקרקעין</w:t>
            </w:r>
            <w:r>
              <w:rPr>
                <w:rFonts w:ascii="David" w:hAnsi="David" w:cs="David"/>
                <w:color w:val="000000"/>
                <w:sz w:val="24"/>
                <w:szCs w:val="24"/>
                <w:rtl/>
              </w:rPr>
              <w:t>‏ (21.10.2024, הש' נ' שילה)</w:t>
            </w:r>
            <w:r>
              <w:rPr>
                <w:rFonts w:ascii="David" w:eastAsia="Times New Roman" w:hAnsi="David" w:cs="David"/>
                <w:color w:val="000000"/>
                <w:sz w:val="24"/>
                <w:szCs w:val="24"/>
                <w:rtl/>
              </w:rPr>
              <w:t xml:space="preserve"> הנזכר לעיל. אמנם בענין זה כונו תמרורי האזהרה כ"נרות אדומות", ואולם החובה להתייחס אליהם הובהרה היטב. </w:t>
            </w:r>
          </w:p>
          <w:p w:rsidR="00D048DB" w:rsidRDefault="00D048DB" w:rsidP="00D048DB">
            <w:pPr>
              <w:pStyle w:val="af"/>
              <w:tabs>
                <w:tab w:val="left" w:pos="1954"/>
              </w:tabs>
              <w:spacing w:line="360" w:lineRule="auto"/>
              <w:ind w:left="678"/>
              <w:jc w:val="both"/>
              <w:rPr>
                <w:rFonts w:ascii="David" w:eastAsia="Times New Roman" w:hAnsi="David" w:cs="David"/>
                <w:b/>
                <w:bCs/>
                <w:color w:val="000000"/>
                <w:sz w:val="24"/>
                <w:szCs w:val="24"/>
                <w:u w:val="single"/>
                <w:rtl/>
              </w:rPr>
            </w:pPr>
          </w:p>
          <w:p w:rsidR="00D048DB" w:rsidRDefault="00D048DB" w:rsidP="00D048DB">
            <w:pPr>
              <w:pStyle w:val="af"/>
              <w:tabs>
                <w:tab w:val="left" w:pos="1954"/>
              </w:tabs>
              <w:spacing w:line="360" w:lineRule="auto"/>
              <w:ind w:left="678"/>
              <w:jc w:val="both"/>
              <w:rPr>
                <w:rFonts w:ascii="David" w:eastAsia="Times New Roman" w:hAnsi="David" w:cs="David"/>
                <w:b/>
                <w:bCs/>
                <w:color w:val="000000"/>
                <w:sz w:val="24"/>
                <w:szCs w:val="24"/>
                <w:u w:val="single"/>
              </w:rPr>
            </w:pPr>
            <w:r>
              <w:rPr>
                <w:rFonts w:ascii="David" w:hAnsi="David" w:cs="David"/>
                <w:sz w:val="24"/>
                <w:szCs w:val="24"/>
                <w:rtl/>
              </w:rPr>
              <w:t>שלושה תמרורי האזהרה מהם התעלמה הנתבעת יובאו להלן בפסקאות הבאות.</w:t>
            </w:r>
          </w:p>
          <w:p w:rsidR="00D048DB" w:rsidRDefault="00D048DB" w:rsidP="00D048DB">
            <w:pPr>
              <w:pStyle w:val="af"/>
              <w:tabs>
                <w:tab w:val="left" w:pos="1954"/>
              </w:tabs>
              <w:spacing w:line="360" w:lineRule="auto"/>
              <w:ind w:left="678"/>
              <w:jc w:val="both"/>
              <w:rPr>
                <w:rFonts w:ascii="David" w:eastAsia="Times New Roman" w:hAnsi="David" w:cs="David"/>
                <w:color w:val="000000"/>
                <w:sz w:val="24"/>
                <w:szCs w:val="24"/>
                <w:u w:val="single"/>
              </w:rPr>
            </w:pPr>
          </w:p>
          <w:p w:rsidR="00D048DB" w:rsidRDefault="00D048DB" w:rsidP="00D048DB">
            <w:pPr>
              <w:pStyle w:val="af"/>
              <w:numPr>
                <w:ilvl w:val="2"/>
                <w:numId w:val="1"/>
              </w:numPr>
              <w:tabs>
                <w:tab w:val="left" w:pos="1954"/>
              </w:tabs>
              <w:spacing w:line="360" w:lineRule="auto"/>
              <w:ind w:left="1387" w:hanging="709"/>
              <w:jc w:val="both"/>
              <w:rPr>
                <w:rFonts w:ascii="David" w:eastAsia="Times New Roman" w:hAnsi="David" w:cs="David"/>
                <w:color w:val="000000"/>
                <w:sz w:val="24"/>
                <w:szCs w:val="24"/>
                <w:u w:val="single"/>
              </w:rPr>
            </w:pPr>
            <w:r>
              <w:rPr>
                <w:rFonts w:ascii="David" w:hAnsi="David" w:cs="David"/>
                <w:b/>
                <w:bCs/>
                <w:sz w:val="24"/>
                <w:szCs w:val="24"/>
                <w:u w:val="single"/>
                <w:rtl/>
              </w:rPr>
              <w:t xml:space="preserve">תמרור אזהרה </w:t>
            </w:r>
            <w:r>
              <w:rPr>
                <w:rFonts w:ascii="David" w:eastAsia="Times New Roman" w:hAnsi="David" w:cs="David"/>
                <w:b/>
                <w:bCs/>
                <w:color w:val="000000"/>
                <w:sz w:val="24"/>
                <w:szCs w:val="24"/>
                <w:u w:val="single"/>
                <w:rtl/>
              </w:rPr>
              <w:t>ראשון משלושה מהם התעלמה הנתבעת - במקרה הנדון לא הוצג הצו במקור וזאת בניגוד לדרישת סעיף 1.5.7 לנהלי הנתבעת</w:t>
            </w:r>
          </w:p>
          <w:p w:rsidR="00D048DB" w:rsidRDefault="00D048DB" w:rsidP="00D048DB">
            <w:pPr>
              <w:pStyle w:val="af"/>
              <w:numPr>
                <w:ilvl w:val="0"/>
                <w:numId w:val="18"/>
              </w:numPr>
              <w:tabs>
                <w:tab w:val="left" w:pos="1954"/>
              </w:tabs>
              <w:spacing w:line="360" w:lineRule="auto"/>
              <w:ind w:left="1670"/>
              <w:jc w:val="both"/>
              <w:rPr>
                <w:rFonts w:ascii="David" w:eastAsia="Times New Roman" w:hAnsi="David" w:cs="David"/>
                <w:color w:val="000000"/>
                <w:sz w:val="24"/>
                <w:szCs w:val="24"/>
                <w:u w:val="single"/>
              </w:rPr>
            </w:pPr>
            <w:r>
              <w:rPr>
                <w:rFonts w:ascii="David" w:hAnsi="David" w:cs="David"/>
                <w:sz w:val="24"/>
                <w:szCs w:val="24"/>
                <w:rtl/>
              </w:rPr>
              <w:t>הגשת צו לביטול עיקול באופן פרונטלי לפי סעיף 1.5.7 ל</w:t>
            </w:r>
            <w:r>
              <w:rPr>
                <w:rFonts w:ascii="David" w:eastAsia="Times New Roman" w:hAnsi="David" w:cs="David"/>
                <w:color w:val="000000"/>
                <w:sz w:val="24"/>
                <w:szCs w:val="24"/>
                <w:rtl/>
              </w:rPr>
              <w:t>נהלי הנתבעת</w:t>
            </w:r>
            <w:r>
              <w:rPr>
                <w:rFonts w:ascii="David" w:hAnsi="David" w:cs="David"/>
                <w:sz w:val="24"/>
                <w:szCs w:val="24"/>
                <w:rtl/>
              </w:rPr>
              <w:t xml:space="preserve"> מחייבת הגשתו </w:t>
            </w:r>
            <w:r>
              <w:rPr>
                <w:rFonts w:ascii="David" w:hAnsi="David" w:cs="David"/>
                <w:b/>
                <w:bCs/>
                <w:sz w:val="24"/>
                <w:szCs w:val="24"/>
                <w:u w:val="single"/>
                <w:rtl/>
              </w:rPr>
              <w:t xml:space="preserve">במקור </w:t>
            </w:r>
            <w:r>
              <w:rPr>
                <w:rFonts w:ascii="David" w:hAnsi="David" w:cs="David"/>
                <w:sz w:val="24"/>
                <w:szCs w:val="24"/>
                <w:rtl/>
              </w:rPr>
              <w:t xml:space="preserve">ור' סעיף 6.1 לעיל. </w:t>
            </w:r>
            <w:r>
              <w:rPr>
                <w:rFonts w:ascii="David" w:eastAsia="Times New Roman" w:hAnsi="David" w:cs="David"/>
                <w:color w:val="000000"/>
                <w:sz w:val="24"/>
                <w:szCs w:val="24"/>
                <w:rtl/>
              </w:rPr>
              <w:t xml:space="preserve">בענייננו, </w:t>
            </w:r>
            <w:r>
              <w:rPr>
                <w:rFonts w:ascii="David" w:eastAsia="Times New Roman" w:hAnsi="David" w:cs="David"/>
                <w:color w:val="000000"/>
                <w:sz w:val="24"/>
                <w:szCs w:val="24"/>
                <w:u w:val="single"/>
                <w:rtl/>
              </w:rPr>
              <w:t xml:space="preserve">לא </w:t>
            </w:r>
            <w:r>
              <w:rPr>
                <w:rFonts w:ascii="David" w:eastAsia="Times New Roman" w:hAnsi="David" w:cs="David"/>
                <w:color w:val="000000"/>
                <w:sz w:val="24"/>
                <w:szCs w:val="24"/>
                <w:rtl/>
              </w:rPr>
              <w:t xml:space="preserve">הוגש הצו במקור. מתוך שלושה עמודים רק שניים היו חתומים בחותמת לשכת ההוצאה לפועל, ואולם </w:t>
            </w:r>
            <w:r>
              <w:rPr>
                <w:rFonts w:ascii="David" w:eastAsia="Times New Roman" w:hAnsi="David" w:cs="David"/>
                <w:color w:val="000000"/>
                <w:sz w:val="24"/>
                <w:szCs w:val="24"/>
                <w:u w:val="single"/>
                <w:rtl/>
              </w:rPr>
              <w:t xml:space="preserve">הדף בו נכתבה הפעולה האופרטיבית שעל הנתבעת לבצע  לא נמסר במקור ואך לא נשא כל </w:t>
            </w:r>
            <w:r>
              <w:rPr>
                <w:rFonts w:ascii="David" w:eastAsia="Times New Roman" w:hAnsi="David" w:cs="David"/>
                <w:color w:val="000000"/>
                <w:sz w:val="24"/>
                <w:szCs w:val="24"/>
                <w:u w:val="single"/>
                <w:rtl/>
              </w:rPr>
              <w:lastRenderedPageBreak/>
              <w:t>חותמת אישור</w:t>
            </w:r>
            <w:r>
              <w:rPr>
                <w:rFonts w:ascii="David" w:eastAsia="Times New Roman" w:hAnsi="David" w:cs="David"/>
                <w:color w:val="000000"/>
                <w:sz w:val="24"/>
                <w:szCs w:val="24"/>
                <w:rtl/>
              </w:rPr>
              <w:t>. אין חולק על כך ש</w:t>
            </w:r>
            <w:r>
              <w:rPr>
                <w:rFonts w:ascii="David" w:hAnsi="David" w:cs="David"/>
                <w:sz w:val="24"/>
                <w:szCs w:val="24"/>
                <w:rtl/>
              </w:rPr>
              <w:t xml:space="preserve">בעמוד השני והרלוונטי להחלטה המזויפת המורה על ביטול העיקול </w:t>
            </w:r>
            <w:r>
              <w:rPr>
                <w:rFonts w:ascii="David" w:hAnsi="David" w:cs="David"/>
                <w:sz w:val="24"/>
                <w:szCs w:val="24"/>
                <w:u w:val="single"/>
                <w:rtl/>
              </w:rPr>
              <w:t>אין</w:t>
            </w:r>
            <w:r>
              <w:rPr>
                <w:rFonts w:ascii="David" w:hAnsi="David" w:cs="David"/>
                <w:sz w:val="24"/>
                <w:szCs w:val="24"/>
                <w:rtl/>
              </w:rPr>
              <w:t xml:space="preserve"> חותמת, וכך גם הודה נציג הנתבעת ור' סעיף 6.4(ה) לעיל.</w:t>
            </w:r>
          </w:p>
          <w:p w:rsidR="00D048DB" w:rsidRDefault="00D048DB" w:rsidP="00D048DB">
            <w:pPr>
              <w:pStyle w:val="af"/>
              <w:tabs>
                <w:tab w:val="left" w:pos="1954"/>
              </w:tabs>
              <w:spacing w:line="360" w:lineRule="auto"/>
              <w:ind w:left="1038"/>
              <w:jc w:val="both"/>
              <w:rPr>
                <w:rFonts w:ascii="David" w:eastAsia="Times New Roman" w:hAnsi="David" w:cs="David"/>
                <w:color w:val="000000"/>
                <w:sz w:val="24"/>
                <w:szCs w:val="24"/>
                <w:u w:val="single"/>
              </w:rPr>
            </w:pPr>
          </w:p>
          <w:p w:rsidR="00D048DB" w:rsidRDefault="00D048DB" w:rsidP="00D048DB">
            <w:pPr>
              <w:pStyle w:val="af"/>
              <w:numPr>
                <w:ilvl w:val="0"/>
                <w:numId w:val="18"/>
              </w:numPr>
              <w:tabs>
                <w:tab w:val="left" w:pos="1954"/>
              </w:tabs>
              <w:spacing w:line="360" w:lineRule="auto"/>
              <w:ind w:left="1670"/>
              <w:jc w:val="both"/>
              <w:rPr>
                <w:rFonts w:ascii="David" w:eastAsia="Times New Roman" w:hAnsi="David" w:cs="David"/>
                <w:color w:val="000000"/>
                <w:sz w:val="24"/>
                <w:szCs w:val="24"/>
                <w:u w:val="single"/>
              </w:rPr>
            </w:pPr>
            <w:r>
              <w:rPr>
                <w:rFonts w:ascii="David" w:hAnsi="David" w:cs="David"/>
                <w:sz w:val="24"/>
                <w:szCs w:val="24"/>
                <w:rtl/>
              </w:rPr>
              <w:t xml:space="preserve">נראה שהנתבעת אפילו לא ניסתה לבדוק את ההחלטה ובה הצו המזויף שהוגש לרישום; עוד נראה שהנתבעת ממילא לא בדקה האם הדף הרלוונטי </w:t>
            </w:r>
            <w:r>
              <w:rPr>
                <w:rFonts w:ascii="David" w:eastAsia="Times New Roman" w:hAnsi="David" w:cs="David"/>
                <w:color w:val="000000"/>
                <w:sz w:val="24"/>
                <w:szCs w:val="24"/>
                <w:rtl/>
              </w:rPr>
              <w:t>נושא חותמת אישור של לשכת ההוצאה לפועל. וכאן אשוב ואדגיש שאין מדובר בדף נסתר מתוך החלטה עבת כרס של עשרות או מאות דפים. אין מדובר בדף שבהיסח הדעת לא השימה הנתבעת דעתה אליו. בענייננו מדובר בדף אחד מתוך שלושה דפים בלבד, זאת ועוד – מדובר בדף היחיד שבו הוראה אופרטיבית להסרת העיקול – כלומר אין ספק שהנתבעת אכן הביטה בו, גם אם לא עיינה, בטרם מחיקת העיקול.</w:t>
            </w:r>
          </w:p>
          <w:p w:rsidR="00D048DB" w:rsidRDefault="00D048DB" w:rsidP="00D048DB">
            <w:pPr>
              <w:pStyle w:val="af"/>
              <w:rPr>
                <w:rFonts w:ascii="David" w:eastAsia="Times New Roman" w:hAnsi="David" w:cs="David"/>
                <w:color w:val="000000"/>
                <w:sz w:val="24"/>
                <w:szCs w:val="24"/>
              </w:rPr>
            </w:pPr>
          </w:p>
          <w:p w:rsidR="00D048DB" w:rsidRDefault="00D048DB" w:rsidP="00D048DB">
            <w:pPr>
              <w:pStyle w:val="af"/>
              <w:tabs>
                <w:tab w:val="left" w:pos="1954"/>
              </w:tabs>
              <w:spacing w:line="360" w:lineRule="auto"/>
              <w:ind w:left="1670"/>
              <w:jc w:val="both"/>
              <w:rPr>
                <w:rFonts w:ascii="David" w:eastAsia="Times New Roman" w:hAnsi="David" w:cs="David"/>
                <w:color w:val="000000"/>
                <w:sz w:val="24"/>
                <w:szCs w:val="24"/>
                <w:rtl/>
              </w:rPr>
            </w:pPr>
            <w:r>
              <w:rPr>
                <w:rFonts w:ascii="David" w:eastAsia="Times New Roman" w:hAnsi="David" w:cs="David"/>
                <w:color w:val="000000"/>
                <w:sz w:val="24"/>
                <w:szCs w:val="24"/>
                <w:rtl/>
              </w:rPr>
              <w:t>על כך שנראה שהנתבעת אפילו לא ניסתה לבדוק את הדף המזויף, ניתן ללמוד משתי אמירות הגונות בתשובותיו ועדותו של נציג הנתבעת. וכך:</w:t>
            </w:r>
          </w:p>
          <w:p w:rsidR="00D048DB" w:rsidRDefault="00D048DB" w:rsidP="00D048DB">
            <w:pPr>
              <w:pStyle w:val="af"/>
              <w:tabs>
                <w:tab w:val="left" w:pos="1954"/>
              </w:tabs>
              <w:spacing w:line="360" w:lineRule="auto"/>
              <w:ind w:left="1038"/>
              <w:jc w:val="both"/>
              <w:rPr>
                <w:rFonts w:ascii="David" w:eastAsia="Times New Roman" w:hAnsi="David" w:cs="David"/>
                <w:color w:val="000000"/>
                <w:sz w:val="24"/>
                <w:szCs w:val="24"/>
                <w:rtl/>
              </w:rPr>
            </w:pPr>
          </w:p>
          <w:p w:rsidR="00D048DB" w:rsidRDefault="00D048DB" w:rsidP="00D048DB">
            <w:pPr>
              <w:pStyle w:val="af"/>
              <w:numPr>
                <w:ilvl w:val="0"/>
                <w:numId w:val="5"/>
              </w:numPr>
              <w:tabs>
                <w:tab w:val="left" w:pos="1954"/>
              </w:tabs>
              <w:spacing w:line="360" w:lineRule="auto"/>
              <w:ind w:left="1954" w:hanging="284"/>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 xml:space="preserve">אמירה ראשונה משתיים המלמדת על כך שהנתבעת כלל לא עיינה במסמך המזויף </w:t>
            </w:r>
            <w:r>
              <w:rPr>
                <w:rFonts w:ascii="David" w:eastAsia="Times New Roman" w:hAnsi="David" w:cs="David"/>
                <w:color w:val="000000"/>
                <w:sz w:val="24"/>
                <w:szCs w:val="24"/>
                <w:rtl/>
              </w:rPr>
              <w:t xml:space="preserve">-  ניתן ללמוד שהנתבעת היתה אדישה לחלוטין לבדיקת המסמך שהוגש במשרדיה וזאת מחקירתו הנגדית של הנציג מטעמה. במסגרת החקירה הנגדית נשאל הנציג באשר להיעדר החותמת על הדף </w:t>
            </w:r>
            <w:r>
              <w:rPr>
                <w:rFonts w:ascii="David" w:eastAsia="Times New Roman" w:hAnsi="David" w:cs="David"/>
                <w:color w:val="000000"/>
                <w:sz w:val="24"/>
                <w:szCs w:val="24"/>
                <w:u w:val="single"/>
                <w:rtl/>
              </w:rPr>
              <w:t>היחיד</w:t>
            </w:r>
            <w:r>
              <w:rPr>
                <w:rFonts w:ascii="David" w:eastAsia="Times New Roman" w:hAnsi="David" w:cs="David"/>
                <w:color w:val="000000"/>
                <w:sz w:val="24"/>
                <w:szCs w:val="24"/>
                <w:rtl/>
              </w:rPr>
              <w:t xml:space="preserve"> ובו ההוראה האופרטיבית להסרת העיקול והשיב כך (ע"מ 46, ש' 6-7, ההדגשות לא במקור):</w:t>
            </w:r>
          </w:p>
          <w:p w:rsidR="00D048DB" w:rsidRDefault="00D048DB" w:rsidP="00D048DB">
            <w:pPr>
              <w:pStyle w:val="ae"/>
              <w:shd w:val="clear" w:color="auto" w:fill="auto"/>
              <w:spacing w:line="360" w:lineRule="auto"/>
              <w:ind w:left="3938" w:hanging="1353"/>
              <w:jc w:val="both"/>
              <w:rPr>
                <w:rFonts w:ascii="David" w:hAnsi="David" w:cs="David"/>
                <w:sz w:val="24"/>
                <w:szCs w:val="24"/>
                <w:u w:val="none"/>
                <w:rtl/>
              </w:rPr>
            </w:pPr>
            <w:r>
              <w:rPr>
                <w:rFonts w:ascii="David" w:hAnsi="David" w:cs="David"/>
                <w:sz w:val="24"/>
                <w:szCs w:val="24"/>
                <w:u w:val="none"/>
                <w:rtl/>
              </w:rPr>
              <w:t xml:space="preserve">"עו"ד הלוי : </w:t>
            </w:r>
            <w:r>
              <w:rPr>
                <w:rFonts w:ascii="David" w:hAnsi="David" w:cs="David"/>
                <w:sz w:val="24"/>
                <w:szCs w:val="24"/>
                <w:u w:val="none"/>
                <w:rtl/>
              </w:rPr>
              <w:tab/>
              <w:t>לא, אני מדבר על המסמך עצמו, לא על ה-, איך אתה יכול שהמסמך עצמו הוא,</w:t>
            </w:r>
          </w:p>
          <w:p w:rsidR="00D048DB" w:rsidRDefault="00D048DB" w:rsidP="00D048DB">
            <w:pPr>
              <w:pStyle w:val="ae"/>
              <w:shd w:val="clear" w:color="auto" w:fill="auto"/>
              <w:spacing w:line="360" w:lineRule="auto"/>
              <w:ind w:left="3938" w:hanging="1353"/>
              <w:jc w:val="both"/>
              <w:rPr>
                <w:rFonts w:ascii="David" w:hAnsi="David" w:cs="David"/>
                <w:color w:val="000000"/>
                <w:sz w:val="24"/>
                <w:szCs w:val="24"/>
                <w:rtl/>
              </w:rPr>
            </w:pPr>
            <w:r>
              <w:rPr>
                <w:rFonts w:ascii="David" w:hAnsi="David" w:cs="David"/>
                <w:sz w:val="24"/>
                <w:szCs w:val="24"/>
                <w:u w:val="none"/>
                <w:rtl/>
              </w:rPr>
              <w:t xml:space="preserve">העד, מר וייס: </w:t>
            </w:r>
            <w:r>
              <w:rPr>
                <w:rFonts w:ascii="David" w:hAnsi="David" w:cs="David"/>
                <w:sz w:val="24"/>
                <w:szCs w:val="24"/>
                <w:u w:val="none"/>
                <w:rtl/>
              </w:rPr>
              <w:tab/>
              <w:t xml:space="preserve">לא, במסמך עצמו </w:t>
            </w:r>
            <w:r>
              <w:rPr>
                <w:rFonts w:ascii="David" w:hAnsi="David" w:cs="David"/>
                <w:sz w:val="24"/>
                <w:szCs w:val="24"/>
                <w:rtl/>
              </w:rPr>
              <w:t>אני אין לי, אין לי כלים לבדוק את זה</w:t>
            </w:r>
            <w:r>
              <w:rPr>
                <w:rFonts w:ascii="David" w:hAnsi="David" w:cs="David"/>
                <w:b w:val="0"/>
                <w:bCs w:val="0"/>
                <w:sz w:val="24"/>
                <w:szCs w:val="24"/>
                <w:u w:val="none"/>
                <w:rtl/>
              </w:rPr>
              <w:t xml:space="preserve">" </w:t>
            </w:r>
          </w:p>
          <w:p w:rsidR="00D048DB" w:rsidRDefault="00D048DB" w:rsidP="00D048DB">
            <w:pPr>
              <w:pStyle w:val="af"/>
              <w:tabs>
                <w:tab w:val="left" w:pos="1954"/>
              </w:tabs>
              <w:spacing w:line="360" w:lineRule="auto"/>
              <w:ind w:left="1038"/>
              <w:jc w:val="both"/>
              <w:rPr>
                <w:rFonts w:ascii="David" w:eastAsia="Times New Roman" w:hAnsi="David" w:cs="David"/>
                <w:color w:val="000000"/>
                <w:sz w:val="24"/>
                <w:szCs w:val="24"/>
                <w:rtl/>
              </w:rPr>
            </w:pPr>
          </w:p>
          <w:p w:rsidR="00D048DB" w:rsidRDefault="00D048DB" w:rsidP="00D048DB">
            <w:pPr>
              <w:pStyle w:val="af"/>
              <w:tabs>
                <w:tab w:val="left" w:pos="1954"/>
              </w:tabs>
              <w:spacing w:line="360" w:lineRule="auto"/>
              <w:ind w:left="2096"/>
              <w:jc w:val="both"/>
              <w:rPr>
                <w:rFonts w:ascii="David" w:eastAsia="Times New Roman" w:hAnsi="David" w:cs="David"/>
                <w:color w:val="000000"/>
                <w:sz w:val="24"/>
                <w:szCs w:val="24"/>
                <w:rtl/>
              </w:rPr>
            </w:pPr>
            <w:r>
              <w:rPr>
                <w:rFonts w:ascii="David" w:eastAsia="Times New Roman" w:hAnsi="David" w:cs="David"/>
                <w:color w:val="000000"/>
                <w:sz w:val="24"/>
                <w:szCs w:val="24"/>
                <w:rtl/>
              </w:rPr>
              <w:t>מדוע אין לנתבעת כלים לבדוק האם דף יחיד בהחלטה ובו הוראה על הסרת עיקול, אכן נושא חותמת? איזה כלי צריך על מנת לעיין בדף היחיד עם ההוראה להסרת העיקול ועל מנת לראות שזה אינו נושא חותמת? ברור הוא שהנתבעת אינה נדרשת להחזיק במשרדיה מעבדת זיהוי פלילי אשר תבדוק כל מסמך מחשש לזיוף – אך מנגד, קמה לכל הפחות החובה לבדוק האם הדף האופרטיבי היחיד בהחלטה הוא אכן דף אשר נושא חותמת. אילו היה מדובר במקרה בו זויפה חותמת שהוטבעה על הדף האופרטיבי, ניחא. אין להלין בכך על הנתבעת. ואולם כאשר הדף האופרטיבי, הוא הדף היחיד ממנו נעדרה חותמת – היה על הנתבעת להתייחס לכך.</w:t>
            </w:r>
          </w:p>
          <w:p w:rsidR="00D048DB" w:rsidRDefault="00D048DB" w:rsidP="00D048DB">
            <w:pPr>
              <w:pStyle w:val="af"/>
              <w:tabs>
                <w:tab w:val="left" w:pos="1954"/>
              </w:tabs>
              <w:spacing w:line="360" w:lineRule="auto"/>
              <w:ind w:left="1038"/>
              <w:jc w:val="both"/>
              <w:rPr>
                <w:rFonts w:ascii="David" w:eastAsia="Times New Roman" w:hAnsi="David" w:cs="David"/>
                <w:color w:val="000000"/>
                <w:sz w:val="24"/>
                <w:szCs w:val="24"/>
                <w:rtl/>
              </w:rPr>
            </w:pPr>
          </w:p>
          <w:p w:rsidR="00D048DB" w:rsidRDefault="00D048DB" w:rsidP="00D048DB">
            <w:pPr>
              <w:pStyle w:val="af"/>
              <w:numPr>
                <w:ilvl w:val="0"/>
                <w:numId w:val="5"/>
              </w:numPr>
              <w:tabs>
                <w:tab w:val="left" w:pos="1954"/>
              </w:tabs>
              <w:spacing w:line="360" w:lineRule="auto"/>
              <w:ind w:left="1954" w:hanging="284"/>
              <w:jc w:val="both"/>
              <w:rPr>
                <w:rFonts w:ascii="David" w:eastAsia="Times New Roman" w:hAnsi="David" w:cs="David"/>
                <w:color w:val="000000"/>
                <w:sz w:val="24"/>
                <w:szCs w:val="24"/>
                <w:rtl/>
              </w:rPr>
            </w:pPr>
            <w:r>
              <w:rPr>
                <w:rFonts w:ascii="David" w:eastAsia="Times New Roman" w:hAnsi="David" w:cs="David"/>
                <w:b/>
                <w:bCs/>
                <w:color w:val="000000"/>
                <w:sz w:val="24"/>
                <w:szCs w:val="24"/>
                <w:u w:val="single"/>
                <w:rtl/>
              </w:rPr>
              <w:t xml:space="preserve">אמירה שניה משתיים המלמדת על כך שהנתבעת כלל לא עיינה במסמך המזויף </w:t>
            </w:r>
            <w:r>
              <w:rPr>
                <w:rFonts w:ascii="David" w:eastAsia="Times New Roman" w:hAnsi="David" w:cs="David"/>
                <w:color w:val="000000"/>
                <w:sz w:val="24"/>
                <w:szCs w:val="24"/>
                <w:rtl/>
              </w:rPr>
              <w:t xml:space="preserve">-  נציג הנתבעת אף נימק את ההתעלמות מקיומה או היעדרה של </w:t>
            </w:r>
            <w:r>
              <w:rPr>
                <w:rFonts w:ascii="David" w:eastAsia="Times New Roman" w:hAnsi="David" w:cs="David"/>
                <w:color w:val="000000"/>
                <w:sz w:val="24"/>
                <w:szCs w:val="24"/>
                <w:rtl/>
              </w:rPr>
              <w:lastRenderedPageBreak/>
              <w:t>חותמת. מתשובתו עלה שבין אם היתה נמצאת חותמת ובין אם לאו, אחת היא. שכן הנתבעת ממילא לא תטרח להקפיד ו"להגיד... תרוץ להוצאה לפועל, תשים חותמת". וכך העיד נציג הנתבעת  (ע"מ 41 לפר' ש' 20-28, ההדגשות לא במקור):</w:t>
            </w:r>
          </w:p>
          <w:p w:rsidR="00D048DB" w:rsidRDefault="00D048DB" w:rsidP="00D048DB">
            <w:pPr>
              <w:pStyle w:val="ae"/>
              <w:shd w:val="clear" w:color="auto" w:fill="auto"/>
              <w:spacing w:line="360" w:lineRule="auto"/>
              <w:ind w:left="4080" w:hanging="1495"/>
              <w:jc w:val="both"/>
              <w:rPr>
                <w:rFonts w:ascii="David" w:hAnsi="David" w:cs="David"/>
                <w:b w:val="0"/>
                <w:bCs w:val="0"/>
                <w:sz w:val="24"/>
                <w:szCs w:val="24"/>
                <w:u w:val="none"/>
                <w:rtl/>
              </w:rPr>
            </w:pPr>
            <w:r>
              <w:rPr>
                <w:rFonts w:ascii="David" w:hAnsi="David" w:cs="David"/>
                <w:b w:val="0"/>
                <w:bCs w:val="0"/>
                <w:sz w:val="24"/>
                <w:szCs w:val="24"/>
                <w:u w:val="none"/>
                <w:rtl/>
              </w:rPr>
              <w:t>"</w:t>
            </w:r>
            <w:r>
              <w:rPr>
                <w:rFonts w:ascii="David" w:hAnsi="David" w:cs="David"/>
                <w:sz w:val="24"/>
                <w:szCs w:val="24"/>
                <w:u w:val="none"/>
                <w:rtl/>
              </w:rPr>
              <w:t xml:space="preserve">העד, מר וייס: </w:t>
            </w:r>
            <w:r>
              <w:rPr>
                <w:rFonts w:ascii="David" w:hAnsi="David" w:cs="David"/>
                <w:sz w:val="24"/>
                <w:szCs w:val="24"/>
                <w:u w:val="none"/>
                <w:rtl/>
              </w:rPr>
              <w:tab/>
              <w:t xml:space="preserve">תראה כבודו, אנחנו מקבלים כל כך הרבה עיקולים, שיעבודים, הודעות. הרבה פעמים מביאים את זה עם, מהודק ביחד ובמקרה בעמוד האמצעי יצאה ההנחייה לביטול העיקול. אז </w:t>
            </w:r>
            <w:r>
              <w:rPr>
                <w:rFonts w:ascii="David" w:hAnsi="David" w:cs="David"/>
                <w:sz w:val="24"/>
                <w:szCs w:val="24"/>
                <w:rtl/>
              </w:rPr>
              <w:t>אנחנו לא יכולים כל אחד להגיד לו תרוץ להוצאה לפועל, תשים חותמת</w:t>
            </w:r>
            <w:r>
              <w:rPr>
                <w:rFonts w:ascii="David" w:hAnsi="David" w:cs="David"/>
                <w:sz w:val="24"/>
                <w:szCs w:val="24"/>
                <w:u w:val="none"/>
                <w:rtl/>
              </w:rPr>
              <w:t xml:space="preserve">, תחזור </w:t>
            </w:r>
            <w:r>
              <w:rPr>
                <w:rFonts w:ascii="David" w:hAnsi="David" w:cs="David"/>
                <w:sz w:val="24"/>
                <w:szCs w:val="24"/>
                <w:rtl/>
              </w:rPr>
              <w:t>ואחרי קבלת קהל הפקיד הלך לאכול, אתה מבין?</w:t>
            </w:r>
            <w:r>
              <w:rPr>
                <w:rFonts w:ascii="David" w:hAnsi="David" w:cs="David"/>
                <w:sz w:val="24"/>
                <w:szCs w:val="24"/>
                <w:u w:val="none"/>
                <w:rtl/>
              </w:rPr>
              <w:t xml:space="preserve"> כאלה דברים. </w:t>
            </w:r>
            <w:r>
              <w:rPr>
                <w:rFonts w:ascii="David" w:hAnsi="David" w:cs="David"/>
                <w:sz w:val="24"/>
                <w:szCs w:val="24"/>
                <w:rtl/>
              </w:rPr>
              <w:t>אנחנו צריכים לזרום עם העבודה</w:t>
            </w:r>
            <w:r>
              <w:rPr>
                <w:rFonts w:ascii="David" w:hAnsi="David" w:cs="David"/>
                <w:sz w:val="24"/>
                <w:szCs w:val="24"/>
                <w:u w:val="none"/>
                <w:rtl/>
              </w:rPr>
              <w:t>, אחד מתוך עשרות אלפי רישומי עיקולים או ביטולי עיקולים שיצא עקום אנחנו לא יכולים לעלות על זה, במקרה הזה</w:t>
            </w:r>
            <w:r>
              <w:rPr>
                <w:rFonts w:ascii="David" w:hAnsi="David" w:cs="David"/>
                <w:b w:val="0"/>
                <w:bCs w:val="0"/>
                <w:sz w:val="24"/>
                <w:szCs w:val="24"/>
                <w:u w:val="none"/>
                <w:rtl/>
              </w:rPr>
              <w:t>"</w:t>
            </w:r>
          </w:p>
          <w:p w:rsidR="00D048DB" w:rsidRDefault="00D048DB" w:rsidP="00D048DB">
            <w:pPr>
              <w:pStyle w:val="ae"/>
              <w:shd w:val="clear" w:color="auto" w:fill="auto"/>
              <w:spacing w:line="360" w:lineRule="auto"/>
              <w:ind w:left="3230" w:hanging="1560"/>
              <w:jc w:val="both"/>
              <w:rPr>
                <w:rFonts w:ascii="David" w:hAnsi="David" w:cs="David"/>
                <w:b w:val="0"/>
                <w:bCs w:val="0"/>
                <w:sz w:val="24"/>
                <w:szCs w:val="24"/>
                <w:u w:val="none"/>
                <w:rtl/>
              </w:rPr>
            </w:pPr>
          </w:p>
          <w:p w:rsidR="00D048DB" w:rsidRDefault="00D048DB" w:rsidP="00D048DB">
            <w:pPr>
              <w:pStyle w:val="af"/>
              <w:tabs>
                <w:tab w:val="left" w:pos="1954"/>
              </w:tabs>
              <w:spacing w:line="360" w:lineRule="auto"/>
              <w:ind w:left="1954"/>
              <w:jc w:val="both"/>
              <w:rPr>
                <w:rFonts w:ascii="David" w:hAnsi="David" w:cs="David"/>
                <w:sz w:val="24"/>
                <w:szCs w:val="24"/>
                <w:rtl/>
              </w:rPr>
            </w:pPr>
            <w:r>
              <w:rPr>
                <w:rFonts w:ascii="David" w:hAnsi="David" w:cs="David"/>
                <w:sz w:val="24"/>
                <w:szCs w:val="24"/>
                <w:rtl/>
              </w:rPr>
              <w:t xml:space="preserve">מדברי נציג הנתבעת עולה התמונה הבאה -  הנתבעת ועובדיה </w:t>
            </w:r>
            <w:r>
              <w:rPr>
                <w:rFonts w:ascii="David" w:hAnsi="David" w:cs="David"/>
                <w:b/>
                <w:bCs/>
                <w:sz w:val="24"/>
                <w:szCs w:val="24"/>
                <w:rtl/>
              </w:rPr>
              <w:t>"צריכים לזרום עם העבודה"</w:t>
            </w:r>
            <w:r>
              <w:rPr>
                <w:rFonts w:ascii="David" w:hAnsi="David" w:cs="David"/>
                <w:sz w:val="24"/>
                <w:szCs w:val="24"/>
                <w:rtl/>
              </w:rPr>
              <w:t xml:space="preserve">; אין מקום לבחון ולהקפיד על קיומה של חותמת שכן ממילא לא ישלחו את המבקש להוצאה לפועל ולא ידרשו ממנו </w:t>
            </w:r>
            <w:r>
              <w:rPr>
                <w:rFonts w:ascii="David" w:hAnsi="David" w:cs="David"/>
                <w:b/>
                <w:bCs/>
                <w:sz w:val="24"/>
                <w:szCs w:val="24"/>
                <w:rtl/>
              </w:rPr>
              <w:t>"תשים חותמת"</w:t>
            </w:r>
            <w:r>
              <w:rPr>
                <w:rFonts w:ascii="David" w:hAnsi="David" w:cs="David"/>
                <w:sz w:val="24"/>
                <w:szCs w:val="24"/>
                <w:rtl/>
              </w:rPr>
              <w:t>; וכמובן גם קיים החשש ש</w:t>
            </w:r>
            <w:r>
              <w:rPr>
                <w:rFonts w:ascii="David" w:hAnsi="David" w:cs="David"/>
                <w:b/>
                <w:bCs/>
                <w:sz w:val="24"/>
                <w:szCs w:val="24"/>
                <w:rtl/>
              </w:rPr>
              <w:t>"אחרי קבלת קהל הפקיד הלך לאכול"</w:t>
            </w:r>
            <w:r>
              <w:rPr>
                <w:rFonts w:ascii="David" w:hAnsi="David" w:cs="David"/>
                <w:sz w:val="24"/>
                <w:szCs w:val="24"/>
                <w:rtl/>
              </w:rPr>
              <w:t xml:space="preserve">; ומה קרה? מתוך </w:t>
            </w:r>
            <w:r>
              <w:rPr>
                <w:rFonts w:ascii="David" w:hAnsi="David" w:cs="David"/>
                <w:b/>
                <w:bCs/>
                <w:sz w:val="24"/>
                <w:szCs w:val="24"/>
                <w:rtl/>
              </w:rPr>
              <w:t>"עשרות אלפי רישומי עיקולים או ביטולי עיקולים"</w:t>
            </w:r>
            <w:r>
              <w:rPr>
                <w:rFonts w:ascii="David" w:hAnsi="David" w:cs="David"/>
                <w:sz w:val="24"/>
                <w:szCs w:val="24"/>
                <w:rtl/>
              </w:rPr>
              <w:t xml:space="preserve"> קרה שביטול אחד </w:t>
            </w:r>
            <w:r>
              <w:rPr>
                <w:rFonts w:ascii="David" w:hAnsi="David" w:cs="David"/>
                <w:b/>
                <w:bCs/>
                <w:sz w:val="24"/>
                <w:szCs w:val="24"/>
                <w:rtl/>
              </w:rPr>
              <w:t>"יצא עקום"</w:t>
            </w:r>
            <w:r>
              <w:rPr>
                <w:rFonts w:ascii="David" w:hAnsi="David" w:cs="David"/>
                <w:sz w:val="24"/>
                <w:szCs w:val="24"/>
                <w:rtl/>
              </w:rPr>
              <w:t xml:space="preserve">. </w:t>
            </w:r>
          </w:p>
          <w:p w:rsidR="00D048DB" w:rsidRDefault="00D048DB" w:rsidP="00D048DB">
            <w:pPr>
              <w:pStyle w:val="af"/>
              <w:tabs>
                <w:tab w:val="left" w:pos="1954"/>
              </w:tabs>
              <w:spacing w:line="360" w:lineRule="auto"/>
              <w:ind w:left="1387"/>
              <w:jc w:val="both"/>
              <w:rPr>
                <w:rFonts w:ascii="David" w:hAnsi="David" w:cs="David"/>
                <w:sz w:val="24"/>
                <w:szCs w:val="24"/>
                <w:rtl/>
              </w:rPr>
            </w:pPr>
          </w:p>
          <w:p w:rsidR="00D048DB" w:rsidRDefault="00D048DB" w:rsidP="00D048DB">
            <w:pPr>
              <w:pStyle w:val="af"/>
              <w:tabs>
                <w:tab w:val="left" w:pos="1954"/>
              </w:tabs>
              <w:spacing w:line="360" w:lineRule="auto"/>
              <w:ind w:left="1954"/>
              <w:jc w:val="both"/>
              <w:rPr>
                <w:rFonts w:ascii="David" w:hAnsi="David" w:cs="David"/>
                <w:sz w:val="24"/>
                <w:szCs w:val="24"/>
                <w:rtl/>
              </w:rPr>
            </w:pPr>
            <w:r>
              <w:rPr>
                <w:rFonts w:ascii="David" w:hAnsi="David" w:cs="David"/>
                <w:sz w:val="24"/>
                <w:szCs w:val="24"/>
                <w:rtl/>
              </w:rPr>
              <w:t xml:space="preserve">ואולם, מה שעבור הנתבעת הוא טיפה בים, הא עבור התובע – הים כולו. אותה פעולת ביטול עיקול </w:t>
            </w:r>
            <w:r>
              <w:rPr>
                <w:rFonts w:ascii="David" w:hAnsi="David" w:cs="David"/>
                <w:b/>
                <w:bCs/>
                <w:sz w:val="24"/>
                <w:szCs w:val="24"/>
                <w:rtl/>
              </w:rPr>
              <w:t>"שיצא עקום"</w:t>
            </w:r>
            <w:r>
              <w:rPr>
                <w:rFonts w:ascii="David" w:hAnsi="David" w:cs="David"/>
                <w:sz w:val="24"/>
                <w:szCs w:val="24"/>
                <w:rtl/>
              </w:rPr>
              <w:t xml:space="preserve"> היא מבחינת הנתבעת אחת מעשרות אלפי פעולות – ואולם מבחינת התובעת היא הפעולה האחת והיחידה שקיפחה את זכויותיה. </w:t>
            </w:r>
          </w:p>
          <w:p w:rsidR="00D048DB" w:rsidRDefault="00D048DB" w:rsidP="00D048DB">
            <w:pPr>
              <w:pStyle w:val="af"/>
              <w:tabs>
                <w:tab w:val="left" w:pos="1954"/>
              </w:tabs>
              <w:spacing w:line="360" w:lineRule="auto"/>
              <w:ind w:left="1038"/>
              <w:jc w:val="both"/>
              <w:rPr>
                <w:rFonts w:ascii="David" w:eastAsia="Times New Roman" w:hAnsi="David" w:cs="David"/>
                <w:color w:val="000000"/>
                <w:sz w:val="24"/>
                <w:szCs w:val="24"/>
                <w:rtl/>
              </w:rPr>
            </w:pPr>
          </w:p>
          <w:p w:rsidR="00D048DB" w:rsidRDefault="00D048DB" w:rsidP="00D048DB">
            <w:pPr>
              <w:pStyle w:val="af"/>
              <w:numPr>
                <w:ilvl w:val="0"/>
                <w:numId w:val="18"/>
              </w:numPr>
              <w:tabs>
                <w:tab w:val="left" w:pos="1954"/>
              </w:tabs>
              <w:spacing w:line="360" w:lineRule="auto"/>
              <w:ind w:left="1670"/>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היה על הנתבעת לבחון, לכל הפחות, שמתוך שלושת דפי הצו – הרי הדף האופרטיבי המזויף נושא חותמת אישור. בדיוק כמו שני הדפים האחרים. תשומת הלב ההכרחית לפרט זה, גם אם נדרש להחזיר את המבקש ללשכת ההוצאה לפועל לצורך החתמת המסמך,  תשומת לב זו היתה מונעת את מחיקת העיקול והנזק לתובעת. </w:t>
            </w:r>
          </w:p>
          <w:p w:rsidR="00D048DB" w:rsidRDefault="00D048DB" w:rsidP="00D048DB">
            <w:pPr>
              <w:pStyle w:val="af"/>
              <w:tabs>
                <w:tab w:val="left" w:pos="1954"/>
              </w:tabs>
              <w:spacing w:line="360" w:lineRule="auto"/>
              <w:ind w:left="678"/>
              <w:jc w:val="both"/>
              <w:rPr>
                <w:rFonts w:ascii="David" w:eastAsia="Times New Roman" w:hAnsi="David" w:cs="David"/>
                <w:color w:val="000000"/>
                <w:sz w:val="24"/>
                <w:szCs w:val="24"/>
                <w:u w:val="single"/>
              </w:rPr>
            </w:pPr>
          </w:p>
          <w:p w:rsidR="00D048DB" w:rsidRDefault="00D048DB" w:rsidP="00D048DB">
            <w:pPr>
              <w:pStyle w:val="af"/>
              <w:numPr>
                <w:ilvl w:val="2"/>
                <w:numId w:val="1"/>
              </w:numPr>
              <w:tabs>
                <w:tab w:val="left" w:pos="1954"/>
              </w:tabs>
              <w:spacing w:line="360" w:lineRule="auto"/>
              <w:ind w:left="1670" w:hanging="590"/>
              <w:jc w:val="both"/>
              <w:rPr>
                <w:rFonts w:ascii="David" w:eastAsia="Times New Roman" w:hAnsi="David" w:cs="David"/>
                <w:color w:val="000000"/>
                <w:sz w:val="24"/>
                <w:szCs w:val="24"/>
                <w:u w:val="single"/>
              </w:rPr>
            </w:pPr>
            <w:r>
              <w:rPr>
                <w:rFonts w:ascii="David" w:hAnsi="David" w:cs="David"/>
                <w:b/>
                <w:bCs/>
                <w:sz w:val="24"/>
                <w:szCs w:val="24"/>
                <w:u w:val="single"/>
                <w:rtl/>
              </w:rPr>
              <w:t xml:space="preserve">תמרור אזהרה </w:t>
            </w:r>
            <w:r>
              <w:rPr>
                <w:rFonts w:ascii="David" w:eastAsia="Times New Roman" w:hAnsi="David" w:cs="David"/>
                <w:b/>
                <w:bCs/>
                <w:color w:val="000000"/>
                <w:sz w:val="24"/>
                <w:szCs w:val="24"/>
                <w:u w:val="single"/>
                <w:rtl/>
              </w:rPr>
              <w:t xml:space="preserve">שני משלושה מהם התעלמה הנתבעת -  </w:t>
            </w:r>
            <w:r>
              <w:rPr>
                <w:rFonts w:ascii="David" w:hAnsi="David" w:cs="David"/>
                <w:b/>
                <w:bCs/>
                <w:sz w:val="24"/>
                <w:szCs w:val="24"/>
                <w:u w:val="single"/>
                <w:rtl/>
              </w:rPr>
              <w:t>חלוף הזמן בין מועד מתן ההחלטה המזויפת לבין מועד הגשת הבקשה לביטול העיקול בספרי הנתבעת</w:t>
            </w:r>
          </w:p>
          <w:p w:rsidR="00D048DB" w:rsidRDefault="00D048DB" w:rsidP="00D048DB">
            <w:pPr>
              <w:pStyle w:val="af"/>
              <w:numPr>
                <w:ilvl w:val="0"/>
                <w:numId w:val="19"/>
              </w:numPr>
              <w:tabs>
                <w:tab w:val="left" w:pos="1954"/>
              </w:tabs>
              <w:spacing w:line="360" w:lineRule="auto"/>
              <w:jc w:val="both"/>
              <w:rPr>
                <w:rFonts w:ascii="David" w:eastAsia="Times New Roman" w:hAnsi="David" w:cs="David"/>
                <w:color w:val="000000"/>
                <w:sz w:val="24"/>
                <w:szCs w:val="24"/>
                <w:u w:val="single"/>
              </w:rPr>
            </w:pPr>
            <w:r>
              <w:rPr>
                <w:rFonts w:ascii="David" w:eastAsia="Times New Roman" w:hAnsi="David" w:cs="David"/>
                <w:color w:val="000000"/>
                <w:sz w:val="24"/>
                <w:szCs w:val="24"/>
                <w:rtl/>
              </w:rPr>
              <w:t xml:space="preserve">נציג הנתבעת תיאר, כאמור בסעיף 6.4(ה) לעיל, כיצד יש מקרים בהם לא ממתינים לעדכון צו במערכת המקוונת וכלשונו (ע"מ 40, ש' 4-7, ההדגשות לא </w:t>
            </w:r>
            <w:r>
              <w:rPr>
                <w:rFonts w:ascii="David" w:eastAsia="Times New Roman" w:hAnsi="David" w:cs="David"/>
                <w:color w:val="000000"/>
                <w:sz w:val="24"/>
                <w:szCs w:val="24"/>
                <w:rtl/>
              </w:rPr>
              <w:lastRenderedPageBreak/>
              <w:t>במקור)  - "</w:t>
            </w:r>
            <w:r>
              <w:rPr>
                <w:rFonts w:ascii="David" w:hAnsi="David" w:cs="David"/>
                <w:sz w:val="24"/>
                <w:szCs w:val="24"/>
                <w:rtl/>
              </w:rPr>
              <w:t xml:space="preserve">... </w:t>
            </w:r>
            <w:r>
              <w:rPr>
                <w:rFonts w:ascii="David" w:hAnsi="David" w:cs="David"/>
                <w:b/>
                <w:bCs/>
                <w:sz w:val="24"/>
                <w:szCs w:val="24"/>
                <w:rtl/>
              </w:rPr>
              <w:t xml:space="preserve">ויש </w:t>
            </w:r>
            <w:r>
              <w:rPr>
                <w:rFonts w:ascii="David" w:hAnsi="David" w:cs="David"/>
                <w:b/>
                <w:bCs/>
                <w:sz w:val="24"/>
                <w:szCs w:val="24"/>
                <w:u w:val="single"/>
                <w:rtl/>
              </w:rPr>
              <w:t>כשאדם לחוץ ולא מחכה למערכות</w:t>
            </w:r>
            <w:r>
              <w:rPr>
                <w:rFonts w:ascii="David" w:hAnsi="David" w:cs="David"/>
                <w:b/>
                <w:bCs/>
                <w:sz w:val="24"/>
                <w:szCs w:val="24"/>
                <w:rtl/>
              </w:rPr>
              <w:t>, הוא רץ עם העיקול ללשכת הרישום, מבקש לרשום אותו... "</w:t>
            </w:r>
            <w:r>
              <w:rPr>
                <w:rFonts w:ascii="David" w:hAnsi="David" w:cs="David"/>
                <w:sz w:val="24"/>
                <w:szCs w:val="24"/>
                <w:rtl/>
              </w:rPr>
              <w:t>. עוד התייחס נציג הנתבעת לכך שמדובר במצבים בהם יש דחיפות, ועסקה צריכה להיחתם ולכן נדרשת מחיקת העיקול עוד טרם הדבר יופיע במערכת המקוונת.</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u w:val="single"/>
              </w:rPr>
            </w:pPr>
          </w:p>
          <w:p w:rsidR="00D048DB" w:rsidRDefault="00D048DB" w:rsidP="00D048DB">
            <w:pPr>
              <w:pStyle w:val="af"/>
              <w:numPr>
                <w:ilvl w:val="0"/>
                <w:numId w:val="19"/>
              </w:numPr>
              <w:tabs>
                <w:tab w:val="left" w:pos="1954"/>
              </w:tabs>
              <w:spacing w:line="360" w:lineRule="auto"/>
              <w:jc w:val="both"/>
              <w:rPr>
                <w:rFonts w:ascii="David" w:eastAsia="Times New Roman" w:hAnsi="David" w:cs="David"/>
                <w:color w:val="000000"/>
                <w:sz w:val="24"/>
                <w:szCs w:val="24"/>
                <w:u w:val="single"/>
              </w:rPr>
            </w:pPr>
            <w:r>
              <w:rPr>
                <w:rFonts w:ascii="David" w:hAnsi="David" w:cs="David"/>
                <w:sz w:val="24"/>
                <w:szCs w:val="24"/>
                <w:rtl/>
              </w:rPr>
              <w:t xml:space="preserve"> </w:t>
            </w:r>
            <w:r>
              <w:rPr>
                <w:rFonts w:ascii="David" w:hAnsi="David" w:cs="David" w:hint="cs"/>
                <w:sz w:val="24"/>
                <w:szCs w:val="24"/>
                <w:rtl/>
              </w:rPr>
              <w:t xml:space="preserve">וכך, הוסיף נציג הנתבעת והרחיב אודות מצבים </w:t>
            </w:r>
            <w:r>
              <w:rPr>
                <w:rFonts w:ascii="David" w:hAnsi="David" w:cs="David" w:hint="cs"/>
                <w:sz w:val="24"/>
                <w:szCs w:val="24"/>
                <w:u w:val="single"/>
                <w:rtl/>
              </w:rPr>
              <w:t>בהולים</w:t>
            </w:r>
            <w:r>
              <w:rPr>
                <w:rFonts w:ascii="David" w:hAnsi="David" w:cs="David" w:hint="cs"/>
                <w:sz w:val="24"/>
                <w:szCs w:val="24"/>
                <w:rtl/>
              </w:rPr>
              <w:t xml:space="preserve">, מצבים בהם </w:t>
            </w:r>
            <w:r>
              <w:rPr>
                <w:rFonts w:ascii="David" w:hAnsi="David" w:cs="David" w:hint="cs"/>
                <w:sz w:val="24"/>
                <w:szCs w:val="24"/>
                <w:u w:val="single"/>
                <w:rtl/>
              </w:rPr>
              <w:t>"אנשים לחוצים"</w:t>
            </w:r>
            <w:r>
              <w:rPr>
                <w:rFonts w:ascii="David" w:hAnsi="David" w:cs="David" w:hint="cs"/>
                <w:sz w:val="24"/>
                <w:szCs w:val="24"/>
                <w:rtl/>
              </w:rPr>
              <w:t xml:space="preserve">, מצבים בהם לא ניתן להמתין לעדכון המערכת המקוונת וכלשונו (ע"מ 42 לפר' החל משורה 15, ההדגשות לא במקור): </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 xml:space="preserve">העד, מר וייס: </w:t>
            </w:r>
            <w:r>
              <w:rPr>
                <w:rFonts w:ascii="David" w:hAnsi="David" w:cs="David"/>
                <w:sz w:val="24"/>
                <w:szCs w:val="24"/>
                <w:u w:val="none"/>
                <w:rtl/>
              </w:rPr>
              <w:tab/>
              <w:t xml:space="preserve">לא יוצא דופן, </w:t>
            </w:r>
            <w:r>
              <w:rPr>
                <w:rFonts w:ascii="David" w:hAnsi="David" w:cs="David"/>
                <w:sz w:val="24"/>
                <w:szCs w:val="24"/>
                <w:rtl/>
              </w:rPr>
              <w:t>אנשים לחוצים לחוזים</w:t>
            </w:r>
            <w:r>
              <w:rPr>
                <w:rFonts w:ascii="David" w:hAnsi="David" w:cs="David"/>
                <w:sz w:val="24"/>
                <w:szCs w:val="24"/>
                <w:u w:val="none"/>
                <w:rtl/>
              </w:rPr>
              <w:t xml:space="preserve">, למשכנתאות, אדם </w:t>
            </w:r>
            <w:r>
              <w:rPr>
                <w:rFonts w:ascii="David" w:hAnsi="David" w:cs="David"/>
                <w:sz w:val="24"/>
                <w:szCs w:val="24"/>
                <w:rtl/>
              </w:rPr>
              <w:t>צריך משכנתא בהולה</w:t>
            </w:r>
            <w:r>
              <w:rPr>
                <w:rFonts w:ascii="David" w:hAnsi="David" w:cs="David"/>
                <w:sz w:val="24"/>
                <w:szCs w:val="24"/>
                <w:u w:val="none"/>
                <w:rtl/>
              </w:rPr>
              <w:t xml:space="preserve"> והטילו עליו עיקול, הוא הלך להוצאה לפועל </w:t>
            </w:r>
            <w:r>
              <w:rPr>
                <w:rFonts w:ascii="David" w:hAnsi="David" w:cs="David"/>
                <w:sz w:val="24"/>
                <w:szCs w:val="24"/>
                <w:rtl/>
              </w:rPr>
              <w:t>הודיעו לו ביטלנו את העיקול, אנחנו נשדר את זה</w:t>
            </w: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sz w:val="24"/>
                <w:szCs w:val="24"/>
                <w:u w:val="none"/>
              </w:rPr>
            </w:pPr>
            <w:r>
              <w:rPr>
                <w:rFonts w:ascii="David" w:hAnsi="David" w:cs="David"/>
                <w:sz w:val="24"/>
                <w:szCs w:val="24"/>
                <w:u w:val="none"/>
                <w:rtl/>
              </w:rPr>
              <w:t>...</w:t>
            </w:r>
          </w:p>
          <w:p w:rsidR="00D048DB" w:rsidRDefault="00D048DB" w:rsidP="00D048DB">
            <w:pPr>
              <w:pStyle w:val="ae"/>
              <w:shd w:val="clear" w:color="auto" w:fill="auto"/>
              <w:spacing w:line="360" w:lineRule="auto"/>
              <w:ind w:left="3861"/>
              <w:jc w:val="both"/>
              <w:rPr>
                <w:rFonts w:ascii="David" w:hAnsi="David" w:cs="David"/>
                <w:b w:val="0"/>
                <w:bCs w:val="0"/>
                <w:sz w:val="24"/>
                <w:szCs w:val="24"/>
                <w:u w:val="none"/>
                <w:rtl/>
              </w:rPr>
            </w:pPr>
            <w:r>
              <w:rPr>
                <w:rFonts w:ascii="David" w:hAnsi="David" w:cs="David"/>
                <w:sz w:val="24"/>
                <w:szCs w:val="24"/>
                <w:u w:val="none"/>
                <w:rtl/>
              </w:rPr>
              <w:t xml:space="preserve">העד, מר וייס: </w:t>
            </w:r>
            <w:r>
              <w:rPr>
                <w:rFonts w:ascii="David" w:hAnsi="David" w:cs="David"/>
                <w:sz w:val="24"/>
                <w:szCs w:val="24"/>
                <w:u w:val="none"/>
                <w:rtl/>
              </w:rPr>
              <w:tab/>
            </w:r>
            <w:r>
              <w:rPr>
                <w:rFonts w:ascii="David" w:hAnsi="David" w:cs="David"/>
                <w:sz w:val="24"/>
                <w:szCs w:val="24"/>
                <w:rtl/>
              </w:rPr>
              <w:t>הוא לא יחכה שישדרו את זה</w:t>
            </w:r>
            <w:r>
              <w:rPr>
                <w:rFonts w:ascii="David" w:hAnsi="David" w:cs="David"/>
                <w:sz w:val="24"/>
                <w:szCs w:val="24"/>
                <w:u w:val="none"/>
                <w:rtl/>
              </w:rPr>
              <w:t>, הוא ירוץ מהר לטאבו, הוא יגיד להם תביאו לי את הביטול, ירוץ לטאבו ויבטל את זה</w:t>
            </w:r>
            <w:r>
              <w:rPr>
                <w:rFonts w:ascii="David" w:hAnsi="David" w:cs="David"/>
                <w:b w:val="0"/>
                <w:bCs w:val="0"/>
                <w:sz w:val="24"/>
                <w:szCs w:val="24"/>
                <w:u w:val="none"/>
                <w:rtl/>
              </w:rPr>
              <w:t xml:space="preserve">" </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Pr>
            </w:pP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כלומר, קיימים מצבים בהם במועד מסוים ניתנת החלטה על הסרת העיקול על נכס, ובעל הנכס "לא יחכה שישדרו את זה" אלא הוא ממהר עוד טרם שידור ההחלטה במערכת המקוונת ומגיש אותה לביצוע במשרדי רשם המקרקעין. </w:t>
            </w:r>
            <w:r>
              <w:rPr>
                <w:rFonts w:ascii="David" w:eastAsia="Times New Roman" w:hAnsi="David" w:cs="David"/>
                <w:color w:val="000000"/>
                <w:sz w:val="24"/>
                <w:szCs w:val="24"/>
                <w:u w:val="single"/>
                <w:rtl/>
              </w:rPr>
              <w:t>אך לא זה המקרה שלפנינו</w:t>
            </w:r>
            <w:r>
              <w:rPr>
                <w:rFonts w:ascii="David" w:eastAsia="Times New Roman" w:hAnsi="David" w:cs="David"/>
                <w:color w:val="000000"/>
                <w:sz w:val="24"/>
                <w:szCs w:val="24"/>
                <w:rtl/>
              </w:rPr>
              <w:t>. בעניינינו, הבקשה להסרת העיקול בהתבסס על ההחלטה המזויפת הוגשה במשרדי רשם המקרקעין כ</w:t>
            </w:r>
            <w:r>
              <w:rPr>
                <w:rFonts w:ascii="David" w:eastAsia="Times New Roman" w:hAnsi="David" w:cs="David"/>
                <w:color w:val="000000"/>
                <w:sz w:val="24"/>
                <w:szCs w:val="24"/>
                <w:u w:val="single"/>
                <w:rtl/>
              </w:rPr>
              <w:t>חודש</w:t>
            </w:r>
            <w:r>
              <w:rPr>
                <w:rFonts w:ascii="David" w:eastAsia="Times New Roman" w:hAnsi="David" w:cs="David"/>
                <w:color w:val="000000"/>
                <w:sz w:val="24"/>
                <w:szCs w:val="24"/>
                <w:rtl/>
              </w:rPr>
              <w:t xml:space="preserve"> לאחר המועד הנקוב בה. די והותר ימים בהם ניתן היה לעדכן את ההחלטה במערכת המקוונת, אם החלטה זו לא היתה מזויפת. על כך יורחב בפסקה הבאה.</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tl/>
              </w:rPr>
            </w:pPr>
          </w:p>
          <w:p w:rsidR="00D048DB" w:rsidRDefault="00D048DB" w:rsidP="00D048DB">
            <w:pPr>
              <w:pStyle w:val="af"/>
              <w:numPr>
                <w:ilvl w:val="0"/>
                <w:numId w:val="19"/>
              </w:numPr>
              <w:tabs>
                <w:tab w:val="left" w:pos="1954"/>
              </w:tabs>
              <w:spacing w:line="360" w:lineRule="auto"/>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ההחלטה המזויפת נשאה את התאריך </w:t>
            </w:r>
            <w:r>
              <w:rPr>
                <w:rFonts w:ascii="David" w:eastAsia="Times New Roman" w:hAnsi="David" w:cs="David"/>
                <w:color w:val="000000"/>
                <w:sz w:val="24"/>
                <w:szCs w:val="24"/>
                <w:u w:val="single"/>
                <w:rtl/>
              </w:rPr>
              <w:t>15.7.2019</w:t>
            </w:r>
            <w:r>
              <w:rPr>
                <w:rFonts w:ascii="David" w:eastAsia="Times New Roman" w:hAnsi="David" w:cs="David"/>
                <w:color w:val="000000"/>
                <w:sz w:val="24"/>
                <w:szCs w:val="24"/>
                <w:rtl/>
              </w:rPr>
              <w:t xml:space="preserve">. המועד בו התייצבו במשרדי רשם המקרקעין וביקשו הסרת העיקול – היה </w:t>
            </w:r>
            <w:r>
              <w:rPr>
                <w:rFonts w:ascii="David" w:eastAsia="Times New Roman" w:hAnsi="David" w:cs="David"/>
                <w:color w:val="000000"/>
                <w:sz w:val="24"/>
                <w:szCs w:val="24"/>
                <w:u w:val="single"/>
                <w:rtl/>
              </w:rPr>
              <w:t>14.8.2019</w:t>
            </w:r>
            <w:r>
              <w:rPr>
                <w:rFonts w:ascii="David" w:eastAsia="Times New Roman" w:hAnsi="David" w:cs="David"/>
                <w:color w:val="000000"/>
                <w:sz w:val="24"/>
                <w:szCs w:val="24"/>
                <w:rtl/>
              </w:rPr>
              <w:t>. כלומר כחודש מאוחר יותר.</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Pr>
            </w:pP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אין מדובר במצב בו אדם אץ לו רץ על מנת ליישם את ביטול העיקול, ולא הסכים להמתין לעדכון הבקשה במערכת המקוונת. עיון </w:t>
            </w:r>
            <w:r>
              <w:rPr>
                <w:rFonts w:ascii="David" w:eastAsia="Times New Roman" w:hAnsi="David" w:cs="David"/>
                <w:color w:val="000000"/>
                <w:sz w:val="24"/>
                <w:szCs w:val="24"/>
                <w:u w:val="single"/>
                <w:rtl/>
              </w:rPr>
              <w:t>קל</w:t>
            </w:r>
            <w:r>
              <w:rPr>
                <w:rFonts w:ascii="David" w:eastAsia="Times New Roman" w:hAnsi="David" w:cs="David"/>
                <w:color w:val="000000"/>
                <w:sz w:val="24"/>
                <w:szCs w:val="24"/>
                <w:rtl/>
              </w:rPr>
              <w:t xml:space="preserve"> בהחלטה המזויפת, היה מיד מעלה את התמיהה – כיצד זה החלטה מיום 15.7.109 לא עודכנה במערכת המקוונת עד ליום 14.8.2019? מדוע יש לנקוט בחריג המכוון למצבים של "משכנתא בהולה" או עסקה דחופה – כאשר ברור שבמשלך חודש ימים כלל לא עודכנה ההחלטה במערכת המקוונת?</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tl/>
              </w:rPr>
            </w:pP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tl/>
              </w:rPr>
            </w:pPr>
            <w:r>
              <w:rPr>
                <w:rFonts w:ascii="David" w:eastAsia="Times New Roman" w:hAnsi="David" w:cs="David"/>
                <w:color w:val="000000"/>
                <w:sz w:val="24"/>
                <w:szCs w:val="24"/>
                <w:rtl/>
              </w:rPr>
              <w:lastRenderedPageBreak/>
              <w:t xml:space="preserve">תמיהה כזו, היתה מובילה מיד למסקנה לפיה שלושים הימים שחלפו ובהם לא עודכנה המערכת המקוונת, מלמדים שההחלטה עצמה אינה תקינה. </w:t>
            </w:r>
            <w:r>
              <w:rPr>
                <w:rFonts w:ascii="David" w:eastAsia="Times New Roman" w:hAnsi="David" w:cs="David"/>
                <w:color w:val="000000"/>
                <w:sz w:val="24"/>
                <w:szCs w:val="24"/>
                <w:u w:val="single"/>
                <w:rtl/>
              </w:rPr>
              <w:t>ולכל הפחות</w:t>
            </w:r>
            <w:r>
              <w:rPr>
                <w:rFonts w:ascii="David" w:eastAsia="Times New Roman" w:hAnsi="David" w:cs="David"/>
                <w:color w:val="000000"/>
                <w:sz w:val="24"/>
                <w:szCs w:val="24"/>
                <w:rtl/>
              </w:rPr>
              <w:t xml:space="preserve"> אותם 30 ימים בהם לא עודכנה המערכת המקוונת הם בגדר תמרור אזהרה נוסף שקם לעיני הנתבעת. ואולם הנתבעת כלל לא התייחסה להחלטה המזויפת שהוצגה לה, והיתה אדישה לחלוטין לעובדה שבניגוד לרגיל – ההחלטה כלל לא שודרה במערכת המקוונת. </w:t>
            </w:r>
          </w:p>
          <w:p w:rsidR="00D048DB" w:rsidRDefault="00D048DB" w:rsidP="00D048DB">
            <w:pPr>
              <w:pStyle w:val="af"/>
              <w:spacing w:line="360" w:lineRule="auto"/>
              <w:ind w:left="1011"/>
              <w:jc w:val="both"/>
              <w:rPr>
                <w:rFonts w:ascii="David" w:eastAsia="Times New Roman" w:hAnsi="David" w:cs="David"/>
                <w:color w:val="000000"/>
                <w:sz w:val="24"/>
                <w:szCs w:val="24"/>
                <w:u w:val="single"/>
              </w:rPr>
            </w:pPr>
          </w:p>
          <w:p w:rsidR="00D048DB" w:rsidRDefault="00D048DB" w:rsidP="00D048DB">
            <w:pPr>
              <w:pStyle w:val="af"/>
              <w:numPr>
                <w:ilvl w:val="2"/>
                <w:numId w:val="1"/>
              </w:numPr>
              <w:tabs>
                <w:tab w:val="left" w:pos="1954"/>
              </w:tabs>
              <w:spacing w:line="360" w:lineRule="auto"/>
              <w:ind w:left="1670" w:hanging="590"/>
              <w:jc w:val="both"/>
              <w:rPr>
                <w:rFonts w:ascii="David" w:eastAsia="Times New Roman" w:hAnsi="David" w:cs="David"/>
                <w:color w:val="000000"/>
                <w:sz w:val="24"/>
                <w:szCs w:val="24"/>
                <w:u w:val="single"/>
              </w:rPr>
            </w:pPr>
            <w:r>
              <w:rPr>
                <w:rFonts w:ascii="David" w:eastAsia="Times New Roman" w:hAnsi="David" w:cs="David"/>
                <w:b/>
                <w:bCs/>
                <w:color w:val="000000"/>
                <w:sz w:val="24"/>
                <w:szCs w:val="24"/>
                <w:u w:val="single"/>
                <w:rtl/>
              </w:rPr>
              <w:t>תמרור אזהרה שלישי ומשמעותי משלושה - אי התאמה זועקת בתאריכים, מועד ההחלטה המזויפת המורה על הסרת העיקול מוקדם למועד רישום העיקול</w:t>
            </w:r>
          </w:p>
          <w:p w:rsidR="00D048DB" w:rsidRDefault="00D048DB" w:rsidP="00D048DB">
            <w:pPr>
              <w:pStyle w:val="af"/>
              <w:numPr>
                <w:ilvl w:val="0"/>
                <w:numId w:val="20"/>
              </w:numPr>
              <w:tabs>
                <w:tab w:val="left" w:pos="1954"/>
              </w:tabs>
              <w:spacing w:line="360" w:lineRule="auto"/>
              <w:jc w:val="both"/>
              <w:rPr>
                <w:rFonts w:ascii="David" w:eastAsia="Times New Roman" w:hAnsi="David" w:cs="David"/>
                <w:color w:val="000000"/>
                <w:sz w:val="24"/>
                <w:szCs w:val="24"/>
              </w:rPr>
            </w:pPr>
            <w:r>
              <w:rPr>
                <w:rFonts w:ascii="David" w:eastAsia="Times New Roman" w:hAnsi="David" w:cs="David"/>
                <w:color w:val="000000"/>
                <w:sz w:val="24"/>
                <w:szCs w:val="24"/>
                <w:rtl/>
              </w:rPr>
              <w:t>הרחבתי בסעיף 7.2.2(ג) לעיל על כך שמועד ההחלטה המזויפת הוא 15.7.2019. ציינתי שמועד ההתייצבות בלשכת רשם המקרקעין היתה כחודש מאוחר יותר וביום 14.8.2019. בפסקאות הבאות אתייחס לכך שעיון קל במועד ההחלטה המזויפת היה אף הוא מביא את הנתבעת להימנע ממחיקת העיקול.</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Pr>
            </w:pPr>
          </w:p>
          <w:p w:rsidR="00D048DB" w:rsidRDefault="00D048DB" w:rsidP="00D048DB">
            <w:pPr>
              <w:pStyle w:val="af"/>
              <w:numPr>
                <w:ilvl w:val="0"/>
                <w:numId w:val="20"/>
              </w:numPr>
              <w:tabs>
                <w:tab w:val="left" w:pos="1954"/>
              </w:tabs>
              <w:spacing w:line="360" w:lineRule="auto"/>
              <w:jc w:val="both"/>
              <w:rPr>
                <w:rFonts w:ascii="David" w:eastAsia="Times New Roman" w:hAnsi="David" w:cs="David"/>
                <w:color w:val="000000"/>
                <w:sz w:val="24"/>
                <w:szCs w:val="24"/>
              </w:rPr>
            </w:pPr>
            <w:r>
              <w:rPr>
                <w:rFonts w:ascii="David" w:eastAsia="Times New Roman" w:hAnsi="David" w:cs="David"/>
                <w:color w:val="000000"/>
                <w:sz w:val="24"/>
                <w:szCs w:val="24"/>
                <w:rtl/>
              </w:rPr>
              <w:t xml:space="preserve"> העיקול אשר נמחק מספרי הנתבעת נרשם לראשונה ביום </w:t>
            </w:r>
            <w:r>
              <w:rPr>
                <w:rFonts w:ascii="David" w:eastAsia="Times New Roman" w:hAnsi="David" w:cs="David"/>
                <w:color w:val="000000"/>
                <w:sz w:val="24"/>
                <w:szCs w:val="24"/>
                <w:u w:val="single"/>
                <w:rtl/>
              </w:rPr>
              <w:t>16.7.2019</w:t>
            </w:r>
            <w:r>
              <w:rPr>
                <w:rFonts w:ascii="David" w:eastAsia="Times New Roman" w:hAnsi="David" w:cs="David"/>
                <w:color w:val="000000"/>
                <w:sz w:val="24"/>
                <w:szCs w:val="24"/>
                <w:rtl/>
              </w:rPr>
              <w:t xml:space="preserve">. ההחלטה המזויפת למחיקתו לא הוצאה לאחר הרישום, כפי שניתן היה לסבור. ההחלטה המזויפת למחיקת העיקול הוצאה עוד קודם לרישומו וביום </w:t>
            </w:r>
            <w:r>
              <w:rPr>
                <w:rFonts w:ascii="David" w:eastAsia="Times New Roman" w:hAnsi="David" w:cs="David"/>
                <w:color w:val="000000"/>
                <w:sz w:val="24"/>
                <w:szCs w:val="24"/>
                <w:u w:val="single"/>
                <w:rtl/>
              </w:rPr>
              <w:t>15.7.2019</w:t>
            </w:r>
            <w:r>
              <w:rPr>
                <w:rFonts w:ascii="David" w:eastAsia="Times New Roman" w:hAnsi="David" w:cs="David"/>
                <w:color w:val="000000"/>
                <w:sz w:val="24"/>
                <w:szCs w:val="24"/>
                <w:rtl/>
              </w:rPr>
              <w:t>.</w:t>
            </w:r>
          </w:p>
          <w:p w:rsidR="00D048DB" w:rsidRDefault="00D048DB" w:rsidP="00D048DB">
            <w:pPr>
              <w:pStyle w:val="af"/>
              <w:rPr>
                <w:rFonts w:ascii="David" w:eastAsia="Times New Roman" w:hAnsi="David" w:cs="David"/>
                <w:color w:val="000000"/>
                <w:sz w:val="24"/>
                <w:szCs w:val="24"/>
              </w:rPr>
            </w:pPr>
          </w:p>
          <w:p w:rsidR="00D048DB" w:rsidRDefault="00D048DB" w:rsidP="00D048DB">
            <w:pPr>
              <w:pStyle w:val="af"/>
              <w:numPr>
                <w:ilvl w:val="0"/>
                <w:numId w:val="20"/>
              </w:numPr>
              <w:tabs>
                <w:tab w:val="left" w:pos="1954"/>
              </w:tabs>
              <w:spacing w:line="360" w:lineRule="auto"/>
              <w:jc w:val="both"/>
              <w:rPr>
                <w:rFonts w:ascii="David" w:eastAsia="Times New Roman" w:hAnsi="David" w:cs="David"/>
                <w:color w:val="000000"/>
                <w:sz w:val="24"/>
                <w:szCs w:val="24"/>
                <w:rtl/>
              </w:rPr>
            </w:pPr>
            <w:r>
              <w:rPr>
                <w:rFonts w:ascii="David" w:eastAsia="Times New Roman" w:hAnsi="David" w:cs="David"/>
                <w:color w:val="000000"/>
                <w:sz w:val="24"/>
                <w:szCs w:val="24"/>
                <w:rtl/>
              </w:rPr>
              <w:t>כיצד ניתן היה להורות כבר ביום 15.7.2019, על מחיקת עיקול שטרם נרשם? כיצד זה הסכימה הנתבעת לכבד החלטה למחיקת עיקול, שפגומה על פניה שכן במועד הוצאתה היא התייחסה לאירועים עתידיים שטרם קרו?</w:t>
            </w:r>
          </w:p>
          <w:p w:rsidR="00D048DB" w:rsidRDefault="00D048DB" w:rsidP="00D048DB">
            <w:pPr>
              <w:pStyle w:val="af"/>
              <w:tabs>
                <w:tab w:val="left" w:pos="1954"/>
              </w:tabs>
              <w:spacing w:line="360" w:lineRule="auto"/>
              <w:ind w:left="2030"/>
              <w:jc w:val="both"/>
              <w:rPr>
                <w:rFonts w:ascii="David" w:eastAsia="Times New Roman" w:hAnsi="David" w:cs="David"/>
                <w:color w:val="000000"/>
                <w:sz w:val="24"/>
                <w:szCs w:val="24"/>
              </w:rPr>
            </w:pPr>
            <w:r>
              <w:rPr>
                <w:rFonts w:ascii="David" w:eastAsia="Times New Roman" w:hAnsi="David" w:cs="David"/>
                <w:color w:val="000000"/>
                <w:sz w:val="24"/>
                <w:szCs w:val="24"/>
                <w:rtl/>
              </w:rPr>
              <w:t>נראה שההסבר היחיד לכך שהנתבעת הסכימה להתעלם מהכשל ואף האבסורד שבכיבוד החלטה "עתידית" לאירוע שלא קרה בעת הוצאתה – ההסבר היחיד הוא ש</w:t>
            </w:r>
            <w:r>
              <w:rPr>
                <w:rFonts w:ascii="David" w:eastAsia="Times New Roman" w:hAnsi="David" w:cs="David"/>
                <w:color w:val="000000"/>
                <w:sz w:val="24"/>
                <w:szCs w:val="24"/>
                <w:u w:val="single"/>
                <w:rtl/>
              </w:rPr>
              <w:t>הנתבעת היתה אדישה לחלוטין להחלטה המזויפת</w:t>
            </w:r>
            <w:r>
              <w:rPr>
                <w:rFonts w:ascii="David" w:eastAsia="Times New Roman" w:hAnsi="David" w:cs="David"/>
                <w:color w:val="000000"/>
                <w:sz w:val="24"/>
                <w:szCs w:val="24"/>
                <w:rtl/>
              </w:rPr>
              <w:t>. הנתבעת לא עיינה בו, הנתבעת לא בדקה את מועדיו, הנתבעת לא התייחסה לכך שכלל לא שודר אליה ולמעשה לא עשתה דבר. מבחינת הנתבעת היה זה עוד צו אחד או החלטה אחת  מתוך "עשרות אלפי רישומי עיקולים או ביטולי עיקולים" כפי שהעיד נציג הנתבעת, ובמקרה הדבר "יצא עקום" (כלשון נציג הנתבעת, ור' סעיף 7.2.1(ב)  לעיל).</w:t>
            </w:r>
          </w:p>
          <w:p w:rsidR="00D048DB" w:rsidRDefault="00D048DB" w:rsidP="00D048DB">
            <w:pPr>
              <w:pStyle w:val="af"/>
              <w:rPr>
                <w:rFonts w:ascii="David" w:eastAsia="Times New Roman" w:hAnsi="David" w:cs="David"/>
                <w:color w:val="000000"/>
                <w:sz w:val="24"/>
                <w:szCs w:val="24"/>
              </w:rPr>
            </w:pPr>
          </w:p>
          <w:p w:rsidR="00D048DB" w:rsidRDefault="00D048DB" w:rsidP="00D048DB">
            <w:pPr>
              <w:pStyle w:val="af"/>
              <w:numPr>
                <w:ilvl w:val="0"/>
                <w:numId w:val="20"/>
              </w:numPr>
              <w:tabs>
                <w:tab w:val="left" w:pos="1954"/>
              </w:tabs>
              <w:spacing w:line="360" w:lineRule="auto"/>
              <w:jc w:val="both"/>
              <w:rPr>
                <w:rFonts w:ascii="David" w:eastAsia="Times New Roman" w:hAnsi="David" w:cs="David"/>
                <w:color w:val="000000"/>
                <w:sz w:val="24"/>
                <w:szCs w:val="24"/>
                <w:rtl/>
              </w:rPr>
            </w:pPr>
            <w:r>
              <w:rPr>
                <w:rFonts w:ascii="David" w:eastAsia="Times New Roman" w:hAnsi="David" w:cs="David"/>
                <w:color w:val="000000"/>
                <w:sz w:val="24"/>
                <w:szCs w:val="24"/>
                <w:rtl/>
              </w:rPr>
              <w:t xml:space="preserve">להשלמה ייאמר שהנתבעת טענה שההתייחסות למועד המוקדם של ההחלטה המזויפת הוא בגדר הרחבת חזית אסורה של התובע, וכי הדבר לא הופיע בכתבי טענותיו. </w:t>
            </w:r>
          </w:p>
          <w:p w:rsidR="00D048DB" w:rsidRDefault="00D048DB" w:rsidP="00D048DB">
            <w:pPr>
              <w:pStyle w:val="af"/>
              <w:tabs>
                <w:tab w:val="left" w:pos="1954"/>
              </w:tabs>
              <w:spacing w:line="360" w:lineRule="auto"/>
              <w:ind w:left="2030"/>
              <w:jc w:val="both"/>
              <w:rPr>
                <w:rFonts w:ascii="David" w:hAnsi="David" w:cs="David"/>
                <w:sz w:val="24"/>
                <w:szCs w:val="24"/>
              </w:rPr>
            </w:pPr>
            <w:r>
              <w:rPr>
                <w:rFonts w:ascii="David" w:eastAsia="Times New Roman" w:hAnsi="David" w:cs="David"/>
                <w:color w:val="000000"/>
                <w:sz w:val="24"/>
                <w:szCs w:val="24"/>
                <w:rtl/>
              </w:rPr>
              <w:t xml:space="preserve">דעתי שונה. </w:t>
            </w:r>
            <w:r>
              <w:rPr>
                <w:rFonts w:ascii="David" w:hAnsi="David" w:cs="David"/>
                <w:sz w:val="24"/>
                <w:szCs w:val="24"/>
                <w:rtl/>
              </w:rPr>
              <w:t xml:space="preserve">במלוא הכבוד, אין מדובר בהרחבת חזית. החזית עצמה הוגדרה בטענת הרשלנות שהעלתה התובעת. החזית המשפטית נוצרת על ידי הטיעונים המשפטיים של כל צד – ולא על ידי הראיות שהובאו להוכחתן. מעת שנטענת טענת רשלנות, הרי קמה לה חזית מחלוקת שיש להכריע בה – והעובדה </w:t>
            </w:r>
            <w:r>
              <w:rPr>
                <w:rFonts w:ascii="David" w:hAnsi="David" w:cs="David"/>
                <w:sz w:val="24"/>
                <w:szCs w:val="24"/>
                <w:rtl/>
              </w:rPr>
              <w:lastRenderedPageBreak/>
              <w:t>שהתובע מפנה לראיה כזו או אחרת, אינה משנה ובוודאי שאינה מרחיבה את החזית המשפטית.</w:t>
            </w:r>
          </w:p>
          <w:p w:rsidR="00D048DB" w:rsidRDefault="00D048DB" w:rsidP="00D048DB">
            <w:pPr>
              <w:pStyle w:val="af"/>
              <w:tabs>
                <w:tab w:val="left" w:pos="1954"/>
              </w:tabs>
              <w:spacing w:line="360" w:lineRule="auto"/>
              <w:ind w:left="2030"/>
              <w:jc w:val="both"/>
              <w:rPr>
                <w:rFonts w:ascii="David" w:hAnsi="David" w:cs="David"/>
                <w:sz w:val="24"/>
                <w:szCs w:val="24"/>
                <w:rtl/>
              </w:rPr>
            </w:pPr>
          </w:p>
          <w:p w:rsidR="00D048DB" w:rsidRDefault="00D048DB" w:rsidP="00D048DB">
            <w:pPr>
              <w:pStyle w:val="af"/>
              <w:tabs>
                <w:tab w:val="left" w:pos="1954"/>
              </w:tabs>
              <w:spacing w:line="360" w:lineRule="auto"/>
              <w:ind w:left="2030"/>
              <w:jc w:val="both"/>
              <w:rPr>
                <w:rFonts w:ascii="David" w:hAnsi="David" w:cs="David"/>
                <w:sz w:val="24"/>
                <w:szCs w:val="24"/>
                <w:rtl/>
              </w:rPr>
            </w:pPr>
            <w:r>
              <w:rPr>
                <w:rFonts w:ascii="David" w:hAnsi="David" w:cs="David"/>
                <w:sz w:val="24"/>
                <w:szCs w:val="24"/>
                <w:rtl/>
              </w:rPr>
              <w:t>למעלה מהנדרש אציין שאכן קיימים מקרים בהם לצד החזית המשפטית, הרי יש לנקוב מראש בראיות או בעובדות הספציפיות המוכיחות אותה. כך למשל במקרים בהם טוען צד להפרת חובה חקוקה, הרי החיקוק שהופר הוא חלק מרכיבי העוולה ומכאן יש לנקוב בו ולפרט אותו כבר בשלב כתב התביעה. ואולם – כאשר צד טוען, כבעניינינו, לעוולת הרשלנות – הרי די בכך שיטען להתרשלות ולנזק שנגרם בגינה על מנת להקים את חזית המחלוקת בין הצדדים.</w:t>
            </w:r>
          </w:p>
          <w:p w:rsidR="00D048DB" w:rsidRDefault="00D048DB" w:rsidP="00D048DB">
            <w:pPr>
              <w:pStyle w:val="af"/>
              <w:spacing w:line="360" w:lineRule="auto"/>
              <w:ind w:left="1720"/>
              <w:jc w:val="both"/>
              <w:rPr>
                <w:rFonts w:ascii="David" w:hAnsi="David" w:cs="David"/>
                <w:sz w:val="24"/>
                <w:szCs w:val="24"/>
                <w:rtl/>
              </w:rPr>
            </w:pPr>
          </w:p>
          <w:p w:rsidR="00D048DB" w:rsidRDefault="00D048DB" w:rsidP="00D048DB">
            <w:pPr>
              <w:pStyle w:val="af"/>
              <w:numPr>
                <w:ilvl w:val="0"/>
                <w:numId w:val="1"/>
              </w:numPr>
              <w:spacing w:line="360" w:lineRule="auto"/>
              <w:ind w:left="111" w:hanging="284"/>
              <w:jc w:val="both"/>
              <w:rPr>
                <w:rFonts w:ascii="David" w:hAnsi="David" w:cs="David"/>
                <w:sz w:val="24"/>
                <w:szCs w:val="24"/>
              </w:rPr>
            </w:pPr>
            <w:r>
              <w:rPr>
                <w:rFonts w:ascii="David" w:hAnsi="David" w:cs="David"/>
                <w:b/>
                <w:bCs/>
                <w:sz w:val="24"/>
                <w:szCs w:val="24"/>
                <w:u w:val="single"/>
                <w:rtl/>
              </w:rPr>
              <w:t>סיכום עד כאן באשר להתרשלות הנתבעת</w:t>
            </w:r>
          </w:p>
          <w:p w:rsidR="00D048DB" w:rsidRDefault="00D048DB" w:rsidP="00D048DB">
            <w:pPr>
              <w:pStyle w:val="af"/>
              <w:spacing w:line="360" w:lineRule="auto"/>
              <w:ind w:left="111"/>
              <w:jc w:val="both"/>
              <w:rPr>
                <w:rFonts w:ascii="David" w:hAnsi="David" w:cs="David"/>
                <w:sz w:val="24"/>
                <w:szCs w:val="24"/>
              </w:rPr>
            </w:pPr>
            <w:r>
              <w:rPr>
                <w:rFonts w:ascii="David" w:hAnsi="David" w:cs="David"/>
                <w:b/>
                <w:bCs/>
                <w:sz w:val="24"/>
                <w:szCs w:val="24"/>
                <w:rtl/>
              </w:rPr>
              <w:t>ראשית אציין שאיני מקל ראש בעומס העבודה הרב הרובץ על כתפי עובדי הנתבעת, ואיני מקל ראש בכל אותן עשרות אלפי הפעולות אותן מצליחה הנתבעת לבצע מבלי לגרום נזק לציבור.</w:t>
            </w:r>
            <w:r>
              <w:rPr>
                <w:rFonts w:ascii="David" w:hAnsi="David" w:cs="David"/>
                <w:sz w:val="24"/>
                <w:szCs w:val="24"/>
                <w:rtl/>
              </w:rPr>
              <w:t xml:space="preserve"> ההליך כאן מתייחס לפעולה אחת שבה, במלוא הכבוד, נפל פגם בפעולת הנתבעת וזו התרשלה. וכך:</w:t>
            </w:r>
          </w:p>
          <w:p w:rsidR="00D048DB" w:rsidRDefault="00D048DB" w:rsidP="00D048DB">
            <w:pPr>
              <w:pStyle w:val="af"/>
              <w:spacing w:line="360" w:lineRule="auto"/>
              <w:ind w:left="188"/>
              <w:jc w:val="both"/>
              <w:rPr>
                <w:rFonts w:ascii="David" w:hAnsi="David" w:cs="David"/>
                <w:sz w:val="24"/>
                <w:szCs w:val="24"/>
                <w:rtl/>
              </w:rPr>
            </w:pPr>
          </w:p>
          <w:p w:rsidR="00D048DB" w:rsidRDefault="00D048DB" w:rsidP="00D048DB">
            <w:pPr>
              <w:pStyle w:val="af"/>
              <w:numPr>
                <w:ilvl w:val="0"/>
                <w:numId w:val="21"/>
              </w:numPr>
              <w:spacing w:line="360" w:lineRule="auto"/>
              <w:ind w:left="536" w:hanging="425"/>
              <w:jc w:val="both"/>
              <w:rPr>
                <w:rFonts w:ascii="David" w:hAnsi="David" w:cs="David"/>
                <w:sz w:val="24"/>
                <w:szCs w:val="24"/>
              </w:rPr>
            </w:pPr>
            <w:r>
              <w:rPr>
                <w:rFonts w:ascii="David" w:hAnsi="David" w:cs="David"/>
                <w:b/>
                <w:bCs/>
                <w:sz w:val="24"/>
                <w:szCs w:val="24"/>
                <w:u w:val="single"/>
                <w:rtl/>
              </w:rPr>
              <w:t>ראשית</w:t>
            </w:r>
            <w:r>
              <w:rPr>
                <w:rFonts w:ascii="David" w:hAnsi="David" w:cs="David"/>
                <w:sz w:val="24"/>
                <w:szCs w:val="24"/>
                <w:rtl/>
              </w:rPr>
              <w:t>, הנתבעת התעלמה מנהליה שלה, ונראה שכלל לא היתה מודעת לקיומו של נוהל באשר לביטול עיקול, הכל כאמור בסעיף 6.2 לעיל;</w:t>
            </w:r>
          </w:p>
          <w:p w:rsidR="00D048DB" w:rsidRDefault="00D048DB" w:rsidP="00D048DB">
            <w:pPr>
              <w:pStyle w:val="af"/>
              <w:numPr>
                <w:ilvl w:val="0"/>
                <w:numId w:val="21"/>
              </w:numPr>
              <w:spacing w:line="360" w:lineRule="auto"/>
              <w:ind w:left="536" w:hanging="425"/>
              <w:jc w:val="both"/>
              <w:rPr>
                <w:rFonts w:ascii="David" w:hAnsi="David" w:cs="David"/>
                <w:sz w:val="24"/>
                <w:szCs w:val="24"/>
              </w:rPr>
            </w:pPr>
            <w:r>
              <w:rPr>
                <w:rFonts w:ascii="David" w:hAnsi="David" w:cs="David"/>
                <w:b/>
                <w:bCs/>
                <w:sz w:val="24"/>
                <w:szCs w:val="24"/>
                <w:u w:val="single"/>
                <w:rtl/>
              </w:rPr>
              <w:t>שנית</w:t>
            </w:r>
            <w:r>
              <w:rPr>
                <w:rFonts w:ascii="David" w:hAnsi="David" w:cs="David"/>
                <w:sz w:val="24"/>
                <w:szCs w:val="24"/>
                <w:rtl/>
              </w:rPr>
              <w:t>, הנתבעת ביצעה פעולה של מחיקת עיקול, מבלי שהוצג לה מקור הצו המורה על מחיקת העיקול, הכל כאמור בסעיף 6.4 לעיל;</w:t>
            </w:r>
          </w:p>
          <w:p w:rsidR="00D048DB" w:rsidRDefault="00D048DB" w:rsidP="00D048DB">
            <w:pPr>
              <w:pStyle w:val="af"/>
              <w:numPr>
                <w:ilvl w:val="0"/>
                <w:numId w:val="21"/>
              </w:numPr>
              <w:spacing w:line="360" w:lineRule="auto"/>
              <w:ind w:left="536" w:hanging="425"/>
              <w:jc w:val="both"/>
              <w:rPr>
                <w:rFonts w:ascii="David" w:hAnsi="David" w:cs="David"/>
                <w:sz w:val="24"/>
                <w:szCs w:val="24"/>
              </w:rPr>
            </w:pPr>
            <w:r>
              <w:rPr>
                <w:rFonts w:ascii="David" w:hAnsi="David" w:cs="David"/>
                <w:b/>
                <w:bCs/>
                <w:sz w:val="24"/>
                <w:szCs w:val="24"/>
                <w:u w:val="single"/>
                <w:rtl/>
              </w:rPr>
              <w:t>שלישית</w:t>
            </w:r>
            <w:r>
              <w:rPr>
                <w:rFonts w:ascii="David" w:hAnsi="David" w:cs="David"/>
                <w:sz w:val="24"/>
                <w:szCs w:val="24"/>
                <w:rtl/>
              </w:rPr>
              <w:t>, הנתבעת התעלמה מתמרור אזהרה בולט שעמד בדרכה, והכוונה לכך שהעמוד הרלוונטי ובו ההחלטה האופרטיבית אודות מחיקת העיקול, כלל לא חתום. מדברי נציג הנתבעת נראה גם שאין מדובר בחריג, שכן גם כך לא "יריצו" אנשים ללשכת ההוצאה לפועל על מנת שישובו עם החלטה חתומה כדין, ולענין זה ר' סעיף 7.2.1 לעיל;</w:t>
            </w:r>
          </w:p>
          <w:p w:rsidR="00D048DB" w:rsidRDefault="00D048DB" w:rsidP="00D048DB">
            <w:pPr>
              <w:pStyle w:val="af"/>
              <w:numPr>
                <w:ilvl w:val="0"/>
                <w:numId w:val="21"/>
              </w:numPr>
              <w:spacing w:line="360" w:lineRule="auto"/>
              <w:ind w:left="536" w:hanging="425"/>
              <w:jc w:val="both"/>
              <w:rPr>
                <w:rFonts w:ascii="David" w:hAnsi="David" w:cs="David"/>
                <w:sz w:val="24"/>
                <w:szCs w:val="24"/>
              </w:rPr>
            </w:pPr>
            <w:r>
              <w:rPr>
                <w:rFonts w:ascii="David" w:hAnsi="David" w:cs="David"/>
                <w:b/>
                <w:bCs/>
                <w:sz w:val="24"/>
                <w:szCs w:val="24"/>
                <w:u w:val="single"/>
                <w:rtl/>
              </w:rPr>
              <w:t>רביעית</w:t>
            </w:r>
            <w:r>
              <w:rPr>
                <w:rFonts w:ascii="David" w:hAnsi="David" w:cs="David"/>
                <w:sz w:val="24"/>
                <w:szCs w:val="24"/>
                <w:rtl/>
              </w:rPr>
              <w:t>, הנתבעת התעלמה מתמרור אזהרה שני ונוסף, בולט במיוחד – ומכך שלמרות שחלף כחודש ממועד ההחלטה שהוצגה לה, הרי עדיין זו לא שודרה במערכת המקוונת, הדבר אכן מטריד ועל כך הורחב בסעיף 7.2.2 לעיל;</w:t>
            </w:r>
          </w:p>
          <w:p w:rsidR="00D048DB" w:rsidRDefault="00D048DB" w:rsidP="00D048DB">
            <w:pPr>
              <w:pStyle w:val="af"/>
              <w:numPr>
                <w:ilvl w:val="0"/>
                <w:numId w:val="21"/>
              </w:numPr>
              <w:spacing w:line="360" w:lineRule="auto"/>
              <w:ind w:left="536" w:hanging="425"/>
              <w:jc w:val="both"/>
              <w:rPr>
                <w:rFonts w:ascii="David" w:hAnsi="David" w:cs="David"/>
                <w:sz w:val="24"/>
                <w:szCs w:val="24"/>
              </w:rPr>
            </w:pPr>
            <w:r>
              <w:rPr>
                <w:rFonts w:ascii="David" w:hAnsi="David" w:cs="David"/>
                <w:b/>
                <w:bCs/>
                <w:sz w:val="24"/>
                <w:szCs w:val="24"/>
                <w:u w:val="single"/>
                <w:rtl/>
              </w:rPr>
              <w:t>חמישית</w:t>
            </w:r>
            <w:r>
              <w:rPr>
                <w:rFonts w:ascii="David" w:hAnsi="David" w:cs="David"/>
                <w:sz w:val="24"/>
                <w:szCs w:val="24"/>
                <w:rtl/>
              </w:rPr>
              <w:t xml:space="preserve">, הנתבעת התעלמה מתמרור אזהרה שלישי, בולט גם הוא. הנתבעת התעלמה מכך שההחלטה המזויפת שגויה על פניה. זאת מכיוון שהיא נושאת את התאריך 15.7.2019 ומתייחסת למחיקת עיקול שנרשם רק ב-16.7.2019. בבחינת החלטה הצופה פני עתיד, על כך הורחב בסעיף 7.2.3 לעיל.      </w:t>
            </w:r>
          </w:p>
          <w:p w:rsidR="00D048DB" w:rsidRDefault="00D048DB" w:rsidP="00D048DB">
            <w:pPr>
              <w:pStyle w:val="af"/>
              <w:spacing w:line="360" w:lineRule="auto"/>
              <w:ind w:left="-172"/>
              <w:jc w:val="both"/>
              <w:rPr>
                <w:rFonts w:ascii="David" w:hAnsi="David" w:cs="David"/>
                <w:b/>
                <w:bCs/>
                <w:sz w:val="24"/>
                <w:szCs w:val="24"/>
                <w:rtl/>
              </w:rPr>
            </w:pPr>
          </w:p>
          <w:p w:rsidR="00D048DB" w:rsidRDefault="00D048DB" w:rsidP="00D048DB">
            <w:pPr>
              <w:pStyle w:val="af"/>
              <w:spacing w:line="360" w:lineRule="auto"/>
              <w:ind w:left="253"/>
              <w:jc w:val="both"/>
              <w:rPr>
                <w:rFonts w:ascii="David" w:hAnsi="David" w:cs="David"/>
                <w:sz w:val="24"/>
                <w:szCs w:val="24"/>
                <w:rtl/>
              </w:rPr>
            </w:pPr>
            <w:r>
              <w:rPr>
                <w:rFonts w:ascii="David" w:hAnsi="David" w:cs="David"/>
                <w:b/>
                <w:bCs/>
                <w:sz w:val="24"/>
                <w:szCs w:val="24"/>
                <w:rtl/>
              </w:rPr>
              <w:t xml:space="preserve">הערת מעבר – עד כה הרחבתי באשר לכך שהנתבעת התרשלה במעשיה. ואולם בכך שהנתבעת אכן התרשלה אין די כדי שתקום עוולת הרשלנות. על מנת לקבוע שהנתבעת גם עוולה בעוולת הרשלנות, יש צורך להוכיח נזק שנגרם לתובע. על כך בפסקאות הבאות. </w:t>
            </w:r>
          </w:p>
          <w:p w:rsidR="00D048DB" w:rsidRDefault="00D048DB" w:rsidP="00D048DB">
            <w:pPr>
              <w:pStyle w:val="af"/>
              <w:spacing w:line="360" w:lineRule="auto"/>
              <w:ind w:left="-172"/>
              <w:jc w:val="both"/>
              <w:rPr>
                <w:rFonts w:ascii="David" w:hAnsi="David" w:cs="David"/>
                <w:sz w:val="24"/>
                <w:szCs w:val="24"/>
                <w:rtl/>
              </w:rPr>
            </w:pPr>
          </w:p>
          <w:p w:rsidR="00D048DB" w:rsidRDefault="00D048DB" w:rsidP="00D048DB">
            <w:pPr>
              <w:pStyle w:val="af"/>
              <w:numPr>
                <w:ilvl w:val="0"/>
                <w:numId w:val="1"/>
              </w:numPr>
              <w:spacing w:line="360" w:lineRule="auto"/>
              <w:ind w:left="111" w:hanging="284"/>
              <w:jc w:val="both"/>
              <w:rPr>
                <w:rFonts w:ascii="David" w:hAnsi="David" w:cs="David"/>
                <w:sz w:val="24"/>
                <w:szCs w:val="24"/>
                <w:rtl/>
              </w:rPr>
            </w:pPr>
            <w:r>
              <w:rPr>
                <w:rFonts w:ascii="David" w:hAnsi="David" w:cs="David"/>
                <w:b/>
                <w:bCs/>
                <w:sz w:val="24"/>
                <w:szCs w:val="24"/>
                <w:u w:val="single"/>
                <w:rtl/>
              </w:rPr>
              <w:lastRenderedPageBreak/>
              <w:t>נושא דיון חמישי מחמישה – דיון בנזק שהתרשלות הנתבעת גרמה לתובע</w:t>
            </w:r>
          </w:p>
          <w:p w:rsidR="00D048DB" w:rsidRDefault="00D048DB" w:rsidP="00D048DB">
            <w:pPr>
              <w:pStyle w:val="af"/>
              <w:numPr>
                <w:ilvl w:val="1"/>
                <w:numId w:val="1"/>
              </w:numPr>
              <w:spacing w:line="360" w:lineRule="auto"/>
              <w:ind w:left="678" w:hanging="567"/>
              <w:jc w:val="both"/>
              <w:rPr>
                <w:rFonts w:ascii="David" w:hAnsi="David" w:cs="David"/>
                <w:sz w:val="24"/>
                <w:szCs w:val="24"/>
              </w:rPr>
            </w:pPr>
            <w:r>
              <w:rPr>
                <w:rFonts w:ascii="David" w:hAnsi="David" w:cs="David"/>
                <w:sz w:val="24"/>
                <w:szCs w:val="24"/>
                <w:rtl/>
              </w:rPr>
              <w:t>התובע מפנה לכך שאלמלא התרשלה הנתבעת, הרי היה נותר על כנו רישום העיקול על הנכס. במקרה כזה, לא ניתן היה למשכן את הנכס ולא היה ניתן לרשום משכנתא על הסך של 800,000 ₪. ככל שלא היתה רשומה משכנתא על הנכס, הרי התובע יכול היה לממש את העיקול ולהיפרע מהחייבת.</w:t>
            </w:r>
          </w:p>
          <w:p w:rsidR="00D048DB" w:rsidRDefault="00D048DB" w:rsidP="00D048DB">
            <w:pPr>
              <w:pStyle w:val="af"/>
              <w:spacing w:line="360" w:lineRule="auto"/>
              <w:ind w:left="395"/>
              <w:jc w:val="both"/>
              <w:rPr>
                <w:rFonts w:ascii="David" w:hAnsi="David" w:cs="David"/>
                <w:sz w:val="24"/>
                <w:szCs w:val="24"/>
              </w:rPr>
            </w:pPr>
          </w:p>
          <w:p w:rsidR="00D048DB" w:rsidRDefault="00D048DB" w:rsidP="00D048DB">
            <w:pPr>
              <w:pStyle w:val="af"/>
              <w:numPr>
                <w:ilvl w:val="1"/>
                <w:numId w:val="1"/>
              </w:numPr>
              <w:spacing w:line="360" w:lineRule="auto"/>
              <w:ind w:left="678" w:hanging="567"/>
              <w:jc w:val="both"/>
              <w:rPr>
                <w:rFonts w:ascii="David" w:hAnsi="David" w:cs="David"/>
                <w:sz w:val="24"/>
                <w:szCs w:val="24"/>
              </w:rPr>
            </w:pPr>
            <w:r>
              <w:rPr>
                <w:rFonts w:ascii="David" w:hAnsi="David" w:cs="David"/>
                <w:sz w:val="24"/>
                <w:szCs w:val="24"/>
                <w:rtl/>
              </w:rPr>
              <w:t>יש בסיס לטענת התובע, ואכן ככל שהעיקול היה נותר על כנו, הרי לא היתה נרשמת משכנתא על הנכס. לענין זה ניתן ללמוד מנהלי הנתבעת הקובעים בסעיף 1.3.2.11 תחת הכותרת "</w:t>
            </w:r>
            <w:r>
              <w:rPr>
                <w:rFonts w:ascii="David" w:hAnsi="David" w:cs="David"/>
                <w:b/>
                <w:bCs/>
                <w:sz w:val="24"/>
                <w:szCs w:val="24"/>
                <w:rtl/>
              </w:rPr>
              <w:t>רישום משכנתה במקרקעין מעוקלים</w:t>
            </w:r>
            <w:r>
              <w:rPr>
                <w:rFonts w:ascii="David" w:hAnsi="David" w:cs="David"/>
                <w:sz w:val="24"/>
                <w:szCs w:val="24"/>
                <w:rtl/>
              </w:rPr>
              <w:t xml:space="preserve">" כך (ההדגשות לא במקור): </w:t>
            </w:r>
          </w:p>
          <w:p w:rsidR="00D048DB" w:rsidRDefault="00D048DB" w:rsidP="00D048DB">
            <w:pPr>
              <w:pStyle w:val="af"/>
              <w:spacing w:line="360" w:lineRule="auto"/>
              <w:ind w:left="1440" w:hanging="80"/>
              <w:jc w:val="both"/>
              <w:rPr>
                <w:rFonts w:ascii="David" w:hAnsi="David" w:cs="David"/>
                <w:sz w:val="24"/>
                <w:szCs w:val="24"/>
              </w:rPr>
            </w:pPr>
            <w:r>
              <w:rPr>
                <w:rFonts w:ascii="David" w:hAnsi="David" w:cs="David"/>
                <w:sz w:val="24"/>
                <w:szCs w:val="24"/>
                <w:rtl/>
              </w:rPr>
              <w:t>"</w:t>
            </w:r>
            <w:r>
              <w:rPr>
                <w:rFonts w:ascii="David" w:hAnsi="David" w:cs="David"/>
                <w:b/>
                <w:bCs/>
                <w:sz w:val="24"/>
                <w:szCs w:val="24"/>
                <w:rtl/>
              </w:rPr>
              <w:t xml:space="preserve">על פי החלטת בית המשפט העליון בע"א 743/81 בנק ברקליס דיסקונט בע"מ נ' רוזנבוים, פ"ד לט(1) 12 (1985) – </w:t>
            </w:r>
            <w:r>
              <w:rPr>
                <w:rFonts w:ascii="David" w:hAnsi="David" w:cs="David"/>
                <w:b/>
                <w:bCs/>
                <w:sz w:val="24"/>
                <w:szCs w:val="24"/>
                <w:u w:val="single"/>
                <w:rtl/>
              </w:rPr>
              <w:t>אין לאשר רישום משכנתה על מקרקעין המעוקלים בעיקול זמני</w:t>
            </w:r>
            <w:r>
              <w:rPr>
                <w:rFonts w:ascii="David" w:hAnsi="David" w:cs="David"/>
                <w:sz w:val="24"/>
                <w:szCs w:val="24"/>
                <w:rtl/>
              </w:rPr>
              <w:t>".</w:t>
            </w:r>
          </w:p>
          <w:p w:rsidR="00D048DB" w:rsidRDefault="00D048DB" w:rsidP="00D048DB">
            <w:pPr>
              <w:pStyle w:val="af"/>
              <w:spacing w:line="360" w:lineRule="auto"/>
              <w:ind w:left="1360"/>
              <w:jc w:val="both"/>
              <w:rPr>
                <w:rFonts w:ascii="David" w:hAnsi="David" w:cs="David"/>
                <w:sz w:val="24"/>
                <w:szCs w:val="24"/>
                <w:rtl/>
              </w:rPr>
            </w:pPr>
          </w:p>
          <w:p w:rsidR="00D048DB" w:rsidRDefault="00D048DB" w:rsidP="00D048DB">
            <w:pPr>
              <w:pStyle w:val="af"/>
              <w:spacing w:line="360" w:lineRule="auto"/>
              <w:ind w:left="678"/>
              <w:jc w:val="both"/>
              <w:rPr>
                <w:rFonts w:ascii="David" w:hAnsi="David" w:cs="David"/>
                <w:sz w:val="24"/>
                <w:szCs w:val="24"/>
                <w:rtl/>
              </w:rPr>
            </w:pPr>
            <w:r>
              <w:rPr>
                <w:rFonts w:ascii="David" w:hAnsi="David" w:cs="David"/>
                <w:sz w:val="24"/>
                <w:szCs w:val="24"/>
                <w:rtl/>
              </w:rPr>
              <w:t>העובדה שנהלי הנתבעת מונעים רישום משכנתא כאשר קיים עיקול – תומכת לחלוטין בעמדת וגרסת התובע. אלמלא התרשלה הנתבעת, הרי כל פעולה של רישום משכנתא היתה נתקלת בחסם הקבוע בנהלי הנתבעת. חסם האוסר על רישום משכנתא על מקרקעין מעוקלים.</w:t>
            </w:r>
          </w:p>
          <w:p w:rsidR="00D048DB" w:rsidRDefault="00D048DB" w:rsidP="00D048DB">
            <w:pPr>
              <w:pStyle w:val="af"/>
              <w:spacing w:line="360" w:lineRule="auto"/>
              <w:ind w:left="395"/>
              <w:jc w:val="both"/>
              <w:rPr>
                <w:rFonts w:ascii="David" w:hAnsi="David" w:cs="David"/>
                <w:sz w:val="24"/>
                <w:szCs w:val="24"/>
                <w:rtl/>
              </w:rPr>
            </w:pPr>
          </w:p>
          <w:p w:rsidR="00D048DB" w:rsidRDefault="00D048DB" w:rsidP="00D048DB">
            <w:pPr>
              <w:pStyle w:val="af"/>
              <w:numPr>
                <w:ilvl w:val="1"/>
                <w:numId w:val="1"/>
              </w:numPr>
              <w:spacing w:line="360" w:lineRule="auto"/>
              <w:ind w:left="678" w:hanging="567"/>
              <w:jc w:val="both"/>
              <w:rPr>
                <w:rFonts w:ascii="David" w:hAnsi="David" w:cs="David"/>
                <w:sz w:val="24"/>
                <w:szCs w:val="24"/>
                <w:rtl/>
              </w:rPr>
            </w:pPr>
            <w:r>
              <w:rPr>
                <w:rFonts w:ascii="David" w:hAnsi="David" w:cs="David"/>
                <w:b/>
                <w:bCs/>
                <w:sz w:val="24"/>
                <w:szCs w:val="24"/>
                <w:u w:val="single"/>
                <w:rtl/>
              </w:rPr>
              <w:t>אין לקבל טענת הנתבעת בדבר ניתוק הקשר הסיבתי</w:t>
            </w:r>
          </w:p>
          <w:p w:rsidR="00D048DB" w:rsidRDefault="00D048DB" w:rsidP="00D048DB">
            <w:pPr>
              <w:pStyle w:val="af"/>
              <w:spacing w:line="360" w:lineRule="auto"/>
              <w:ind w:left="678"/>
              <w:jc w:val="both"/>
              <w:rPr>
                <w:rFonts w:ascii="David" w:hAnsi="David" w:cs="David"/>
                <w:sz w:val="24"/>
                <w:szCs w:val="24"/>
              </w:rPr>
            </w:pPr>
            <w:r>
              <w:rPr>
                <w:rFonts w:ascii="David" w:hAnsi="David" w:cs="David"/>
                <w:sz w:val="24"/>
                <w:szCs w:val="24"/>
                <w:rtl/>
              </w:rPr>
              <w:t xml:space="preserve">הנתבעת טוענת שפעולת המרמה והמעשים הפליליים של הצדדים השלישיים, מנתקים את הקשר הסיבתי בין התרשלותה לבין הנזק שנגרם לתובע. במלוא הכבוד, אין מקום לקבל טענה זו. חובת הזהירות של הנתבעת, והקפדה על רישום ראוי של נכסי המקרקעין נועדו מלכתחילה כדי להתמודד עם מצבים בהם נפל פגם ואף אשם של צדדים שלישיים. ההקפדה על רישום ראוי ונכון נועדה על מנת למנוע מצבים של תרמית ואף מצבים של טעות או הטעיה. בוודאי שלא ניתן לטעון שהסיכון עימו היה על הנתבעת להתמודד  - פוטר את הנתבעת מהתמודדות ופוטר את הנתבעת מאחריות. לענין זה ר' למשל ע"א 610/94, </w:t>
            </w:r>
            <w:r>
              <w:rPr>
                <w:rFonts w:ascii="David" w:hAnsi="David" w:cs="David"/>
                <w:sz w:val="24"/>
                <w:szCs w:val="24"/>
                <w:u w:val="single"/>
                <w:rtl/>
              </w:rPr>
              <w:t>בוכבינדר נ' כונס הנכסים הרשמי בתפקידו כמפרק בנק צפון אמריקה</w:t>
            </w:r>
            <w:r>
              <w:rPr>
                <w:rFonts w:ascii="David" w:hAnsi="David" w:cs="David"/>
                <w:sz w:val="24"/>
                <w:szCs w:val="24"/>
                <w:rtl/>
              </w:rPr>
              <w:t xml:space="preserve"> (מיום 11.5.2003, המש' לנש' ש' לוין, הש' א' ברק, השופטת ט' שטרסברג כהן) שם נקבע כך (ההדגשות לא במקור):</w:t>
            </w:r>
          </w:p>
          <w:p w:rsidR="00D048DB" w:rsidRDefault="00D048DB" w:rsidP="00D048DB">
            <w:pPr>
              <w:pStyle w:val="af"/>
              <w:spacing w:line="360" w:lineRule="auto"/>
              <w:ind w:left="1360"/>
              <w:jc w:val="both"/>
              <w:rPr>
                <w:rFonts w:ascii="David" w:hAnsi="David" w:cs="David"/>
                <w:b/>
                <w:bCs/>
                <w:sz w:val="24"/>
                <w:szCs w:val="24"/>
                <w:rtl/>
              </w:rPr>
            </w:pPr>
            <w:r>
              <w:rPr>
                <w:rFonts w:ascii="David" w:hAnsi="David" w:cs="David"/>
                <w:b/>
                <w:bCs/>
                <w:sz w:val="24"/>
                <w:szCs w:val="24"/>
                <w:rtl/>
              </w:rPr>
              <w:t xml:space="preserve">"עצם העובדה כי הייתה </w:t>
            </w:r>
            <w:r>
              <w:rPr>
                <w:rFonts w:ascii="David" w:hAnsi="David" w:cs="David"/>
                <w:b/>
                <w:bCs/>
                <w:sz w:val="24"/>
                <w:szCs w:val="24"/>
                <w:u w:val="single"/>
                <w:rtl/>
              </w:rPr>
              <w:t>התערבות מכוונת של צד שלישי אין בה כדי לנתק את הקשר הסיבתי</w:t>
            </w:r>
            <w:r>
              <w:rPr>
                <w:rFonts w:ascii="David" w:hAnsi="David" w:cs="David"/>
                <w:b/>
                <w:bCs/>
                <w:sz w:val="24"/>
                <w:szCs w:val="24"/>
                <w:rtl/>
              </w:rPr>
              <w:t xml:space="preserve">. כאשר חובת הזהירות של אדם מכוונת למנוע את אשמו של אדם אחר, אין לראות בהתרחשות האשם המסוים של האחרון משום סיבה מכרעת המנתקת את הקשר הסיבתי, כי </w:t>
            </w:r>
            <w:r>
              <w:rPr>
                <w:rFonts w:ascii="David" w:hAnsi="David" w:cs="David"/>
                <w:b/>
                <w:bCs/>
                <w:sz w:val="24"/>
                <w:szCs w:val="24"/>
                <w:u w:val="single"/>
                <w:rtl/>
              </w:rPr>
              <w:t>הלוא חובתו של הראשון הייתה למנוע דווקא את אשמו של השני</w:t>
            </w:r>
            <w:r>
              <w:rPr>
                <w:rFonts w:ascii="David" w:hAnsi="David" w:cs="David"/>
                <w:b/>
                <w:bCs/>
                <w:sz w:val="24"/>
                <w:szCs w:val="24"/>
                <w:rtl/>
              </w:rPr>
              <w:t>"</w:t>
            </w:r>
          </w:p>
          <w:p w:rsidR="00D048DB" w:rsidRDefault="00D048DB" w:rsidP="00D048DB">
            <w:pPr>
              <w:pStyle w:val="af"/>
              <w:spacing w:line="360" w:lineRule="auto"/>
              <w:ind w:left="1360"/>
              <w:jc w:val="both"/>
              <w:rPr>
                <w:rFonts w:ascii="David" w:hAnsi="David" w:cs="David"/>
                <w:sz w:val="24"/>
                <w:szCs w:val="24"/>
                <w:rtl/>
              </w:rPr>
            </w:pPr>
          </w:p>
          <w:p w:rsidR="00D048DB" w:rsidRDefault="00D048DB" w:rsidP="00D048DB">
            <w:pPr>
              <w:pStyle w:val="af"/>
              <w:spacing w:line="360" w:lineRule="auto"/>
              <w:ind w:left="678"/>
              <w:jc w:val="both"/>
              <w:rPr>
                <w:rFonts w:ascii="David" w:hAnsi="David" w:cs="David"/>
                <w:sz w:val="24"/>
                <w:szCs w:val="24"/>
                <w:rtl/>
              </w:rPr>
            </w:pPr>
            <w:r>
              <w:rPr>
                <w:rFonts w:ascii="David" w:hAnsi="David" w:cs="David"/>
                <w:sz w:val="24"/>
                <w:szCs w:val="24"/>
                <w:rtl/>
              </w:rPr>
              <w:t xml:space="preserve">להרחבה ר' גם ע"א 4024/13, </w:t>
            </w:r>
            <w:r>
              <w:rPr>
                <w:rFonts w:ascii="David" w:hAnsi="David" w:cs="David"/>
                <w:sz w:val="24"/>
                <w:szCs w:val="24"/>
                <w:u w:val="single"/>
                <w:rtl/>
              </w:rPr>
              <w:t>תקווה - כפר להכשרה מקצועית בגבעות זייד בע"מ נ' אריה פינקוביץ</w:t>
            </w:r>
            <w:r>
              <w:rPr>
                <w:rFonts w:ascii="David" w:hAnsi="David" w:cs="David"/>
                <w:sz w:val="24"/>
                <w:szCs w:val="24"/>
                <w:rtl/>
              </w:rPr>
              <w:t xml:space="preserve"> (מיום 29.6.2016, הש' י' עמית, צ' זילברטל, מ' מזוז) בסעיף 52 לפסק דינו של כב' הש' צ' זילברטל. </w:t>
            </w:r>
          </w:p>
          <w:p w:rsidR="00D048DB" w:rsidRDefault="00D048DB" w:rsidP="00D048DB">
            <w:pPr>
              <w:pStyle w:val="af"/>
              <w:spacing w:line="360" w:lineRule="auto"/>
              <w:ind w:left="395"/>
              <w:jc w:val="both"/>
              <w:rPr>
                <w:rFonts w:ascii="David" w:hAnsi="David" w:cs="David"/>
                <w:sz w:val="24"/>
                <w:szCs w:val="24"/>
                <w:rtl/>
              </w:rPr>
            </w:pPr>
          </w:p>
          <w:p w:rsidR="00D048DB" w:rsidRDefault="00D048DB" w:rsidP="00D048DB">
            <w:pPr>
              <w:pStyle w:val="af"/>
              <w:numPr>
                <w:ilvl w:val="1"/>
                <w:numId w:val="1"/>
              </w:numPr>
              <w:spacing w:line="360" w:lineRule="auto"/>
              <w:ind w:left="678" w:hanging="567"/>
              <w:jc w:val="both"/>
              <w:rPr>
                <w:rFonts w:ascii="David" w:hAnsi="David" w:cs="David"/>
                <w:sz w:val="24"/>
                <w:szCs w:val="24"/>
              </w:rPr>
            </w:pPr>
            <w:r>
              <w:rPr>
                <w:rFonts w:ascii="David" w:hAnsi="David" w:cs="David"/>
                <w:b/>
                <w:bCs/>
                <w:sz w:val="24"/>
                <w:szCs w:val="24"/>
                <w:u w:val="single"/>
                <w:rtl/>
              </w:rPr>
              <w:lastRenderedPageBreak/>
              <w:t>אין לקבל טענת הנתבעת בדבר אשם תורם לתובע</w:t>
            </w:r>
          </w:p>
          <w:p w:rsidR="00D048DB" w:rsidRDefault="00D048DB" w:rsidP="00D048DB">
            <w:pPr>
              <w:pStyle w:val="af"/>
              <w:numPr>
                <w:ilvl w:val="0"/>
                <w:numId w:val="22"/>
              </w:numPr>
              <w:spacing w:line="360" w:lineRule="auto"/>
              <w:ind w:left="1103"/>
              <w:jc w:val="both"/>
              <w:rPr>
                <w:rFonts w:ascii="David" w:hAnsi="David" w:cs="David"/>
                <w:sz w:val="24"/>
                <w:szCs w:val="24"/>
              </w:rPr>
            </w:pPr>
            <w:r>
              <w:rPr>
                <w:rFonts w:ascii="David" w:hAnsi="David" w:cs="David"/>
                <w:sz w:val="24"/>
                <w:szCs w:val="24"/>
                <w:rtl/>
              </w:rPr>
              <w:t>להשלמה אוסיף שלא מצאתי גם כל אשם תורם מצידו של התובע או התרשלות מצידו. התובע פעל על פי דין, העיקול נרשם כדין. מחיקת העיקול נעשתה אך ורק בשל התרשלות הנתבעת, ואין מדובר במצב בו התובע התבקש להביע עמדתו באשר למחיקה זו טרם הפעולה.</w:t>
            </w:r>
          </w:p>
          <w:p w:rsidR="00D048DB" w:rsidRDefault="00D048DB" w:rsidP="00D048DB">
            <w:pPr>
              <w:pStyle w:val="af"/>
              <w:spacing w:line="360" w:lineRule="auto"/>
              <w:ind w:left="395"/>
              <w:jc w:val="both"/>
              <w:rPr>
                <w:rFonts w:ascii="David" w:hAnsi="David" w:cs="David"/>
                <w:sz w:val="24"/>
                <w:szCs w:val="24"/>
              </w:rPr>
            </w:pPr>
          </w:p>
          <w:p w:rsidR="00D048DB" w:rsidRDefault="00D048DB" w:rsidP="00D048DB">
            <w:pPr>
              <w:pStyle w:val="af"/>
              <w:numPr>
                <w:ilvl w:val="0"/>
                <w:numId w:val="22"/>
              </w:numPr>
              <w:spacing w:line="360" w:lineRule="auto"/>
              <w:ind w:left="1103"/>
              <w:jc w:val="both"/>
              <w:rPr>
                <w:rFonts w:ascii="David" w:hAnsi="David" w:cs="David"/>
                <w:sz w:val="24"/>
                <w:szCs w:val="24"/>
              </w:rPr>
            </w:pPr>
            <w:r>
              <w:rPr>
                <w:rFonts w:ascii="David" w:hAnsi="David" w:cs="David"/>
                <w:sz w:val="24"/>
                <w:szCs w:val="24"/>
                <w:rtl/>
              </w:rPr>
              <w:t>במאמר מוסגר אציין שקיימים מקרים בהם הנתבעת פונה אל מעקל, טרם מחיקת העיקול. פניה כזו נעשית במצבים בהם עיקול רובץ על מקרקעין למשך שנים. במקרה בו העיקול רשום לתקופה העולה על עשר שנים, הרי ניתן ליזום מהלך של מחיקתו, וזאת בהתאם להוראות סעיף 157א ל</w:t>
            </w:r>
            <w:r>
              <w:rPr>
                <w:rFonts w:ascii="David" w:hAnsi="David" w:cs="David"/>
                <w:sz w:val="24"/>
                <w:szCs w:val="24"/>
                <w:u w:val="single"/>
                <w:rtl/>
              </w:rPr>
              <w:t>חוק המקרקעין</w:t>
            </w:r>
            <w:r>
              <w:rPr>
                <w:rFonts w:ascii="David" w:hAnsi="David" w:cs="David"/>
                <w:sz w:val="24"/>
                <w:szCs w:val="24"/>
                <w:rtl/>
              </w:rPr>
              <w:t>, תשכ"ט – 1969. ואולם עדיין, מחיקה כאמור תיעשה רק לאחר שרשם המקרקעין מודיע על כך בכתב לנושה בעל העיקול וכן פרסום הדבר בשני עיתונים יומיים, וכלשון סעיף 157א(ב) ל</w:t>
            </w:r>
            <w:r>
              <w:rPr>
                <w:rFonts w:ascii="David" w:hAnsi="David" w:cs="David"/>
                <w:sz w:val="24"/>
                <w:szCs w:val="24"/>
                <w:u w:val="single"/>
                <w:rtl/>
              </w:rPr>
              <w:t>חוק המקרקעין</w:t>
            </w:r>
            <w:r>
              <w:rPr>
                <w:rFonts w:ascii="David" w:hAnsi="David" w:cs="David"/>
                <w:sz w:val="24"/>
                <w:szCs w:val="24"/>
                <w:rtl/>
              </w:rPr>
              <w:t xml:space="preserve"> – </w:t>
            </w:r>
            <w:r>
              <w:rPr>
                <w:rFonts w:ascii="David" w:hAnsi="David" w:cs="David"/>
                <w:b/>
                <w:bCs/>
                <w:sz w:val="24"/>
                <w:szCs w:val="24"/>
                <w:rtl/>
              </w:rPr>
              <w:t>"החליט הרשם למחוק עיקול בתום התקופה כאמור בסעיף קטן (א), ישלח הודעה, לפחות ארבעים וחמישה ימים לפני המחיקה, למי שהעיקול נרשם לזכותו, ככל שמענו ידוע, או יפרסם על כך הודעה בשני עתונים יומיים"</w:t>
            </w:r>
            <w:r>
              <w:rPr>
                <w:rFonts w:ascii="David" w:hAnsi="David" w:cs="David"/>
                <w:sz w:val="24"/>
                <w:szCs w:val="24"/>
                <w:rtl/>
              </w:rPr>
              <w:t>.</w:t>
            </w:r>
            <w:r>
              <w:rPr>
                <w:rFonts w:ascii="David" w:hAnsi="David" w:cs="David"/>
                <w:b/>
                <w:bCs/>
                <w:sz w:val="24"/>
                <w:szCs w:val="24"/>
                <w:rtl/>
              </w:rPr>
              <w:t xml:space="preserve"> </w:t>
            </w:r>
            <w:r>
              <w:rPr>
                <w:rFonts w:ascii="David" w:hAnsi="David" w:cs="David"/>
                <w:sz w:val="24"/>
                <w:szCs w:val="24"/>
                <w:rtl/>
              </w:rPr>
              <w:t>ואולם בעניינינו – לא חלה על הנתבעת חובה להודיע לתובע דבר, והיא אכן גם לא הודיעה דבר. מכאן, אין מקום לטעון לאשם תורם של התובע, בגין מעשי ומחדלי הנתבעת. לכך יצטרף האמור בפסקה הבאה.</w:t>
            </w:r>
          </w:p>
          <w:p w:rsidR="00D048DB" w:rsidRDefault="00D048DB" w:rsidP="00D048DB">
            <w:pPr>
              <w:pStyle w:val="af"/>
              <w:rPr>
                <w:rFonts w:ascii="David" w:hAnsi="David" w:cs="David"/>
                <w:sz w:val="24"/>
                <w:szCs w:val="24"/>
              </w:rPr>
            </w:pPr>
          </w:p>
          <w:p w:rsidR="00D048DB" w:rsidRDefault="00D048DB" w:rsidP="00D048DB">
            <w:pPr>
              <w:pStyle w:val="af"/>
              <w:numPr>
                <w:ilvl w:val="0"/>
                <w:numId w:val="22"/>
              </w:numPr>
              <w:spacing w:line="360" w:lineRule="auto"/>
              <w:ind w:left="1103"/>
              <w:jc w:val="both"/>
              <w:rPr>
                <w:rFonts w:ascii="David" w:hAnsi="David" w:cs="David"/>
                <w:sz w:val="24"/>
                <w:szCs w:val="24"/>
                <w:rtl/>
              </w:rPr>
            </w:pPr>
            <w:r>
              <w:rPr>
                <w:rFonts w:ascii="David" w:hAnsi="David" w:cs="David"/>
                <w:sz w:val="24"/>
                <w:szCs w:val="24"/>
                <w:rtl/>
              </w:rPr>
              <w:t>אין מקום לייחס לתובע אשם תורם או רשלנות תורמת, כאשר ניכר שהוא לא שקט על השמרים, משהתגלה הנזק שגרמה לו הנתבעת. וכך למשל:</w:t>
            </w:r>
          </w:p>
          <w:p w:rsidR="00D048DB" w:rsidRDefault="00D048DB" w:rsidP="00D048DB">
            <w:pPr>
              <w:pStyle w:val="af"/>
              <w:rPr>
                <w:rFonts w:ascii="David" w:hAnsi="David" w:cs="David"/>
                <w:sz w:val="24"/>
                <w:szCs w:val="24"/>
              </w:rPr>
            </w:pPr>
          </w:p>
          <w:p w:rsidR="00D048DB" w:rsidRDefault="00D048DB" w:rsidP="00D048DB">
            <w:pPr>
              <w:pStyle w:val="af"/>
              <w:numPr>
                <w:ilvl w:val="0"/>
                <w:numId w:val="5"/>
              </w:numPr>
              <w:spacing w:line="360" w:lineRule="auto"/>
              <w:ind w:left="1529"/>
              <w:jc w:val="both"/>
              <w:rPr>
                <w:rFonts w:ascii="David" w:hAnsi="David" w:cs="David"/>
                <w:sz w:val="24"/>
                <w:szCs w:val="24"/>
                <w:rtl/>
              </w:rPr>
            </w:pPr>
            <w:r>
              <w:rPr>
                <w:rFonts w:ascii="David" w:hAnsi="David" w:cs="David"/>
                <w:sz w:val="24"/>
                <w:szCs w:val="24"/>
                <w:rtl/>
              </w:rPr>
              <w:t>התובע פנה והגיש תלונה במשטרת ישראל כבר ביום 29.6.2020.</w:t>
            </w:r>
          </w:p>
          <w:p w:rsidR="00D048DB" w:rsidRDefault="00D048DB" w:rsidP="00D048DB">
            <w:pPr>
              <w:pStyle w:val="af"/>
              <w:numPr>
                <w:ilvl w:val="0"/>
                <w:numId w:val="5"/>
              </w:numPr>
              <w:spacing w:line="360" w:lineRule="auto"/>
              <w:ind w:left="1529"/>
              <w:jc w:val="both"/>
              <w:rPr>
                <w:rFonts w:ascii="David" w:hAnsi="David" w:cs="David"/>
                <w:sz w:val="24"/>
                <w:szCs w:val="24"/>
              </w:rPr>
            </w:pPr>
            <w:r>
              <w:rPr>
                <w:rFonts w:ascii="David" w:hAnsi="David" w:cs="David"/>
                <w:sz w:val="24"/>
                <w:szCs w:val="24"/>
                <w:rtl/>
              </w:rPr>
              <w:t xml:space="preserve">התובע הגיש לוועדת האתיקה של לשכת עורכי הדין כבר ביום 20.7.2020 תלונה כנגד הצד השלישי 2 שהיא באת כוח החייבת. </w:t>
            </w:r>
          </w:p>
          <w:p w:rsidR="00D048DB" w:rsidRDefault="00D048DB" w:rsidP="00D048DB">
            <w:pPr>
              <w:pStyle w:val="af"/>
              <w:numPr>
                <w:ilvl w:val="0"/>
                <w:numId w:val="5"/>
              </w:numPr>
              <w:spacing w:line="360" w:lineRule="auto"/>
              <w:ind w:left="1529"/>
              <w:jc w:val="both"/>
              <w:rPr>
                <w:rFonts w:ascii="David" w:hAnsi="David" w:cs="David"/>
                <w:sz w:val="24"/>
                <w:szCs w:val="24"/>
              </w:rPr>
            </w:pPr>
            <w:r>
              <w:rPr>
                <w:rFonts w:ascii="David" w:hAnsi="David" w:cs="David"/>
                <w:sz w:val="24"/>
                <w:szCs w:val="24"/>
                <w:rtl/>
              </w:rPr>
              <w:t xml:space="preserve">התובע הקפיד ופנה אף אל רשמת ההוצאה לפועל, אולם נענה ביום 11.8.2020 כי הדיון בסוגיה זו אינו מצוי בסמכותה (ס' 27 לתצהיר, נספח 6 לתצהיר). </w:t>
            </w:r>
          </w:p>
          <w:p w:rsidR="00D048DB" w:rsidRDefault="00D048DB" w:rsidP="00D048DB">
            <w:pPr>
              <w:pStyle w:val="af"/>
              <w:numPr>
                <w:ilvl w:val="0"/>
                <w:numId w:val="5"/>
              </w:numPr>
              <w:spacing w:line="360" w:lineRule="auto"/>
              <w:ind w:left="1529"/>
              <w:jc w:val="both"/>
              <w:rPr>
                <w:rFonts w:ascii="David" w:hAnsi="David" w:cs="David"/>
                <w:sz w:val="24"/>
                <w:szCs w:val="24"/>
              </w:rPr>
            </w:pPr>
            <w:r>
              <w:rPr>
                <w:rFonts w:ascii="David" w:hAnsi="David" w:cs="David"/>
                <w:sz w:val="24"/>
                <w:szCs w:val="24"/>
                <w:rtl/>
              </w:rPr>
              <w:t xml:space="preserve">התובע, כדבריו פעל אל מול החייבת, ובהמשך אל מול עיזבונה, מחוץ לכותלי בית המשפט, אך לא הצליח להיפרע. </w:t>
            </w:r>
          </w:p>
          <w:p w:rsidR="00D048DB" w:rsidRDefault="00D048DB" w:rsidP="00D048DB">
            <w:pPr>
              <w:pStyle w:val="af"/>
              <w:spacing w:line="360" w:lineRule="auto"/>
              <w:ind w:left="395"/>
              <w:jc w:val="both"/>
              <w:rPr>
                <w:rFonts w:ascii="David" w:hAnsi="David" w:cs="David"/>
                <w:b/>
                <w:bCs/>
                <w:sz w:val="24"/>
                <w:szCs w:val="24"/>
                <w:u w:val="single"/>
              </w:rPr>
            </w:pPr>
          </w:p>
          <w:p w:rsidR="00D048DB" w:rsidRDefault="00D048DB" w:rsidP="00D048DB">
            <w:pPr>
              <w:pStyle w:val="af"/>
              <w:numPr>
                <w:ilvl w:val="1"/>
                <w:numId w:val="1"/>
              </w:numPr>
              <w:spacing w:line="360" w:lineRule="auto"/>
              <w:ind w:left="678" w:hanging="567"/>
              <w:jc w:val="both"/>
              <w:rPr>
                <w:rFonts w:ascii="David" w:hAnsi="David" w:cs="David"/>
                <w:b/>
                <w:bCs/>
                <w:sz w:val="24"/>
                <w:szCs w:val="24"/>
                <w:u w:val="single"/>
              </w:rPr>
            </w:pPr>
            <w:r>
              <w:rPr>
                <w:rFonts w:ascii="David" w:hAnsi="David" w:cs="David"/>
                <w:b/>
                <w:bCs/>
                <w:sz w:val="24"/>
                <w:szCs w:val="24"/>
                <w:u w:val="single"/>
                <w:rtl/>
              </w:rPr>
              <w:t>סוף דבר באשר לנזק לתובע שגרמה הנתבעת בהתרשלותה</w:t>
            </w:r>
          </w:p>
          <w:p w:rsidR="00D048DB" w:rsidRDefault="00D048DB" w:rsidP="00D048DB">
            <w:pPr>
              <w:pStyle w:val="af"/>
              <w:spacing w:line="360" w:lineRule="auto"/>
              <w:ind w:left="678"/>
              <w:jc w:val="both"/>
              <w:rPr>
                <w:rFonts w:ascii="David" w:eastAsia="Times New Roman" w:hAnsi="David" w:cs="David"/>
                <w:color w:val="000000"/>
                <w:sz w:val="24"/>
                <w:szCs w:val="24"/>
                <w:rtl/>
              </w:rPr>
            </w:pPr>
            <w:r>
              <w:rPr>
                <w:rFonts w:ascii="David" w:hAnsi="David" w:cs="David"/>
                <w:sz w:val="24"/>
                <w:szCs w:val="24"/>
                <w:rtl/>
              </w:rPr>
              <w:t xml:space="preserve">לאור האמור עד כאן, הרי נזקו של התובע עומד אכן על הסך של </w:t>
            </w:r>
            <w:r>
              <w:rPr>
                <w:rFonts w:ascii="David" w:hAnsi="David" w:cs="David"/>
                <w:b/>
                <w:bCs/>
                <w:sz w:val="24"/>
                <w:szCs w:val="24"/>
                <w:u w:val="single"/>
                <w:rtl/>
              </w:rPr>
              <w:t>137,421 ₪</w:t>
            </w:r>
            <w:r>
              <w:rPr>
                <w:rFonts w:ascii="David" w:hAnsi="David" w:cs="David"/>
                <w:sz w:val="24"/>
                <w:szCs w:val="24"/>
                <w:rtl/>
              </w:rPr>
              <w:t xml:space="preserve">, כערכו במועד הגשת התביעה. </w:t>
            </w:r>
          </w:p>
          <w:p w:rsidR="00D048DB" w:rsidRDefault="00D048DB" w:rsidP="00D048DB">
            <w:pPr>
              <w:pStyle w:val="af"/>
              <w:spacing w:line="360" w:lineRule="auto"/>
              <w:ind w:left="1360"/>
              <w:jc w:val="both"/>
              <w:rPr>
                <w:rFonts w:ascii="David" w:hAnsi="David" w:cs="David"/>
                <w:sz w:val="24"/>
                <w:szCs w:val="24"/>
                <w:rtl/>
              </w:rPr>
            </w:pPr>
          </w:p>
          <w:p w:rsidR="003B4FB0" w:rsidRDefault="003B4FB0" w:rsidP="00D048DB">
            <w:pPr>
              <w:pStyle w:val="af"/>
              <w:spacing w:line="360" w:lineRule="auto"/>
              <w:ind w:left="1360"/>
              <w:jc w:val="both"/>
              <w:rPr>
                <w:rFonts w:ascii="David" w:hAnsi="David" w:cs="David"/>
                <w:sz w:val="24"/>
                <w:szCs w:val="24"/>
                <w:rtl/>
              </w:rPr>
            </w:pPr>
          </w:p>
          <w:p w:rsidR="003B4FB0" w:rsidRDefault="003B4FB0" w:rsidP="00D048DB">
            <w:pPr>
              <w:pStyle w:val="af"/>
              <w:spacing w:line="360" w:lineRule="auto"/>
              <w:ind w:left="1360"/>
              <w:jc w:val="both"/>
              <w:rPr>
                <w:rFonts w:ascii="David" w:hAnsi="David" w:cs="David"/>
                <w:sz w:val="24"/>
                <w:szCs w:val="24"/>
                <w:rtl/>
              </w:rPr>
            </w:pPr>
          </w:p>
          <w:p w:rsidR="003B4FB0" w:rsidRDefault="003B4FB0" w:rsidP="00D048DB">
            <w:pPr>
              <w:pStyle w:val="af"/>
              <w:spacing w:line="360" w:lineRule="auto"/>
              <w:ind w:left="1360"/>
              <w:jc w:val="both"/>
              <w:rPr>
                <w:rFonts w:ascii="David" w:hAnsi="David" w:cs="David"/>
                <w:sz w:val="24"/>
                <w:szCs w:val="24"/>
                <w:rtl/>
              </w:rPr>
            </w:pPr>
          </w:p>
          <w:p w:rsidR="003B4FB0" w:rsidRDefault="003B4FB0" w:rsidP="00D048DB">
            <w:pPr>
              <w:pStyle w:val="af"/>
              <w:spacing w:line="360" w:lineRule="auto"/>
              <w:ind w:left="1360"/>
              <w:jc w:val="both"/>
              <w:rPr>
                <w:rFonts w:ascii="David" w:hAnsi="David" w:cs="David"/>
                <w:sz w:val="24"/>
                <w:szCs w:val="24"/>
              </w:rPr>
            </w:pPr>
          </w:p>
          <w:p w:rsidR="00D048DB" w:rsidRDefault="00D048DB" w:rsidP="00D048DB">
            <w:pPr>
              <w:pStyle w:val="af"/>
              <w:spacing w:line="360" w:lineRule="auto"/>
              <w:ind w:left="-172"/>
              <w:jc w:val="both"/>
              <w:rPr>
                <w:rFonts w:ascii="David" w:hAnsi="David" w:cs="David"/>
                <w:sz w:val="24"/>
                <w:szCs w:val="24"/>
                <w:rtl/>
              </w:rPr>
            </w:pPr>
            <w:r>
              <w:rPr>
                <w:rFonts w:ascii="David" w:hAnsi="David" w:cs="David"/>
                <w:b/>
                <w:bCs/>
                <w:sz w:val="28"/>
                <w:szCs w:val="28"/>
                <w:u w:val="single"/>
                <w:rtl/>
              </w:rPr>
              <w:lastRenderedPageBreak/>
              <w:t>חלק שלישי – הערות לפני סיום וכן סוף דבר ותוצאת ההליך</w:t>
            </w:r>
          </w:p>
          <w:p w:rsidR="00D048DB" w:rsidRDefault="00D048DB" w:rsidP="00D048DB">
            <w:pPr>
              <w:pStyle w:val="af"/>
              <w:spacing w:line="360" w:lineRule="auto"/>
              <w:ind w:left="1360"/>
              <w:jc w:val="both"/>
              <w:rPr>
                <w:rFonts w:ascii="David" w:hAnsi="David" w:cs="David"/>
                <w:sz w:val="24"/>
                <w:szCs w:val="24"/>
                <w:rtl/>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tl/>
              </w:rPr>
            </w:pPr>
            <w:r>
              <w:rPr>
                <w:rFonts w:ascii="David" w:hAnsi="David" w:cs="David"/>
                <w:b/>
                <w:bCs/>
                <w:sz w:val="24"/>
                <w:szCs w:val="24"/>
                <w:u w:val="single"/>
                <w:rtl/>
              </w:rPr>
              <w:t>על כך שהתובע נטש בפועל טענתו לעוולת "הפרת חובה חקוקה" ולמעלה מהנדרש - התייחסות בתמצית לגופה של הטענה</w:t>
            </w:r>
          </w:p>
          <w:p w:rsidR="00D048DB" w:rsidRDefault="00D048DB" w:rsidP="00D048DB">
            <w:pPr>
              <w:pStyle w:val="af"/>
              <w:numPr>
                <w:ilvl w:val="1"/>
                <w:numId w:val="1"/>
              </w:numPr>
              <w:spacing w:line="360" w:lineRule="auto"/>
              <w:ind w:left="820" w:hanging="708"/>
              <w:jc w:val="both"/>
              <w:rPr>
                <w:rFonts w:ascii="David" w:hAnsi="David" w:cs="David"/>
                <w:sz w:val="24"/>
                <w:szCs w:val="24"/>
                <w:u w:val="single"/>
              </w:rPr>
            </w:pPr>
            <w:r>
              <w:rPr>
                <w:rFonts w:ascii="David" w:hAnsi="David" w:cs="David"/>
                <w:sz w:val="24"/>
                <w:szCs w:val="24"/>
                <w:rtl/>
              </w:rPr>
              <w:t>פסק הדין מבסס את אחריות הנתבעת על עוולת הרשלנות. נתתי דעתי לכך שבכתב התביעה נטענה טענה להפרת חובה חקוקה, כשהחובה שנטען כי הופרה היא לפי תקנה 73(2) ל</w:t>
            </w:r>
            <w:r>
              <w:rPr>
                <w:rFonts w:ascii="David" w:hAnsi="David" w:cs="David"/>
                <w:sz w:val="24"/>
                <w:szCs w:val="24"/>
                <w:u w:val="single"/>
                <w:rtl/>
              </w:rPr>
              <w:t>תקנות המקרקעין</w:t>
            </w:r>
            <w:r>
              <w:rPr>
                <w:rFonts w:ascii="David" w:hAnsi="David" w:cs="David"/>
                <w:sz w:val="24"/>
                <w:szCs w:val="24"/>
                <w:rtl/>
              </w:rPr>
              <w:t xml:space="preserve"> </w:t>
            </w:r>
            <w:r>
              <w:rPr>
                <w:rFonts w:ascii="David" w:hAnsi="David" w:cs="David"/>
                <w:sz w:val="24"/>
                <w:szCs w:val="24"/>
                <w:u w:val="single"/>
                <w:rtl/>
              </w:rPr>
              <w:t>(ניהול ורישום)</w:t>
            </w:r>
            <w:r>
              <w:rPr>
                <w:rFonts w:ascii="David" w:hAnsi="David" w:cs="David"/>
                <w:sz w:val="24"/>
                <w:szCs w:val="24"/>
                <w:rtl/>
              </w:rPr>
              <w:t>, תשע"ב – 2011. משהתובע זנח טענה זו בסיכומיו הרי ממילא אין לפסוק בגינה.</w:t>
            </w:r>
          </w:p>
          <w:p w:rsidR="00D048DB" w:rsidRDefault="00D048DB" w:rsidP="00D048DB">
            <w:pPr>
              <w:pStyle w:val="af"/>
              <w:spacing w:line="360" w:lineRule="auto"/>
              <w:ind w:left="536"/>
              <w:jc w:val="both"/>
              <w:rPr>
                <w:rFonts w:ascii="David" w:hAnsi="David" w:cs="David"/>
                <w:sz w:val="24"/>
                <w:szCs w:val="24"/>
                <w:u w:val="single"/>
              </w:rPr>
            </w:pPr>
          </w:p>
          <w:p w:rsidR="00D048DB" w:rsidRDefault="00D048DB" w:rsidP="00D048DB">
            <w:pPr>
              <w:pStyle w:val="af"/>
              <w:numPr>
                <w:ilvl w:val="1"/>
                <w:numId w:val="1"/>
              </w:numPr>
              <w:spacing w:line="360" w:lineRule="auto"/>
              <w:ind w:left="820" w:hanging="708"/>
              <w:jc w:val="both"/>
              <w:rPr>
                <w:rFonts w:ascii="David" w:hAnsi="David" w:cs="David"/>
                <w:sz w:val="24"/>
                <w:szCs w:val="24"/>
                <w:u w:val="single"/>
              </w:rPr>
            </w:pPr>
            <w:r>
              <w:rPr>
                <w:rFonts w:ascii="David" w:hAnsi="David" w:cs="David"/>
                <w:sz w:val="24"/>
                <w:szCs w:val="24"/>
                <w:rtl/>
              </w:rPr>
              <w:t>למעלה מהנדרש אציין שנראה שלא בכדי נטש התובע את הטענה בדבר הפרת הוראות סעיף 73 ל</w:t>
            </w:r>
            <w:r>
              <w:rPr>
                <w:rFonts w:ascii="David" w:hAnsi="David" w:cs="David"/>
                <w:sz w:val="24"/>
                <w:szCs w:val="24"/>
                <w:u w:val="single"/>
                <w:rtl/>
              </w:rPr>
              <w:t>תקנות המקרקעין</w:t>
            </w:r>
            <w:r>
              <w:rPr>
                <w:rFonts w:ascii="David" w:hAnsi="David" w:cs="David"/>
                <w:sz w:val="24"/>
                <w:szCs w:val="24"/>
                <w:rtl/>
              </w:rPr>
              <w:t xml:space="preserve"> </w:t>
            </w:r>
            <w:r>
              <w:rPr>
                <w:rFonts w:ascii="David" w:hAnsi="David" w:cs="David"/>
                <w:sz w:val="24"/>
                <w:szCs w:val="24"/>
                <w:u w:val="single"/>
                <w:rtl/>
              </w:rPr>
              <w:t>(ניהול ורישום)</w:t>
            </w:r>
            <w:r>
              <w:rPr>
                <w:rFonts w:ascii="David" w:hAnsi="David" w:cs="David"/>
                <w:sz w:val="24"/>
                <w:szCs w:val="24"/>
                <w:rtl/>
              </w:rPr>
              <w:t>. ואבהיר. סעיף 73 לתקנות, אינו רלוונטי לעניינינו. סעיף 73 לתקנות מתייחס למחיקת עיקול בהתאם להוראת סעיף 157א ל</w:t>
            </w:r>
            <w:r>
              <w:rPr>
                <w:rFonts w:ascii="David" w:hAnsi="David" w:cs="David"/>
                <w:sz w:val="24"/>
                <w:szCs w:val="24"/>
                <w:u w:val="single"/>
                <w:rtl/>
              </w:rPr>
              <w:t>חוק המקרקעין</w:t>
            </w:r>
            <w:r>
              <w:rPr>
                <w:rFonts w:ascii="David" w:hAnsi="David" w:cs="David"/>
                <w:sz w:val="24"/>
                <w:szCs w:val="24"/>
                <w:rtl/>
              </w:rPr>
              <w:t xml:space="preserve">, מחיקה של עיקול הרובץ על מקרקעין למשך שנים ארוכות וכאשר </w:t>
            </w:r>
            <w:r>
              <w:rPr>
                <w:rFonts w:ascii="David" w:hAnsi="David" w:cs="David"/>
                <w:b/>
                <w:bCs/>
                <w:sz w:val="24"/>
                <w:szCs w:val="24"/>
                <w:rtl/>
              </w:rPr>
              <w:t>"עברו עשר שנים מיום שנרשם עיקול"</w:t>
            </w:r>
            <w:r>
              <w:rPr>
                <w:rFonts w:ascii="David" w:hAnsi="David" w:cs="David"/>
                <w:sz w:val="24"/>
                <w:szCs w:val="24"/>
                <w:rtl/>
              </w:rPr>
              <w:t xml:space="preserve"> (סעיף 157א(א) ל</w:t>
            </w:r>
            <w:r>
              <w:rPr>
                <w:rFonts w:ascii="David" w:hAnsi="David" w:cs="David"/>
                <w:sz w:val="24"/>
                <w:szCs w:val="24"/>
                <w:u w:val="single"/>
                <w:rtl/>
              </w:rPr>
              <w:t>חוק המקרקעין</w:t>
            </w:r>
            <w:r>
              <w:rPr>
                <w:rFonts w:ascii="David" w:hAnsi="David" w:cs="David"/>
                <w:sz w:val="24"/>
                <w:szCs w:val="24"/>
                <w:rtl/>
              </w:rPr>
              <w:t>). בעניינינו, סעיף 157א ל</w:t>
            </w:r>
            <w:r>
              <w:rPr>
                <w:rFonts w:ascii="David" w:hAnsi="David" w:cs="David"/>
                <w:sz w:val="24"/>
                <w:szCs w:val="24"/>
                <w:u w:val="single"/>
                <w:rtl/>
              </w:rPr>
              <w:t>חוק המקרקעין</w:t>
            </w:r>
            <w:r>
              <w:rPr>
                <w:rFonts w:ascii="David" w:hAnsi="David" w:cs="David"/>
                <w:sz w:val="24"/>
                <w:szCs w:val="24"/>
                <w:rtl/>
              </w:rPr>
              <w:t xml:space="preserve"> אינו רלוונטי שכן מחיקת העיקול לא נעשתה בשל תקופת הזמן בה רבץ על המקרקעין, אלא המחיקה נעשתה בשל התרשלות שהובילה לאימוץ מסמך מזויף שהוצג לנתבעת.</w:t>
            </w:r>
          </w:p>
          <w:p w:rsidR="00D048DB" w:rsidRDefault="00D048DB" w:rsidP="00D048DB">
            <w:pPr>
              <w:pStyle w:val="af"/>
              <w:spacing w:line="360" w:lineRule="auto"/>
              <w:ind w:left="1360"/>
              <w:jc w:val="both"/>
              <w:rPr>
                <w:rFonts w:ascii="David" w:hAnsi="David" w:cs="David"/>
                <w:sz w:val="24"/>
                <w:szCs w:val="24"/>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tl/>
              </w:rPr>
            </w:pPr>
            <w:r>
              <w:rPr>
                <w:rFonts w:ascii="David" w:hAnsi="David" w:cs="David"/>
                <w:b/>
                <w:bCs/>
                <w:sz w:val="24"/>
                <w:szCs w:val="24"/>
                <w:u w:val="single"/>
                <w:rtl/>
              </w:rPr>
              <w:t>התייחסות לצדדים השלישיים</w:t>
            </w:r>
          </w:p>
          <w:p w:rsidR="00D048DB" w:rsidRDefault="00D048DB" w:rsidP="00D048DB">
            <w:pPr>
              <w:pStyle w:val="af"/>
              <w:numPr>
                <w:ilvl w:val="1"/>
                <w:numId w:val="1"/>
              </w:numPr>
              <w:spacing w:line="360" w:lineRule="auto"/>
              <w:ind w:left="820" w:hanging="708"/>
              <w:jc w:val="both"/>
              <w:rPr>
                <w:rFonts w:ascii="David" w:hAnsi="David" w:cs="David"/>
                <w:sz w:val="24"/>
                <w:szCs w:val="24"/>
                <w:u w:val="single"/>
              </w:rPr>
            </w:pPr>
            <w:r>
              <w:rPr>
                <w:rFonts w:ascii="David" w:hAnsi="David" w:cs="David"/>
                <w:sz w:val="24"/>
                <w:szCs w:val="24"/>
                <w:rtl/>
              </w:rPr>
              <w:t>ביום 21.6.2020 הגישה הנתבעת הודעה לצדדים שלישיים, הם החייבת בתיק ההוצאה לפועל שפתח התובע וכן עורכת הדין, קרובת משפחתה אשר כנטען פעלה למחיקת העיקול. בימים 17.12.2020 ו-18.12.2020 הגישה הנתבעת בקשות למתן פסקי דין כנגד הצדדים השלישיים אשר לא הגישו כתבי הגנה מטעמם. ביום 31.12.2020 ניתנה החלטה  לפיה: "</w:t>
            </w:r>
            <w:r>
              <w:rPr>
                <w:rFonts w:ascii="David" w:hAnsi="David" w:cs="David"/>
                <w:b/>
                <w:bCs/>
                <w:sz w:val="24"/>
                <w:szCs w:val="24"/>
                <w:rtl/>
              </w:rPr>
              <w:t>1. בנסיבות הענין, וכאשר ההליך הוא בשלב מקדמי ביותר וכלל לא הוגשו ראיות על ידי התובע והנתבעת – הרי יש מקום להתייחס לבקשה ואף ליתן החלטה כפי שתפורט להלן. עם זאת – פסק הדין יינתן עם סיומו של ההליך ותוך התייחסות, ככל שיהיה צורך, לראיות וטענות שיובאו לפני. 2. על כן, בשלב זה קובע כדלקמן: (א) הצדדים השלישיים 1 ו-2 יחויבו עד לסך של סכום התביעה וכן הוצאות שכ"ט. (ב)  הסכום לחיוב לרבות הוצאות ושכר טרחת עו"ד ייקבע במסגרת פסק הדין הסופי</w:t>
            </w:r>
            <w:r>
              <w:rPr>
                <w:rFonts w:ascii="David" w:hAnsi="David" w:cs="David"/>
                <w:sz w:val="24"/>
                <w:szCs w:val="24"/>
                <w:rtl/>
              </w:rPr>
              <w:t xml:space="preserve">." </w:t>
            </w:r>
          </w:p>
          <w:p w:rsidR="00D048DB" w:rsidRDefault="00D048DB" w:rsidP="00D048DB">
            <w:pPr>
              <w:pStyle w:val="af"/>
              <w:spacing w:line="360" w:lineRule="auto"/>
              <w:ind w:left="1360"/>
              <w:jc w:val="both"/>
              <w:rPr>
                <w:rFonts w:ascii="David" w:hAnsi="David" w:cs="David"/>
                <w:sz w:val="24"/>
                <w:szCs w:val="24"/>
                <w:rtl/>
              </w:rPr>
            </w:pPr>
          </w:p>
          <w:p w:rsidR="00D048DB" w:rsidRDefault="00D048DB" w:rsidP="00D048DB">
            <w:pPr>
              <w:pStyle w:val="af"/>
              <w:numPr>
                <w:ilvl w:val="1"/>
                <w:numId w:val="1"/>
              </w:numPr>
              <w:spacing w:line="360" w:lineRule="auto"/>
              <w:ind w:left="820" w:hanging="708"/>
              <w:jc w:val="both"/>
              <w:rPr>
                <w:rFonts w:ascii="David" w:hAnsi="David" w:cs="David"/>
                <w:sz w:val="24"/>
                <w:szCs w:val="24"/>
              </w:rPr>
            </w:pPr>
            <w:r>
              <w:rPr>
                <w:rFonts w:ascii="David" w:hAnsi="David" w:cs="David"/>
                <w:sz w:val="24"/>
                <w:szCs w:val="24"/>
                <w:rtl/>
              </w:rPr>
              <w:t xml:space="preserve">כאשר הצדדים השלישיים לא הגישו כתבי הגנה, הרי בהתאם לאמור לעיל יש לחייבם בכל סכום בו תחויב הנתבעת. </w:t>
            </w:r>
          </w:p>
          <w:p w:rsidR="00D048DB" w:rsidRDefault="00D048DB" w:rsidP="00D048DB">
            <w:pPr>
              <w:pStyle w:val="af"/>
              <w:jc w:val="both"/>
              <w:rPr>
                <w:rFonts w:ascii="David" w:hAnsi="David" w:cs="David"/>
                <w:sz w:val="24"/>
                <w:szCs w:val="24"/>
                <w:rtl/>
              </w:rPr>
            </w:pPr>
          </w:p>
          <w:p w:rsidR="00D048DB" w:rsidRDefault="00D048DB" w:rsidP="00D048DB">
            <w:pPr>
              <w:pStyle w:val="af"/>
              <w:numPr>
                <w:ilvl w:val="0"/>
                <w:numId w:val="1"/>
              </w:numPr>
              <w:spacing w:line="360" w:lineRule="auto"/>
              <w:ind w:left="111" w:hanging="284"/>
              <w:jc w:val="both"/>
              <w:rPr>
                <w:rFonts w:ascii="David" w:hAnsi="David" w:cs="David"/>
                <w:sz w:val="24"/>
                <w:szCs w:val="24"/>
                <w:u w:val="single"/>
                <w:rtl/>
              </w:rPr>
            </w:pPr>
            <w:r>
              <w:rPr>
                <w:rFonts w:ascii="David" w:hAnsi="David" w:cs="David"/>
                <w:b/>
                <w:bCs/>
                <w:sz w:val="24"/>
                <w:szCs w:val="24"/>
                <w:u w:val="single"/>
                <w:rtl/>
              </w:rPr>
              <w:t>הערה והערכה לעובדי הנתבעת</w:t>
            </w:r>
          </w:p>
          <w:p w:rsidR="00D048DB" w:rsidRDefault="00D048DB" w:rsidP="00D048DB">
            <w:pPr>
              <w:pStyle w:val="af"/>
              <w:spacing w:line="360" w:lineRule="auto"/>
              <w:ind w:left="111"/>
              <w:jc w:val="both"/>
              <w:rPr>
                <w:rFonts w:ascii="David" w:hAnsi="David" w:cs="David"/>
                <w:sz w:val="24"/>
                <w:szCs w:val="24"/>
              </w:rPr>
            </w:pPr>
            <w:r>
              <w:rPr>
                <w:rFonts w:ascii="David" w:hAnsi="David" w:cs="David"/>
                <w:sz w:val="24"/>
                <w:szCs w:val="24"/>
                <w:rtl/>
              </w:rPr>
              <w:t xml:space="preserve">כתב התביעה, מעצם טבעו, מפנה זרקור למעשי הנתבעת שגרמו נזק לתובע. מכאן התמקד הדיון בפסק הדין בהתנהלות וכן ברשלנות הנתבעת בכל הקשור למחיקת העיקול בספרי רשם המקרקעין. </w:t>
            </w:r>
            <w:r>
              <w:rPr>
                <w:rFonts w:ascii="David" w:hAnsi="David" w:cs="David"/>
                <w:sz w:val="24"/>
                <w:szCs w:val="24"/>
                <w:u w:val="single"/>
                <w:rtl/>
              </w:rPr>
              <w:t>ואולם</w:t>
            </w:r>
            <w:r>
              <w:rPr>
                <w:rFonts w:ascii="David" w:hAnsi="David" w:cs="David"/>
                <w:sz w:val="24"/>
                <w:szCs w:val="24"/>
                <w:rtl/>
              </w:rPr>
              <w:t xml:space="preserve">, לא נעלמה מעיניי התייחסות נציג הנתבעת לעשרות אלפי פעולות המבוצעות בשגרה על ידי הנתבעת. </w:t>
            </w:r>
            <w:r>
              <w:rPr>
                <w:rFonts w:ascii="David" w:hAnsi="David" w:cs="David"/>
                <w:sz w:val="24"/>
                <w:szCs w:val="24"/>
                <w:rtl/>
              </w:rPr>
              <w:lastRenderedPageBreak/>
              <w:t>עשרות אלפי פעולות אשר ברגיל מתבצעות במקצועיות, במיומנות ובתשומת לב של אנשי הנתבעת ועל כך יש להביע הערכה.</w:t>
            </w:r>
          </w:p>
          <w:p w:rsidR="00D048DB" w:rsidRDefault="00D048DB" w:rsidP="00D048DB">
            <w:pPr>
              <w:pStyle w:val="af"/>
              <w:spacing w:line="360" w:lineRule="auto"/>
              <w:ind w:left="-172"/>
              <w:jc w:val="both"/>
              <w:rPr>
                <w:rFonts w:ascii="David" w:hAnsi="David" w:cs="David"/>
                <w:sz w:val="24"/>
                <w:szCs w:val="24"/>
                <w:rtl/>
              </w:rPr>
            </w:pPr>
          </w:p>
          <w:p w:rsidR="00D048DB" w:rsidRDefault="00D048DB" w:rsidP="00D048DB">
            <w:pPr>
              <w:pStyle w:val="af"/>
              <w:spacing w:line="360" w:lineRule="auto"/>
              <w:ind w:left="111"/>
              <w:jc w:val="both"/>
              <w:rPr>
                <w:rFonts w:ascii="David" w:hAnsi="David" w:cs="David"/>
                <w:sz w:val="24"/>
                <w:szCs w:val="24"/>
                <w:rtl/>
              </w:rPr>
            </w:pPr>
            <w:r>
              <w:rPr>
                <w:rFonts w:ascii="David" w:hAnsi="David" w:cs="David"/>
                <w:sz w:val="24"/>
                <w:szCs w:val="24"/>
                <w:rtl/>
              </w:rPr>
              <w:t>בפעולה הספציפית שהובאה לדיון, אכן הצביעה התביעה על רשלנות ומכאן תוצאת פסק הדין כפי שתובא בפסקה הבאה. אך אין לשכוח שלצד רשלנות זו קיימת גם עבודת נמלים יומיומית של עובדות ועובדים מסורים אצל הנתבעת באשר לעשרות אלפי ואף יותר פעולות רישום.</w:t>
            </w:r>
          </w:p>
          <w:p w:rsidR="00D048DB" w:rsidRDefault="00D048DB" w:rsidP="00D048DB">
            <w:pPr>
              <w:pStyle w:val="af"/>
              <w:spacing w:line="360" w:lineRule="auto"/>
              <w:ind w:left="-172"/>
              <w:jc w:val="both"/>
              <w:rPr>
                <w:rFonts w:ascii="David" w:hAnsi="David" w:cs="David"/>
                <w:sz w:val="24"/>
                <w:szCs w:val="24"/>
                <w:rtl/>
              </w:rPr>
            </w:pPr>
          </w:p>
          <w:p w:rsidR="00D048DB" w:rsidRDefault="00D048DB" w:rsidP="00D048DB">
            <w:pPr>
              <w:pStyle w:val="af"/>
              <w:numPr>
                <w:ilvl w:val="0"/>
                <w:numId w:val="1"/>
              </w:numPr>
              <w:spacing w:line="360" w:lineRule="auto"/>
              <w:ind w:left="111" w:hanging="284"/>
              <w:jc w:val="both"/>
              <w:rPr>
                <w:rFonts w:ascii="David" w:hAnsi="David" w:cs="David"/>
                <w:sz w:val="24"/>
                <w:szCs w:val="24"/>
              </w:rPr>
            </w:pPr>
            <w:r>
              <w:rPr>
                <w:rFonts w:ascii="David" w:hAnsi="David" w:cs="David"/>
                <w:b/>
                <w:bCs/>
                <w:sz w:val="24"/>
                <w:szCs w:val="24"/>
                <w:u w:val="single"/>
                <w:rtl/>
              </w:rPr>
              <w:t>סוף דבר</w:t>
            </w:r>
          </w:p>
          <w:p w:rsidR="00D048DB" w:rsidRDefault="00D048DB" w:rsidP="00D048DB">
            <w:pPr>
              <w:pStyle w:val="af"/>
              <w:spacing w:line="360" w:lineRule="auto"/>
              <w:ind w:left="111"/>
              <w:jc w:val="both"/>
              <w:rPr>
                <w:rFonts w:ascii="David" w:hAnsi="David" w:cs="David"/>
                <w:sz w:val="24"/>
                <w:szCs w:val="24"/>
              </w:rPr>
            </w:pPr>
            <w:r>
              <w:rPr>
                <w:rFonts w:ascii="David" w:hAnsi="David" w:cs="David"/>
                <w:sz w:val="24"/>
                <w:szCs w:val="24"/>
                <w:rtl/>
              </w:rPr>
              <w:t xml:space="preserve">לאור כל האמור לעיל אני מקבל את התביעה ומחייב את הנתבעת בתשלום הסך של </w:t>
            </w:r>
            <w:r>
              <w:rPr>
                <w:rFonts w:ascii="David" w:hAnsi="David" w:cs="David"/>
                <w:b/>
                <w:bCs/>
                <w:sz w:val="24"/>
                <w:szCs w:val="24"/>
                <w:u w:val="single"/>
                <w:rtl/>
              </w:rPr>
              <w:t>137,421 ₪</w:t>
            </w:r>
            <w:r>
              <w:rPr>
                <w:rFonts w:ascii="David" w:hAnsi="David" w:cs="David"/>
                <w:sz w:val="24"/>
                <w:szCs w:val="24"/>
                <w:rtl/>
              </w:rPr>
              <w:t xml:space="preserve"> בצירוף הפרשי הצמדה וריבית כחוק מיום 12/1/2020 ועד למועד התשלום בפועל. בנוסף, אני מחייב את הנתבעת בתשלום הוצאות משפט ושכר טרחה בסך כולל של </w:t>
            </w:r>
            <w:r>
              <w:rPr>
                <w:rFonts w:ascii="David" w:hAnsi="David" w:cs="David"/>
                <w:b/>
                <w:bCs/>
                <w:sz w:val="24"/>
                <w:szCs w:val="24"/>
                <w:u w:val="single"/>
                <w:rtl/>
              </w:rPr>
              <w:t>25,000 ₪</w:t>
            </w:r>
            <w:r>
              <w:rPr>
                <w:rFonts w:ascii="David" w:hAnsi="David" w:cs="David"/>
                <w:sz w:val="24"/>
                <w:szCs w:val="24"/>
                <w:rtl/>
              </w:rPr>
              <w:t xml:space="preserve"> בצירוף הפרשי הצמדה וריבית כחוק ממועד פסק הדין ועד למועד התשלום בפועל.</w:t>
            </w:r>
          </w:p>
          <w:p w:rsidR="00D048DB" w:rsidRDefault="00D048DB" w:rsidP="00D048DB">
            <w:pPr>
              <w:pStyle w:val="af"/>
              <w:spacing w:line="360" w:lineRule="auto"/>
              <w:ind w:left="-172"/>
              <w:jc w:val="both"/>
              <w:rPr>
                <w:rFonts w:ascii="David" w:hAnsi="David" w:cs="David"/>
                <w:sz w:val="24"/>
                <w:szCs w:val="24"/>
                <w:rtl/>
              </w:rPr>
            </w:pPr>
          </w:p>
          <w:p w:rsidR="00D048DB" w:rsidRDefault="00D048DB" w:rsidP="00D048DB">
            <w:pPr>
              <w:pStyle w:val="af"/>
              <w:spacing w:line="360" w:lineRule="auto"/>
              <w:ind w:left="111"/>
              <w:jc w:val="both"/>
              <w:rPr>
                <w:rFonts w:ascii="David" w:hAnsi="David" w:cs="David"/>
                <w:sz w:val="24"/>
                <w:szCs w:val="24"/>
                <w:rtl/>
              </w:rPr>
            </w:pPr>
            <w:r>
              <w:rPr>
                <w:rFonts w:ascii="David" w:hAnsi="David" w:cs="David"/>
                <w:sz w:val="24"/>
                <w:szCs w:val="24"/>
                <w:rtl/>
              </w:rPr>
              <w:t xml:space="preserve">בנוסף, אני מחייב את הצדדים השלישיים, ביחד ולחוד, בתשלום למודיעת צד שלישי הסך של </w:t>
            </w:r>
            <w:r>
              <w:rPr>
                <w:rFonts w:ascii="David" w:hAnsi="David" w:cs="David"/>
                <w:b/>
                <w:bCs/>
                <w:sz w:val="24"/>
                <w:szCs w:val="24"/>
                <w:u w:val="single"/>
                <w:rtl/>
              </w:rPr>
              <w:t>137,421 ₪</w:t>
            </w:r>
            <w:r>
              <w:rPr>
                <w:rFonts w:ascii="David" w:hAnsi="David" w:cs="David"/>
                <w:sz w:val="24"/>
                <w:szCs w:val="24"/>
                <w:rtl/>
              </w:rPr>
              <w:t xml:space="preserve"> בצירוף הפרשי הצמדה וריבית כחוק מיום 12/1/2020 ועד למועד התשלום בפועל. עוד אני מחייב את הצדדים השלישיים, ביחד ולחוד, בתשלום הוצאות משפט ושכר טרחה בסך כולל של </w:t>
            </w:r>
            <w:r>
              <w:rPr>
                <w:rFonts w:ascii="David" w:hAnsi="David" w:cs="David"/>
                <w:b/>
                <w:bCs/>
                <w:sz w:val="24"/>
                <w:szCs w:val="24"/>
                <w:u w:val="single"/>
                <w:rtl/>
              </w:rPr>
              <w:t>25,000 ₪</w:t>
            </w:r>
            <w:r>
              <w:rPr>
                <w:rFonts w:ascii="David" w:hAnsi="David" w:cs="David"/>
                <w:sz w:val="24"/>
                <w:szCs w:val="24"/>
                <w:rtl/>
              </w:rPr>
              <w:t xml:space="preserve"> בצירוף הפרשי הצמדה וריבית כחוק ממועד פסק הדין ועד למועד התשלום בפועל.</w:t>
            </w:r>
          </w:p>
          <w:p w:rsidR="00D048DB" w:rsidRDefault="00D048DB" w:rsidP="00D048DB">
            <w:pPr>
              <w:pStyle w:val="af"/>
              <w:spacing w:line="360" w:lineRule="auto"/>
              <w:ind w:left="755"/>
              <w:jc w:val="both"/>
              <w:rPr>
                <w:rFonts w:ascii="David" w:hAnsi="David" w:cs="David"/>
                <w:sz w:val="24"/>
                <w:szCs w:val="24"/>
                <w:rtl/>
              </w:rPr>
            </w:pPr>
          </w:p>
          <w:p w:rsidR="00D048DB" w:rsidRDefault="00D048DB" w:rsidP="00D048DB">
            <w:pPr>
              <w:pStyle w:val="af"/>
              <w:spacing w:line="360" w:lineRule="auto"/>
              <w:ind w:left="755"/>
              <w:jc w:val="both"/>
              <w:rPr>
                <w:rFonts w:ascii="David" w:hAnsi="David" w:cs="David"/>
                <w:sz w:val="24"/>
                <w:szCs w:val="24"/>
                <w:rtl/>
              </w:rPr>
            </w:pPr>
          </w:p>
          <w:p w:rsidR="00D91DFC" w:rsidRDefault="00D91DFC" w:rsidP="00D048DB">
            <w:pPr>
              <w:bidi w:val="0"/>
              <w:ind w:right="-357"/>
              <w:jc w:val="center"/>
              <w:rPr>
                <w:rFonts w:ascii="Arial" w:hAnsi="Arial"/>
                <w:b/>
                <w:bCs/>
                <w:noProof w:val="0"/>
                <w:sz w:val="28"/>
                <w:szCs w:val="28"/>
                <w:u w:val="single"/>
                <w:rtl/>
              </w:rPr>
            </w:pPr>
          </w:p>
        </w:tc>
      </w:tr>
    </w:tbl>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bookmarkStart w:id="0" w:name="NGCSBookmark"/>
      <w:bookmarkEnd w:id="0"/>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r w:rsidR="00D54B61">
        <w:rPr>
          <w:rFonts w:hint="cs"/>
          <w:rtl/>
        </w:rPr>
        <w:t>ב</w:t>
      </w:r>
      <w:sdt>
        <w:sdtPr>
          <w:rPr>
            <w:rtl/>
          </w:rPr>
          <w:alias w:val="1455"/>
          <w:tag w:val="1455"/>
          <w:id w:val="1666048407"/>
          <w:text w:multiLine="1"/>
        </w:sdtPr>
        <w:sdtEndPr/>
        <w:sdtContent>
          <w:r>
            <w:rPr>
              <w:rFonts w:ascii="Arial" w:hAnsi="Arial"/>
              <w:noProof w:val="0"/>
              <w:rtl/>
            </w:rPr>
            <w:t>כ"א שבט תשפ"ה</w:t>
          </w:r>
        </w:sdtContent>
      </w:sdt>
      <w:r w:rsidR="00005C8B">
        <w:rPr>
          <w:rFonts w:ascii="Arial" w:hAnsi="Arial"/>
          <w:noProof w:val="0"/>
          <w:rtl/>
        </w:rPr>
        <w:t xml:space="preserve">, </w:t>
      </w:r>
      <w:r w:rsidR="00D54B61">
        <w:rPr>
          <w:rFonts w:ascii="Arial" w:hAnsi="Arial" w:hint="cs"/>
          <w:noProof w:val="0"/>
          <w:rtl/>
        </w:rPr>
        <w:t>ב</w:t>
      </w:r>
      <w:sdt>
        <w:sdtPr>
          <w:rPr>
            <w:rtl/>
          </w:rPr>
          <w:alias w:val="1456"/>
          <w:tag w:val="1456"/>
          <w:id w:val="-1186288958"/>
          <w:text w:multiLine="1"/>
        </w:sdtPr>
        <w:sdtEndPr/>
        <w:sdtContent>
          <w:r>
            <w:rPr>
              <w:rFonts w:ascii="Arial" w:hAnsi="Arial"/>
              <w:noProof w:val="0"/>
              <w:rtl/>
            </w:rPr>
            <w:t>19 פברואר 2025</w:t>
          </w:r>
        </w:sdtContent>
      </w:sdt>
      <w:r w:rsidR="00005C8B">
        <w:rPr>
          <w:rFonts w:ascii="Arial" w:hAnsi="Arial"/>
          <w:noProof w:val="0"/>
          <w:rtl/>
        </w:rPr>
        <w:t>, בהעדר הצדדים.</w:t>
      </w:r>
    </w:p>
    <w:p w:rsidR="00C43648" w:rsidRDefault="004567D1"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1539889072"/>
        </w:sdtPr>
        <w:sdtEndPr/>
        <w:sdtContent>
          <w:r w:rsidR="004567D1">
            <w:drawing>
              <wp:inline distT="0" distB="0" distL="0" distR="0" wp14:editId="50D07946">
                <wp:extent cx="1781175" cy="5048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81175" cy="504824"/>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D048DB">
      <w:headerReference w:type="even" r:id="rId9"/>
      <w:headerReference w:type="default" r:id="rId10"/>
      <w:footerReference w:type="even" r:id="rId11"/>
      <w:footerReference w:type="default" r:id="rId12"/>
      <w:headerReference w:type="first" r:id="rId13"/>
      <w:footerReference w:type="first" r:id="rId14"/>
      <w:pgSz w:w="11907" w:h="16840" w:code="9"/>
      <w:pgMar w:top="1247" w:right="1531" w:bottom="1247" w:left="1588"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E68" w:rsidRDefault="006A1E68">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386327" w:rsidRDefault="000C3B60">
    <w:pPr>
      <w:pStyle w:val="a4"/>
      <w:jc w:val="center"/>
      <w:rPr>
        <w:rStyle w:val="ab"/>
      </w:rPr>
    </w:pPr>
    <w:r w:rsidRPr="00386327">
      <w:rPr>
        <w:rStyle w:val="ab"/>
      </w:rPr>
      <w:fldChar w:fldCharType="begin"/>
    </w:r>
    <w:r w:rsidR="00005C8B" w:rsidRPr="00386327">
      <w:rPr>
        <w:rStyle w:val="ab"/>
      </w:rPr>
      <w:instrText xml:space="preserve"> PAGE </w:instrText>
    </w:r>
    <w:r w:rsidRPr="00386327">
      <w:rPr>
        <w:rStyle w:val="ab"/>
      </w:rPr>
      <w:fldChar w:fldCharType="separate"/>
    </w:r>
    <w:r w:rsidR="004567D1">
      <w:rPr>
        <w:rStyle w:val="ab"/>
        <w:rtl/>
      </w:rPr>
      <w:t>1</w:t>
    </w:r>
    <w:r w:rsidRPr="00386327">
      <w:rPr>
        <w:rStyle w:val="ab"/>
      </w:rPr>
      <w:fldChar w:fldCharType="end"/>
    </w:r>
    <w:r w:rsidR="00005C8B" w:rsidRPr="00386327">
      <w:rPr>
        <w:rStyle w:val="ab"/>
        <w:rFonts w:hint="cs"/>
        <w:rtl/>
      </w:rPr>
      <w:t xml:space="preserve"> מתוך </w:t>
    </w:r>
    <w:r w:rsidRPr="00386327">
      <w:rPr>
        <w:rStyle w:val="ab"/>
      </w:rPr>
      <w:fldChar w:fldCharType="begin"/>
    </w:r>
    <w:r w:rsidR="00005C8B" w:rsidRPr="00386327">
      <w:rPr>
        <w:rStyle w:val="ab"/>
      </w:rPr>
      <w:instrText xml:space="preserve"> NUMPAGES </w:instrText>
    </w:r>
    <w:r w:rsidRPr="00386327">
      <w:rPr>
        <w:rStyle w:val="ab"/>
      </w:rPr>
      <w:fldChar w:fldCharType="separate"/>
    </w:r>
    <w:r w:rsidR="004567D1">
      <w:rPr>
        <w:rStyle w:val="ab"/>
        <w:rtl/>
      </w:rPr>
      <w:t>25</w:t>
    </w:r>
    <w:r w:rsidRPr="00386327">
      <w:rPr>
        <w:rStyle w:val="ab"/>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E68" w:rsidRDefault="006A1E68">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E68" w:rsidRDefault="006A1E68">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58B64619" wp14:editId="63AC1D2C">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8505"/>
    </w:tblGrid>
    <w:tr w:rsidR="00694556" w:rsidTr="001C5573">
      <w:trPr>
        <w:trHeight w:hRule="exact" w:val="510"/>
        <w:jc w:val="center"/>
      </w:trPr>
      <w:sdt>
        <w:sdtPr>
          <w:rPr>
            <w:rFonts w:ascii="Tahoma" w:hAnsi="Tahoma"/>
            <w:b/>
            <w:bCs/>
            <w:color w:val="000080"/>
            <w:sz w:val="32"/>
            <w:szCs w:val="32"/>
            <w:rtl/>
          </w:rPr>
          <w:alias w:val="1174"/>
          <w:tag w:val="1174"/>
          <w:id w:val="-1585920285"/>
          <w:text w:multiLine="1"/>
        </w:sdtPr>
        <w:sdtEndPr/>
        <w:sdtContent>
          <w:tc>
            <w:tcPr>
              <w:tcW w:w="8505" w:type="dxa"/>
            </w:tcPr>
            <w:p w:rsidR="001C5573" w:rsidRDefault="003D1C8C" w:rsidP="001C5573">
              <w:pPr>
                <w:pStyle w:val="a3"/>
                <w:jc w:val="center"/>
                <w:rPr>
                  <w:rFonts w:ascii="Tahoma" w:hAnsi="Tahoma"/>
                  <w:noProof w:val="0"/>
                  <w:color w:val="000080"/>
                  <w:sz w:val="32"/>
                  <w:szCs w:val="32"/>
                  <w:rtl/>
                </w:rPr>
              </w:pPr>
              <w:r w:rsidRPr="00FA4EAF">
                <w:rPr>
                  <w:rFonts w:ascii="Tahoma" w:hAnsi="Tahoma"/>
                  <w:b/>
                  <w:bCs/>
                  <w:color w:val="000080"/>
                  <w:sz w:val="32"/>
                  <w:szCs w:val="32"/>
                  <w:rtl/>
                </w:rPr>
                <w:t>בית משפט השלום בתל אביב -יפו</w:t>
              </w:r>
            </w:p>
            <w:p w:rsidR="00694556" w:rsidRPr="001C5573" w:rsidRDefault="00694556" w:rsidP="001C5573">
              <w:pPr>
                <w:tabs>
                  <w:tab w:val="left" w:pos="1421"/>
                </w:tabs>
                <w:rPr>
                  <w:rtl/>
                </w:rPr>
              </w:pPr>
            </w:p>
          </w:tc>
        </w:sdtContent>
      </w:sdt>
    </w:tr>
    <w:tr w:rsidR="00694556" w:rsidRPr="00FA4EAF" w:rsidTr="001C5573">
      <w:trPr>
        <w:trHeight w:val="337"/>
        <w:jc w:val="center"/>
      </w:trPr>
      <w:tc>
        <w:tcPr>
          <w:tcW w:w="8505" w:type="dxa"/>
        </w:tcPr>
        <w:p w:rsidR="008D10B2" w:rsidRPr="00D048DB" w:rsidRDefault="004567D1" w:rsidP="00D048DB">
          <w:pPr>
            <w:rPr>
              <w:b/>
              <w:bCs/>
              <w:noProof w:val="0"/>
              <w:sz w:val="26"/>
              <w:szCs w:val="26"/>
              <w:rtl/>
            </w:rPr>
          </w:pPr>
          <w:sdt>
            <w:sdtPr>
              <w:rPr>
                <w:sz w:val="26"/>
                <w:szCs w:val="26"/>
                <w:rtl/>
              </w:rPr>
              <w:alias w:val="1170"/>
              <w:tag w:val="1170"/>
              <w:id w:val="1066377040"/>
              <w:text w:multiLine="1"/>
            </w:sdtPr>
            <w:sdtEndPr/>
            <w:sdtContent>
              <w:r w:rsidR="0016615E">
                <w:rPr>
                  <w:b/>
                  <w:bCs/>
                  <w:noProof w:val="0"/>
                  <w:sz w:val="26"/>
                  <w:szCs w:val="26"/>
                  <w:rtl/>
                </w:rPr>
                <w:t>ת"א</w:t>
              </w:r>
            </w:sdtContent>
          </w:sdt>
          <w:r w:rsidR="00005C8B" w:rsidRPr="00FA4EAF">
            <w:rPr>
              <w:b/>
              <w:bCs/>
              <w:noProof w:val="0"/>
              <w:sz w:val="26"/>
              <w:szCs w:val="26"/>
              <w:rtl/>
            </w:rPr>
            <w:t xml:space="preserve"> </w:t>
          </w:r>
          <w:bookmarkStart w:id="1" w:name="_GoBack"/>
          <w:sdt>
            <w:sdtPr>
              <w:rPr>
                <w:sz w:val="26"/>
                <w:szCs w:val="26"/>
                <w:rtl/>
              </w:rPr>
              <w:alias w:val="1171"/>
              <w:tag w:val="1171"/>
              <w:id w:val="257034231"/>
              <w:text w:multiLine="1"/>
            </w:sdtPr>
            <w:sdtEndPr/>
            <w:sdtContent>
              <w:r w:rsidR="0016615E">
                <w:rPr>
                  <w:b/>
                  <w:bCs/>
                  <w:noProof w:val="0"/>
                  <w:sz w:val="26"/>
                  <w:szCs w:val="26"/>
                  <w:rtl/>
                </w:rPr>
                <w:t>26317-01-20</w:t>
              </w:r>
            </w:sdtContent>
          </w:sdt>
          <w:bookmarkEnd w:id="1"/>
          <w:r w:rsidR="00005C8B" w:rsidRPr="00FA4EAF">
            <w:rPr>
              <w:b/>
              <w:bCs/>
              <w:noProof w:val="0"/>
              <w:sz w:val="26"/>
              <w:szCs w:val="26"/>
              <w:rtl/>
            </w:rPr>
            <w:t xml:space="preserve"> </w:t>
          </w:r>
          <w:sdt>
            <w:sdtPr>
              <w:rPr>
                <w:sz w:val="26"/>
                <w:szCs w:val="26"/>
                <w:rtl/>
              </w:rPr>
              <w:alias w:val="1172"/>
              <w:tag w:val="1172"/>
              <w:id w:val="-595170033"/>
              <w:text w:multiLine="1"/>
            </w:sdtPr>
            <w:sdtEndPr/>
            <w:sdtContent>
              <w:r w:rsidR="0016615E">
                <w:rPr>
                  <w:b/>
                  <w:bCs/>
                  <w:noProof w:val="0"/>
                  <w:sz w:val="26"/>
                  <w:szCs w:val="26"/>
                  <w:rtl/>
                </w:rPr>
                <w:t>בנק לאומי לישראל בע</w:t>
              </w:r>
              <w:r w:rsidR="00D048DB">
                <w:rPr>
                  <w:rFonts w:hint="cs"/>
                  <w:b/>
                  <w:bCs/>
                  <w:noProof w:val="0"/>
                  <w:sz w:val="26"/>
                  <w:szCs w:val="26"/>
                  <w:rtl/>
                </w:rPr>
                <w:t>"</w:t>
              </w:r>
              <w:r w:rsidR="0016615E">
                <w:rPr>
                  <w:b/>
                  <w:bCs/>
                  <w:noProof w:val="0"/>
                  <w:sz w:val="26"/>
                  <w:szCs w:val="26"/>
                  <w:rtl/>
                </w:rPr>
                <w:t>מ ואח' נ' לש</w:t>
              </w:r>
              <w:r w:rsidR="00D048DB">
                <w:rPr>
                  <w:b/>
                  <w:bCs/>
                  <w:noProof w:val="0"/>
                  <w:sz w:val="26"/>
                  <w:szCs w:val="26"/>
                  <w:rtl/>
                </w:rPr>
                <w:t>כת רישום מקרקעין - מחוז ת"א</w:t>
              </w:r>
            </w:sdtContent>
          </w:sdt>
          <w:r w:rsidR="007D45E3" w:rsidRPr="00FA4EAF">
            <w:rPr>
              <w:rFonts w:hint="cs"/>
              <w:sz w:val="26"/>
              <w:szCs w:val="26"/>
              <w:rtl/>
            </w:rPr>
            <w:t xml:space="preserve">                                                             </w:t>
          </w:r>
          <w:r w:rsidR="007D45E3" w:rsidRPr="00FA4EAF">
            <w:rPr>
              <w:sz w:val="26"/>
              <w:szCs w:val="26"/>
              <w:rtl/>
            </w:rPr>
            <w:t xml:space="preserve"> </w:t>
          </w:r>
          <w:r w:rsidR="001173C6" w:rsidRPr="00FA4EAF">
            <w:rPr>
              <w:sz w:val="26"/>
              <w:szCs w:val="26"/>
              <w:rtl/>
            </w:rPr>
            <w:t xml:space="preserve"> </w:t>
          </w:r>
        </w:p>
      </w:tc>
    </w:tr>
  </w:tbl>
  <w:p w:rsidR="00694556" w:rsidRPr="00FA4EAF" w:rsidRDefault="00694556" w:rsidP="00D048DB">
    <w:pPr>
      <w:pStyle w:val="a3"/>
      <w:tabs>
        <w:tab w:val="clear" w:pos="4153"/>
        <w:tab w:val="clear" w:pos="8306"/>
        <w:tab w:val="left" w:pos="1198"/>
      </w:tabs>
      <w:rPr>
        <w:noProof w:val="0"/>
        <w:sz w:val="26"/>
        <w:szCs w:val="26"/>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1E68" w:rsidRDefault="006A1E68">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5F6E"/>
    <w:multiLevelType w:val="hybridMultilevel"/>
    <w:tmpl w:val="EB46A082"/>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 w15:restartNumberingAfterBreak="0">
    <w:nsid w:val="0989757C"/>
    <w:multiLevelType w:val="hybridMultilevel"/>
    <w:tmpl w:val="D0A8541A"/>
    <w:lvl w:ilvl="0" w:tplc="14EE3FFA">
      <w:start w:val="1"/>
      <w:numFmt w:val="hebrew1"/>
      <w:lvlText w:val="(%1)"/>
      <w:lvlJc w:val="left"/>
      <w:pPr>
        <w:ind w:left="755" w:hanging="360"/>
      </w:pPr>
      <w:rPr>
        <w:strike w:val="0"/>
        <w:dstrike w:val="0"/>
        <w:u w:val="none"/>
        <w:effect w:val="none"/>
      </w:r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 w15:restartNumberingAfterBreak="0">
    <w:nsid w:val="10F95FC3"/>
    <w:multiLevelType w:val="hybridMultilevel"/>
    <w:tmpl w:val="E1ECB77C"/>
    <w:lvl w:ilvl="0" w:tplc="46826DC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3" w15:restartNumberingAfterBreak="0">
    <w:nsid w:val="15FA494B"/>
    <w:multiLevelType w:val="hybridMultilevel"/>
    <w:tmpl w:val="873EDB36"/>
    <w:lvl w:ilvl="0" w:tplc="68EC80B8">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6502E49"/>
    <w:multiLevelType w:val="multilevel"/>
    <w:tmpl w:val="EE329E3C"/>
    <w:lvl w:ilvl="0">
      <w:start w:val="1"/>
      <w:numFmt w:val="decimal"/>
      <w:lvlText w:val="%1."/>
      <w:lvlJc w:val="left"/>
      <w:pPr>
        <w:ind w:left="720" w:hanging="360"/>
      </w:pPr>
    </w:lvl>
    <w:lvl w:ilvl="1">
      <w:start w:val="1"/>
      <w:numFmt w:val="decimal"/>
      <w:isLgl/>
      <w:lvlText w:val="%1.%2"/>
      <w:lvlJc w:val="left"/>
      <w:pPr>
        <w:ind w:left="1069" w:hanging="360"/>
      </w:pPr>
      <w:rPr>
        <w:b w:val="0"/>
        <w:bCs w:val="0"/>
        <w:lang w:val="en-US" w:bidi="he-IL"/>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600" w:hanging="108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5" w15:restartNumberingAfterBreak="0">
    <w:nsid w:val="1CC436A2"/>
    <w:multiLevelType w:val="hybridMultilevel"/>
    <w:tmpl w:val="7D023E90"/>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6" w15:restartNumberingAfterBreak="0">
    <w:nsid w:val="1E4D1CA9"/>
    <w:multiLevelType w:val="hybridMultilevel"/>
    <w:tmpl w:val="4280AA54"/>
    <w:lvl w:ilvl="0" w:tplc="77D83366">
      <w:start w:val="1"/>
      <w:numFmt w:val="hebrew1"/>
      <w:lvlText w:val="%1)"/>
      <w:lvlJc w:val="left"/>
      <w:pPr>
        <w:ind w:left="2165" w:hanging="435"/>
      </w:pPr>
    </w:lvl>
    <w:lvl w:ilvl="1" w:tplc="04090019">
      <w:start w:val="1"/>
      <w:numFmt w:val="lowerLetter"/>
      <w:lvlText w:val="%2."/>
      <w:lvlJc w:val="left"/>
      <w:pPr>
        <w:ind w:left="2810" w:hanging="360"/>
      </w:pPr>
    </w:lvl>
    <w:lvl w:ilvl="2" w:tplc="0409001B">
      <w:start w:val="1"/>
      <w:numFmt w:val="lowerRoman"/>
      <w:lvlText w:val="%3."/>
      <w:lvlJc w:val="right"/>
      <w:pPr>
        <w:ind w:left="3530" w:hanging="180"/>
      </w:pPr>
    </w:lvl>
    <w:lvl w:ilvl="3" w:tplc="0409000F">
      <w:start w:val="1"/>
      <w:numFmt w:val="decimal"/>
      <w:lvlText w:val="%4."/>
      <w:lvlJc w:val="left"/>
      <w:pPr>
        <w:ind w:left="4250" w:hanging="360"/>
      </w:pPr>
    </w:lvl>
    <w:lvl w:ilvl="4" w:tplc="04090019">
      <w:start w:val="1"/>
      <w:numFmt w:val="lowerLetter"/>
      <w:lvlText w:val="%5."/>
      <w:lvlJc w:val="left"/>
      <w:pPr>
        <w:ind w:left="4970" w:hanging="360"/>
      </w:pPr>
    </w:lvl>
    <w:lvl w:ilvl="5" w:tplc="0409001B">
      <w:start w:val="1"/>
      <w:numFmt w:val="lowerRoman"/>
      <w:lvlText w:val="%6."/>
      <w:lvlJc w:val="right"/>
      <w:pPr>
        <w:ind w:left="5690" w:hanging="180"/>
      </w:pPr>
    </w:lvl>
    <w:lvl w:ilvl="6" w:tplc="0409000F">
      <w:start w:val="1"/>
      <w:numFmt w:val="decimal"/>
      <w:lvlText w:val="%7."/>
      <w:lvlJc w:val="left"/>
      <w:pPr>
        <w:ind w:left="6410" w:hanging="360"/>
      </w:pPr>
    </w:lvl>
    <w:lvl w:ilvl="7" w:tplc="04090019">
      <w:start w:val="1"/>
      <w:numFmt w:val="lowerLetter"/>
      <w:lvlText w:val="%8."/>
      <w:lvlJc w:val="left"/>
      <w:pPr>
        <w:ind w:left="7130" w:hanging="360"/>
      </w:pPr>
    </w:lvl>
    <w:lvl w:ilvl="8" w:tplc="0409001B">
      <w:start w:val="1"/>
      <w:numFmt w:val="lowerRoman"/>
      <w:lvlText w:val="%9."/>
      <w:lvlJc w:val="right"/>
      <w:pPr>
        <w:ind w:left="7850" w:hanging="180"/>
      </w:pPr>
    </w:lvl>
  </w:abstractNum>
  <w:abstractNum w:abstractNumId="7" w15:restartNumberingAfterBreak="0">
    <w:nsid w:val="20E35B2A"/>
    <w:multiLevelType w:val="hybridMultilevel"/>
    <w:tmpl w:val="DBD8ABF8"/>
    <w:lvl w:ilvl="0" w:tplc="9C8646B4">
      <w:start w:val="1"/>
      <w:numFmt w:val="hebrew1"/>
      <w:lvlText w:val="(%1)"/>
      <w:lvlJc w:val="left"/>
      <w:pPr>
        <w:ind w:left="188" w:hanging="360"/>
      </w:pPr>
    </w:lvl>
    <w:lvl w:ilvl="1" w:tplc="04090019">
      <w:start w:val="1"/>
      <w:numFmt w:val="lowerLetter"/>
      <w:lvlText w:val="%2."/>
      <w:lvlJc w:val="left"/>
      <w:pPr>
        <w:ind w:left="908" w:hanging="360"/>
      </w:pPr>
    </w:lvl>
    <w:lvl w:ilvl="2" w:tplc="0409001B">
      <w:start w:val="1"/>
      <w:numFmt w:val="lowerRoman"/>
      <w:lvlText w:val="%3."/>
      <w:lvlJc w:val="right"/>
      <w:pPr>
        <w:ind w:left="1628" w:hanging="180"/>
      </w:pPr>
    </w:lvl>
    <w:lvl w:ilvl="3" w:tplc="0409000F">
      <w:start w:val="1"/>
      <w:numFmt w:val="decimal"/>
      <w:lvlText w:val="%4."/>
      <w:lvlJc w:val="left"/>
      <w:pPr>
        <w:ind w:left="2348" w:hanging="360"/>
      </w:pPr>
    </w:lvl>
    <w:lvl w:ilvl="4" w:tplc="04090019">
      <w:start w:val="1"/>
      <w:numFmt w:val="lowerLetter"/>
      <w:lvlText w:val="%5."/>
      <w:lvlJc w:val="left"/>
      <w:pPr>
        <w:ind w:left="3068" w:hanging="360"/>
      </w:pPr>
    </w:lvl>
    <w:lvl w:ilvl="5" w:tplc="0409001B">
      <w:start w:val="1"/>
      <w:numFmt w:val="lowerRoman"/>
      <w:lvlText w:val="%6."/>
      <w:lvlJc w:val="right"/>
      <w:pPr>
        <w:ind w:left="3788" w:hanging="180"/>
      </w:pPr>
    </w:lvl>
    <w:lvl w:ilvl="6" w:tplc="0409000F">
      <w:start w:val="1"/>
      <w:numFmt w:val="decimal"/>
      <w:lvlText w:val="%7."/>
      <w:lvlJc w:val="left"/>
      <w:pPr>
        <w:ind w:left="4508" w:hanging="360"/>
      </w:pPr>
    </w:lvl>
    <w:lvl w:ilvl="7" w:tplc="04090019">
      <w:start w:val="1"/>
      <w:numFmt w:val="lowerLetter"/>
      <w:lvlText w:val="%8."/>
      <w:lvlJc w:val="left"/>
      <w:pPr>
        <w:ind w:left="5228" w:hanging="360"/>
      </w:pPr>
    </w:lvl>
    <w:lvl w:ilvl="8" w:tplc="0409001B">
      <w:start w:val="1"/>
      <w:numFmt w:val="lowerRoman"/>
      <w:lvlText w:val="%9."/>
      <w:lvlJc w:val="right"/>
      <w:pPr>
        <w:ind w:left="5948" w:hanging="180"/>
      </w:pPr>
    </w:lvl>
  </w:abstractNum>
  <w:abstractNum w:abstractNumId="8" w15:restartNumberingAfterBreak="0">
    <w:nsid w:val="212D02C4"/>
    <w:multiLevelType w:val="hybridMultilevel"/>
    <w:tmpl w:val="0DFA6E28"/>
    <w:lvl w:ilvl="0" w:tplc="127C5CC2">
      <w:numFmt w:val="bullet"/>
      <w:lvlText w:val="-"/>
      <w:lvlJc w:val="left"/>
      <w:pPr>
        <w:ind w:left="755" w:hanging="360"/>
      </w:pPr>
      <w:rPr>
        <w:rFonts w:ascii="David" w:eastAsiaTheme="minorHAnsi" w:hAnsi="David" w:cs="David" w:hint="default"/>
      </w:rPr>
    </w:lvl>
    <w:lvl w:ilvl="1" w:tplc="04090003">
      <w:start w:val="1"/>
      <w:numFmt w:val="bullet"/>
      <w:lvlText w:val="o"/>
      <w:lvlJc w:val="left"/>
      <w:pPr>
        <w:ind w:left="1475" w:hanging="360"/>
      </w:pPr>
      <w:rPr>
        <w:rFonts w:ascii="Courier New" w:hAnsi="Courier New" w:cs="Courier New" w:hint="default"/>
      </w:rPr>
    </w:lvl>
    <w:lvl w:ilvl="2" w:tplc="04090005">
      <w:start w:val="1"/>
      <w:numFmt w:val="bullet"/>
      <w:lvlText w:val=""/>
      <w:lvlJc w:val="left"/>
      <w:pPr>
        <w:ind w:left="2195" w:hanging="360"/>
      </w:pPr>
      <w:rPr>
        <w:rFonts w:ascii="Wingdings" w:hAnsi="Wingdings" w:hint="default"/>
      </w:rPr>
    </w:lvl>
    <w:lvl w:ilvl="3" w:tplc="04090001">
      <w:start w:val="1"/>
      <w:numFmt w:val="bullet"/>
      <w:lvlText w:val=""/>
      <w:lvlJc w:val="left"/>
      <w:pPr>
        <w:ind w:left="2915" w:hanging="360"/>
      </w:pPr>
      <w:rPr>
        <w:rFonts w:ascii="Symbol" w:hAnsi="Symbol" w:hint="default"/>
      </w:rPr>
    </w:lvl>
    <w:lvl w:ilvl="4" w:tplc="04090003">
      <w:start w:val="1"/>
      <w:numFmt w:val="bullet"/>
      <w:lvlText w:val="o"/>
      <w:lvlJc w:val="left"/>
      <w:pPr>
        <w:ind w:left="3635" w:hanging="360"/>
      </w:pPr>
      <w:rPr>
        <w:rFonts w:ascii="Courier New" w:hAnsi="Courier New" w:cs="Courier New" w:hint="default"/>
      </w:rPr>
    </w:lvl>
    <w:lvl w:ilvl="5" w:tplc="04090005">
      <w:start w:val="1"/>
      <w:numFmt w:val="bullet"/>
      <w:lvlText w:val=""/>
      <w:lvlJc w:val="left"/>
      <w:pPr>
        <w:ind w:left="4355" w:hanging="360"/>
      </w:pPr>
      <w:rPr>
        <w:rFonts w:ascii="Wingdings" w:hAnsi="Wingdings" w:hint="default"/>
      </w:rPr>
    </w:lvl>
    <w:lvl w:ilvl="6" w:tplc="04090001">
      <w:start w:val="1"/>
      <w:numFmt w:val="bullet"/>
      <w:lvlText w:val=""/>
      <w:lvlJc w:val="left"/>
      <w:pPr>
        <w:ind w:left="5075" w:hanging="360"/>
      </w:pPr>
      <w:rPr>
        <w:rFonts w:ascii="Symbol" w:hAnsi="Symbol" w:hint="default"/>
      </w:rPr>
    </w:lvl>
    <w:lvl w:ilvl="7" w:tplc="04090003">
      <w:start w:val="1"/>
      <w:numFmt w:val="bullet"/>
      <w:lvlText w:val="o"/>
      <w:lvlJc w:val="left"/>
      <w:pPr>
        <w:ind w:left="5795" w:hanging="360"/>
      </w:pPr>
      <w:rPr>
        <w:rFonts w:ascii="Courier New" w:hAnsi="Courier New" w:cs="Courier New" w:hint="default"/>
      </w:rPr>
    </w:lvl>
    <w:lvl w:ilvl="8" w:tplc="04090005">
      <w:start w:val="1"/>
      <w:numFmt w:val="bullet"/>
      <w:lvlText w:val=""/>
      <w:lvlJc w:val="left"/>
      <w:pPr>
        <w:ind w:left="6515" w:hanging="360"/>
      </w:pPr>
      <w:rPr>
        <w:rFonts w:ascii="Wingdings" w:hAnsi="Wingdings" w:hint="default"/>
      </w:rPr>
    </w:lvl>
  </w:abstractNum>
  <w:abstractNum w:abstractNumId="9" w15:restartNumberingAfterBreak="0">
    <w:nsid w:val="23EF41E5"/>
    <w:multiLevelType w:val="hybridMultilevel"/>
    <w:tmpl w:val="6B4242A2"/>
    <w:lvl w:ilvl="0" w:tplc="40BE488A">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0" w15:restartNumberingAfterBreak="0">
    <w:nsid w:val="28CC59D3"/>
    <w:multiLevelType w:val="hybridMultilevel"/>
    <w:tmpl w:val="0100C926"/>
    <w:lvl w:ilvl="0" w:tplc="DFB6E93A">
      <w:start w:val="1"/>
      <w:numFmt w:val="hebrew1"/>
      <w:lvlText w:val="(%1)"/>
      <w:lvlJc w:val="left"/>
      <w:pPr>
        <w:ind w:left="188" w:hanging="360"/>
      </w:pPr>
    </w:lvl>
    <w:lvl w:ilvl="1" w:tplc="04090019">
      <w:start w:val="1"/>
      <w:numFmt w:val="lowerLetter"/>
      <w:lvlText w:val="%2."/>
      <w:lvlJc w:val="left"/>
      <w:pPr>
        <w:ind w:left="908" w:hanging="360"/>
      </w:pPr>
    </w:lvl>
    <w:lvl w:ilvl="2" w:tplc="0409001B">
      <w:start w:val="1"/>
      <w:numFmt w:val="lowerRoman"/>
      <w:lvlText w:val="%3."/>
      <w:lvlJc w:val="right"/>
      <w:pPr>
        <w:ind w:left="1628" w:hanging="180"/>
      </w:pPr>
    </w:lvl>
    <w:lvl w:ilvl="3" w:tplc="0409000F">
      <w:start w:val="1"/>
      <w:numFmt w:val="decimal"/>
      <w:lvlText w:val="%4."/>
      <w:lvlJc w:val="left"/>
      <w:pPr>
        <w:ind w:left="2348" w:hanging="360"/>
      </w:pPr>
    </w:lvl>
    <w:lvl w:ilvl="4" w:tplc="04090019">
      <w:start w:val="1"/>
      <w:numFmt w:val="lowerLetter"/>
      <w:lvlText w:val="%5."/>
      <w:lvlJc w:val="left"/>
      <w:pPr>
        <w:ind w:left="3068" w:hanging="360"/>
      </w:pPr>
    </w:lvl>
    <w:lvl w:ilvl="5" w:tplc="0409001B">
      <w:start w:val="1"/>
      <w:numFmt w:val="lowerRoman"/>
      <w:lvlText w:val="%6."/>
      <w:lvlJc w:val="right"/>
      <w:pPr>
        <w:ind w:left="3788" w:hanging="180"/>
      </w:pPr>
    </w:lvl>
    <w:lvl w:ilvl="6" w:tplc="0409000F">
      <w:start w:val="1"/>
      <w:numFmt w:val="decimal"/>
      <w:lvlText w:val="%7."/>
      <w:lvlJc w:val="left"/>
      <w:pPr>
        <w:ind w:left="4508" w:hanging="360"/>
      </w:pPr>
    </w:lvl>
    <w:lvl w:ilvl="7" w:tplc="04090019">
      <w:start w:val="1"/>
      <w:numFmt w:val="lowerLetter"/>
      <w:lvlText w:val="%8."/>
      <w:lvlJc w:val="left"/>
      <w:pPr>
        <w:ind w:left="5228" w:hanging="360"/>
      </w:pPr>
    </w:lvl>
    <w:lvl w:ilvl="8" w:tplc="0409001B">
      <w:start w:val="1"/>
      <w:numFmt w:val="lowerRoman"/>
      <w:lvlText w:val="%9."/>
      <w:lvlJc w:val="right"/>
      <w:pPr>
        <w:ind w:left="5948" w:hanging="180"/>
      </w:pPr>
    </w:lvl>
  </w:abstractNum>
  <w:abstractNum w:abstractNumId="11" w15:restartNumberingAfterBreak="0">
    <w:nsid w:val="2E315ABA"/>
    <w:multiLevelType w:val="hybridMultilevel"/>
    <w:tmpl w:val="BA468D76"/>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2" w15:restartNumberingAfterBreak="0">
    <w:nsid w:val="2E827587"/>
    <w:multiLevelType w:val="hybridMultilevel"/>
    <w:tmpl w:val="66203EB0"/>
    <w:lvl w:ilvl="0" w:tplc="8E782E4C">
      <w:start w:val="1"/>
      <w:numFmt w:val="hebrew1"/>
      <w:lvlText w:val="(%1)"/>
      <w:lvlJc w:val="left"/>
      <w:pPr>
        <w:ind w:left="2030" w:hanging="360"/>
      </w:pPr>
    </w:lvl>
    <w:lvl w:ilvl="1" w:tplc="04090019">
      <w:start w:val="1"/>
      <w:numFmt w:val="lowerLetter"/>
      <w:lvlText w:val="%2."/>
      <w:lvlJc w:val="left"/>
      <w:pPr>
        <w:ind w:left="2750" w:hanging="360"/>
      </w:pPr>
    </w:lvl>
    <w:lvl w:ilvl="2" w:tplc="0409001B">
      <w:start w:val="1"/>
      <w:numFmt w:val="lowerRoman"/>
      <w:lvlText w:val="%3."/>
      <w:lvlJc w:val="right"/>
      <w:pPr>
        <w:ind w:left="3470" w:hanging="180"/>
      </w:pPr>
    </w:lvl>
    <w:lvl w:ilvl="3" w:tplc="0409000F">
      <w:start w:val="1"/>
      <w:numFmt w:val="decimal"/>
      <w:lvlText w:val="%4."/>
      <w:lvlJc w:val="left"/>
      <w:pPr>
        <w:ind w:left="4190" w:hanging="360"/>
      </w:pPr>
    </w:lvl>
    <w:lvl w:ilvl="4" w:tplc="04090019">
      <w:start w:val="1"/>
      <w:numFmt w:val="lowerLetter"/>
      <w:lvlText w:val="%5."/>
      <w:lvlJc w:val="left"/>
      <w:pPr>
        <w:ind w:left="4910" w:hanging="360"/>
      </w:pPr>
    </w:lvl>
    <w:lvl w:ilvl="5" w:tplc="0409001B">
      <w:start w:val="1"/>
      <w:numFmt w:val="lowerRoman"/>
      <w:lvlText w:val="%6."/>
      <w:lvlJc w:val="right"/>
      <w:pPr>
        <w:ind w:left="5630" w:hanging="180"/>
      </w:pPr>
    </w:lvl>
    <w:lvl w:ilvl="6" w:tplc="0409000F">
      <w:start w:val="1"/>
      <w:numFmt w:val="decimal"/>
      <w:lvlText w:val="%7."/>
      <w:lvlJc w:val="left"/>
      <w:pPr>
        <w:ind w:left="6350" w:hanging="360"/>
      </w:pPr>
    </w:lvl>
    <w:lvl w:ilvl="7" w:tplc="04090019">
      <w:start w:val="1"/>
      <w:numFmt w:val="lowerLetter"/>
      <w:lvlText w:val="%8."/>
      <w:lvlJc w:val="left"/>
      <w:pPr>
        <w:ind w:left="7070" w:hanging="360"/>
      </w:pPr>
    </w:lvl>
    <w:lvl w:ilvl="8" w:tplc="0409001B">
      <w:start w:val="1"/>
      <w:numFmt w:val="lowerRoman"/>
      <w:lvlText w:val="%9."/>
      <w:lvlJc w:val="right"/>
      <w:pPr>
        <w:ind w:left="7790" w:hanging="180"/>
      </w:pPr>
    </w:lvl>
  </w:abstractNum>
  <w:abstractNum w:abstractNumId="13" w15:restartNumberingAfterBreak="0">
    <w:nsid w:val="327321FA"/>
    <w:multiLevelType w:val="hybridMultilevel"/>
    <w:tmpl w:val="3FAAA7DC"/>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4" w15:restartNumberingAfterBreak="0">
    <w:nsid w:val="37B83AF1"/>
    <w:multiLevelType w:val="hybridMultilevel"/>
    <w:tmpl w:val="7BCA6132"/>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5" w15:restartNumberingAfterBreak="0">
    <w:nsid w:val="3D66217A"/>
    <w:multiLevelType w:val="hybridMultilevel"/>
    <w:tmpl w:val="0A329ED2"/>
    <w:lvl w:ilvl="0" w:tplc="0D1AF50A">
      <w:start w:val="1"/>
      <w:numFmt w:val="hebrew1"/>
      <w:lvlText w:val="(%1)"/>
      <w:lvlJc w:val="left"/>
      <w:pPr>
        <w:ind w:left="1038" w:hanging="360"/>
      </w:pPr>
    </w:lvl>
    <w:lvl w:ilvl="1" w:tplc="04090019">
      <w:start w:val="1"/>
      <w:numFmt w:val="lowerLetter"/>
      <w:lvlText w:val="%2."/>
      <w:lvlJc w:val="left"/>
      <w:pPr>
        <w:ind w:left="1758" w:hanging="360"/>
      </w:pPr>
    </w:lvl>
    <w:lvl w:ilvl="2" w:tplc="0409001B">
      <w:start w:val="1"/>
      <w:numFmt w:val="lowerRoman"/>
      <w:lvlText w:val="%3."/>
      <w:lvlJc w:val="right"/>
      <w:pPr>
        <w:ind w:left="2478" w:hanging="180"/>
      </w:pPr>
    </w:lvl>
    <w:lvl w:ilvl="3" w:tplc="0409000F">
      <w:start w:val="1"/>
      <w:numFmt w:val="decimal"/>
      <w:lvlText w:val="%4."/>
      <w:lvlJc w:val="left"/>
      <w:pPr>
        <w:ind w:left="3198" w:hanging="360"/>
      </w:pPr>
    </w:lvl>
    <w:lvl w:ilvl="4" w:tplc="04090019">
      <w:start w:val="1"/>
      <w:numFmt w:val="lowerLetter"/>
      <w:lvlText w:val="%5."/>
      <w:lvlJc w:val="left"/>
      <w:pPr>
        <w:ind w:left="3918" w:hanging="360"/>
      </w:pPr>
    </w:lvl>
    <w:lvl w:ilvl="5" w:tplc="0409001B">
      <w:start w:val="1"/>
      <w:numFmt w:val="lowerRoman"/>
      <w:lvlText w:val="%6."/>
      <w:lvlJc w:val="right"/>
      <w:pPr>
        <w:ind w:left="4638" w:hanging="180"/>
      </w:pPr>
    </w:lvl>
    <w:lvl w:ilvl="6" w:tplc="0409000F">
      <w:start w:val="1"/>
      <w:numFmt w:val="decimal"/>
      <w:lvlText w:val="%7."/>
      <w:lvlJc w:val="left"/>
      <w:pPr>
        <w:ind w:left="5358" w:hanging="360"/>
      </w:pPr>
    </w:lvl>
    <w:lvl w:ilvl="7" w:tplc="04090019">
      <w:start w:val="1"/>
      <w:numFmt w:val="lowerLetter"/>
      <w:lvlText w:val="%8."/>
      <w:lvlJc w:val="left"/>
      <w:pPr>
        <w:ind w:left="6078" w:hanging="360"/>
      </w:pPr>
    </w:lvl>
    <w:lvl w:ilvl="8" w:tplc="0409001B">
      <w:start w:val="1"/>
      <w:numFmt w:val="lowerRoman"/>
      <w:lvlText w:val="%9."/>
      <w:lvlJc w:val="right"/>
      <w:pPr>
        <w:ind w:left="6798" w:hanging="180"/>
      </w:pPr>
    </w:lvl>
  </w:abstractNum>
  <w:abstractNum w:abstractNumId="16" w15:restartNumberingAfterBreak="0">
    <w:nsid w:val="42D51BF0"/>
    <w:multiLevelType w:val="hybridMultilevel"/>
    <w:tmpl w:val="C5A8343E"/>
    <w:lvl w:ilvl="0" w:tplc="AD9AA1B2">
      <w:start w:val="1"/>
      <w:numFmt w:val="hebrew1"/>
      <w:lvlText w:val="(%1)"/>
      <w:lvlJc w:val="left"/>
      <w:pPr>
        <w:ind w:left="2030" w:hanging="360"/>
      </w:pPr>
    </w:lvl>
    <w:lvl w:ilvl="1" w:tplc="04090019">
      <w:start w:val="1"/>
      <w:numFmt w:val="lowerLetter"/>
      <w:lvlText w:val="%2."/>
      <w:lvlJc w:val="left"/>
      <w:pPr>
        <w:ind w:left="2750" w:hanging="360"/>
      </w:pPr>
    </w:lvl>
    <w:lvl w:ilvl="2" w:tplc="0409001B">
      <w:start w:val="1"/>
      <w:numFmt w:val="lowerRoman"/>
      <w:lvlText w:val="%3."/>
      <w:lvlJc w:val="right"/>
      <w:pPr>
        <w:ind w:left="3470" w:hanging="180"/>
      </w:pPr>
    </w:lvl>
    <w:lvl w:ilvl="3" w:tplc="0409000F">
      <w:start w:val="1"/>
      <w:numFmt w:val="decimal"/>
      <w:lvlText w:val="%4."/>
      <w:lvlJc w:val="left"/>
      <w:pPr>
        <w:ind w:left="4190" w:hanging="360"/>
      </w:pPr>
    </w:lvl>
    <w:lvl w:ilvl="4" w:tplc="04090019">
      <w:start w:val="1"/>
      <w:numFmt w:val="lowerLetter"/>
      <w:lvlText w:val="%5."/>
      <w:lvlJc w:val="left"/>
      <w:pPr>
        <w:ind w:left="4910" w:hanging="360"/>
      </w:pPr>
    </w:lvl>
    <w:lvl w:ilvl="5" w:tplc="0409001B">
      <w:start w:val="1"/>
      <w:numFmt w:val="lowerRoman"/>
      <w:lvlText w:val="%6."/>
      <w:lvlJc w:val="right"/>
      <w:pPr>
        <w:ind w:left="5630" w:hanging="180"/>
      </w:pPr>
    </w:lvl>
    <w:lvl w:ilvl="6" w:tplc="0409000F">
      <w:start w:val="1"/>
      <w:numFmt w:val="decimal"/>
      <w:lvlText w:val="%7."/>
      <w:lvlJc w:val="left"/>
      <w:pPr>
        <w:ind w:left="6350" w:hanging="360"/>
      </w:pPr>
    </w:lvl>
    <w:lvl w:ilvl="7" w:tplc="04090019">
      <w:start w:val="1"/>
      <w:numFmt w:val="lowerLetter"/>
      <w:lvlText w:val="%8."/>
      <w:lvlJc w:val="left"/>
      <w:pPr>
        <w:ind w:left="7070" w:hanging="360"/>
      </w:pPr>
    </w:lvl>
    <w:lvl w:ilvl="8" w:tplc="0409001B">
      <w:start w:val="1"/>
      <w:numFmt w:val="lowerRoman"/>
      <w:lvlText w:val="%9."/>
      <w:lvlJc w:val="right"/>
      <w:pPr>
        <w:ind w:left="7790" w:hanging="180"/>
      </w:pPr>
    </w:lvl>
  </w:abstractNum>
  <w:abstractNum w:abstractNumId="17" w15:restartNumberingAfterBreak="0">
    <w:nsid w:val="4A5B3DD9"/>
    <w:multiLevelType w:val="hybridMultilevel"/>
    <w:tmpl w:val="5D8428C0"/>
    <w:lvl w:ilvl="0" w:tplc="31DAF1F2">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62F46B4B"/>
    <w:multiLevelType w:val="hybridMultilevel"/>
    <w:tmpl w:val="54B4074A"/>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19" w15:restartNumberingAfterBreak="0">
    <w:nsid w:val="71A05754"/>
    <w:multiLevelType w:val="hybridMultilevel"/>
    <w:tmpl w:val="99C484A6"/>
    <w:lvl w:ilvl="0" w:tplc="0562E8D4">
      <w:start w:val="1"/>
      <w:numFmt w:val="hebrew1"/>
      <w:lvlText w:val="(%1)"/>
      <w:lvlJc w:val="left"/>
      <w:pPr>
        <w:ind w:left="755" w:hanging="360"/>
      </w:pPr>
      <w:rPr>
        <w:strike w:val="0"/>
        <w:dstrike w:val="0"/>
        <w:color w:val="000000"/>
        <w:u w:val="none"/>
        <w:effect w:val="none"/>
      </w:r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abstractNum w:abstractNumId="20" w15:restartNumberingAfterBreak="0">
    <w:nsid w:val="74842C30"/>
    <w:multiLevelType w:val="hybridMultilevel"/>
    <w:tmpl w:val="E72AFC62"/>
    <w:lvl w:ilvl="0" w:tplc="65C21EBE">
      <w:start w:val="1"/>
      <w:numFmt w:val="hebrew1"/>
      <w:lvlText w:val="%1)"/>
      <w:lvlJc w:val="left"/>
      <w:pPr>
        <w:ind w:left="2516" w:hanging="360"/>
      </w:pPr>
    </w:lvl>
    <w:lvl w:ilvl="1" w:tplc="04090019">
      <w:start w:val="1"/>
      <w:numFmt w:val="lowerLetter"/>
      <w:lvlText w:val="%2."/>
      <w:lvlJc w:val="left"/>
      <w:pPr>
        <w:ind w:left="3236" w:hanging="360"/>
      </w:pPr>
    </w:lvl>
    <w:lvl w:ilvl="2" w:tplc="0409001B">
      <w:start w:val="1"/>
      <w:numFmt w:val="lowerRoman"/>
      <w:lvlText w:val="%3."/>
      <w:lvlJc w:val="right"/>
      <w:pPr>
        <w:ind w:left="3956" w:hanging="180"/>
      </w:pPr>
    </w:lvl>
    <w:lvl w:ilvl="3" w:tplc="0409000F">
      <w:start w:val="1"/>
      <w:numFmt w:val="decimal"/>
      <w:lvlText w:val="%4."/>
      <w:lvlJc w:val="left"/>
      <w:pPr>
        <w:ind w:left="4676" w:hanging="360"/>
      </w:pPr>
    </w:lvl>
    <w:lvl w:ilvl="4" w:tplc="04090019">
      <w:start w:val="1"/>
      <w:numFmt w:val="lowerLetter"/>
      <w:lvlText w:val="%5."/>
      <w:lvlJc w:val="left"/>
      <w:pPr>
        <w:ind w:left="5396" w:hanging="360"/>
      </w:pPr>
    </w:lvl>
    <w:lvl w:ilvl="5" w:tplc="0409001B">
      <w:start w:val="1"/>
      <w:numFmt w:val="lowerRoman"/>
      <w:lvlText w:val="%6."/>
      <w:lvlJc w:val="right"/>
      <w:pPr>
        <w:ind w:left="6116" w:hanging="180"/>
      </w:pPr>
    </w:lvl>
    <w:lvl w:ilvl="6" w:tplc="0409000F">
      <w:start w:val="1"/>
      <w:numFmt w:val="decimal"/>
      <w:lvlText w:val="%7."/>
      <w:lvlJc w:val="left"/>
      <w:pPr>
        <w:ind w:left="6836" w:hanging="360"/>
      </w:pPr>
    </w:lvl>
    <w:lvl w:ilvl="7" w:tplc="04090019">
      <w:start w:val="1"/>
      <w:numFmt w:val="lowerLetter"/>
      <w:lvlText w:val="%8."/>
      <w:lvlJc w:val="left"/>
      <w:pPr>
        <w:ind w:left="7556" w:hanging="360"/>
      </w:pPr>
    </w:lvl>
    <w:lvl w:ilvl="8" w:tplc="0409001B">
      <w:start w:val="1"/>
      <w:numFmt w:val="lowerRoman"/>
      <w:lvlText w:val="%9."/>
      <w:lvlJc w:val="right"/>
      <w:pPr>
        <w:ind w:left="8276" w:hanging="180"/>
      </w:pPr>
    </w:lvl>
  </w:abstractNum>
  <w:abstractNum w:abstractNumId="21" w15:restartNumberingAfterBreak="0">
    <w:nsid w:val="7C536280"/>
    <w:multiLevelType w:val="hybridMultilevel"/>
    <w:tmpl w:val="02E20FC0"/>
    <w:lvl w:ilvl="0" w:tplc="BE240DD0">
      <w:start w:val="1"/>
      <w:numFmt w:val="hebrew1"/>
      <w:lvlText w:val="(%1)"/>
      <w:lvlJc w:val="left"/>
      <w:pPr>
        <w:ind w:left="755" w:hanging="360"/>
      </w:pPr>
    </w:lvl>
    <w:lvl w:ilvl="1" w:tplc="04090019">
      <w:start w:val="1"/>
      <w:numFmt w:val="lowerLetter"/>
      <w:lvlText w:val="%2."/>
      <w:lvlJc w:val="left"/>
      <w:pPr>
        <w:ind w:left="1475" w:hanging="360"/>
      </w:pPr>
    </w:lvl>
    <w:lvl w:ilvl="2" w:tplc="0409001B">
      <w:start w:val="1"/>
      <w:numFmt w:val="lowerRoman"/>
      <w:lvlText w:val="%3."/>
      <w:lvlJc w:val="right"/>
      <w:pPr>
        <w:ind w:left="2195" w:hanging="180"/>
      </w:pPr>
    </w:lvl>
    <w:lvl w:ilvl="3" w:tplc="0409000F">
      <w:start w:val="1"/>
      <w:numFmt w:val="decimal"/>
      <w:lvlText w:val="%4."/>
      <w:lvlJc w:val="left"/>
      <w:pPr>
        <w:ind w:left="2915" w:hanging="360"/>
      </w:pPr>
    </w:lvl>
    <w:lvl w:ilvl="4" w:tplc="04090019">
      <w:start w:val="1"/>
      <w:numFmt w:val="lowerLetter"/>
      <w:lvlText w:val="%5."/>
      <w:lvlJc w:val="left"/>
      <w:pPr>
        <w:ind w:left="3635" w:hanging="360"/>
      </w:pPr>
    </w:lvl>
    <w:lvl w:ilvl="5" w:tplc="0409001B">
      <w:start w:val="1"/>
      <w:numFmt w:val="lowerRoman"/>
      <w:lvlText w:val="%6."/>
      <w:lvlJc w:val="right"/>
      <w:pPr>
        <w:ind w:left="4355" w:hanging="180"/>
      </w:pPr>
    </w:lvl>
    <w:lvl w:ilvl="6" w:tplc="0409000F">
      <w:start w:val="1"/>
      <w:numFmt w:val="decimal"/>
      <w:lvlText w:val="%7."/>
      <w:lvlJc w:val="left"/>
      <w:pPr>
        <w:ind w:left="5075" w:hanging="360"/>
      </w:pPr>
    </w:lvl>
    <w:lvl w:ilvl="7" w:tplc="04090019">
      <w:start w:val="1"/>
      <w:numFmt w:val="lowerLetter"/>
      <w:lvlText w:val="%8."/>
      <w:lvlJc w:val="left"/>
      <w:pPr>
        <w:ind w:left="5795" w:hanging="360"/>
      </w:pPr>
    </w:lvl>
    <w:lvl w:ilvl="8" w:tplc="0409001B">
      <w:start w:val="1"/>
      <w:numFmt w:val="lowerRoman"/>
      <w:lvlText w:val="%9."/>
      <w:lvlJc w:val="right"/>
      <w:pPr>
        <w:ind w:left="6515"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263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1404F"/>
    <w:rsid w:val="00040D07"/>
    <w:rsid w:val="000419B6"/>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384E"/>
    <w:rsid w:val="00144D2A"/>
    <w:rsid w:val="0014653E"/>
    <w:rsid w:val="0016615E"/>
    <w:rsid w:val="00180519"/>
    <w:rsid w:val="00191C82"/>
    <w:rsid w:val="001C3FD7"/>
    <w:rsid w:val="001C4003"/>
    <w:rsid w:val="001C5573"/>
    <w:rsid w:val="001D3441"/>
    <w:rsid w:val="001D4DBF"/>
    <w:rsid w:val="001E75CA"/>
    <w:rsid w:val="002265FF"/>
    <w:rsid w:val="00271B56"/>
    <w:rsid w:val="00291593"/>
    <w:rsid w:val="002C344E"/>
    <w:rsid w:val="002D2705"/>
    <w:rsid w:val="002D7668"/>
    <w:rsid w:val="002E75E9"/>
    <w:rsid w:val="002F75E2"/>
    <w:rsid w:val="00307A6A"/>
    <w:rsid w:val="00307C40"/>
    <w:rsid w:val="00314311"/>
    <w:rsid w:val="00320433"/>
    <w:rsid w:val="003230C7"/>
    <w:rsid w:val="00327E50"/>
    <w:rsid w:val="0033597A"/>
    <w:rsid w:val="00343D89"/>
    <w:rsid w:val="00354C8B"/>
    <w:rsid w:val="00362612"/>
    <w:rsid w:val="0036743F"/>
    <w:rsid w:val="003715DD"/>
    <w:rsid w:val="003763AB"/>
    <w:rsid w:val="003823E0"/>
    <w:rsid w:val="00386327"/>
    <w:rsid w:val="003A2359"/>
    <w:rsid w:val="003A4521"/>
    <w:rsid w:val="003A5B6D"/>
    <w:rsid w:val="003B4FB0"/>
    <w:rsid w:val="003D1C8C"/>
    <w:rsid w:val="0040096C"/>
    <w:rsid w:val="00414F1F"/>
    <w:rsid w:val="0043125D"/>
    <w:rsid w:val="0043502B"/>
    <w:rsid w:val="004443AC"/>
    <w:rsid w:val="00451E28"/>
    <w:rsid w:val="004567D1"/>
    <w:rsid w:val="00462C62"/>
    <w:rsid w:val="00465D36"/>
    <w:rsid w:val="004C17EE"/>
    <w:rsid w:val="004C4BDF"/>
    <w:rsid w:val="004C7358"/>
    <w:rsid w:val="004D1187"/>
    <w:rsid w:val="004D1998"/>
    <w:rsid w:val="004D3AA0"/>
    <w:rsid w:val="004E1987"/>
    <w:rsid w:val="004E2E15"/>
    <w:rsid w:val="004E6E3C"/>
    <w:rsid w:val="00515093"/>
    <w:rsid w:val="00520898"/>
    <w:rsid w:val="00523621"/>
    <w:rsid w:val="00524986"/>
    <w:rsid w:val="005268F6"/>
    <w:rsid w:val="00534284"/>
    <w:rsid w:val="00540E67"/>
    <w:rsid w:val="0054494A"/>
    <w:rsid w:val="00547DB7"/>
    <w:rsid w:val="005958EA"/>
    <w:rsid w:val="005F4F09"/>
    <w:rsid w:val="0061431B"/>
    <w:rsid w:val="00617CEE"/>
    <w:rsid w:val="00622BAA"/>
    <w:rsid w:val="006306CF"/>
    <w:rsid w:val="00640603"/>
    <w:rsid w:val="00644E9A"/>
    <w:rsid w:val="00671BD5"/>
    <w:rsid w:val="006805C1"/>
    <w:rsid w:val="006841E0"/>
    <w:rsid w:val="00686C21"/>
    <w:rsid w:val="006931C1"/>
    <w:rsid w:val="00694556"/>
    <w:rsid w:val="006A1E68"/>
    <w:rsid w:val="006C30C5"/>
    <w:rsid w:val="006D3B31"/>
    <w:rsid w:val="006E0D96"/>
    <w:rsid w:val="006E1A53"/>
    <w:rsid w:val="006F56E6"/>
    <w:rsid w:val="00704EDA"/>
    <w:rsid w:val="00721122"/>
    <w:rsid w:val="00744B1C"/>
    <w:rsid w:val="00753019"/>
    <w:rsid w:val="00754801"/>
    <w:rsid w:val="00795365"/>
    <w:rsid w:val="007A351D"/>
    <w:rsid w:val="007A52B3"/>
    <w:rsid w:val="007B0ADB"/>
    <w:rsid w:val="007B7765"/>
    <w:rsid w:val="007C5BDD"/>
    <w:rsid w:val="007D45E3"/>
    <w:rsid w:val="007E6115"/>
    <w:rsid w:val="007F09CE"/>
    <w:rsid w:val="007F4609"/>
    <w:rsid w:val="008176A1"/>
    <w:rsid w:val="00820005"/>
    <w:rsid w:val="00844318"/>
    <w:rsid w:val="00863F5D"/>
    <w:rsid w:val="00870890"/>
    <w:rsid w:val="00873602"/>
    <w:rsid w:val="00875D12"/>
    <w:rsid w:val="008800CD"/>
    <w:rsid w:val="0088479D"/>
    <w:rsid w:val="008924AB"/>
    <w:rsid w:val="00896889"/>
    <w:rsid w:val="00897713"/>
    <w:rsid w:val="008C5714"/>
    <w:rsid w:val="008C7A1D"/>
    <w:rsid w:val="008D10B2"/>
    <w:rsid w:val="008E3E78"/>
    <w:rsid w:val="00903896"/>
    <w:rsid w:val="00906F3D"/>
    <w:rsid w:val="00912A5E"/>
    <w:rsid w:val="0094424E"/>
    <w:rsid w:val="00954A70"/>
    <w:rsid w:val="00955642"/>
    <w:rsid w:val="009622DF"/>
    <w:rsid w:val="00967DFF"/>
    <w:rsid w:val="00994341"/>
    <w:rsid w:val="009B4939"/>
    <w:rsid w:val="009D1A48"/>
    <w:rsid w:val="009E1CE7"/>
    <w:rsid w:val="009E4EA5"/>
    <w:rsid w:val="009E5DED"/>
    <w:rsid w:val="009F164B"/>
    <w:rsid w:val="009F323C"/>
    <w:rsid w:val="00A03128"/>
    <w:rsid w:val="00A3392B"/>
    <w:rsid w:val="00A413A4"/>
    <w:rsid w:val="00A94B64"/>
    <w:rsid w:val="00AA3229"/>
    <w:rsid w:val="00AA5158"/>
    <w:rsid w:val="00AA7596"/>
    <w:rsid w:val="00AB5E52"/>
    <w:rsid w:val="00AC3B02"/>
    <w:rsid w:val="00AC3B7B"/>
    <w:rsid w:val="00AC5209"/>
    <w:rsid w:val="00AD00A6"/>
    <w:rsid w:val="00AD4766"/>
    <w:rsid w:val="00AE211A"/>
    <w:rsid w:val="00AE729E"/>
    <w:rsid w:val="00AE7752"/>
    <w:rsid w:val="00AF478A"/>
    <w:rsid w:val="00AF65FD"/>
    <w:rsid w:val="00AF7FDA"/>
    <w:rsid w:val="00B02C76"/>
    <w:rsid w:val="00B244A6"/>
    <w:rsid w:val="00B37100"/>
    <w:rsid w:val="00B5356E"/>
    <w:rsid w:val="00B809AD"/>
    <w:rsid w:val="00B80CBD"/>
    <w:rsid w:val="00B86096"/>
    <w:rsid w:val="00B95A71"/>
    <w:rsid w:val="00B964D9"/>
    <w:rsid w:val="00BA0A7C"/>
    <w:rsid w:val="00BA517C"/>
    <w:rsid w:val="00BB3D05"/>
    <w:rsid w:val="00BB52D6"/>
    <w:rsid w:val="00BB73BE"/>
    <w:rsid w:val="00BC2D89"/>
    <w:rsid w:val="00BD6531"/>
    <w:rsid w:val="00BE05B2"/>
    <w:rsid w:val="00BF1908"/>
    <w:rsid w:val="00BF7F3B"/>
    <w:rsid w:val="00C22D93"/>
    <w:rsid w:val="00C31120"/>
    <w:rsid w:val="00C34482"/>
    <w:rsid w:val="00C43648"/>
    <w:rsid w:val="00C50A9F"/>
    <w:rsid w:val="00C53EB8"/>
    <w:rsid w:val="00C642FA"/>
    <w:rsid w:val="00C65565"/>
    <w:rsid w:val="00CC7622"/>
    <w:rsid w:val="00CD608F"/>
    <w:rsid w:val="00CF3111"/>
    <w:rsid w:val="00D048DB"/>
    <w:rsid w:val="00D27982"/>
    <w:rsid w:val="00D33B86"/>
    <w:rsid w:val="00D53924"/>
    <w:rsid w:val="00D54B61"/>
    <w:rsid w:val="00D55D0C"/>
    <w:rsid w:val="00D627CF"/>
    <w:rsid w:val="00D74378"/>
    <w:rsid w:val="00D91DFC"/>
    <w:rsid w:val="00D96D8C"/>
    <w:rsid w:val="00DA6649"/>
    <w:rsid w:val="00DB39F1"/>
    <w:rsid w:val="00DC1259"/>
    <w:rsid w:val="00DC1BD2"/>
    <w:rsid w:val="00DC2571"/>
    <w:rsid w:val="00DC487C"/>
    <w:rsid w:val="00DE6BF6"/>
    <w:rsid w:val="00E0578E"/>
    <w:rsid w:val="00E1068A"/>
    <w:rsid w:val="00E25884"/>
    <w:rsid w:val="00E25B55"/>
    <w:rsid w:val="00E31C2B"/>
    <w:rsid w:val="00E37181"/>
    <w:rsid w:val="00E5426A"/>
    <w:rsid w:val="00E54642"/>
    <w:rsid w:val="00E80CBE"/>
    <w:rsid w:val="00E87DA0"/>
    <w:rsid w:val="00E962E3"/>
    <w:rsid w:val="00EB23B9"/>
    <w:rsid w:val="00EB6C79"/>
    <w:rsid w:val="00EC37E9"/>
    <w:rsid w:val="00F06995"/>
    <w:rsid w:val="00F13623"/>
    <w:rsid w:val="00F44D1D"/>
    <w:rsid w:val="00F84B6D"/>
    <w:rsid w:val="00FA4EAF"/>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2630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uiPriority w:val="39"/>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ad">
    <w:name w:val="כותרת טקסט תו"/>
    <w:aliases w:val="תואר תו"/>
    <w:basedOn w:val="a0"/>
    <w:link w:val="ae"/>
    <w:locked/>
    <w:rsid w:val="00D048DB"/>
    <w:rPr>
      <w:b/>
      <w:bCs/>
      <w:szCs w:val="28"/>
      <w:u w:val="single"/>
      <w:shd w:val="pct20" w:color="auto" w:fill="FFFFFF"/>
      <w:lang w:eastAsia="he-IL"/>
    </w:rPr>
  </w:style>
  <w:style w:type="paragraph" w:styleId="ae">
    <w:name w:val="Title"/>
    <w:aliases w:val="תואר"/>
    <w:basedOn w:val="a"/>
    <w:link w:val="ad"/>
    <w:qFormat/>
    <w:rsid w:val="00D048DB"/>
    <w:pPr>
      <w:shd w:val="pct20" w:color="auto" w:fill="FFFFFF"/>
      <w:spacing w:line="480" w:lineRule="auto"/>
      <w:ind w:left="1701" w:hanging="1701"/>
      <w:jc w:val="center"/>
    </w:pPr>
    <w:rPr>
      <w:rFonts w:cs="Times New Roman"/>
      <w:b/>
      <w:bCs/>
      <w:noProof w:val="0"/>
      <w:sz w:val="20"/>
      <w:szCs w:val="28"/>
      <w:u w:val="single"/>
      <w:lang w:eastAsia="he-IL"/>
    </w:rPr>
  </w:style>
  <w:style w:type="character" w:customStyle="1" w:styleId="10">
    <w:name w:val="כותרת טקסט תו1"/>
    <w:basedOn w:val="a0"/>
    <w:rsid w:val="00D048DB"/>
    <w:rPr>
      <w:rFonts w:asciiTheme="majorHAnsi" w:eastAsiaTheme="majorEastAsia" w:hAnsiTheme="majorHAnsi" w:cstheme="majorBidi"/>
      <w:noProof/>
      <w:spacing w:val="-10"/>
      <w:kern w:val="28"/>
      <w:sz w:val="56"/>
      <w:szCs w:val="56"/>
    </w:rPr>
  </w:style>
  <w:style w:type="paragraph" w:styleId="af">
    <w:name w:val="List Paragraph"/>
    <w:basedOn w:val="a"/>
    <w:uiPriority w:val="34"/>
    <w:qFormat/>
    <w:rsid w:val="00D048DB"/>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086508">
      <w:bodyDiv w:val="1"/>
      <w:marLeft w:val="0"/>
      <w:marRight w:val="0"/>
      <w:marTop w:val="0"/>
      <w:marBottom w:val="0"/>
      <w:divBdr>
        <w:top w:val="none" w:sz="0" w:space="0" w:color="auto"/>
        <w:left w:val="none" w:sz="0" w:space="0" w:color="auto"/>
        <w:bottom w:val="none" w:sz="0" w:space="0" w:color="auto"/>
        <w:right w:val="none" w:sz="0" w:space="0" w:color="auto"/>
      </w:divBdr>
    </w:div>
    <w:div w:id="411632813">
      <w:bodyDiv w:val="1"/>
      <w:marLeft w:val="0"/>
      <w:marRight w:val="0"/>
      <w:marTop w:val="0"/>
      <w:marBottom w:val="0"/>
      <w:divBdr>
        <w:top w:val="none" w:sz="0" w:space="0" w:color="auto"/>
        <w:left w:val="none" w:sz="0" w:space="0" w:color="auto"/>
        <w:bottom w:val="none" w:sz="0" w:space="0" w:color="auto"/>
        <w:right w:val="none" w:sz="0" w:space="0" w:color="auto"/>
      </w:divBdr>
    </w:div>
    <w:div w:id="624972169">
      <w:bodyDiv w:val="1"/>
      <w:marLeft w:val="0"/>
      <w:marRight w:val="0"/>
      <w:marTop w:val="0"/>
      <w:marBottom w:val="0"/>
      <w:divBdr>
        <w:top w:val="none" w:sz="0" w:space="0" w:color="auto"/>
        <w:left w:val="none" w:sz="0" w:space="0" w:color="auto"/>
        <w:bottom w:val="none" w:sz="0" w:space="0" w:color="auto"/>
        <w:right w:val="none" w:sz="0" w:space="0" w:color="auto"/>
      </w:divBdr>
    </w:div>
    <w:div w:id="756941630">
      <w:bodyDiv w:val="1"/>
      <w:marLeft w:val="0"/>
      <w:marRight w:val="0"/>
      <w:marTop w:val="0"/>
      <w:marBottom w:val="0"/>
      <w:divBdr>
        <w:top w:val="none" w:sz="0" w:space="0" w:color="auto"/>
        <w:left w:val="none" w:sz="0" w:space="0" w:color="auto"/>
        <w:bottom w:val="none" w:sz="0" w:space="0" w:color="auto"/>
        <w:right w:val="none" w:sz="0" w:space="0" w:color="auto"/>
      </w:divBdr>
    </w:div>
    <w:div w:id="997347098">
      <w:bodyDiv w:val="1"/>
      <w:marLeft w:val="0"/>
      <w:marRight w:val="0"/>
      <w:marTop w:val="0"/>
      <w:marBottom w:val="0"/>
      <w:divBdr>
        <w:top w:val="none" w:sz="0" w:space="0" w:color="auto"/>
        <w:left w:val="none" w:sz="0" w:space="0" w:color="auto"/>
        <w:bottom w:val="none" w:sz="0" w:space="0" w:color="auto"/>
        <w:right w:val="none" w:sz="0" w:space="0" w:color="auto"/>
      </w:divBdr>
    </w:div>
    <w:div w:id="1099062181">
      <w:bodyDiv w:val="1"/>
      <w:marLeft w:val="0"/>
      <w:marRight w:val="0"/>
      <w:marTop w:val="0"/>
      <w:marBottom w:val="0"/>
      <w:divBdr>
        <w:top w:val="none" w:sz="0" w:space="0" w:color="auto"/>
        <w:left w:val="none" w:sz="0" w:space="0" w:color="auto"/>
        <w:bottom w:val="none" w:sz="0" w:space="0" w:color="auto"/>
        <w:right w:val="none" w:sz="0" w:space="0" w:color="auto"/>
      </w:divBdr>
    </w:div>
    <w:div w:id="1130243305">
      <w:bodyDiv w:val="1"/>
      <w:marLeft w:val="0"/>
      <w:marRight w:val="0"/>
      <w:marTop w:val="0"/>
      <w:marBottom w:val="0"/>
      <w:divBdr>
        <w:top w:val="none" w:sz="0" w:space="0" w:color="auto"/>
        <w:left w:val="none" w:sz="0" w:space="0" w:color="auto"/>
        <w:bottom w:val="none" w:sz="0" w:space="0" w:color="auto"/>
        <w:right w:val="none" w:sz="0" w:space="0" w:color="auto"/>
      </w:divBdr>
    </w:div>
    <w:div w:id="1235354595">
      <w:bodyDiv w:val="1"/>
      <w:marLeft w:val="0"/>
      <w:marRight w:val="0"/>
      <w:marTop w:val="0"/>
      <w:marBottom w:val="0"/>
      <w:divBdr>
        <w:top w:val="none" w:sz="0" w:space="0" w:color="auto"/>
        <w:left w:val="none" w:sz="0" w:space="0" w:color="auto"/>
        <w:bottom w:val="none" w:sz="0" w:space="0" w:color="auto"/>
        <w:right w:val="none" w:sz="0" w:space="0" w:color="auto"/>
      </w:divBdr>
    </w:div>
    <w:div w:id="12357743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09952097">
      <w:bodyDiv w:val="1"/>
      <w:marLeft w:val="0"/>
      <w:marRight w:val="0"/>
      <w:marTop w:val="0"/>
      <w:marBottom w:val="0"/>
      <w:divBdr>
        <w:top w:val="none" w:sz="0" w:space="0" w:color="auto"/>
        <w:left w:val="none" w:sz="0" w:space="0" w:color="auto"/>
        <w:bottom w:val="none" w:sz="0" w:space="0" w:color="auto"/>
        <w:right w:val="none" w:sz="0" w:space="0" w:color="auto"/>
      </w:divBdr>
    </w:div>
    <w:div w:id="1562015256">
      <w:bodyDiv w:val="1"/>
      <w:marLeft w:val="0"/>
      <w:marRight w:val="0"/>
      <w:marTop w:val="0"/>
      <w:marBottom w:val="0"/>
      <w:divBdr>
        <w:top w:val="none" w:sz="0" w:space="0" w:color="auto"/>
        <w:left w:val="none" w:sz="0" w:space="0" w:color="auto"/>
        <w:bottom w:val="none" w:sz="0" w:space="0" w:color="auto"/>
        <w:right w:val="none" w:sz="0" w:space="0" w:color="auto"/>
      </w:divBdr>
    </w:div>
    <w:div w:id="1616671853">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17392395">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 w:id="1761221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837871" w:rsidP="00837871">
          <w:pPr>
            <w:pStyle w:val="E460D38E05664FF79D4EFF282EF8EC9938"/>
          </w:pPr>
          <w:r>
            <w:rPr>
              <w:rFonts w:hint="cs"/>
              <w:rtl/>
            </w:rPr>
            <w:t xml:space="preserve">     </w:t>
          </w:r>
        </w:p>
      </w:docPartBody>
    </w:docPart>
    <w:docPart>
      <w:docPartPr>
        <w:name w:val="6E9B64DE82404F9B827427D9CBC581D6"/>
        <w:category>
          <w:name w:val="כללי"/>
          <w:gallery w:val="placeholder"/>
        </w:category>
        <w:types>
          <w:type w:val="bbPlcHdr"/>
        </w:types>
        <w:behaviors>
          <w:behavior w:val="content"/>
        </w:behaviors>
        <w:guid w:val="{78BA44C6-B314-46D7-8ED1-BF436121D046}"/>
      </w:docPartPr>
      <w:docPartBody>
        <w:p w:rsidR="001437D3" w:rsidRDefault="00837871" w:rsidP="00837871">
          <w:pPr>
            <w:pStyle w:val="6E9B64DE82404F9B827427D9CBC581D62"/>
          </w:pPr>
          <w:r>
            <w:rPr>
              <w:rFonts w:ascii="Arial" w:hAnsi="Arial"/>
              <w:b/>
              <w:bCs/>
              <w:noProof w:val="0"/>
              <w:sz w:val="26"/>
              <w:szCs w:val="26"/>
              <w:rtl/>
            </w:rPr>
            <w:t>שם צד א' ללא שם של חסוי</w:t>
          </w:r>
        </w:p>
      </w:docPartBody>
    </w:docPart>
    <w:docPart>
      <w:docPartPr>
        <w:name w:val="4975FDB7C9824906A8EDDDC584D8F333"/>
        <w:category>
          <w:name w:val="כללי"/>
          <w:gallery w:val="placeholder"/>
        </w:category>
        <w:types>
          <w:type w:val="bbPlcHdr"/>
        </w:types>
        <w:behaviors>
          <w:behavior w:val="content"/>
        </w:behaviors>
        <w:guid w:val="{28E5AB39-0725-456D-B84C-21AB7B1A00B9}"/>
      </w:docPartPr>
      <w:docPartBody>
        <w:p w:rsidR="001437D3" w:rsidRDefault="00837871" w:rsidP="00837871">
          <w:pPr>
            <w:pStyle w:val="4975FDB7C9824906A8EDDDC584D8F3332"/>
          </w:pPr>
          <w:r>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0976"/>
    <w:rsid w:val="000A4ACE"/>
    <w:rsid w:val="001437D3"/>
    <w:rsid w:val="001E622F"/>
    <w:rsid w:val="00243834"/>
    <w:rsid w:val="002D02C4"/>
    <w:rsid w:val="002E734C"/>
    <w:rsid w:val="00334638"/>
    <w:rsid w:val="00345C9D"/>
    <w:rsid w:val="003D74C1"/>
    <w:rsid w:val="003E1A82"/>
    <w:rsid w:val="0048651F"/>
    <w:rsid w:val="00556D67"/>
    <w:rsid w:val="005F1C8D"/>
    <w:rsid w:val="00793995"/>
    <w:rsid w:val="007C6F98"/>
    <w:rsid w:val="007E254A"/>
    <w:rsid w:val="00837871"/>
    <w:rsid w:val="008B4366"/>
    <w:rsid w:val="009133C7"/>
    <w:rsid w:val="009178E4"/>
    <w:rsid w:val="009234CA"/>
    <w:rsid w:val="00961B27"/>
    <w:rsid w:val="009D04C0"/>
    <w:rsid w:val="009E240F"/>
    <w:rsid w:val="00AA7CE3"/>
    <w:rsid w:val="00AE1281"/>
    <w:rsid w:val="00B91FA3"/>
    <w:rsid w:val="00C4535D"/>
    <w:rsid w:val="00C96C06"/>
    <w:rsid w:val="00E31BF6"/>
    <w:rsid w:val="00E81DB1"/>
    <w:rsid w:val="00EB2309"/>
    <w:rsid w:val="00F04DC1"/>
    <w:rsid w:val="00F4674E"/>
    <w:rsid w:val="00F678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3787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334638"/>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334638"/>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334638"/>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334638"/>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334638"/>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334638"/>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334638"/>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4674E"/>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4674E"/>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4674E"/>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4674E"/>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4674E"/>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4674E"/>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4674E"/>
    <w:pPr>
      <w:bidi/>
      <w:spacing w:after="0" w:line="240" w:lineRule="auto"/>
    </w:pPr>
    <w:rPr>
      <w:rFonts w:ascii="Times New Roman" w:eastAsia="Times New Roman" w:hAnsi="Times New Roman" w:cs="David"/>
      <w:noProof/>
      <w:sz w:val="24"/>
      <w:szCs w:val="24"/>
    </w:rPr>
  </w:style>
  <w:style w:type="paragraph" w:customStyle="1" w:styleId="116EBBD5A99E4E519EE4A5661D82C50E4">
    <w:name w:val="116EBBD5A99E4E519EE4A5661D82C50E4"/>
    <w:rsid w:val="002E734C"/>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2E734C"/>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2E734C"/>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2E734C"/>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2E734C"/>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2E734C"/>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2E734C"/>
    <w:pPr>
      <w:bidi/>
      <w:spacing w:after="0" w:line="240" w:lineRule="auto"/>
    </w:pPr>
    <w:rPr>
      <w:rFonts w:ascii="Times New Roman" w:eastAsia="Times New Roman" w:hAnsi="Times New Roman" w:cs="David"/>
      <w:noProof/>
      <w:sz w:val="24"/>
      <w:szCs w:val="24"/>
    </w:rPr>
  </w:style>
  <w:style w:type="paragraph" w:customStyle="1" w:styleId="116EBBD5A99E4E519EE4A5661D82C50E5">
    <w:name w:val="116EBBD5A99E4E519EE4A5661D82C50E5"/>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3E1A82"/>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6">
    <w:name w:val="116EBBD5A99E4E519EE4A5661D82C50E6"/>
    <w:rsid w:val="003E1A8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3E1A8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3E1A8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3E1A8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3E1A8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3E1A82"/>
    <w:pPr>
      <w:bidi/>
      <w:spacing w:after="0" w:line="240" w:lineRule="auto"/>
    </w:pPr>
    <w:rPr>
      <w:rFonts w:ascii="Times New Roman" w:eastAsia="Times New Roman" w:hAnsi="Times New Roman" w:cs="David"/>
      <w:noProof/>
      <w:sz w:val="24"/>
      <w:szCs w:val="24"/>
    </w:rPr>
  </w:style>
  <w:style w:type="paragraph" w:customStyle="1" w:styleId="116EBBD5A99E4E519EE4A5661D82C50E7">
    <w:name w:val="116EBBD5A99E4E519EE4A5661D82C50E7"/>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8">
    <w:name w:val="116EBBD5A99E4E519EE4A5661D82C50E8"/>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9">
    <w:name w:val="116EBBD5A99E4E519EE4A5661D82C50E9"/>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0">
    <w:name w:val="116EBBD5A99E4E519EE4A5661D82C50E10"/>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1">
    <w:name w:val="116EBBD5A99E4E519EE4A5661D82C50E11"/>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2">
    <w:name w:val="116EBBD5A99E4E519EE4A5661D82C50E12"/>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3">
    <w:name w:val="116EBBD5A99E4E519EE4A5661D82C50E13"/>
    <w:rsid w:val="009E240F"/>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9E240F"/>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9E240F"/>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9E240F"/>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9E240F"/>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9E240F"/>
    <w:pPr>
      <w:bidi/>
      <w:spacing w:after="0" w:line="240" w:lineRule="auto"/>
    </w:pPr>
    <w:rPr>
      <w:rFonts w:ascii="Times New Roman" w:eastAsia="Times New Roman" w:hAnsi="Times New Roman" w:cs="David"/>
      <w:noProof/>
      <w:sz w:val="24"/>
      <w:szCs w:val="24"/>
    </w:rPr>
  </w:style>
  <w:style w:type="paragraph" w:customStyle="1" w:styleId="116EBBD5A99E4E519EE4A5661D82C50E14">
    <w:name w:val="116EBBD5A99E4E519EE4A5661D82C50E14"/>
    <w:rsid w:val="00243834"/>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243834"/>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243834"/>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243834"/>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243834"/>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43834"/>
    <w:pPr>
      <w:bidi/>
      <w:spacing w:after="0" w:line="240" w:lineRule="auto"/>
    </w:pPr>
    <w:rPr>
      <w:rFonts w:ascii="Times New Roman" w:eastAsia="Times New Roman" w:hAnsi="Times New Roman" w:cs="David"/>
      <w:noProof/>
      <w:sz w:val="24"/>
      <w:szCs w:val="24"/>
    </w:rPr>
  </w:style>
  <w:style w:type="paragraph" w:customStyle="1" w:styleId="116EBBD5A99E4E519EE4A5661D82C50E15">
    <w:name w:val="116EBBD5A99E4E519EE4A5661D82C50E15"/>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6">
    <w:name w:val="116EBBD5A99E4E519EE4A5661D82C50E16"/>
    <w:rsid w:val="003D74C1"/>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3D74C1"/>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3D74C1"/>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3D74C1"/>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3D74C1"/>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3D74C1"/>
    <w:pPr>
      <w:bidi/>
      <w:spacing w:after="0" w:line="240" w:lineRule="auto"/>
    </w:pPr>
    <w:rPr>
      <w:rFonts w:ascii="Times New Roman" w:eastAsia="Times New Roman" w:hAnsi="Times New Roman" w:cs="David"/>
      <w:noProof/>
      <w:sz w:val="24"/>
      <w:szCs w:val="24"/>
    </w:rPr>
  </w:style>
  <w:style w:type="paragraph" w:customStyle="1" w:styleId="116EBBD5A99E4E519EE4A5661D82C50E17">
    <w:name w:val="116EBBD5A99E4E519EE4A5661D82C50E17"/>
    <w:rsid w:val="00EB2309"/>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EB2309"/>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EB2309"/>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EB2309"/>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EB2309"/>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EB2309"/>
    <w:pPr>
      <w:bidi/>
      <w:spacing w:after="0" w:line="240" w:lineRule="auto"/>
    </w:pPr>
    <w:rPr>
      <w:rFonts w:ascii="Times New Roman" w:eastAsia="Times New Roman" w:hAnsi="Times New Roman" w:cs="David"/>
      <w:noProof/>
      <w:sz w:val="24"/>
      <w:szCs w:val="24"/>
    </w:rPr>
  </w:style>
  <w:style w:type="paragraph" w:customStyle="1" w:styleId="116EBBD5A99E4E519EE4A5661D82C50E18">
    <w:name w:val="116EBBD5A99E4E519EE4A5661D82C50E18"/>
    <w:rsid w:val="00AE1281"/>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AE1281"/>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AE1281"/>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AE1281"/>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AE1281"/>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AE1281"/>
    <w:pPr>
      <w:bidi/>
      <w:spacing w:after="0" w:line="240" w:lineRule="auto"/>
    </w:pPr>
    <w:rPr>
      <w:rFonts w:ascii="Times New Roman" w:eastAsia="Times New Roman" w:hAnsi="Times New Roman" w:cs="David"/>
      <w:noProof/>
      <w:sz w:val="24"/>
      <w:szCs w:val="24"/>
    </w:rPr>
  </w:style>
  <w:style w:type="paragraph" w:customStyle="1" w:styleId="116EBBD5A99E4E519EE4A5661D82C50E19">
    <w:name w:val="116EBBD5A99E4E519EE4A5661D82C50E19"/>
    <w:rsid w:val="009D04C0"/>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9D04C0"/>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9D04C0"/>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9D04C0"/>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9D04C0"/>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9D04C0"/>
    <w:pPr>
      <w:bidi/>
      <w:spacing w:after="0" w:line="240" w:lineRule="auto"/>
    </w:pPr>
    <w:rPr>
      <w:rFonts w:ascii="Times New Roman" w:eastAsia="Times New Roman" w:hAnsi="Times New Roman" w:cs="David"/>
      <w:noProof/>
      <w:sz w:val="24"/>
      <w:szCs w:val="24"/>
    </w:rPr>
  </w:style>
  <w:style w:type="paragraph" w:customStyle="1" w:styleId="116EBBD5A99E4E519EE4A5661D82C50E20">
    <w:name w:val="116EBBD5A99E4E519EE4A5661D82C50E20"/>
    <w:rsid w:val="001E622F"/>
    <w:pPr>
      <w:bidi/>
      <w:spacing w:after="0" w:line="240" w:lineRule="auto"/>
    </w:pPr>
    <w:rPr>
      <w:rFonts w:ascii="Times New Roman" w:eastAsia="Times New Roman" w:hAnsi="Times New Roman" w:cs="David"/>
      <w:noProof/>
      <w:sz w:val="24"/>
      <w:szCs w:val="24"/>
    </w:rPr>
  </w:style>
  <w:style w:type="paragraph" w:customStyle="1" w:styleId="E6E6A917CC5E4519A8F2E864C48E22F220">
    <w:name w:val="E6E6A917CC5E4519A8F2E864C48E22F220"/>
    <w:rsid w:val="001E622F"/>
    <w:pPr>
      <w:bidi/>
      <w:spacing w:after="0" w:line="240" w:lineRule="auto"/>
    </w:pPr>
    <w:rPr>
      <w:rFonts w:ascii="Times New Roman" w:eastAsia="Times New Roman" w:hAnsi="Times New Roman" w:cs="David"/>
      <w:noProof/>
      <w:sz w:val="24"/>
      <w:szCs w:val="24"/>
    </w:rPr>
  </w:style>
  <w:style w:type="paragraph" w:customStyle="1" w:styleId="9DC4FF55E52B4E209349FC40470DD41820">
    <w:name w:val="9DC4FF55E52B4E209349FC40470DD41820"/>
    <w:rsid w:val="001E622F"/>
    <w:pPr>
      <w:bidi/>
      <w:spacing w:after="0" w:line="240" w:lineRule="auto"/>
    </w:pPr>
    <w:rPr>
      <w:rFonts w:ascii="Times New Roman" w:eastAsia="Times New Roman" w:hAnsi="Times New Roman" w:cs="David"/>
      <w:noProof/>
      <w:sz w:val="24"/>
      <w:szCs w:val="24"/>
    </w:rPr>
  </w:style>
  <w:style w:type="paragraph" w:customStyle="1" w:styleId="112E7BE5CCF64A68A3D497F283A4D69520">
    <w:name w:val="112E7BE5CCF64A68A3D497F283A4D69520"/>
    <w:rsid w:val="001E622F"/>
    <w:pPr>
      <w:bidi/>
      <w:spacing w:after="0" w:line="240" w:lineRule="auto"/>
    </w:pPr>
    <w:rPr>
      <w:rFonts w:ascii="Times New Roman" w:eastAsia="Times New Roman" w:hAnsi="Times New Roman" w:cs="David"/>
      <w:noProof/>
      <w:sz w:val="24"/>
      <w:szCs w:val="24"/>
    </w:rPr>
  </w:style>
  <w:style w:type="paragraph" w:customStyle="1" w:styleId="ECC435E5782A4F3FB39457279E24BE8818">
    <w:name w:val="ECC435E5782A4F3FB39457279E24BE8818"/>
    <w:rsid w:val="001E622F"/>
    <w:pPr>
      <w:bidi/>
      <w:spacing w:after="0" w:line="240" w:lineRule="auto"/>
    </w:pPr>
    <w:rPr>
      <w:rFonts w:ascii="Times New Roman" w:eastAsia="Times New Roman" w:hAnsi="Times New Roman" w:cs="David"/>
      <w:noProof/>
      <w:sz w:val="24"/>
      <w:szCs w:val="24"/>
    </w:rPr>
  </w:style>
  <w:style w:type="paragraph" w:customStyle="1" w:styleId="E460D38E05664FF79D4EFF282EF8EC9932">
    <w:name w:val="E460D38E05664FF79D4EFF282EF8EC9932"/>
    <w:rsid w:val="001E622F"/>
    <w:pPr>
      <w:bidi/>
      <w:spacing w:after="0" w:line="240" w:lineRule="auto"/>
    </w:pPr>
    <w:rPr>
      <w:rFonts w:ascii="Times New Roman" w:eastAsia="Times New Roman" w:hAnsi="Times New Roman" w:cs="David"/>
      <w:noProof/>
      <w:sz w:val="24"/>
      <w:szCs w:val="24"/>
    </w:rPr>
  </w:style>
  <w:style w:type="paragraph" w:customStyle="1" w:styleId="116EBBD5A99E4E519EE4A5661D82C50E21">
    <w:name w:val="116EBBD5A99E4E519EE4A5661D82C50E21"/>
    <w:rsid w:val="009234CA"/>
    <w:pPr>
      <w:bidi/>
      <w:spacing w:after="0" w:line="240" w:lineRule="auto"/>
    </w:pPr>
    <w:rPr>
      <w:rFonts w:ascii="Times New Roman" w:eastAsia="Times New Roman" w:hAnsi="Times New Roman" w:cs="David"/>
      <w:noProof/>
      <w:sz w:val="24"/>
      <w:szCs w:val="24"/>
    </w:rPr>
  </w:style>
  <w:style w:type="paragraph" w:customStyle="1" w:styleId="E6E6A917CC5E4519A8F2E864C48E22F221">
    <w:name w:val="E6E6A917CC5E4519A8F2E864C48E22F221"/>
    <w:rsid w:val="009234CA"/>
    <w:pPr>
      <w:bidi/>
      <w:spacing w:after="0" w:line="240" w:lineRule="auto"/>
    </w:pPr>
    <w:rPr>
      <w:rFonts w:ascii="Times New Roman" w:eastAsia="Times New Roman" w:hAnsi="Times New Roman" w:cs="David"/>
      <w:noProof/>
      <w:sz w:val="24"/>
      <w:szCs w:val="24"/>
    </w:rPr>
  </w:style>
  <w:style w:type="paragraph" w:customStyle="1" w:styleId="9DC4FF55E52B4E209349FC40470DD41821">
    <w:name w:val="9DC4FF55E52B4E209349FC40470DD41821"/>
    <w:rsid w:val="009234CA"/>
    <w:pPr>
      <w:bidi/>
      <w:spacing w:after="0" w:line="240" w:lineRule="auto"/>
    </w:pPr>
    <w:rPr>
      <w:rFonts w:ascii="Times New Roman" w:eastAsia="Times New Roman" w:hAnsi="Times New Roman" w:cs="David"/>
      <w:noProof/>
      <w:sz w:val="24"/>
      <w:szCs w:val="24"/>
    </w:rPr>
  </w:style>
  <w:style w:type="paragraph" w:customStyle="1" w:styleId="112E7BE5CCF64A68A3D497F283A4D69521">
    <w:name w:val="112E7BE5CCF64A68A3D497F283A4D69521"/>
    <w:rsid w:val="009234CA"/>
    <w:pPr>
      <w:bidi/>
      <w:spacing w:after="0" w:line="240" w:lineRule="auto"/>
    </w:pPr>
    <w:rPr>
      <w:rFonts w:ascii="Times New Roman" w:eastAsia="Times New Roman" w:hAnsi="Times New Roman" w:cs="David"/>
      <w:noProof/>
      <w:sz w:val="24"/>
      <w:szCs w:val="24"/>
    </w:rPr>
  </w:style>
  <w:style w:type="paragraph" w:customStyle="1" w:styleId="ECC435E5782A4F3FB39457279E24BE8819">
    <w:name w:val="ECC435E5782A4F3FB39457279E24BE8819"/>
    <w:rsid w:val="009234CA"/>
    <w:pPr>
      <w:bidi/>
      <w:spacing w:after="0" w:line="240" w:lineRule="auto"/>
    </w:pPr>
    <w:rPr>
      <w:rFonts w:ascii="Times New Roman" w:eastAsia="Times New Roman" w:hAnsi="Times New Roman" w:cs="David"/>
      <w:noProof/>
      <w:sz w:val="24"/>
      <w:szCs w:val="24"/>
    </w:rPr>
  </w:style>
  <w:style w:type="paragraph" w:customStyle="1" w:styleId="E460D38E05664FF79D4EFF282EF8EC9933">
    <w:name w:val="E460D38E05664FF79D4EFF282EF8EC9933"/>
    <w:rsid w:val="009234CA"/>
    <w:pPr>
      <w:bidi/>
      <w:spacing w:after="0" w:line="240" w:lineRule="auto"/>
    </w:pPr>
    <w:rPr>
      <w:rFonts w:ascii="Times New Roman" w:eastAsia="Times New Roman" w:hAnsi="Times New Roman" w:cs="David"/>
      <w:noProof/>
      <w:sz w:val="24"/>
      <w:szCs w:val="24"/>
    </w:rPr>
  </w:style>
  <w:style w:type="paragraph" w:customStyle="1" w:styleId="AD812B442A6148AD86AF75D37292B388">
    <w:name w:val="AD812B442A6148AD86AF75D37292B388"/>
    <w:rsid w:val="009234CA"/>
    <w:pPr>
      <w:bidi/>
      <w:spacing w:after="160" w:line="259" w:lineRule="auto"/>
    </w:pPr>
  </w:style>
  <w:style w:type="paragraph" w:customStyle="1" w:styleId="E516A655D6BA4402B6419633AB3A57D0">
    <w:name w:val="E516A655D6BA4402B6419633AB3A57D0"/>
    <w:rsid w:val="009234CA"/>
    <w:pPr>
      <w:bidi/>
      <w:spacing w:after="160" w:line="259" w:lineRule="auto"/>
    </w:pPr>
  </w:style>
  <w:style w:type="paragraph" w:customStyle="1" w:styleId="CFC05397738F4E5A80E642501E3521EE">
    <w:name w:val="CFC05397738F4E5A80E642501E3521EE"/>
    <w:rsid w:val="009234CA"/>
    <w:pPr>
      <w:bidi/>
      <w:spacing w:after="160" w:line="259" w:lineRule="auto"/>
    </w:pPr>
  </w:style>
  <w:style w:type="paragraph" w:customStyle="1" w:styleId="90B0F759156647ACAD295D20FC97F03F">
    <w:name w:val="90B0F759156647ACAD295D20FC97F03F"/>
    <w:rsid w:val="009234CA"/>
    <w:pPr>
      <w:bidi/>
      <w:spacing w:after="160" w:line="259" w:lineRule="auto"/>
    </w:pPr>
  </w:style>
  <w:style w:type="paragraph" w:customStyle="1" w:styleId="A32784E0CF004EEDBF07D7430B41A77E">
    <w:name w:val="A32784E0CF004EEDBF07D7430B41A77E"/>
    <w:rsid w:val="009234CA"/>
    <w:pPr>
      <w:bidi/>
      <w:spacing w:after="160" w:line="259" w:lineRule="auto"/>
    </w:pPr>
  </w:style>
  <w:style w:type="paragraph" w:customStyle="1" w:styleId="2F0C8789261B416098B21975B972BEDE">
    <w:name w:val="2F0C8789261B416098B21975B972BEDE"/>
    <w:rsid w:val="009234CA"/>
    <w:pPr>
      <w:bidi/>
      <w:spacing w:after="160" w:line="259" w:lineRule="auto"/>
    </w:pPr>
  </w:style>
  <w:style w:type="paragraph" w:customStyle="1" w:styleId="E516A655D6BA4402B6419633AB3A57D01">
    <w:name w:val="E516A655D6BA4402B6419633AB3A57D01"/>
    <w:rsid w:val="00C4535D"/>
    <w:pPr>
      <w:bidi/>
      <w:spacing w:after="0" w:line="240" w:lineRule="auto"/>
    </w:pPr>
    <w:rPr>
      <w:rFonts w:ascii="Times New Roman" w:eastAsia="Times New Roman" w:hAnsi="Times New Roman" w:cs="David"/>
      <w:noProof/>
      <w:sz w:val="24"/>
      <w:szCs w:val="24"/>
    </w:rPr>
  </w:style>
  <w:style w:type="paragraph" w:customStyle="1" w:styleId="CFC05397738F4E5A80E642501E3521EE1">
    <w:name w:val="CFC05397738F4E5A80E642501E3521EE1"/>
    <w:rsid w:val="00C4535D"/>
    <w:pPr>
      <w:bidi/>
      <w:spacing w:after="0" w:line="240" w:lineRule="auto"/>
    </w:pPr>
    <w:rPr>
      <w:rFonts w:ascii="Times New Roman" w:eastAsia="Times New Roman" w:hAnsi="Times New Roman" w:cs="David"/>
      <w:noProof/>
      <w:sz w:val="24"/>
      <w:szCs w:val="24"/>
    </w:rPr>
  </w:style>
  <w:style w:type="paragraph" w:customStyle="1" w:styleId="90B0F759156647ACAD295D20FC97F03F1">
    <w:name w:val="90B0F759156647ACAD295D20FC97F03F1"/>
    <w:rsid w:val="00C4535D"/>
    <w:pPr>
      <w:bidi/>
      <w:spacing w:after="0" w:line="240" w:lineRule="auto"/>
    </w:pPr>
    <w:rPr>
      <w:rFonts w:ascii="Times New Roman" w:eastAsia="Times New Roman" w:hAnsi="Times New Roman" w:cs="David"/>
      <w:noProof/>
      <w:sz w:val="24"/>
      <w:szCs w:val="24"/>
    </w:rPr>
  </w:style>
  <w:style w:type="paragraph" w:customStyle="1" w:styleId="A32784E0CF004EEDBF07D7430B41A77E1">
    <w:name w:val="A32784E0CF004EEDBF07D7430B41A77E1"/>
    <w:rsid w:val="00C4535D"/>
    <w:pPr>
      <w:bidi/>
      <w:spacing w:after="0" w:line="240" w:lineRule="auto"/>
    </w:pPr>
    <w:rPr>
      <w:rFonts w:ascii="Times New Roman" w:eastAsia="Times New Roman" w:hAnsi="Times New Roman" w:cs="David"/>
      <w:noProof/>
      <w:sz w:val="24"/>
      <w:szCs w:val="24"/>
    </w:rPr>
  </w:style>
  <w:style w:type="paragraph" w:customStyle="1" w:styleId="2F0C8789261B416098B21975B972BEDE1">
    <w:name w:val="2F0C8789261B416098B21975B972BEDE1"/>
    <w:rsid w:val="00C4535D"/>
    <w:pPr>
      <w:bidi/>
      <w:spacing w:after="0" w:line="240" w:lineRule="auto"/>
    </w:pPr>
    <w:rPr>
      <w:rFonts w:ascii="Times New Roman" w:eastAsia="Times New Roman" w:hAnsi="Times New Roman" w:cs="David"/>
      <w:noProof/>
      <w:sz w:val="24"/>
      <w:szCs w:val="24"/>
    </w:rPr>
  </w:style>
  <w:style w:type="paragraph" w:customStyle="1" w:styleId="E460D38E05664FF79D4EFF282EF8EC9934">
    <w:name w:val="E460D38E05664FF79D4EFF282EF8EC9934"/>
    <w:rsid w:val="00C4535D"/>
    <w:pPr>
      <w:bidi/>
      <w:spacing w:after="0" w:line="240" w:lineRule="auto"/>
    </w:pPr>
    <w:rPr>
      <w:rFonts w:ascii="Times New Roman" w:eastAsia="Times New Roman" w:hAnsi="Times New Roman" w:cs="David"/>
      <w:noProof/>
      <w:sz w:val="24"/>
      <w:szCs w:val="24"/>
    </w:rPr>
  </w:style>
  <w:style w:type="paragraph" w:customStyle="1" w:styleId="E516A655D6BA4402B6419633AB3A57D02">
    <w:name w:val="E516A655D6BA4402B6419633AB3A57D02"/>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2">
    <w:name w:val="CFC05397738F4E5A80E642501E3521EE2"/>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2">
    <w:name w:val="90B0F759156647ACAD295D20FC97F03F2"/>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2">
    <w:name w:val="A32784E0CF004EEDBF07D7430B41A77E2"/>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2">
    <w:name w:val="2F0C8789261B416098B21975B972BEDE2"/>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5">
    <w:name w:val="E460D38E05664FF79D4EFF282EF8EC9935"/>
    <w:rsid w:val="00010976"/>
    <w:pPr>
      <w:bidi/>
      <w:spacing w:after="0" w:line="240" w:lineRule="auto"/>
    </w:pPr>
    <w:rPr>
      <w:rFonts w:ascii="Times New Roman" w:eastAsia="Times New Roman" w:hAnsi="Times New Roman" w:cs="David"/>
      <w:noProof/>
      <w:sz w:val="24"/>
      <w:szCs w:val="24"/>
    </w:rPr>
  </w:style>
  <w:style w:type="paragraph" w:customStyle="1" w:styleId="E516A655D6BA4402B6419633AB3A57D03">
    <w:name w:val="E516A655D6BA4402B6419633AB3A57D03"/>
    <w:rsid w:val="00010976"/>
    <w:pPr>
      <w:bidi/>
      <w:spacing w:after="0" w:line="240" w:lineRule="auto"/>
    </w:pPr>
    <w:rPr>
      <w:rFonts w:ascii="Times New Roman" w:eastAsia="Times New Roman" w:hAnsi="Times New Roman" w:cs="David"/>
      <w:noProof/>
      <w:sz w:val="24"/>
      <w:szCs w:val="24"/>
    </w:rPr>
  </w:style>
  <w:style w:type="paragraph" w:customStyle="1" w:styleId="CFC05397738F4E5A80E642501E3521EE3">
    <w:name w:val="CFC05397738F4E5A80E642501E3521EE3"/>
    <w:rsid w:val="00010976"/>
    <w:pPr>
      <w:bidi/>
      <w:spacing w:after="0" w:line="240" w:lineRule="auto"/>
    </w:pPr>
    <w:rPr>
      <w:rFonts w:ascii="Times New Roman" w:eastAsia="Times New Roman" w:hAnsi="Times New Roman" w:cs="David"/>
      <w:noProof/>
      <w:sz w:val="24"/>
      <w:szCs w:val="24"/>
    </w:rPr>
  </w:style>
  <w:style w:type="paragraph" w:customStyle="1" w:styleId="90B0F759156647ACAD295D20FC97F03F3">
    <w:name w:val="90B0F759156647ACAD295D20FC97F03F3"/>
    <w:rsid w:val="00010976"/>
    <w:pPr>
      <w:bidi/>
      <w:spacing w:after="0" w:line="240" w:lineRule="auto"/>
    </w:pPr>
    <w:rPr>
      <w:rFonts w:ascii="Times New Roman" w:eastAsia="Times New Roman" w:hAnsi="Times New Roman" w:cs="David"/>
      <w:noProof/>
      <w:sz w:val="24"/>
      <w:szCs w:val="24"/>
    </w:rPr>
  </w:style>
  <w:style w:type="paragraph" w:customStyle="1" w:styleId="A32784E0CF004EEDBF07D7430B41A77E3">
    <w:name w:val="A32784E0CF004EEDBF07D7430B41A77E3"/>
    <w:rsid w:val="00010976"/>
    <w:pPr>
      <w:bidi/>
      <w:spacing w:after="0" w:line="240" w:lineRule="auto"/>
    </w:pPr>
    <w:rPr>
      <w:rFonts w:ascii="Times New Roman" w:eastAsia="Times New Roman" w:hAnsi="Times New Roman" w:cs="David"/>
      <w:noProof/>
      <w:sz w:val="24"/>
      <w:szCs w:val="24"/>
    </w:rPr>
  </w:style>
  <w:style w:type="paragraph" w:customStyle="1" w:styleId="2F0C8789261B416098B21975B972BEDE3">
    <w:name w:val="2F0C8789261B416098B21975B972BEDE3"/>
    <w:rsid w:val="00010976"/>
    <w:pPr>
      <w:bidi/>
      <w:spacing w:after="0" w:line="240" w:lineRule="auto"/>
    </w:pPr>
    <w:rPr>
      <w:rFonts w:ascii="Times New Roman" w:eastAsia="Times New Roman" w:hAnsi="Times New Roman" w:cs="David"/>
      <w:noProof/>
      <w:sz w:val="24"/>
      <w:szCs w:val="24"/>
    </w:rPr>
  </w:style>
  <w:style w:type="paragraph" w:customStyle="1" w:styleId="E460D38E05664FF79D4EFF282EF8EC9936">
    <w:name w:val="E460D38E05664FF79D4EFF282EF8EC9936"/>
    <w:rsid w:val="00010976"/>
    <w:pPr>
      <w:bidi/>
      <w:spacing w:after="0" w:line="240" w:lineRule="auto"/>
    </w:pPr>
    <w:rPr>
      <w:rFonts w:ascii="Times New Roman" w:eastAsia="Times New Roman" w:hAnsi="Times New Roman" w:cs="David"/>
      <w:noProof/>
      <w:sz w:val="24"/>
      <w:szCs w:val="24"/>
    </w:rPr>
  </w:style>
  <w:style w:type="paragraph" w:customStyle="1" w:styleId="6E9B64DE82404F9B827427D9CBC581D6">
    <w:name w:val="6E9B64DE82404F9B827427D9CBC581D6"/>
    <w:rsid w:val="005F1C8D"/>
    <w:pPr>
      <w:bidi/>
      <w:spacing w:after="160" w:line="259" w:lineRule="auto"/>
    </w:pPr>
  </w:style>
  <w:style w:type="paragraph" w:customStyle="1" w:styleId="CEBF8CAB19D1432190577F1B232F29DC">
    <w:name w:val="CEBF8CAB19D1432190577F1B232F29DC"/>
    <w:rsid w:val="005F1C8D"/>
    <w:pPr>
      <w:bidi/>
      <w:spacing w:after="160" w:line="259" w:lineRule="auto"/>
    </w:pPr>
  </w:style>
  <w:style w:type="paragraph" w:customStyle="1" w:styleId="486476043DCC42DE88A7E90AAA0A5F6E">
    <w:name w:val="486476043DCC42DE88A7E90AAA0A5F6E"/>
    <w:rsid w:val="005F1C8D"/>
    <w:pPr>
      <w:bidi/>
      <w:spacing w:after="160" w:line="259" w:lineRule="auto"/>
    </w:pPr>
  </w:style>
  <w:style w:type="paragraph" w:customStyle="1" w:styleId="6C5A84F1268D48BCB763E3FE0B847160">
    <w:name w:val="6C5A84F1268D48BCB763E3FE0B847160"/>
    <w:rsid w:val="005F1C8D"/>
    <w:pPr>
      <w:bidi/>
      <w:spacing w:after="160" w:line="259" w:lineRule="auto"/>
    </w:pPr>
  </w:style>
  <w:style w:type="paragraph" w:customStyle="1" w:styleId="CC98E272BE60499A9573555F2D3FBAF5">
    <w:name w:val="CC98E272BE60499A9573555F2D3FBAF5"/>
    <w:rsid w:val="005F1C8D"/>
    <w:pPr>
      <w:bidi/>
      <w:spacing w:after="160" w:line="259" w:lineRule="auto"/>
    </w:pPr>
  </w:style>
  <w:style w:type="paragraph" w:customStyle="1" w:styleId="F06F93A59E9F4240AEBCC820438BAFCF">
    <w:name w:val="F06F93A59E9F4240AEBCC820438BAFCF"/>
    <w:rsid w:val="005F1C8D"/>
    <w:pPr>
      <w:bidi/>
      <w:spacing w:after="160" w:line="259" w:lineRule="auto"/>
    </w:pPr>
  </w:style>
  <w:style w:type="paragraph" w:customStyle="1" w:styleId="A90AC82EC8B94BD7865F956EF503BBAD">
    <w:name w:val="A90AC82EC8B94BD7865F956EF503BBAD"/>
    <w:rsid w:val="005F1C8D"/>
    <w:pPr>
      <w:bidi/>
      <w:spacing w:after="160" w:line="259" w:lineRule="auto"/>
    </w:pPr>
  </w:style>
  <w:style w:type="paragraph" w:customStyle="1" w:styleId="CA411FF768504DE698B39B6C6B68DBCA">
    <w:name w:val="CA411FF768504DE698B39B6C6B68DBCA"/>
    <w:rsid w:val="005F1C8D"/>
    <w:pPr>
      <w:bidi/>
      <w:spacing w:after="160" w:line="259" w:lineRule="auto"/>
    </w:pPr>
  </w:style>
  <w:style w:type="paragraph" w:customStyle="1" w:styleId="14CE73BE419B448887D1F7C12CD5C3DE">
    <w:name w:val="14CE73BE419B448887D1F7C12CD5C3DE"/>
    <w:rsid w:val="005F1C8D"/>
    <w:pPr>
      <w:bidi/>
      <w:spacing w:after="160" w:line="259" w:lineRule="auto"/>
    </w:pPr>
  </w:style>
  <w:style w:type="paragraph" w:customStyle="1" w:styleId="27898690DA6B4C90AA8374F7637925A9">
    <w:name w:val="27898690DA6B4C90AA8374F7637925A9"/>
    <w:rsid w:val="005F1C8D"/>
    <w:pPr>
      <w:bidi/>
      <w:spacing w:after="160" w:line="259" w:lineRule="auto"/>
    </w:pPr>
  </w:style>
  <w:style w:type="paragraph" w:customStyle="1" w:styleId="C62771E0E4CF434682A071CB4FB6C3FA">
    <w:name w:val="C62771E0E4CF434682A071CB4FB6C3FA"/>
    <w:rsid w:val="005F1C8D"/>
    <w:pPr>
      <w:bidi/>
      <w:spacing w:after="160" w:line="259" w:lineRule="auto"/>
    </w:pPr>
  </w:style>
  <w:style w:type="paragraph" w:customStyle="1" w:styleId="4975FDB7C9824906A8EDDDC584D8F333">
    <w:name w:val="4975FDB7C9824906A8EDDDC584D8F333"/>
    <w:rsid w:val="005F1C8D"/>
    <w:pPr>
      <w:bidi/>
      <w:spacing w:after="160" w:line="259" w:lineRule="auto"/>
    </w:pPr>
  </w:style>
  <w:style w:type="paragraph" w:customStyle="1" w:styleId="DB11F48261404C87815507950762D31B">
    <w:name w:val="DB11F48261404C87815507950762D31B"/>
    <w:rsid w:val="005F1C8D"/>
    <w:pPr>
      <w:bidi/>
      <w:spacing w:after="160" w:line="259" w:lineRule="auto"/>
    </w:pPr>
  </w:style>
  <w:style w:type="paragraph" w:customStyle="1" w:styleId="0775C2ABC8734942821E9580B7CD52AB">
    <w:name w:val="0775C2ABC8734942821E9580B7CD52AB"/>
    <w:rsid w:val="005F1C8D"/>
    <w:pPr>
      <w:bidi/>
      <w:spacing w:after="160" w:line="259" w:lineRule="auto"/>
    </w:pPr>
  </w:style>
  <w:style w:type="paragraph" w:customStyle="1" w:styleId="AC934E0EF817441CB631F508445A1C72">
    <w:name w:val="AC934E0EF817441CB631F508445A1C72"/>
    <w:rsid w:val="005F1C8D"/>
    <w:pPr>
      <w:bidi/>
      <w:spacing w:after="160" w:line="259" w:lineRule="auto"/>
    </w:pPr>
  </w:style>
  <w:style w:type="paragraph" w:customStyle="1" w:styleId="57718C5BA61841D794B21F88803E1E63">
    <w:name w:val="57718C5BA61841D794B21F88803E1E63"/>
    <w:rsid w:val="005F1C8D"/>
    <w:pPr>
      <w:bidi/>
      <w:spacing w:after="160" w:line="259" w:lineRule="auto"/>
    </w:pPr>
  </w:style>
  <w:style w:type="paragraph" w:customStyle="1" w:styleId="3DCE8B5BEDA444F1ABDBF28E2B60C1F2">
    <w:name w:val="3DCE8B5BEDA444F1ABDBF28E2B60C1F2"/>
    <w:rsid w:val="005F1C8D"/>
    <w:pPr>
      <w:bidi/>
      <w:spacing w:after="160" w:line="259" w:lineRule="auto"/>
    </w:pPr>
  </w:style>
  <w:style w:type="paragraph" w:customStyle="1" w:styleId="3063793C11CD45E38AE9612680E7E24C">
    <w:name w:val="3063793C11CD45E38AE9612680E7E24C"/>
    <w:rsid w:val="005F1C8D"/>
    <w:pPr>
      <w:bidi/>
      <w:spacing w:after="160" w:line="259" w:lineRule="auto"/>
    </w:pPr>
  </w:style>
  <w:style w:type="paragraph" w:customStyle="1" w:styleId="0CE3232FC0A7453B91552AD24D6356EC">
    <w:name w:val="0CE3232FC0A7453B91552AD24D6356EC"/>
    <w:rsid w:val="005F1C8D"/>
    <w:pPr>
      <w:bidi/>
      <w:spacing w:after="160" w:line="259" w:lineRule="auto"/>
    </w:pPr>
  </w:style>
  <w:style w:type="paragraph" w:customStyle="1" w:styleId="0746682D744E43C9AA67B3EF2EC9F747">
    <w:name w:val="0746682D744E43C9AA67B3EF2EC9F747"/>
    <w:rsid w:val="005F1C8D"/>
    <w:pPr>
      <w:bidi/>
      <w:spacing w:after="160" w:line="259" w:lineRule="auto"/>
    </w:pPr>
  </w:style>
  <w:style w:type="paragraph" w:customStyle="1" w:styleId="266B6031A6DF49368D1A39C11D099690">
    <w:name w:val="266B6031A6DF49368D1A39C11D099690"/>
    <w:rsid w:val="005F1C8D"/>
    <w:pPr>
      <w:bidi/>
      <w:spacing w:after="160" w:line="259" w:lineRule="auto"/>
    </w:pPr>
  </w:style>
  <w:style w:type="paragraph" w:customStyle="1" w:styleId="9606C6A3114E4A80B8FCC2B7D49AD3DE">
    <w:name w:val="9606C6A3114E4A80B8FCC2B7D49AD3DE"/>
    <w:rsid w:val="005F1C8D"/>
    <w:pPr>
      <w:bidi/>
      <w:spacing w:after="160" w:line="259" w:lineRule="auto"/>
    </w:pPr>
  </w:style>
  <w:style w:type="paragraph" w:customStyle="1" w:styleId="EEC23A8385174C679D11DAA521780AFF">
    <w:name w:val="EEC23A8385174C679D11DAA521780AFF"/>
    <w:rsid w:val="005F1C8D"/>
    <w:pPr>
      <w:bidi/>
      <w:spacing w:after="160" w:line="259" w:lineRule="auto"/>
    </w:pPr>
  </w:style>
  <w:style w:type="paragraph" w:customStyle="1" w:styleId="2F7511B259E4414885D126CE0792B16E">
    <w:name w:val="2F7511B259E4414885D126CE0792B16E"/>
    <w:rsid w:val="005F1C8D"/>
    <w:pPr>
      <w:bidi/>
      <w:spacing w:after="160" w:line="259" w:lineRule="auto"/>
    </w:pPr>
  </w:style>
  <w:style w:type="paragraph" w:customStyle="1" w:styleId="E51E1DFD654740D484F70EDD1EA4FA2D">
    <w:name w:val="E51E1DFD654740D484F70EDD1EA4FA2D"/>
    <w:rsid w:val="005F1C8D"/>
    <w:pPr>
      <w:bidi/>
      <w:spacing w:after="160" w:line="259" w:lineRule="auto"/>
    </w:pPr>
  </w:style>
  <w:style w:type="paragraph" w:customStyle="1" w:styleId="8E48858722B44348B7754217E380155A">
    <w:name w:val="8E48858722B44348B7754217E380155A"/>
    <w:rsid w:val="005F1C8D"/>
    <w:pPr>
      <w:bidi/>
      <w:spacing w:after="160" w:line="259" w:lineRule="auto"/>
    </w:pPr>
  </w:style>
  <w:style w:type="paragraph" w:customStyle="1" w:styleId="BA71EA24FD0B4C98BBA8E6142560601B">
    <w:name w:val="BA71EA24FD0B4C98BBA8E6142560601B"/>
    <w:rsid w:val="005F1C8D"/>
    <w:pPr>
      <w:bidi/>
      <w:spacing w:after="160" w:line="259" w:lineRule="auto"/>
    </w:pPr>
  </w:style>
  <w:style w:type="paragraph" w:customStyle="1" w:styleId="7A7084BED64A463FA41F4F5E0FC692C8">
    <w:name w:val="7A7084BED64A463FA41F4F5E0FC692C8"/>
    <w:rsid w:val="005F1C8D"/>
    <w:pPr>
      <w:bidi/>
      <w:spacing w:after="160" w:line="259" w:lineRule="auto"/>
    </w:pPr>
  </w:style>
  <w:style w:type="paragraph" w:customStyle="1" w:styleId="468C623C90F2404FB0842275BB935BA3">
    <w:name w:val="468C623C90F2404FB0842275BB935BA3"/>
    <w:rsid w:val="005F1C8D"/>
    <w:pPr>
      <w:bidi/>
      <w:spacing w:after="160" w:line="259" w:lineRule="auto"/>
    </w:pPr>
  </w:style>
  <w:style w:type="paragraph" w:customStyle="1" w:styleId="D5F68AAFB16C4695ACB5E782F0E5EC2B">
    <w:name w:val="D5F68AAFB16C4695ACB5E782F0E5EC2B"/>
    <w:rsid w:val="005F1C8D"/>
    <w:pPr>
      <w:bidi/>
      <w:spacing w:after="160" w:line="259" w:lineRule="auto"/>
    </w:pPr>
  </w:style>
  <w:style w:type="paragraph" w:customStyle="1" w:styleId="C4BA336785714765B3F6D92DFA64251E">
    <w:name w:val="C4BA336785714765B3F6D92DFA64251E"/>
    <w:rsid w:val="005F1C8D"/>
    <w:pPr>
      <w:bidi/>
      <w:spacing w:after="160" w:line="259" w:lineRule="auto"/>
    </w:pPr>
  </w:style>
  <w:style w:type="paragraph" w:customStyle="1" w:styleId="0707E533FBFF4CEC8C847BAE588E8013">
    <w:name w:val="0707E533FBFF4CEC8C847BAE588E8013"/>
    <w:rsid w:val="005F1C8D"/>
    <w:pPr>
      <w:bidi/>
      <w:spacing w:after="160" w:line="259" w:lineRule="auto"/>
    </w:pPr>
  </w:style>
  <w:style w:type="paragraph" w:customStyle="1" w:styleId="E7107AEA636A46B09EF0E82E73BAC570">
    <w:name w:val="E7107AEA636A46B09EF0E82E73BAC570"/>
    <w:rsid w:val="005F1C8D"/>
    <w:pPr>
      <w:bidi/>
      <w:spacing w:after="160" w:line="259" w:lineRule="auto"/>
    </w:pPr>
  </w:style>
  <w:style w:type="paragraph" w:customStyle="1" w:styleId="0D104245A24547CFB3F2C5EF569F3110">
    <w:name w:val="0D104245A24547CFB3F2C5EF569F3110"/>
    <w:rsid w:val="005F1C8D"/>
    <w:pPr>
      <w:bidi/>
      <w:spacing w:after="160" w:line="259" w:lineRule="auto"/>
    </w:pPr>
  </w:style>
  <w:style w:type="paragraph" w:customStyle="1" w:styleId="34AFA2AA815C4606B29D8328193A9FAF">
    <w:name w:val="34AFA2AA815C4606B29D8328193A9FAF"/>
    <w:rsid w:val="005F1C8D"/>
    <w:pPr>
      <w:bidi/>
      <w:spacing w:after="160" w:line="259" w:lineRule="auto"/>
    </w:pPr>
  </w:style>
  <w:style w:type="paragraph" w:customStyle="1" w:styleId="1D7E9C58700943E698ACAD7A313FE530">
    <w:name w:val="1D7E9C58700943E698ACAD7A313FE530"/>
    <w:rsid w:val="005F1C8D"/>
    <w:pPr>
      <w:bidi/>
      <w:spacing w:after="160" w:line="259" w:lineRule="auto"/>
    </w:pPr>
  </w:style>
  <w:style w:type="paragraph" w:customStyle="1" w:styleId="7251215E5F6F4C56AB5BF84FF59EDEC4">
    <w:name w:val="7251215E5F6F4C56AB5BF84FF59EDEC4"/>
    <w:rsid w:val="005F1C8D"/>
    <w:pPr>
      <w:bidi/>
      <w:spacing w:after="160" w:line="259" w:lineRule="auto"/>
    </w:pPr>
  </w:style>
  <w:style w:type="paragraph" w:customStyle="1" w:styleId="E8A2AD312CFC4F0B90437C6C22661183">
    <w:name w:val="E8A2AD312CFC4F0B90437C6C22661183"/>
    <w:rsid w:val="005F1C8D"/>
    <w:pPr>
      <w:bidi/>
      <w:spacing w:after="160" w:line="259" w:lineRule="auto"/>
    </w:pPr>
  </w:style>
  <w:style w:type="paragraph" w:customStyle="1" w:styleId="047B9D7C22A446E3961C92C7453A032E">
    <w:name w:val="047B9D7C22A446E3961C92C7453A032E"/>
    <w:rsid w:val="005F1C8D"/>
    <w:pPr>
      <w:bidi/>
      <w:spacing w:after="160" w:line="259" w:lineRule="auto"/>
    </w:pPr>
  </w:style>
  <w:style w:type="paragraph" w:customStyle="1" w:styleId="E5AB823215EF42438B480D8ABFE9AEA1">
    <w:name w:val="E5AB823215EF42438B480D8ABFE9AEA1"/>
    <w:rsid w:val="005F1C8D"/>
    <w:pPr>
      <w:bidi/>
      <w:spacing w:after="160" w:line="259" w:lineRule="auto"/>
    </w:pPr>
  </w:style>
  <w:style w:type="paragraph" w:customStyle="1" w:styleId="E0402C61FEF8403A9E2A306D263F1547">
    <w:name w:val="E0402C61FEF8403A9E2A306D263F1547"/>
    <w:rsid w:val="005F1C8D"/>
    <w:pPr>
      <w:bidi/>
      <w:spacing w:after="160" w:line="259" w:lineRule="auto"/>
    </w:pPr>
  </w:style>
  <w:style w:type="paragraph" w:customStyle="1" w:styleId="965702558FC24801A9B310052FBDF624">
    <w:name w:val="965702558FC24801A9B310052FBDF624"/>
    <w:rsid w:val="005F1C8D"/>
    <w:pPr>
      <w:bidi/>
      <w:spacing w:after="160" w:line="259" w:lineRule="auto"/>
    </w:pPr>
  </w:style>
  <w:style w:type="paragraph" w:customStyle="1" w:styleId="A31CB7A2DB394CEAB6726F70B23689EA">
    <w:name w:val="A31CB7A2DB394CEAB6726F70B23689EA"/>
    <w:rsid w:val="005F1C8D"/>
    <w:pPr>
      <w:bidi/>
      <w:spacing w:after="160" w:line="259" w:lineRule="auto"/>
    </w:pPr>
  </w:style>
  <w:style w:type="paragraph" w:customStyle="1" w:styleId="C0956EC9ECC14FB88B44ABFE3FB9987D">
    <w:name w:val="C0956EC9ECC14FB88B44ABFE3FB9987D"/>
    <w:rsid w:val="005F1C8D"/>
    <w:pPr>
      <w:bidi/>
      <w:spacing w:after="160" w:line="259" w:lineRule="auto"/>
    </w:pPr>
  </w:style>
  <w:style w:type="paragraph" w:customStyle="1" w:styleId="5C75CD899DBA40E5ADA9E84C158720EE">
    <w:name w:val="5C75CD899DBA40E5ADA9E84C158720EE"/>
    <w:rsid w:val="005F1C8D"/>
    <w:pPr>
      <w:bidi/>
      <w:spacing w:after="160" w:line="259" w:lineRule="auto"/>
    </w:pPr>
  </w:style>
  <w:style w:type="paragraph" w:customStyle="1" w:styleId="339160BEB6814720AF40E4FBE094DF4E">
    <w:name w:val="339160BEB6814720AF40E4FBE094DF4E"/>
    <w:rsid w:val="005F1C8D"/>
    <w:pPr>
      <w:bidi/>
      <w:spacing w:after="160" w:line="259" w:lineRule="auto"/>
    </w:pPr>
  </w:style>
  <w:style w:type="paragraph" w:customStyle="1" w:styleId="7CDE174BBE6B474BB7C0E3EC7A1DB8EC">
    <w:name w:val="7CDE174BBE6B474BB7C0E3EC7A1DB8EC"/>
    <w:rsid w:val="005F1C8D"/>
    <w:pPr>
      <w:bidi/>
      <w:spacing w:after="160" w:line="259" w:lineRule="auto"/>
    </w:pPr>
  </w:style>
  <w:style w:type="paragraph" w:customStyle="1" w:styleId="2610D7B825F6491EA68CC7B0FF656C5E">
    <w:name w:val="2610D7B825F6491EA68CC7B0FF656C5E"/>
    <w:rsid w:val="005F1C8D"/>
    <w:pPr>
      <w:bidi/>
      <w:spacing w:after="160" w:line="259" w:lineRule="auto"/>
    </w:pPr>
  </w:style>
  <w:style w:type="paragraph" w:customStyle="1" w:styleId="048968D56E824276B40D45C9E497E7CB">
    <w:name w:val="048968D56E824276B40D45C9E497E7CB"/>
    <w:rsid w:val="005F1C8D"/>
    <w:pPr>
      <w:bidi/>
      <w:spacing w:after="160" w:line="259" w:lineRule="auto"/>
    </w:pPr>
  </w:style>
  <w:style w:type="paragraph" w:customStyle="1" w:styleId="71B30CB7E85E4ABF9CD3B46307F9A352">
    <w:name w:val="71B30CB7E85E4ABF9CD3B46307F9A352"/>
    <w:rsid w:val="005F1C8D"/>
    <w:pPr>
      <w:bidi/>
      <w:spacing w:after="160" w:line="259" w:lineRule="auto"/>
    </w:pPr>
  </w:style>
  <w:style w:type="paragraph" w:customStyle="1" w:styleId="6E9B64DE82404F9B827427D9CBC581D61">
    <w:name w:val="6E9B64DE82404F9B827427D9CBC581D61"/>
    <w:rsid w:val="001437D3"/>
    <w:pPr>
      <w:bidi/>
      <w:spacing w:after="0" w:line="240" w:lineRule="auto"/>
    </w:pPr>
    <w:rPr>
      <w:rFonts w:ascii="Times New Roman" w:eastAsia="Times New Roman" w:hAnsi="Times New Roman" w:cs="David"/>
      <w:noProof/>
      <w:sz w:val="24"/>
      <w:szCs w:val="24"/>
    </w:rPr>
  </w:style>
  <w:style w:type="paragraph" w:customStyle="1" w:styleId="4975FDB7C9824906A8EDDDC584D8F3331">
    <w:name w:val="4975FDB7C9824906A8EDDDC584D8F3331"/>
    <w:rsid w:val="001437D3"/>
    <w:pPr>
      <w:bidi/>
      <w:spacing w:after="0" w:line="240" w:lineRule="auto"/>
    </w:pPr>
    <w:rPr>
      <w:rFonts w:ascii="Times New Roman" w:eastAsia="Times New Roman" w:hAnsi="Times New Roman" w:cs="David"/>
      <w:noProof/>
      <w:sz w:val="24"/>
      <w:szCs w:val="24"/>
    </w:rPr>
  </w:style>
  <w:style w:type="paragraph" w:customStyle="1" w:styleId="A31CB7A2DB394CEAB6726F70B23689EA1">
    <w:name w:val="A31CB7A2DB394CEAB6726F70B23689EA1"/>
    <w:rsid w:val="001437D3"/>
    <w:pPr>
      <w:bidi/>
      <w:spacing w:after="0" w:line="240" w:lineRule="auto"/>
    </w:pPr>
    <w:rPr>
      <w:rFonts w:ascii="Times New Roman" w:eastAsia="Times New Roman" w:hAnsi="Times New Roman" w:cs="David"/>
      <w:noProof/>
      <w:sz w:val="24"/>
      <w:szCs w:val="24"/>
    </w:rPr>
  </w:style>
  <w:style w:type="paragraph" w:customStyle="1" w:styleId="5C75CD899DBA40E5ADA9E84C158720EE1">
    <w:name w:val="5C75CD899DBA40E5ADA9E84C158720EE1"/>
    <w:rsid w:val="001437D3"/>
    <w:pPr>
      <w:bidi/>
      <w:spacing w:after="0" w:line="240" w:lineRule="auto"/>
    </w:pPr>
    <w:rPr>
      <w:rFonts w:ascii="Times New Roman" w:eastAsia="Times New Roman" w:hAnsi="Times New Roman" w:cs="David"/>
      <w:noProof/>
      <w:sz w:val="24"/>
      <w:szCs w:val="24"/>
    </w:rPr>
  </w:style>
  <w:style w:type="paragraph" w:customStyle="1" w:styleId="7CDE174BBE6B474BB7C0E3EC7A1DB8EC1">
    <w:name w:val="7CDE174BBE6B474BB7C0E3EC7A1DB8EC1"/>
    <w:rsid w:val="001437D3"/>
    <w:pPr>
      <w:bidi/>
      <w:spacing w:after="0" w:line="240" w:lineRule="auto"/>
    </w:pPr>
    <w:rPr>
      <w:rFonts w:ascii="Times New Roman" w:eastAsia="Times New Roman" w:hAnsi="Times New Roman" w:cs="David"/>
      <w:noProof/>
      <w:sz w:val="24"/>
      <w:szCs w:val="24"/>
    </w:rPr>
  </w:style>
  <w:style w:type="paragraph" w:customStyle="1" w:styleId="2610D7B825F6491EA68CC7B0FF656C5E1">
    <w:name w:val="2610D7B825F6491EA68CC7B0FF656C5E1"/>
    <w:rsid w:val="001437D3"/>
    <w:pPr>
      <w:bidi/>
      <w:spacing w:after="0" w:line="240" w:lineRule="auto"/>
    </w:pPr>
    <w:rPr>
      <w:rFonts w:ascii="Times New Roman" w:eastAsia="Times New Roman" w:hAnsi="Times New Roman" w:cs="David"/>
      <w:noProof/>
      <w:sz w:val="24"/>
      <w:szCs w:val="24"/>
    </w:rPr>
  </w:style>
  <w:style w:type="paragraph" w:customStyle="1" w:styleId="048968D56E824276B40D45C9E497E7CB1">
    <w:name w:val="048968D56E824276B40D45C9E497E7CB1"/>
    <w:rsid w:val="001437D3"/>
    <w:pPr>
      <w:bidi/>
      <w:spacing w:after="0" w:line="240" w:lineRule="auto"/>
    </w:pPr>
    <w:rPr>
      <w:rFonts w:ascii="Times New Roman" w:eastAsia="Times New Roman" w:hAnsi="Times New Roman" w:cs="David"/>
      <w:noProof/>
      <w:sz w:val="24"/>
      <w:szCs w:val="24"/>
    </w:rPr>
  </w:style>
  <w:style w:type="paragraph" w:customStyle="1" w:styleId="71B30CB7E85E4ABF9CD3B46307F9A3521">
    <w:name w:val="71B30CB7E85E4ABF9CD3B46307F9A3521"/>
    <w:rsid w:val="001437D3"/>
    <w:pPr>
      <w:bidi/>
      <w:spacing w:after="0" w:line="240" w:lineRule="auto"/>
    </w:pPr>
    <w:rPr>
      <w:rFonts w:ascii="Times New Roman" w:eastAsia="Times New Roman" w:hAnsi="Times New Roman" w:cs="David"/>
      <w:noProof/>
      <w:sz w:val="24"/>
      <w:szCs w:val="24"/>
    </w:rPr>
  </w:style>
  <w:style w:type="paragraph" w:customStyle="1" w:styleId="E460D38E05664FF79D4EFF282EF8EC9937">
    <w:name w:val="E460D38E05664FF79D4EFF282EF8EC9937"/>
    <w:rsid w:val="001437D3"/>
    <w:pPr>
      <w:bidi/>
      <w:spacing w:after="0" w:line="240" w:lineRule="auto"/>
    </w:pPr>
    <w:rPr>
      <w:rFonts w:ascii="Times New Roman" w:eastAsia="Times New Roman" w:hAnsi="Times New Roman" w:cs="David"/>
      <w:noProof/>
      <w:sz w:val="24"/>
      <w:szCs w:val="24"/>
    </w:rPr>
  </w:style>
  <w:style w:type="paragraph" w:customStyle="1" w:styleId="6E9B64DE82404F9B827427D9CBC581D62">
    <w:name w:val="6E9B64DE82404F9B827427D9CBC581D62"/>
    <w:rsid w:val="00837871"/>
    <w:pPr>
      <w:bidi/>
      <w:spacing w:after="0" w:line="240" w:lineRule="auto"/>
    </w:pPr>
    <w:rPr>
      <w:rFonts w:ascii="Times New Roman" w:eastAsia="Times New Roman" w:hAnsi="Times New Roman" w:cs="David"/>
      <w:noProof/>
      <w:sz w:val="24"/>
      <w:szCs w:val="24"/>
    </w:rPr>
  </w:style>
  <w:style w:type="paragraph" w:customStyle="1" w:styleId="4975FDB7C9824906A8EDDDC584D8F3332">
    <w:name w:val="4975FDB7C9824906A8EDDDC584D8F3332"/>
    <w:rsid w:val="00837871"/>
    <w:pPr>
      <w:bidi/>
      <w:spacing w:after="0" w:line="240" w:lineRule="auto"/>
    </w:pPr>
    <w:rPr>
      <w:rFonts w:ascii="Times New Roman" w:eastAsia="Times New Roman" w:hAnsi="Times New Roman" w:cs="David"/>
      <w:noProof/>
      <w:sz w:val="24"/>
      <w:szCs w:val="24"/>
    </w:rPr>
  </w:style>
  <w:style w:type="paragraph" w:customStyle="1" w:styleId="A31CB7A2DB394CEAB6726F70B23689EA2">
    <w:name w:val="A31CB7A2DB394CEAB6726F70B23689EA2"/>
    <w:rsid w:val="00837871"/>
    <w:pPr>
      <w:bidi/>
      <w:spacing w:after="0" w:line="240" w:lineRule="auto"/>
    </w:pPr>
    <w:rPr>
      <w:rFonts w:ascii="Times New Roman" w:eastAsia="Times New Roman" w:hAnsi="Times New Roman" w:cs="David"/>
      <w:noProof/>
      <w:sz w:val="24"/>
      <w:szCs w:val="24"/>
    </w:rPr>
  </w:style>
  <w:style w:type="paragraph" w:customStyle="1" w:styleId="5C75CD899DBA40E5ADA9E84C158720EE2">
    <w:name w:val="5C75CD899DBA40E5ADA9E84C158720EE2"/>
    <w:rsid w:val="00837871"/>
    <w:pPr>
      <w:bidi/>
      <w:spacing w:after="0" w:line="240" w:lineRule="auto"/>
    </w:pPr>
    <w:rPr>
      <w:rFonts w:ascii="Times New Roman" w:eastAsia="Times New Roman" w:hAnsi="Times New Roman" w:cs="David"/>
      <w:noProof/>
      <w:sz w:val="24"/>
      <w:szCs w:val="24"/>
    </w:rPr>
  </w:style>
  <w:style w:type="paragraph" w:customStyle="1" w:styleId="7CDE174BBE6B474BB7C0E3EC7A1DB8EC2">
    <w:name w:val="7CDE174BBE6B474BB7C0E3EC7A1DB8EC2"/>
    <w:rsid w:val="00837871"/>
    <w:pPr>
      <w:bidi/>
      <w:spacing w:after="0" w:line="240" w:lineRule="auto"/>
    </w:pPr>
    <w:rPr>
      <w:rFonts w:ascii="Times New Roman" w:eastAsia="Times New Roman" w:hAnsi="Times New Roman" w:cs="David"/>
      <w:noProof/>
      <w:sz w:val="24"/>
      <w:szCs w:val="24"/>
    </w:rPr>
  </w:style>
  <w:style w:type="paragraph" w:customStyle="1" w:styleId="2610D7B825F6491EA68CC7B0FF656C5E2">
    <w:name w:val="2610D7B825F6491EA68CC7B0FF656C5E2"/>
    <w:rsid w:val="00837871"/>
    <w:pPr>
      <w:bidi/>
      <w:spacing w:after="0" w:line="240" w:lineRule="auto"/>
    </w:pPr>
    <w:rPr>
      <w:rFonts w:ascii="Times New Roman" w:eastAsia="Times New Roman" w:hAnsi="Times New Roman" w:cs="David"/>
      <w:noProof/>
      <w:sz w:val="24"/>
      <w:szCs w:val="24"/>
    </w:rPr>
  </w:style>
  <w:style w:type="paragraph" w:customStyle="1" w:styleId="048968D56E824276B40D45C9E497E7CB2">
    <w:name w:val="048968D56E824276B40D45C9E497E7CB2"/>
    <w:rsid w:val="00837871"/>
    <w:pPr>
      <w:bidi/>
      <w:spacing w:after="0" w:line="240" w:lineRule="auto"/>
    </w:pPr>
    <w:rPr>
      <w:rFonts w:ascii="Times New Roman" w:eastAsia="Times New Roman" w:hAnsi="Times New Roman" w:cs="David"/>
      <w:noProof/>
      <w:sz w:val="24"/>
      <w:szCs w:val="24"/>
    </w:rPr>
  </w:style>
  <w:style w:type="paragraph" w:customStyle="1" w:styleId="71B30CB7E85E4ABF9CD3B46307F9A3522">
    <w:name w:val="71B30CB7E85E4ABF9CD3B46307F9A3522"/>
    <w:rsid w:val="00837871"/>
    <w:pPr>
      <w:bidi/>
      <w:spacing w:after="0" w:line="240" w:lineRule="auto"/>
    </w:pPr>
    <w:rPr>
      <w:rFonts w:ascii="Times New Roman" w:eastAsia="Times New Roman" w:hAnsi="Times New Roman" w:cs="David"/>
      <w:noProof/>
      <w:sz w:val="24"/>
      <w:szCs w:val="24"/>
    </w:rPr>
  </w:style>
  <w:style w:type="paragraph" w:customStyle="1" w:styleId="E460D38E05664FF79D4EFF282EF8EC9938">
    <w:name w:val="E460D38E05664FF79D4EFF282EF8EC9938"/>
    <w:rsid w:val="0083787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7486</Words>
  <Characters>37430</Characters>
  <Application>Microsoft Office Word</Application>
  <DocSecurity>4</DocSecurity>
  <Lines>311</Lines>
  <Paragraphs>89</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44827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נעה בקר</cp:lastModifiedBy>
  <cp:revision>2</cp:revision>
  <dcterms:created xsi:type="dcterms:W3CDTF">2025-02-20T12:19:00Z</dcterms:created>
  <dcterms:modified xsi:type="dcterms:W3CDTF">2025-02-20T12:19:00Z</dcterms:modified>
</cp:coreProperties>
</file>