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EBC3C2" w14:textId="28824D8E" w:rsidR="00986AC2" w:rsidRPr="00986AC2" w:rsidRDefault="00986AC2" w:rsidP="00986AC2">
      <w:pPr>
        <w:ind w:left="-1191"/>
        <w:rPr>
          <w:rtl/>
        </w:rPr>
      </w:pPr>
      <w:bookmarkStart w:id="0" w:name="_GoBack"/>
      <w:bookmarkEnd w:id="0"/>
      <w:r w:rsidRPr="00C501F0">
        <w:rPr>
          <w:rFonts w:ascii="David,Bold" w:hint="cs"/>
          <w:b/>
          <w:bCs/>
        </w:rPr>
        <w:drawing>
          <wp:inline distT="0" distB="0" distL="0" distR="0" wp14:anchorId="29E61615" wp14:editId="0751299F">
            <wp:extent cx="264160" cy="264160"/>
            <wp:effectExtent l="0" t="0" r="2540" b="2540"/>
            <wp:docPr id="525065019" name="תמונה 1" descr="&#10;        This document is now being made accessible by AccessibleDocs.ai by Group107, according to PDF/UA-1 standards.&#10;        ">
              <a:hlinkClick xmlns:a="http://schemas.openxmlformats.org/drawingml/2006/main" r:id="rId8" tooltip="This document has been made accessible by AccessibleDocs.ai by Group107, according to PDF/UA-1 standard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10;        This document is now being made accessible by AccessibleDocs.ai by Group107, according to PDF/UA-1 standards.&#10;        ">
                      <a:hlinkClick r:id="rId9" tooltip="This document has been made accessible by AccessibleDocs.ai by Group107, according to PDF/UA-1 standards."/>
                    </pic:cNvP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64160" cy="264160"/>
                    </a:xfrm>
                    <a:prstGeom prst="rect">
                      <a:avLst/>
                    </a:prstGeom>
                    <a:noFill/>
                    <a:ln>
                      <a:noFill/>
                    </a:ln>
                  </pic:spPr>
                </pic:pic>
              </a:graphicData>
            </a:graphic>
          </wp:inline>
        </w:drawing>
      </w:r>
    </w:p>
    <w:p w14:paraId="2572B2DB" w14:textId="03A93891" w:rsidR="00986AC2" w:rsidRDefault="00986AC2" w:rsidP="00986AC2">
      <w:pPr>
        <w:pStyle w:val="a3"/>
        <w:jc w:val="center"/>
        <w:rPr>
          <w:rFonts w:cs="FrankRuehl"/>
          <w:noProof w:val="0"/>
          <w:sz w:val="28"/>
          <w:szCs w:val="28"/>
          <w:rtl/>
        </w:rPr>
      </w:pPr>
      <w:r>
        <w:rPr>
          <w:rFonts w:cs="FrankRuehl"/>
          <w:sz w:val="28"/>
          <w:szCs w:val="28"/>
        </w:rPr>
        <w:drawing>
          <wp:inline distT="0" distB="0" distL="0" distR="0" wp14:anchorId="4CEFD8C5" wp14:editId="218E0A80">
            <wp:extent cx="374015" cy="469265"/>
            <wp:effectExtent l="0" t="0" r="6985" b="6985"/>
            <wp:docPr id="1079488229" name="Picture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488229" name="Picture 1" descr="סמל מדינת ישראל"/>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74015" cy="469265"/>
                    </a:xfrm>
                    <a:prstGeom prst="rect">
                      <a:avLst/>
                    </a:prstGeom>
                    <a:noFill/>
                    <a:ln>
                      <a:noFill/>
                    </a:ln>
                  </pic:spPr>
                </pic:pic>
              </a:graphicData>
            </a:graphic>
          </wp:inline>
        </w:drawing>
      </w:r>
    </w:p>
    <w:p w14:paraId="3C444BA8" w14:textId="77777777" w:rsidR="00986AC2" w:rsidRPr="00F038D8" w:rsidRDefault="00986AC2" w:rsidP="00986AC2">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בתל אביב -יפו</w:t>
      </w:r>
    </w:p>
    <w:p w14:paraId="3956AB21" w14:textId="413AB11B" w:rsidR="00986AC2" w:rsidRPr="00986AC2" w:rsidRDefault="00286B43" w:rsidP="00234D19">
      <w:pPr>
        <w:spacing w:before="720"/>
        <w:rPr>
          <w:b/>
          <w:bCs/>
          <w:noProof w:val="0"/>
          <w:sz w:val="26"/>
          <w:szCs w:val="26"/>
          <w:rtl/>
        </w:rPr>
      </w:pPr>
      <w:sdt>
        <w:sdtPr>
          <w:rPr>
            <w:rtl/>
          </w:rPr>
          <w:alias w:val="1170"/>
          <w:tag w:val="1170"/>
          <w:id w:val="1008417563"/>
          <w:text w:multiLine="1"/>
        </w:sdtPr>
        <w:sdtEndPr/>
        <w:sdtContent>
          <w:r w:rsidR="00986AC2">
            <w:rPr>
              <w:b/>
              <w:bCs/>
              <w:noProof w:val="0"/>
              <w:sz w:val="26"/>
              <w:szCs w:val="26"/>
              <w:rtl/>
            </w:rPr>
            <w:t>ת"א</w:t>
          </w:r>
        </w:sdtContent>
      </w:sdt>
      <w:r w:rsidR="00986AC2">
        <w:rPr>
          <w:b/>
          <w:bCs/>
          <w:noProof w:val="0"/>
          <w:sz w:val="26"/>
          <w:szCs w:val="26"/>
          <w:rtl/>
        </w:rPr>
        <w:t xml:space="preserve"> </w:t>
      </w:r>
      <w:sdt>
        <w:sdtPr>
          <w:rPr>
            <w:rtl/>
          </w:rPr>
          <w:alias w:val="1171"/>
          <w:tag w:val="1171"/>
          <w:id w:val="1422374186"/>
          <w:text w:multiLine="1"/>
        </w:sdtPr>
        <w:sdtEndPr/>
        <w:sdtContent>
          <w:r w:rsidR="00986AC2">
            <w:rPr>
              <w:b/>
              <w:bCs/>
              <w:noProof w:val="0"/>
              <w:sz w:val="26"/>
              <w:szCs w:val="26"/>
              <w:rtl/>
            </w:rPr>
            <w:t>26097-02-24</w:t>
          </w:r>
        </w:sdtContent>
      </w:sdt>
      <w:r w:rsidR="00986AC2">
        <w:rPr>
          <w:b/>
          <w:bCs/>
          <w:noProof w:val="0"/>
          <w:sz w:val="26"/>
          <w:szCs w:val="26"/>
          <w:rtl/>
        </w:rPr>
        <w:t xml:space="preserve"> </w:t>
      </w:r>
      <w:sdt>
        <w:sdtPr>
          <w:rPr>
            <w:b/>
            <w:bCs/>
            <w:noProof w:val="0"/>
            <w:sz w:val="26"/>
            <w:szCs w:val="26"/>
            <w:rtl/>
          </w:rPr>
          <w:alias w:val="3154"/>
          <w:tag w:val="3154"/>
          <w:id w:val="338122578"/>
          <w:placeholder>
            <w:docPart w:val="67B825327F034E70BC4B379D562635E5"/>
          </w:placeholder>
          <w:text w:multiLine="1"/>
        </w:sdtPr>
        <w:sdtEndPr/>
        <w:sdtContent>
          <w:r w:rsidR="00986AC2">
            <w:rPr>
              <w:b/>
              <w:bCs/>
              <w:noProof w:val="0"/>
              <w:sz w:val="26"/>
              <w:szCs w:val="26"/>
              <w:rtl/>
            </w:rPr>
            <w:t>ברנובסקי ואח' נ' מגדלי בראשית דניאל - נדל"ן בע"מ</w:t>
          </w:r>
        </w:sdtContent>
      </w:sdt>
      <w:r w:rsidR="00986AC2">
        <w:rPr>
          <w:b/>
          <w:bCs/>
          <w:noProof w:val="0"/>
          <w:sz w:val="26"/>
          <w:szCs w:val="26"/>
          <w:rtl/>
        </w:rPr>
        <w:t xml:space="preserve"> </w:t>
      </w:r>
    </w:p>
    <w:p w14:paraId="16E2AFAA" w14:textId="160C4E97" w:rsidR="005718B4" w:rsidRDefault="005718B4" w:rsidP="00986AC2">
      <w:pPr>
        <w:suppressLineNumbers/>
        <w:tabs>
          <w:tab w:val="left" w:pos="5157"/>
        </w:tabs>
        <w:spacing w:before="600"/>
        <w:ind w:left="108"/>
        <w:rPr>
          <w:rFonts w:ascii="Arial" w:hAnsi="Arial"/>
          <w:b/>
          <w:bCs/>
          <w:noProof w:val="0"/>
          <w:sz w:val="26"/>
          <w:szCs w:val="26"/>
          <w:rtl/>
        </w:rPr>
      </w:pPr>
      <w:r>
        <w:rPr>
          <w:rFonts w:ascii="Arial" w:hAnsi="Arial"/>
          <w:b/>
          <w:bCs/>
          <w:noProof w:val="0"/>
          <w:sz w:val="26"/>
          <w:szCs w:val="26"/>
          <w:rtl/>
        </w:rPr>
        <w:tab/>
        <w:t>מספר בקשה:</w:t>
      </w:r>
      <w:sdt>
        <w:sdtPr>
          <w:rPr>
            <w:rtl/>
          </w:rPr>
          <w:alias w:val="1193"/>
          <w:tag w:val="1193"/>
          <w:id w:val="-636028727"/>
          <w:text w:multiLine="1"/>
        </w:sdtPr>
        <w:sdtEndPr/>
        <w:sdtContent>
          <w:r>
            <w:rPr>
              <w:rFonts w:ascii="Arial" w:hAnsi="Arial"/>
              <w:b/>
              <w:bCs/>
              <w:noProof w:val="0"/>
              <w:sz w:val="32"/>
              <w:szCs w:val="32"/>
              <w:rtl/>
            </w:rPr>
            <w:t>34</w:t>
          </w:r>
        </w:sdtContent>
      </w:sdt>
    </w:p>
    <w:p w14:paraId="3AC1138B" w14:textId="1D473876" w:rsidR="005718B4" w:rsidRPr="00737920" w:rsidRDefault="005718B4" w:rsidP="00737920">
      <w:pPr>
        <w:suppressLineNumbers/>
        <w:rPr>
          <w:rFonts w:ascii="Arial" w:hAnsi="Arial"/>
          <w:b/>
          <w:bCs/>
          <w:sz w:val="26"/>
          <w:szCs w:val="26"/>
          <w:rtl/>
        </w:rPr>
      </w:pPr>
      <w:r>
        <w:rPr>
          <w:rFonts w:ascii="Arial" w:hAnsi="Arial" w:hint="cs"/>
          <w:b/>
          <w:bCs/>
          <w:sz w:val="26"/>
          <w:szCs w:val="26"/>
          <w:rtl/>
        </w:rPr>
        <w:t>ל</w:t>
      </w:r>
      <w:r w:rsidRPr="008A59EE">
        <w:rPr>
          <w:rFonts w:ascii="Arial" w:hAnsi="Arial"/>
          <w:b/>
          <w:bCs/>
          <w:sz w:val="26"/>
          <w:szCs w:val="26"/>
          <w:rtl/>
        </w:rPr>
        <w:t xml:space="preserve">פני </w:t>
      </w:r>
      <w:r w:rsidRPr="008A59EE">
        <w:rPr>
          <w:rFonts w:ascii="Arial" w:hAnsi="Arial"/>
          <w:b/>
          <w:bCs/>
          <w:sz w:val="26"/>
          <w:szCs w:val="26"/>
          <w:rtl/>
        </w:rPr>
        <w:tab/>
      </w:r>
      <w:r w:rsidRPr="008A59EE">
        <w:rPr>
          <w:rFonts w:ascii="Arial" w:hAnsi="Arial" w:hint="cs"/>
          <w:b/>
          <w:bCs/>
          <w:sz w:val="26"/>
          <w:szCs w:val="26"/>
          <w:rtl/>
        </w:rPr>
        <w:t>כבוד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Pr="008A59EE">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יעל בלכר</w:t>
          </w:r>
        </w:sdtContent>
      </w:sdt>
    </w:p>
    <w:p w14:paraId="6EDB5014" w14:textId="4C6544FC" w:rsidR="005718B4" w:rsidRDefault="00286B43" w:rsidP="00320AAA">
      <w:pPr>
        <w:suppressLineNumbers/>
        <w:spacing w:before="480"/>
        <w:rPr>
          <w:rFonts w:ascii="Arial" w:hAnsi="Arial"/>
          <w:b/>
          <w:bCs/>
          <w:noProof w:val="0"/>
          <w:sz w:val="26"/>
          <w:szCs w:val="26"/>
          <w:rtl/>
        </w:rPr>
      </w:pPr>
      <w:sdt>
        <w:sdtPr>
          <w:rPr>
            <w:rFonts w:ascii="Arial" w:hAnsi="Arial"/>
            <w:b/>
            <w:bCs/>
            <w:noProof w:val="0"/>
            <w:sz w:val="26"/>
            <w:szCs w:val="26"/>
            <w:rtl/>
          </w:rPr>
          <w:alias w:val="1180"/>
          <w:tag w:val="1180"/>
          <w:id w:val="637458750"/>
          <w:text w:multiLine="1"/>
        </w:sdtPr>
        <w:sdtEndPr/>
        <w:sdtContent>
          <w:r w:rsidR="00737920" w:rsidRPr="00737920">
            <w:rPr>
              <w:rFonts w:ascii="Arial" w:hAnsi="Arial" w:hint="cs"/>
              <w:b/>
              <w:bCs/>
              <w:noProof w:val="0"/>
              <w:sz w:val="26"/>
              <w:szCs w:val="26"/>
              <w:rtl/>
            </w:rPr>
            <w:t>ה</w:t>
          </w:r>
          <w:r w:rsidR="00737920" w:rsidRPr="00737920">
            <w:rPr>
              <w:rFonts w:ascii="Arial" w:hAnsi="Arial"/>
              <w:b/>
              <w:bCs/>
              <w:noProof w:val="0"/>
              <w:sz w:val="26"/>
              <w:szCs w:val="26"/>
              <w:rtl/>
            </w:rPr>
            <w:t>מבקשים</w:t>
          </w:r>
          <w:r w:rsidR="00737920">
            <w:rPr>
              <w:rFonts w:ascii="Arial" w:hAnsi="Arial"/>
              <w:b/>
              <w:bCs/>
              <w:noProof w:val="0"/>
              <w:sz w:val="26"/>
              <w:szCs w:val="26"/>
              <w:rtl/>
            </w:rPr>
            <w:tab/>
          </w:r>
          <w:r w:rsidR="00737920">
            <w:rPr>
              <w:rFonts w:ascii="Arial" w:hAnsi="Arial"/>
              <w:b/>
              <w:bCs/>
              <w:noProof w:val="0"/>
              <w:sz w:val="26"/>
              <w:szCs w:val="26"/>
              <w:rtl/>
            </w:rPr>
            <w:tab/>
          </w:r>
          <w:r w:rsidR="00737920">
            <w:rPr>
              <w:rFonts w:ascii="Arial" w:hAnsi="Arial"/>
              <w:b/>
              <w:bCs/>
              <w:noProof w:val="0"/>
              <w:sz w:val="26"/>
              <w:szCs w:val="26"/>
              <w:rtl/>
            </w:rPr>
            <w:tab/>
          </w:r>
          <w:r w:rsidR="00737920" w:rsidRPr="00737920">
            <w:rPr>
              <w:rFonts w:ascii="Arial" w:hAnsi="Arial" w:hint="cs"/>
              <w:b/>
              <w:bCs/>
              <w:noProof w:val="0"/>
              <w:sz w:val="26"/>
              <w:szCs w:val="26"/>
              <w:rtl/>
            </w:rPr>
            <w:t xml:space="preserve"> </w:t>
          </w:r>
          <w:r w:rsidR="00737920" w:rsidRPr="00737920">
            <w:rPr>
              <w:rFonts w:ascii="Arial" w:hAnsi="Arial"/>
              <w:b/>
              <w:bCs/>
              <w:noProof w:val="0"/>
              <w:sz w:val="26"/>
              <w:szCs w:val="26"/>
              <w:rtl/>
            </w:rPr>
            <w:t>1. שלמה ברנובסקי</w:t>
          </w:r>
        </w:sdtContent>
      </w:sdt>
      <w:r w:rsidR="005718B4">
        <w:rPr>
          <w:rtl/>
        </w:rPr>
        <w:br/>
      </w:r>
      <w:r w:rsidR="005718B4" w:rsidRPr="004A6EC9">
        <w:rPr>
          <w:rFonts w:hint="cs"/>
          <w:b/>
          <w:bCs/>
          <w:rtl/>
        </w:rPr>
        <w:t>התובעים</w:t>
      </w:r>
      <w:r w:rsidR="005718B4">
        <w:rPr>
          <w:rFonts w:ascii="Arial" w:hAnsi="Arial"/>
          <w:b/>
          <w:bCs/>
          <w:noProof w:val="0"/>
          <w:sz w:val="26"/>
          <w:szCs w:val="26"/>
          <w:rtl/>
        </w:rPr>
        <w:tab/>
      </w:r>
      <w:r w:rsidR="00737920">
        <w:rPr>
          <w:rFonts w:ascii="Arial" w:hAnsi="Arial"/>
          <w:b/>
          <w:bCs/>
          <w:noProof w:val="0"/>
          <w:sz w:val="26"/>
          <w:szCs w:val="26"/>
          <w:rtl/>
        </w:rPr>
        <w:tab/>
      </w:r>
      <w:r w:rsidR="00737920">
        <w:rPr>
          <w:rFonts w:ascii="Arial" w:hAnsi="Arial"/>
          <w:b/>
          <w:bCs/>
          <w:noProof w:val="0"/>
          <w:sz w:val="26"/>
          <w:szCs w:val="26"/>
          <w:rtl/>
        </w:rPr>
        <w:tab/>
      </w:r>
      <w:r w:rsidR="00737920">
        <w:rPr>
          <w:rFonts w:ascii="Arial" w:hAnsi="Arial" w:hint="cs"/>
          <w:b/>
          <w:bCs/>
          <w:noProof w:val="0"/>
          <w:sz w:val="26"/>
          <w:szCs w:val="26"/>
          <w:rtl/>
        </w:rPr>
        <w:t xml:space="preserve"> </w:t>
      </w:r>
      <w:sdt>
        <w:sdtPr>
          <w:rPr>
            <w:rFonts w:ascii="Arial" w:hAnsi="Arial"/>
            <w:b/>
            <w:bCs/>
            <w:noProof w:val="0"/>
            <w:sz w:val="26"/>
            <w:szCs w:val="26"/>
            <w:rtl/>
          </w:rPr>
          <w:alias w:val="1462"/>
          <w:tag w:val="1462"/>
          <w:id w:val="-74592654"/>
          <w:text w:multiLine="1"/>
        </w:sdtPr>
        <w:sdtEndPr/>
        <w:sdtContent>
          <w:r w:rsidR="005718B4">
            <w:rPr>
              <w:rFonts w:ascii="Arial" w:hAnsi="Arial"/>
              <w:b/>
              <w:bCs/>
              <w:noProof w:val="0"/>
              <w:sz w:val="26"/>
              <w:szCs w:val="26"/>
              <w:rtl/>
            </w:rPr>
            <w:t>2</w:t>
          </w:r>
        </w:sdtContent>
      </w:sdt>
      <w:r w:rsidR="005718B4" w:rsidRPr="00CD516B">
        <w:rPr>
          <w:rFonts w:ascii="Arial" w:hAnsi="Arial"/>
          <w:b/>
          <w:bCs/>
          <w:noProof w:val="0"/>
          <w:sz w:val="26"/>
          <w:szCs w:val="26"/>
          <w:rtl/>
        </w:rPr>
        <w:t>.</w:t>
      </w:r>
      <w:r w:rsidR="005718B4" w:rsidRPr="00CD516B">
        <w:rPr>
          <w:rFonts w:ascii="Arial" w:hAnsi="Arial" w:hint="cs"/>
          <w:b/>
          <w:bCs/>
          <w:noProof w:val="0"/>
          <w:sz w:val="26"/>
          <w:szCs w:val="26"/>
          <w:rtl/>
        </w:rPr>
        <w:t xml:space="preserve"> </w:t>
      </w:r>
      <w:sdt>
        <w:sdtPr>
          <w:rPr>
            <w:rFonts w:ascii="Arial" w:hAnsi="Arial"/>
            <w:b/>
            <w:bCs/>
            <w:noProof w:val="0"/>
            <w:sz w:val="26"/>
            <w:szCs w:val="26"/>
            <w:rtl/>
          </w:rPr>
          <w:alias w:val="3151"/>
          <w:tag w:val="3151"/>
          <w:id w:val="-1566866519"/>
          <w:placeholder>
            <w:docPart w:val="AA2949C4CD934885B3CC015FBA1EEC87"/>
          </w:placeholder>
          <w:text w:multiLine="1"/>
        </w:sdtPr>
        <w:sdtEndPr/>
        <w:sdtContent>
          <w:r w:rsidR="005718B4">
            <w:rPr>
              <w:rFonts w:ascii="Arial" w:hAnsi="Arial"/>
              <w:b/>
              <w:bCs/>
              <w:noProof w:val="0"/>
              <w:sz w:val="26"/>
              <w:szCs w:val="26"/>
              <w:rtl/>
            </w:rPr>
            <w:t>אנה ברנובסקי</w:t>
          </w:r>
        </w:sdtContent>
      </w:sdt>
    </w:p>
    <w:p w14:paraId="71893D1A" w14:textId="2048C201" w:rsidR="005718B4" w:rsidRPr="00EB4E40" w:rsidRDefault="005718B4" w:rsidP="00EB4E40">
      <w:pPr>
        <w:suppressLineNumbers/>
        <w:tabs>
          <w:tab w:val="left" w:pos="3357"/>
        </w:tabs>
        <w:ind w:left="2920"/>
        <w:rPr>
          <w:noProof w:val="0"/>
          <w:rtl/>
        </w:rPr>
      </w:pPr>
      <w:r w:rsidRPr="00CA137C">
        <w:rPr>
          <w:rFonts w:hint="cs"/>
          <w:noProof w:val="0"/>
          <w:rtl/>
        </w:rPr>
        <w:t>ע"י ב"כ עוה"ד אביאל פלינט וספיר זמיר</w:t>
      </w:r>
    </w:p>
    <w:p w14:paraId="3B40D935" w14:textId="4E2A18A3" w:rsidR="005718B4" w:rsidRDefault="005718B4" w:rsidP="00EB4E40">
      <w:pPr>
        <w:suppressLineNumbers/>
        <w:spacing w:before="240"/>
        <w:jc w:val="center"/>
        <w:rPr>
          <w:rFonts w:ascii="Arial" w:hAnsi="Arial"/>
          <w:b/>
          <w:bCs/>
          <w:noProof w:val="0"/>
          <w:sz w:val="26"/>
          <w:szCs w:val="26"/>
        </w:rPr>
      </w:pPr>
      <w:r>
        <w:rPr>
          <w:rFonts w:ascii="Arial" w:hAnsi="Arial"/>
          <w:b/>
          <w:bCs/>
          <w:noProof w:val="0"/>
          <w:sz w:val="26"/>
          <w:szCs w:val="26"/>
          <w:rtl/>
        </w:rPr>
        <w:t>נגד</w:t>
      </w:r>
    </w:p>
    <w:p w14:paraId="526FC674" w14:textId="405FA985" w:rsidR="005718B4" w:rsidRPr="00CC6F0E" w:rsidRDefault="00286B43" w:rsidP="00CC6F0E">
      <w:pPr>
        <w:suppressLineNumbers/>
        <w:spacing w:before="240"/>
        <w:ind w:left="108"/>
        <w:rPr>
          <w:rFonts w:ascii="Arial" w:hAnsi="Arial"/>
          <w:b/>
          <w:bCs/>
          <w:noProof w:val="0"/>
          <w:sz w:val="26"/>
          <w:szCs w:val="26"/>
        </w:rPr>
      </w:pPr>
      <w:sdt>
        <w:sdtPr>
          <w:rPr>
            <w:rFonts w:ascii="Arial" w:hAnsi="Arial"/>
            <w:b/>
            <w:bCs/>
            <w:noProof w:val="0"/>
            <w:sz w:val="26"/>
            <w:szCs w:val="26"/>
            <w:rtl/>
          </w:rPr>
          <w:alias w:val="1184"/>
          <w:tag w:val="1184"/>
          <w:id w:val="-340621022"/>
          <w:text w:multiLine="1"/>
        </w:sdtPr>
        <w:sdtEndPr/>
        <w:sdtContent>
          <w:r w:rsidR="00EB4E40" w:rsidRPr="00EB4E40">
            <w:rPr>
              <w:rFonts w:ascii="Arial" w:hAnsi="Arial" w:hint="cs"/>
              <w:b/>
              <w:bCs/>
              <w:noProof w:val="0"/>
              <w:sz w:val="26"/>
              <w:szCs w:val="26"/>
              <w:rtl/>
            </w:rPr>
            <w:t>ה</w:t>
          </w:r>
          <w:r w:rsidR="00EB4E40" w:rsidRPr="00EB4E40">
            <w:rPr>
              <w:rFonts w:ascii="Arial" w:hAnsi="Arial"/>
              <w:b/>
              <w:bCs/>
              <w:noProof w:val="0"/>
              <w:sz w:val="26"/>
              <w:szCs w:val="26"/>
              <w:rtl/>
            </w:rPr>
            <w:t>משיב</w:t>
          </w:r>
          <w:r w:rsidR="00EB4E40" w:rsidRPr="00EB4E40">
            <w:rPr>
              <w:rFonts w:ascii="Arial" w:hAnsi="Arial" w:hint="cs"/>
              <w:b/>
              <w:bCs/>
              <w:noProof w:val="0"/>
              <w:sz w:val="26"/>
              <w:szCs w:val="26"/>
              <w:rtl/>
            </w:rPr>
            <w:t>ה</w:t>
          </w:r>
          <w:r w:rsidR="00EB4E40">
            <w:rPr>
              <w:rFonts w:ascii="Arial" w:hAnsi="Arial"/>
              <w:b/>
              <w:bCs/>
              <w:noProof w:val="0"/>
              <w:sz w:val="26"/>
              <w:szCs w:val="26"/>
              <w:rtl/>
            </w:rPr>
            <w:tab/>
          </w:r>
          <w:r w:rsidR="00EB4E40">
            <w:rPr>
              <w:rFonts w:ascii="Arial" w:hAnsi="Arial"/>
              <w:b/>
              <w:bCs/>
              <w:noProof w:val="0"/>
              <w:sz w:val="26"/>
              <w:szCs w:val="26"/>
              <w:rtl/>
            </w:rPr>
            <w:tab/>
          </w:r>
          <w:r w:rsidR="00EB4E40">
            <w:rPr>
              <w:rFonts w:ascii="Arial" w:hAnsi="Arial"/>
              <w:b/>
              <w:bCs/>
              <w:noProof w:val="0"/>
              <w:sz w:val="26"/>
              <w:szCs w:val="26"/>
              <w:rtl/>
            </w:rPr>
            <w:tab/>
          </w:r>
          <w:r w:rsidR="00EB4E40" w:rsidRPr="00EB4E40">
            <w:rPr>
              <w:rFonts w:ascii="Arial" w:hAnsi="Arial"/>
              <w:b/>
              <w:bCs/>
              <w:noProof w:val="0"/>
              <w:sz w:val="26"/>
              <w:szCs w:val="26"/>
              <w:rtl/>
            </w:rPr>
            <w:t xml:space="preserve"> מגדלי בראשית דניאל - נדל"ן בע"מ</w:t>
          </w:r>
        </w:sdtContent>
      </w:sdt>
      <w:r w:rsidR="005718B4">
        <w:rPr>
          <w:b/>
          <w:bCs/>
          <w:rtl/>
        </w:rPr>
        <w:br/>
      </w:r>
      <w:r w:rsidR="005718B4">
        <w:rPr>
          <w:rFonts w:hint="cs"/>
          <w:b/>
          <w:bCs/>
          <w:rtl/>
        </w:rPr>
        <w:t>הנתבעת</w:t>
      </w:r>
      <w:r w:rsidR="005718B4">
        <w:rPr>
          <w:rFonts w:ascii="Arial" w:hAnsi="Arial"/>
          <w:b/>
          <w:bCs/>
          <w:noProof w:val="0"/>
          <w:sz w:val="26"/>
          <w:szCs w:val="26"/>
        </w:rPr>
        <w:tab/>
      </w:r>
      <w:r w:rsidR="003E5E0D">
        <w:rPr>
          <w:rFonts w:ascii="Arial" w:hAnsi="Arial"/>
          <w:noProof w:val="0"/>
          <w:rtl/>
        </w:rPr>
        <w:tab/>
      </w:r>
      <w:r w:rsidR="003E5E0D">
        <w:rPr>
          <w:rFonts w:ascii="Arial" w:hAnsi="Arial"/>
          <w:noProof w:val="0"/>
          <w:rtl/>
        </w:rPr>
        <w:tab/>
      </w:r>
      <w:r w:rsidR="003E5E0D">
        <w:rPr>
          <w:rFonts w:ascii="Arial" w:hAnsi="Arial" w:hint="cs"/>
          <w:noProof w:val="0"/>
          <w:rtl/>
        </w:rPr>
        <w:t xml:space="preserve"> </w:t>
      </w:r>
      <w:r w:rsidR="005718B4" w:rsidRPr="00CA137C">
        <w:rPr>
          <w:rFonts w:ascii="Arial" w:hAnsi="Arial" w:hint="cs"/>
          <w:noProof w:val="0"/>
          <w:rtl/>
        </w:rPr>
        <w:t>ע"י ב"כ עוה"ד שרון בן חיים וזוהר דביר</w:t>
      </w:r>
    </w:p>
    <w:p w14:paraId="2F0814AD" w14:textId="49885C89" w:rsidR="005718B4" w:rsidRPr="00D44968" w:rsidRDefault="005718B4" w:rsidP="00CC6F0E">
      <w:pPr>
        <w:spacing w:before="240"/>
        <w:jc w:val="center"/>
        <w:outlineLvl w:val="0"/>
        <w:rPr>
          <w:rFonts w:ascii="Arial" w:hAnsi="Arial"/>
          <w:b/>
          <w:bCs/>
          <w:noProof w:val="0"/>
          <w:sz w:val="28"/>
          <w:szCs w:val="28"/>
          <w:u w:val="single"/>
        </w:rPr>
      </w:pPr>
      <w:r w:rsidRPr="00D44968">
        <w:rPr>
          <w:rFonts w:ascii="Arial" w:hAnsi="Arial" w:hint="cs"/>
          <w:b/>
          <w:bCs/>
          <w:noProof w:val="0"/>
          <w:sz w:val="28"/>
          <w:szCs w:val="28"/>
          <w:u w:val="single"/>
          <w:rtl/>
        </w:rPr>
        <w:t>החלטה</w:t>
      </w:r>
    </w:p>
    <w:p w14:paraId="0EBA3E80" w14:textId="77777777" w:rsidR="004A6EC9" w:rsidRDefault="00286B43" w:rsidP="00CC6F0E">
      <w:pPr>
        <w:spacing w:before="360" w:line="360" w:lineRule="auto"/>
        <w:jc w:val="both"/>
        <w:rPr>
          <w:rtl/>
        </w:rPr>
      </w:pPr>
      <w:bookmarkStart w:id="1" w:name="NGCSBookmark"/>
      <w:bookmarkEnd w:id="1"/>
      <w:r>
        <w:rPr>
          <w:rtl/>
        </w:rPr>
        <w:t xml:space="preserve">לפני בקשת התובעים לתיקון כתב התביעה. </w:t>
      </w:r>
    </w:p>
    <w:p w14:paraId="19FC63EF" w14:textId="77777777" w:rsidR="004A6EC9" w:rsidRDefault="00286B43" w:rsidP="00CA137C">
      <w:pPr>
        <w:spacing w:before="354" w:line="360" w:lineRule="auto"/>
        <w:jc w:val="both"/>
        <w:rPr>
          <w:rtl/>
        </w:rPr>
      </w:pPr>
      <w:r>
        <w:rPr>
          <w:rtl/>
        </w:rPr>
        <w:t>המחלוקת בין הצדדים היא בעיקרה בשאלה אם יש להגביל</w:t>
      </w:r>
      <w:r>
        <w:rPr>
          <w:rtl/>
        </w:rPr>
        <w:t xml:space="preserve"> את הנתבעת כך שתוכל להגיש כתב הגנה מתוקן המתייחס לתיקונים שנעשו</w:t>
      </w:r>
      <w:r w:rsidR="00D0118D">
        <w:rPr>
          <w:rFonts w:hint="cs"/>
          <w:rtl/>
        </w:rPr>
        <w:t xml:space="preserve"> בכתב התביעה בלבד</w:t>
      </w:r>
      <w:r>
        <w:rPr>
          <w:rFonts w:hint="cs"/>
          <w:rtl/>
        </w:rPr>
        <w:t>, כטענת התובעים;</w:t>
      </w:r>
      <w:r>
        <w:rPr>
          <w:rtl/>
        </w:rPr>
        <w:t xml:space="preserve"> או שמא אין מקום להגבילה והיא רשאית להגיש כתב הגנה מתוקן ללא כל סייג ותנאי</w:t>
      </w:r>
      <w:r>
        <w:rPr>
          <w:rFonts w:hint="cs"/>
          <w:rtl/>
        </w:rPr>
        <w:t>, כטענת הנתבעת</w:t>
      </w:r>
      <w:r>
        <w:rPr>
          <w:rtl/>
        </w:rPr>
        <w:t>.</w:t>
      </w:r>
      <w:r w:rsidRPr="004A6EC9">
        <w:rPr>
          <w:rFonts w:hint="cs"/>
          <w:rtl/>
        </w:rPr>
        <w:t xml:space="preserve"> </w:t>
      </w:r>
    </w:p>
    <w:p w14:paraId="1C401B2C" w14:textId="77777777" w:rsidR="00986AC2" w:rsidRDefault="00286B43" w:rsidP="00CA137C">
      <w:pPr>
        <w:spacing w:before="354" w:line="360" w:lineRule="auto"/>
        <w:jc w:val="both"/>
        <w:rPr>
          <w:rtl/>
        </w:rPr>
        <w:sectPr w:rsidR="00986AC2" w:rsidSect="00986AC2">
          <w:footerReference w:type="default" r:id="rId12"/>
          <w:pgSz w:w="11907" w:h="16840" w:code="9"/>
          <w:pgMar w:top="426" w:right="1800" w:bottom="1440" w:left="1800" w:header="720" w:footer="510" w:gutter="0"/>
          <w:cols w:space="720"/>
          <w:rtlGutter/>
          <w:docGrid w:linePitch="360"/>
        </w:sectPr>
      </w:pPr>
      <w:r>
        <w:rPr>
          <w:rFonts w:hint="cs"/>
          <w:rtl/>
        </w:rPr>
        <w:t>עניינה של ההחלטה הוא</w:t>
      </w:r>
      <w:r>
        <w:rPr>
          <w:rFonts w:hint="cs"/>
          <w:rtl/>
        </w:rPr>
        <w:t>, אפוא בהפעלת שיקול דעת בית המשפט לפי תקנה 47(</w:t>
      </w:r>
      <w:r w:rsidR="00D0118D">
        <w:rPr>
          <w:rFonts w:hint="cs"/>
          <w:rtl/>
        </w:rPr>
        <w:t>א</w:t>
      </w:r>
      <w:r>
        <w:rPr>
          <w:rFonts w:hint="cs"/>
          <w:rtl/>
        </w:rPr>
        <w:t xml:space="preserve">) לתקנות סדר הדין האזרחי, תשע"ט -2018 </w:t>
      </w:r>
      <w:r w:rsidR="0080569C">
        <w:rPr>
          <w:rFonts w:hint="cs"/>
          <w:rtl/>
        </w:rPr>
        <w:t>(</w:t>
      </w:r>
      <w:r w:rsidR="0080569C" w:rsidRPr="0080569C">
        <w:rPr>
          <w:rFonts w:hint="cs"/>
          <w:b/>
          <w:bCs/>
          <w:rtl/>
        </w:rPr>
        <w:t>התקנות</w:t>
      </w:r>
      <w:r w:rsidR="0080569C">
        <w:rPr>
          <w:rFonts w:hint="cs"/>
          <w:rtl/>
        </w:rPr>
        <w:t>)</w:t>
      </w:r>
      <w:r w:rsidR="00CA137C">
        <w:rPr>
          <w:rFonts w:hint="cs"/>
          <w:rtl/>
        </w:rPr>
        <w:t>,</w:t>
      </w:r>
      <w:r w:rsidR="0080569C">
        <w:rPr>
          <w:rFonts w:hint="cs"/>
        </w:rPr>
        <w:t xml:space="preserve"> </w:t>
      </w:r>
      <w:r>
        <w:rPr>
          <w:rFonts w:hint="cs"/>
          <w:rtl/>
        </w:rPr>
        <w:t xml:space="preserve">אם להתיר הגשת כתב </w:t>
      </w:r>
      <w:r w:rsidR="0080569C">
        <w:rPr>
          <w:rFonts w:hint="cs"/>
          <w:rtl/>
        </w:rPr>
        <w:t xml:space="preserve">הגנה </w:t>
      </w:r>
      <w:r>
        <w:rPr>
          <w:rFonts w:hint="cs"/>
          <w:rtl/>
        </w:rPr>
        <w:t>מתוקן ובאילו תנאים.</w:t>
      </w:r>
    </w:p>
    <w:p w14:paraId="48716C11" w14:textId="77777777" w:rsidR="004A6EC9" w:rsidRDefault="00286B43" w:rsidP="00320AAA">
      <w:pPr>
        <w:spacing w:before="414" w:line="276" w:lineRule="auto"/>
        <w:outlineLvl w:val="1"/>
        <w:rPr>
          <w:b/>
          <w:bCs/>
          <w:u w:val="single"/>
          <w:rtl/>
        </w:rPr>
      </w:pPr>
      <w:r>
        <w:rPr>
          <w:rFonts w:hint="cs"/>
          <w:b/>
          <w:bCs/>
          <w:u w:val="single"/>
          <w:rtl/>
        </w:rPr>
        <w:t>רקע כללי</w:t>
      </w:r>
    </w:p>
    <w:p w14:paraId="424BA889" w14:textId="77777777" w:rsidR="004A6EC9" w:rsidRDefault="00286B43" w:rsidP="0080569C">
      <w:pPr>
        <w:pStyle w:val="ae"/>
        <w:numPr>
          <w:ilvl w:val="0"/>
          <w:numId w:val="1"/>
        </w:numPr>
        <w:spacing w:before="272" w:after="0"/>
        <w:ind w:left="509" w:right="0" w:hanging="567"/>
        <w:contextualSpacing w:val="0"/>
        <w:rPr>
          <w:rtl/>
        </w:rPr>
      </w:pPr>
      <w:r>
        <w:rPr>
          <w:rtl/>
        </w:rPr>
        <w:t xml:space="preserve">התובעים חתמו על חוזים לרכישת שתי יחידות דיור מהנתבעת בבניין מגורים בשכונת בבלי בתל אביב. לטענתם, הנתבעת </w:t>
      </w:r>
      <w:r>
        <w:rPr>
          <w:rtl/>
        </w:rPr>
        <w:t>התנערה ממצגים והתחייבויות מפורשות שהציגה ל</w:t>
      </w:r>
      <w:r w:rsidR="0080569C">
        <w:rPr>
          <w:rFonts w:hint="cs"/>
          <w:rtl/>
        </w:rPr>
        <w:t>הם</w:t>
      </w:r>
      <w:r>
        <w:rPr>
          <w:rtl/>
        </w:rPr>
        <w:t xml:space="preserve"> והפרה פעם אחר פעם את החוז</w:t>
      </w:r>
      <w:r w:rsidR="0080569C">
        <w:rPr>
          <w:rFonts w:hint="cs"/>
          <w:rtl/>
        </w:rPr>
        <w:t>ים</w:t>
      </w:r>
      <w:r>
        <w:rPr>
          <w:rtl/>
        </w:rPr>
        <w:t xml:space="preserve"> עימם. בתביעה, שהוגשה ביום 12.2.2024, לאחר שהליך גישור שהתקיים בין הצדדים לא צלח, נטען, בין השאר, כי הנתבעת לא קיימה את התחייבותה לשאת בעלות אדריכלית ומעצבת; הפרה בהפרה צפויה את התחייב</w:t>
      </w:r>
      <w:r>
        <w:rPr>
          <w:rtl/>
        </w:rPr>
        <w:t>ות</w:t>
      </w:r>
      <w:r w:rsidR="0080569C">
        <w:rPr>
          <w:rFonts w:hint="cs"/>
          <w:rtl/>
        </w:rPr>
        <w:t>ה</w:t>
      </w:r>
      <w:r>
        <w:rPr>
          <w:rtl/>
        </w:rPr>
        <w:t xml:space="preserve"> למועד המסירה של הדירות </w:t>
      </w:r>
      <w:r w:rsidR="0080569C">
        <w:rPr>
          <w:rFonts w:hint="cs"/>
          <w:rtl/>
        </w:rPr>
        <w:t xml:space="preserve">וקמה להם </w:t>
      </w:r>
      <w:r>
        <w:rPr>
          <w:rtl/>
        </w:rPr>
        <w:t xml:space="preserve">זכות ביטול בגין עיכוב מעבר ל- 12 חודשים; חוסר תום לב והסתרת מידע בעניין השריפה שפרצה בבניין ואי תשלום סכומים לפי חוק בגין עיכוב במסירת הדירות וכיוצא באלה טענות. התובעים טוענים כי </w:t>
      </w:r>
      <w:r w:rsidR="0080569C">
        <w:rPr>
          <w:rFonts w:hint="cs"/>
          <w:rtl/>
        </w:rPr>
        <w:t xml:space="preserve">בנסיבות אלה </w:t>
      </w:r>
      <w:r>
        <w:rPr>
          <w:rtl/>
        </w:rPr>
        <w:t>החוזים בוטלו על ידם כדין.</w:t>
      </w:r>
    </w:p>
    <w:p w14:paraId="6B8D70E0" w14:textId="77777777" w:rsidR="004A6EC9" w:rsidRDefault="00286B43" w:rsidP="004A6EC9">
      <w:pPr>
        <w:pStyle w:val="ae"/>
        <w:numPr>
          <w:ilvl w:val="0"/>
          <w:numId w:val="1"/>
        </w:numPr>
        <w:spacing w:before="276" w:after="0"/>
        <w:ind w:left="509" w:right="0" w:hanging="567"/>
        <w:contextualSpacing w:val="0"/>
      </w:pPr>
      <w:r>
        <w:rPr>
          <w:rtl/>
        </w:rPr>
        <w:t>בתב</w:t>
      </w:r>
      <w:r>
        <w:rPr>
          <w:rtl/>
        </w:rPr>
        <w:t xml:space="preserve">יעה נתבע סעד של ביטול חוזה והשבה של סכום הרכישה בסך של 27,408,236 ₪ (ובתוספת ריבית והפרשי הצמדה - סך של 29,799,040 ₪). בנוסף נטען כי התובעים זכאים לפיצוי בסכום נוסף כולל של 13,813,916 ₪ בגין ראשי הנזק הבאים: פיצוי ללא הוכחת נזק </w:t>
      </w:r>
      <w:r>
        <w:rPr>
          <w:rtl/>
        </w:rPr>
        <w:lastRenderedPageBreak/>
        <w:t>לפי סעיף 11 לחוק החוזים "</w:t>
      </w:r>
      <w:r>
        <w:rPr>
          <w:b/>
          <w:bCs/>
          <w:rtl/>
        </w:rPr>
        <w:t>בסכ</w:t>
      </w:r>
      <w:r>
        <w:rPr>
          <w:b/>
          <w:bCs/>
          <w:rtl/>
        </w:rPr>
        <w:t>ום ההפרש שבין התמורה בעד הנכס או הישרות לפי החוזה ובין שווים ביום ביטול החוזה</w:t>
      </w:r>
      <w:r>
        <w:rPr>
          <w:rtl/>
        </w:rPr>
        <w:t xml:space="preserve">" (ולחלופין כנזק בפועל); הוצאות נוספות שנגרמו להם כתוצאה מההפרה הנטענת של חוזה המכר הסכמי המכר (מעצבת ואדריכלית, שירותי עו"ד וציוד שנרכש ולא ניתן לבטל את הרכישה); דמי שכירות בגין </w:t>
      </w:r>
      <w:r>
        <w:rPr>
          <w:rtl/>
        </w:rPr>
        <w:t xml:space="preserve">עיכוב במסירה (כולל גם דמי שיכרות עתידיים שידרשו לשלם להערכתם עד למועד ההכרעה בתביעה); ופיצוי בגין עוגמת נפש. </w:t>
      </w:r>
      <w:r w:rsidRPr="0080569C">
        <w:rPr>
          <w:u w:val="single"/>
          <w:rtl/>
        </w:rPr>
        <w:t>לחלופין</w:t>
      </w:r>
      <w:r>
        <w:rPr>
          <w:rtl/>
        </w:rPr>
        <w:t xml:space="preserve"> – בהעדר זכות ביטול, נדרשו סעדים כספיים שונים.</w:t>
      </w:r>
    </w:p>
    <w:p w14:paraId="2C302ACD" w14:textId="77777777" w:rsidR="004A6EC9" w:rsidRDefault="00286B43" w:rsidP="004A6EC9">
      <w:pPr>
        <w:pStyle w:val="ae"/>
        <w:numPr>
          <w:ilvl w:val="0"/>
          <w:numId w:val="1"/>
        </w:numPr>
        <w:spacing w:before="276" w:after="0"/>
        <w:ind w:left="509" w:right="0" w:hanging="567"/>
        <w:contextualSpacing w:val="0"/>
        <w:rPr>
          <w:rtl/>
        </w:rPr>
      </w:pPr>
      <w:r>
        <w:rPr>
          <w:rtl/>
        </w:rPr>
        <w:t>כתב הגנה בתיק זה הוגש ביום 30.7.2024 ובמסגרתו נטען, בין השאר, כי דין התביעה להימחק או להידחות</w:t>
      </w:r>
      <w:r>
        <w:rPr>
          <w:rtl/>
        </w:rPr>
        <w:t xml:space="preserve"> על הסף, וכי התובעים מנסים לבטל את חוזה המכר שלא כדין.</w:t>
      </w:r>
    </w:p>
    <w:p w14:paraId="4EE6C3D4" w14:textId="77777777" w:rsidR="004A6EC9" w:rsidRDefault="00286B43" w:rsidP="0080569C">
      <w:pPr>
        <w:pStyle w:val="ae"/>
        <w:numPr>
          <w:ilvl w:val="0"/>
          <w:numId w:val="1"/>
        </w:numPr>
        <w:spacing w:before="276" w:after="0"/>
        <w:ind w:left="509" w:right="0" w:hanging="567"/>
        <w:contextualSpacing w:val="0"/>
        <w:rPr>
          <w:rtl/>
        </w:rPr>
      </w:pPr>
      <w:r>
        <w:rPr>
          <w:rtl/>
        </w:rPr>
        <w:t>ביום 16.12.2024 התקיימה ישיבת קדם משפט</w:t>
      </w:r>
      <w:r w:rsidR="0080569C">
        <w:rPr>
          <w:rFonts w:hint="cs"/>
          <w:rtl/>
        </w:rPr>
        <w:t xml:space="preserve">, שבמסגרתה </w:t>
      </w:r>
      <w:r>
        <w:rPr>
          <w:rtl/>
        </w:rPr>
        <w:t xml:space="preserve">הצעתי לצדדים להגיע להסכמות, מבלי </w:t>
      </w:r>
      <w:r w:rsidR="0080569C">
        <w:rPr>
          <w:rFonts w:hint="cs"/>
          <w:rtl/>
        </w:rPr>
        <w:t>ל</w:t>
      </w:r>
      <w:r>
        <w:rPr>
          <w:rtl/>
        </w:rPr>
        <w:t xml:space="preserve">הודות בטענות, </w:t>
      </w:r>
      <w:r w:rsidR="0080569C">
        <w:rPr>
          <w:rFonts w:hint="cs"/>
          <w:rtl/>
        </w:rPr>
        <w:t xml:space="preserve">שימנעו מצב שבו יעמדו </w:t>
      </w:r>
      <w:r>
        <w:rPr>
          <w:rtl/>
        </w:rPr>
        <w:t xml:space="preserve">הדירות כאבן שאין לה הופכין וייווצרו נזקים נוספים במהלך ניהול ההליך. ביום 19.3.2025 </w:t>
      </w:r>
      <w:r>
        <w:rPr>
          <w:rtl/>
        </w:rPr>
        <w:t xml:space="preserve">הגישו הצדדים </w:t>
      </w:r>
      <w:r>
        <w:rPr>
          <w:b/>
          <w:bCs/>
          <w:rtl/>
        </w:rPr>
        <w:t>הודעה משותפת</w:t>
      </w:r>
      <w:r>
        <w:rPr>
          <w:rtl/>
        </w:rPr>
        <w:t xml:space="preserve"> שבה צוין כי במסגרת התביעה, הודיעו התובעים על ביטול חוזי המכר, בעוד שהנתבעת בכתב ההגנה, הודיעה כי אינה מכירה בתוקפה של הודעת הביטול. עוד נכתב כי "</w:t>
      </w:r>
      <w:r>
        <w:rPr>
          <w:b/>
          <w:bCs/>
          <w:rtl/>
        </w:rPr>
        <w:t>בעוד שהנתבעת מודיעה כי בכוונתה להזמין את התובעים, בימים הקרובים, למעמד מסירה של הדירו</w:t>
      </w:r>
      <w:r>
        <w:rPr>
          <w:b/>
          <w:bCs/>
          <w:rtl/>
        </w:rPr>
        <w:t>ת ... שכן לגישתה הסכמי המכר תקפים ומחייבים כמפורט בכתב ההגנה; התובעים מודיעים כי אין בכוונתם להגיע למעמד המסירה ולקבל את דירות המריבה, שכן לגישתם הסכמי המכר בוטלו כדין כמפורט בכתב התביעה...</w:t>
      </w:r>
      <w:r>
        <w:rPr>
          <w:rtl/>
        </w:rPr>
        <w:t>". על כן, "</w:t>
      </w:r>
      <w:r>
        <w:rPr>
          <w:b/>
          <w:bCs/>
          <w:rtl/>
        </w:rPr>
        <w:t>בנסיבות אלה... הצדדים מסכימים כי אין טעם להמתין למועד המ</w:t>
      </w:r>
      <w:r>
        <w:rPr>
          <w:b/>
          <w:bCs/>
          <w:rtl/>
        </w:rPr>
        <w:t>סירה ... ומוסכם לראות את התובעים כמי שסירבו או יסרבו לקבל את דירות המריבה. בהתאם, הנתבעת מודיעה כי היא מבטלת את הסכמי המכר מחמת הפרתם היסודית על ידי התובעים. לאור ביטול הסכמי המכר, בכוונת הנתבעת לבצע השבה כדין בתוך 30 יום כנגד השבת דירות המריבה לנתבעת. בעו</w:t>
      </w:r>
      <w:r>
        <w:rPr>
          <w:b/>
          <w:bCs/>
          <w:rtl/>
        </w:rPr>
        <w:t>ד שהנתבעת דורשת את השבתן של ערבויות חוק מכר, לגישת התובעים יש להקטין את סכום הערבויות בעקבות סכום ההשבה</w:t>
      </w:r>
      <w:r>
        <w:rPr>
          <w:rtl/>
        </w:rPr>
        <w:t>". עוד צוין שם כי לאחר ביצוע ההשבה, ובהתאם לסכום ההשבה בפועל, בכוונת התובעים לבקש לתקן את סכום התביעה</w:t>
      </w:r>
      <w:r w:rsidR="0080569C">
        <w:rPr>
          <w:rFonts w:hint="cs"/>
          <w:rtl/>
        </w:rPr>
        <w:t xml:space="preserve"> (</w:t>
      </w:r>
      <w:r w:rsidR="0080569C" w:rsidRPr="0080569C">
        <w:rPr>
          <w:rFonts w:hint="cs"/>
          <w:b/>
          <w:bCs/>
          <w:rtl/>
        </w:rPr>
        <w:t xml:space="preserve">ההודעה </w:t>
      </w:r>
      <w:r w:rsidR="0080569C">
        <w:rPr>
          <w:rFonts w:hint="cs"/>
          <w:b/>
          <w:bCs/>
          <w:rtl/>
        </w:rPr>
        <w:t>ה</w:t>
      </w:r>
      <w:r w:rsidR="0080569C" w:rsidRPr="0080569C">
        <w:rPr>
          <w:rFonts w:hint="cs"/>
          <w:b/>
          <w:bCs/>
          <w:rtl/>
        </w:rPr>
        <w:t>משותפות</w:t>
      </w:r>
      <w:r w:rsidR="0080569C">
        <w:rPr>
          <w:rFonts w:hint="cs"/>
          <w:rtl/>
        </w:rPr>
        <w:t>)</w:t>
      </w:r>
      <w:r>
        <w:rPr>
          <w:rtl/>
        </w:rPr>
        <w:t xml:space="preserve">. </w:t>
      </w:r>
    </w:p>
    <w:p w14:paraId="05F36F31" w14:textId="77777777" w:rsidR="004A6EC9" w:rsidRDefault="00286B43" w:rsidP="00C97777">
      <w:pPr>
        <w:pStyle w:val="ae"/>
        <w:numPr>
          <w:ilvl w:val="0"/>
          <w:numId w:val="1"/>
        </w:numPr>
        <w:spacing w:before="276" w:after="0"/>
        <w:ind w:left="509" w:right="0" w:hanging="567"/>
        <w:contextualSpacing w:val="0"/>
      </w:pPr>
      <w:r>
        <w:rPr>
          <w:rtl/>
        </w:rPr>
        <w:t xml:space="preserve">בהחלטה מיום 20.3.2025 ציינתי </w:t>
      </w:r>
      <w:r w:rsidR="0080569C">
        <w:rPr>
          <w:rFonts w:hint="cs"/>
          <w:rtl/>
        </w:rPr>
        <w:t xml:space="preserve">בין היתר ובזיקה להודעה המשותפת, </w:t>
      </w:r>
      <w:r>
        <w:rPr>
          <w:rtl/>
        </w:rPr>
        <w:t>כי נראה שדרוש תיקון כתב התביעה לא רק בקשר לסכומה וכי טרם התגבשה תמונת המצב ביחס להשבה. משכך הצעתי לתובעים לשקול את מחיקת התביעה והגשתה מחדש לכשיתגבשו מלוא הנתונים בהתאם למצב החדש. חזרתי על הדברים גם בהחלטה מיום 23.3.2025 תוך ש</w:t>
      </w:r>
      <w:r>
        <w:rPr>
          <w:rtl/>
        </w:rPr>
        <w:t xml:space="preserve">הבהרתי (לנוכח טענת התובע כי הגשת התביעה מחדש תעכב את ניהול ההליך), כי קיימת אפשרות סבירה שדווקא הליכה בנתיב של תיקון כתב התביעה </w:t>
      </w:r>
      <w:r w:rsidR="00C97777">
        <w:rPr>
          <w:rFonts w:hint="cs"/>
          <w:rtl/>
        </w:rPr>
        <w:t>ת</w:t>
      </w:r>
      <w:r>
        <w:rPr>
          <w:rtl/>
        </w:rPr>
        <w:t xml:space="preserve">וביל להתארכות ההליך וסרבולו בשים לב לצורך בבקשה לתיקון כתב תביעה וההשלכות האפשריות של התיקון. הכל תוך שהובהר כי </w:t>
      </w:r>
      <w:r>
        <w:rPr>
          <w:rtl/>
        </w:rPr>
        <w:lastRenderedPageBreak/>
        <w:t xml:space="preserve">אין באמור משום </w:t>
      </w:r>
      <w:r>
        <w:rPr>
          <w:rtl/>
        </w:rPr>
        <w:t xml:space="preserve">קביעת עמדה לגבי הבקשה </w:t>
      </w:r>
      <w:r w:rsidR="00C97777">
        <w:rPr>
          <w:rFonts w:hint="cs"/>
          <w:rtl/>
        </w:rPr>
        <w:t xml:space="preserve">לתיקון כתב תביעה </w:t>
      </w:r>
      <w:r>
        <w:rPr>
          <w:rtl/>
        </w:rPr>
        <w:t>שטרם הוגשה או כדי לגרוע מסמכויות בית המשפט ושיקול דעתו בניהול ההליך. הובהר שם גם, כי יש לבצע החלטות קודמות</w:t>
      </w:r>
      <w:r w:rsidR="00C97777">
        <w:rPr>
          <w:rFonts w:hint="cs"/>
          <w:rtl/>
        </w:rPr>
        <w:t>,</w:t>
      </w:r>
      <w:r>
        <w:rPr>
          <w:rtl/>
        </w:rPr>
        <w:t xml:space="preserve"> לרבות ההחלטה מיום 13.2.2025 בעניין גילוי מסמכים ושאלונים (המועד הוארך לפי בקשת הצדדים בהחלטה מיום 16.3.2025).</w:t>
      </w:r>
      <w:r>
        <w:rPr>
          <w:rtl/>
        </w:rPr>
        <w:t xml:space="preserve"> עוד קבעתי מועד להגשת בקשה לתיקון כתב התביעה, אם לא יגיעו הצדדים להסכמות ברוח המוצע.  </w:t>
      </w:r>
    </w:p>
    <w:p w14:paraId="66FD4FBD" w14:textId="77777777" w:rsidR="004A6EC9" w:rsidRDefault="00286B43" w:rsidP="00CA137C">
      <w:pPr>
        <w:pStyle w:val="ae"/>
        <w:numPr>
          <w:ilvl w:val="0"/>
          <w:numId w:val="1"/>
        </w:numPr>
        <w:spacing w:before="405" w:after="0"/>
        <w:ind w:left="509" w:right="0" w:hanging="567"/>
        <w:contextualSpacing w:val="0"/>
        <w:rPr>
          <w:rtl/>
        </w:rPr>
      </w:pPr>
      <w:r>
        <w:rPr>
          <w:rtl/>
        </w:rPr>
        <w:t xml:space="preserve">כבר בפתח הדברים אעיר כי הסכמת הצדדים ביחס לביטול </w:t>
      </w:r>
      <w:r w:rsidR="00C97777">
        <w:rPr>
          <w:rFonts w:hint="cs"/>
          <w:rtl/>
        </w:rPr>
        <w:t xml:space="preserve">החוזים ומניעת היווצרות </w:t>
      </w:r>
      <w:r>
        <w:rPr>
          <w:rtl/>
        </w:rPr>
        <w:t xml:space="preserve">נזקים נוספים בתקופת ניהול ההליך, </w:t>
      </w:r>
      <w:r w:rsidR="00CA137C">
        <w:rPr>
          <w:rFonts w:hint="cs"/>
          <w:rtl/>
        </w:rPr>
        <w:t>נחוצה וטובה היא ו</w:t>
      </w:r>
      <w:r>
        <w:rPr>
          <w:rtl/>
        </w:rPr>
        <w:t>כבודה במקומה מונח; אך לא היה בה כדי לבשר על המש</w:t>
      </w:r>
      <w:r>
        <w:rPr>
          <w:rtl/>
        </w:rPr>
        <w:t xml:space="preserve">ך ניהול ענייני של ההליך. ההפך הוא הנכון. נושא ההשבה שיצר מחלוקת חדשה, "נוצל" על ידי הצדדים הצדדים שהרבו בהגשת הודעות ותגובות ולא החמיצו אף הזדמנות להטיח האשמות זה בזה (וראו </w:t>
      </w:r>
      <w:r w:rsidR="00C97777">
        <w:rPr>
          <w:rFonts w:hint="cs"/>
          <w:rtl/>
        </w:rPr>
        <w:t xml:space="preserve">למשל ההחלטה מיום 7.7.2025 </w:t>
      </w:r>
      <w:r>
        <w:rPr>
          <w:rtl/>
        </w:rPr>
        <w:t>המדברת בעד עצמ</w:t>
      </w:r>
      <w:r w:rsidR="00C97777">
        <w:rPr>
          <w:rFonts w:hint="cs"/>
          <w:rtl/>
        </w:rPr>
        <w:t>ה</w:t>
      </w:r>
      <w:r>
        <w:rPr>
          <w:rtl/>
        </w:rPr>
        <w:t>). יש לקוות כי בית המשפט לא יידרש עוד להחל</w:t>
      </w:r>
      <w:r>
        <w:rPr>
          <w:rtl/>
        </w:rPr>
        <w:t xml:space="preserve">טות מסוג זה והצדדים יתנהלו </w:t>
      </w:r>
      <w:r w:rsidR="00C97777">
        <w:rPr>
          <w:rFonts w:hint="cs"/>
          <w:rtl/>
        </w:rPr>
        <w:t>כנדרש ו</w:t>
      </w:r>
      <w:r>
        <w:rPr>
          <w:rtl/>
        </w:rPr>
        <w:t xml:space="preserve">כמצופה. </w:t>
      </w:r>
    </w:p>
    <w:p w14:paraId="1EE8F48E" w14:textId="77777777" w:rsidR="004A6EC9" w:rsidRDefault="00286B43" w:rsidP="00DE4996">
      <w:pPr>
        <w:spacing w:before="414" w:line="276" w:lineRule="auto"/>
        <w:ind w:left="-57"/>
        <w:outlineLvl w:val="1"/>
        <w:rPr>
          <w:b/>
          <w:bCs/>
          <w:u w:val="single"/>
        </w:rPr>
      </w:pPr>
      <w:r>
        <w:rPr>
          <w:b/>
          <w:bCs/>
          <w:u w:val="single"/>
          <w:rtl/>
        </w:rPr>
        <w:t>הבקשה לתיקון כתב תביעה וטענות הצדדים</w:t>
      </w:r>
    </w:p>
    <w:p w14:paraId="69FABED4" w14:textId="77777777" w:rsidR="004A6EC9" w:rsidRDefault="00286B43" w:rsidP="008074FA">
      <w:pPr>
        <w:pStyle w:val="ae"/>
        <w:numPr>
          <w:ilvl w:val="0"/>
          <w:numId w:val="1"/>
        </w:numPr>
        <w:spacing w:before="310" w:after="0"/>
        <w:ind w:left="509" w:right="0" w:hanging="567"/>
        <w:contextualSpacing w:val="0"/>
        <w:rPr>
          <w:rtl/>
        </w:rPr>
      </w:pPr>
      <w:r>
        <w:rPr>
          <w:rtl/>
        </w:rPr>
        <w:t xml:space="preserve">הבקשה לתיקון כתב התביעה בתיק זה הוגשה ביום 14.5.2025 (כשנה ושלושה חודשים לאחר שנפתח ההליך). זאת, תוך שהתובעים טוענים כי נכון למועד הגשת הבקשה הנתבעת לא החזירה לתובעים כספים </w:t>
      </w:r>
      <w:r>
        <w:rPr>
          <w:rtl/>
        </w:rPr>
        <w:t>כלשהם, מבקשת לבצע קיזוזים</w:t>
      </w:r>
      <w:r w:rsidR="008074FA">
        <w:rPr>
          <w:rFonts w:hint="cs"/>
          <w:rtl/>
        </w:rPr>
        <w:t xml:space="preserve"> שאין בהם ממש לפי הטענה</w:t>
      </w:r>
      <w:r>
        <w:rPr>
          <w:rtl/>
        </w:rPr>
        <w:t>, ומתנה את השבת הכספים בדריש</w:t>
      </w:r>
      <w:r w:rsidR="00C97777">
        <w:rPr>
          <w:rFonts w:hint="cs"/>
          <w:rtl/>
        </w:rPr>
        <w:t>ה</w:t>
      </w:r>
      <w:r>
        <w:rPr>
          <w:rtl/>
        </w:rPr>
        <w:t xml:space="preserve"> חסרת בסיס </w:t>
      </w:r>
      <w:r w:rsidR="00C97777">
        <w:rPr>
          <w:rFonts w:hint="cs"/>
          <w:rtl/>
        </w:rPr>
        <w:t>ל</w:t>
      </w:r>
      <w:r w:rsidR="008074FA">
        <w:rPr>
          <w:rFonts w:hint="cs"/>
          <w:rtl/>
        </w:rPr>
        <w:t xml:space="preserve">דידם של </w:t>
      </w:r>
      <w:r w:rsidR="00C97777">
        <w:rPr>
          <w:rFonts w:hint="cs"/>
          <w:rtl/>
        </w:rPr>
        <w:t xml:space="preserve">התובעים, </w:t>
      </w:r>
      <w:r>
        <w:rPr>
          <w:rtl/>
        </w:rPr>
        <w:t xml:space="preserve">של שחרור מלוא הערבויות. </w:t>
      </w:r>
    </w:p>
    <w:p w14:paraId="5377C3A6" w14:textId="77777777" w:rsidR="004A6EC9" w:rsidRDefault="00286B43" w:rsidP="00C97777">
      <w:pPr>
        <w:pStyle w:val="ae"/>
        <w:numPr>
          <w:ilvl w:val="0"/>
          <w:numId w:val="1"/>
        </w:numPr>
        <w:spacing w:before="276" w:after="0"/>
        <w:ind w:left="509" w:right="0" w:hanging="567"/>
        <w:contextualSpacing w:val="0"/>
      </w:pPr>
      <w:r>
        <w:rPr>
          <w:rtl/>
        </w:rPr>
        <w:t>נוסח כתב התביעה המתוקן כולל התייחסות ל</w:t>
      </w:r>
      <w:r w:rsidR="00C97777">
        <w:rPr>
          <w:rFonts w:hint="cs"/>
          <w:rtl/>
        </w:rPr>
        <w:t>ע</w:t>
      </w:r>
      <w:r>
        <w:rPr>
          <w:rtl/>
        </w:rPr>
        <w:t xml:space="preserve">ובדות שאירעו לאחר הגשת התביעה. נמחק רז אורנשטיין מנוסח כתב התביעה המתוקן </w:t>
      </w:r>
      <w:r w:rsidR="00C97777">
        <w:rPr>
          <w:rFonts w:hint="cs"/>
          <w:rtl/>
        </w:rPr>
        <w:t xml:space="preserve">(שכן לפי החלטת בית המשפט, </w:t>
      </w:r>
      <w:r>
        <w:rPr>
          <w:rtl/>
        </w:rPr>
        <w:t xml:space="preserve">עניינו </w:t>
      </w:r>
      <w:r w:rsidR="00C97777">
        <w:rPr>
          <w:rFonts w:hint="cs"/>
          <w:rtl/>
        </w:rPr>
        <w:t>הופרד מכתב התביעה ו</w:t>
      </w:r>
      <w:r>
        <w:rPr>
          <w:rtl/>
        </w:rPr>
        <w:t xml:space="preserve">מתנהל </w:t>
      </w:r>
      <w:r w:rsidR="00C97777">
        <w:rPr>
          <w:rFonts w:hint="cs"/>
          <w:rtl/>
        </w:rPr>
        <w:t>ב</w:t>
      </w:r>
      <w:r>
        <w:rPr>
          <w:rtl/>
        </w:rPr>
        <w:t xml:space="preserve">הליך נפרד </w:t>
      </w:r>
      <w:r w:rsidR="00C97777">
        <w:rPr>
          <w:rFonts w:hint="cs"/>
          <w:rtl/>
        </w:rPr>
        <w:t xml:space="preserve">במסגרת </w:t>
      </w:r>
      <w:r>
        <w:rPr>
          <w:rtl/>
        </w:rPr>
        <w:t>ת"א 3774-07-24 אורנשטיין נ' מגדלי בראשית דניאל נדל"ן בע"מ). הוספה הטענה כי ביטול החוזה והחובה לבצע השבה אינם שנויים במחלוקת, היות והנתבעת הודיעה כי אינה מתנגדת לביטול החוזה. כמו כן, הוספו טענות</w:t>
      </w:r>
      <w:r>
        <w:rPr>
          <w:rtl/>
        </w:rPr>
        <w:t xml:space="preserve"> כגון: שהנתבעת מעלה טענות חסרות בסיס כי היא מחויבת להשיב אך חלק מסכום הרכישה וטוענת טענות קיזוז שלטענת התובעים הן בהן ממש; הנתבעת מתנה את השבת הכספים בדרישות חסרות בסיס של שחרור מלוא הערבויות; נטען שהבניין לא הושלם גם נכון למועד הגשת הבקשה; נטען כי התחייבו</w:t>
      </w:r>
      <w:r>
        <w:rPr>
          <w:rtl/>
        </w:rPr>
        <w:t>ת הנתבעת לבצע השבה כפי שעלתה מההודעה המשותפת שהוגשה לא קוימה על ידי הנתבעת ועוד טענות שאין צורך לפרט את כולן. התובעים ביקשו להגביל את היקף תיקון כתב ההגנה, אך ורק לעובדות והטענות המופיעות בתיקונים המבוקשים בכתב התביעה המתוקן</w:t>
      </w:r>
      <w:r w:rsidR="008074FA">
        <w:rPr>
          <w:rFonts w:hint="cs"/>
          <w:rtl/>
        </w:rPr>
        <w:t>; וזאת כדי למנוע הנתבעת לנצל את ההזדמנות להעלות טענות הגנה חדשות שלא בה זכרן במחלוקת המקורית בין הצדדים</w:t>
      </w:r>
      <w:r>
        <w:rPr>
          <w:rtl/>
        </w:rPr>
        <w:t>.</w:t>
      </w:r>
    </w:p>
    <w:p w14:paraId="3499A214" w14:textId="77777777" w:rsidR="004A6EC9" w:rsidRDefault="00286B43" w:rsidP="008074FA">
      <w:pPr>
        <w:pStyle w:val="ae"/>
        <w:numPr>
          <w:ilvl w:val="0"/>
          <w:numId w:val="1"/>
        </w:numPr>
        <w:spacing w:before="276" w:after="0"/>
        <w:ind w:left="509" w:right="0" w:hanging="567"/>
        <w:contextualSpacing w:val="0"/>
      </w:pPr>
      <w:r>
        <w:rPr>
          <w:rtl/>
        </w:rPr>
        <w:lastRenderedPageBreak/>
        <w:t>בתשובת הנתבעת לבקשה לתיקון כתב התביעה היא</w:t>
      </w:r>
      <w:r w:rsidRPr="008074FA">
        <w:rPr>
          <w:rtl/>
        </w:rPr>
        <w:t xml:space="preserve"> אינה</w:t>
      </w:r>
      <w:r>
        <w:rPr>
          <w:rtl/>
        </w:rPr>
        <w:t xml:space="preserve"> מתנגדת לתיקון התביעה, זאת בכפוף לקביעת בית המשפט כי "המשיבה תהא רשאית להגיש כתב הגנה מתוקן מטעמה (ובכלל זה גם כתב תביעה שכנגד, ככל שתראה</w:t>
      </w:r>
      <w:r>
        <w:rPr>
          <w:rtl/>
        </w:rPr>
        <w:t xml:space="preserve"> זאת לנחוץ), אשר יתייחס לכל טענה בכתב התביעה המתוקן, לכל עילת תביעה חדשה, לכל פלוגתא, ובכלל זה גם לכל התרחשות שאירעה לאחר הגשתו של כתב התביעה המקורי; והכול ללא מגבלה ובאופן שיאפשר בירור ומתן הכרעה במכלול המחלוקות שבין הצדדים". יצוין כי זהו ציטוט מתוך הרישא</w:t>
      </w:r>
      <w:r>
        <w:rPr>
          <w:rtl/>
        </w:rPr>
        <w:t xml:space="preserve"> לתשובה. בגוף התשובה הובהר </w:t>
      </w:r>
      <w:r w:rsidR="008074FA">
        <w:rPr>
          <w:rFonts w:hint="cs"/>
          <w:rtl/>
        </w:rPr>
        <w:t xml:space="preserve">עוד </w:t>
      </w:r>
      <w:r>
        <w:rPr>
          <w:rtl/>
        </w:rPr>
        <w:t xml:space="preserve">כי לשיטת הנתבעת יש לאפשר לה להגיש כתב </w:t>
      </w:r>
      <w:r w:rsidR="008074FA">
        <w:rPr>
          <w:rFonts w:hint="cs"/>
          <w:rtl/>
        </w:rPr>
        <w:t xml:space="preserve">הגנה </w:t>
      </w:r>
      <w:r>
        <w:rPr>
          <w:rtl/>
        </w:rPr>
        <w:t>מתוקן ללא כל מגבלה</w:t>
      </w:r>
      <w:r w:rsidR="008074FA">
        <w:rPr>
          <w:rFonts w:hint="cs"/>
          <w:rtl/>
        </w:rPr>
        <w:t>,</w:t>
      </w:r>
      <w:r>
        <w:rPr>
          <w:rtl/>
        </w:rPr>
        <w:t xml:space="preserve"> ולא רק לתיקונים החדשים. נטען עוד כי התעקשות התובעים נובעת מרצונם להגביל בחוסר תום לב את התיקונים שיכללו בכתב ההגנה המתוקן. הנתבעת טוענת כי מהשוואת כתב התביעה המקו</w:t>
      </w:r>
      <w:r>
        <w:rPr>
          <w:rtl/>
        </w:rPr>
        <w:t>רי לזה המתוקן עולה כי התובעים מחקו וחזרו בהם מחלק מהטענות וכ</w:t>
      </w:r>
      <w:r w:rsidR="008074FA">
        <w:rPr>
          <w:rFonts w:hint="cs"/>
          <w:rtl/>
        </w:rPr>
        <w:t>ך</w:t>
      </w:r>
      <w:r>
        <w:rPr>
          <w:rtl/>
        </w:rPr>
        <w:t xml:space="preserve"> למשל, אינם מבקשים פיצויים בגין איחור במסירה לפי חוק המכר דירות</w:t>
      </w:r>
      <w:r w:rsidR="008074FA">
        <w:rPr>
          <w:rFonts w:hint="cs"/>
          <w:rtl/>
        </w:rPr>
        <w:t>,</w:t>
      </w:r>
      <w:r>
        <w:rPr>
          <w:rtl/>
        </w:rPr>
        <w:t xml:space="preserve"> וכי יש לאפשר להם להתייחס לשינוי זה ללא מגבלה. נטען לתיקון עילת התביעה שכן חלף הפרה צפויה וביטולם בכתב התביעה המקורי טוענים הם כי ה</w:t>
      </w:r>
      <w:r>
        <w:rPr>
          <w:rtl/>
        </w:rPr>
        <w:t>סכמי המכר הופרו והם זכאים לבטלם באמצעות ביטול חדש ונפרד ומפני הודעת ביטול חדשה נטענת זו הם זכאים להתגונן. כמו כן, לטענתם הפירוט העובדתי בקשר עם הודעת הביטול החדשה והאירועים שביסודה חסר</w:t>
      </w:r>
      <w:r w:rsidR="008074FA">
        <w:rPr>
          <w:rFonts w:hint="cs"/>
          <w:rtl/>
        </w:rPr>
        <w:t>,</w:t>
      </w:r>
      <w:r>
        <w:rPr>
          <w:rtl/>
        </w:rPr>
        <w:t xml:space="preserve"> ויש להתיר לה להשלים את העובדות הנחוצות. לטענתם כתב התביעה המתוקן אינו </w:t>
      </w:r>
      <w:r>
        <w:rPr>
          <w:rtl/>
        </w:rPr>
        <w:t>מבוסס אך על התרחשויות מאוחרות ואין הצדקה שכתב ההגנה יוגבל רק לאותן התרחשויות.</w:t>
      </w:r>
      <w:r w:rsidR="008074FA">
        <w:rPr>
          <w:rFonts w:hint="cs"/>
          <w:rtl/>
        </w:rPr>
        <w:t xml:space="preserve"> בתוך כך גם הזכירו כי הבקשה לא נתמכה בתצהיר.</w:t>
      </w:r>
    </w:p>
    <w:p w14:paraId="04EBACE4" w14:textId="77777777" w:rsidR="004A6EC9" w:rsidRDefault="00286B43" w:rsidP="002F13B5">
      <w:pPr>
        <w:pStyle w:val="ae"/>
        <w:numPr>
          <w:ilvl w:val="0"/>
          <w:numId w:val="1"/>
        </w:numPr>
        <w:spacing w:before="276" w:after="0"/>
        <w:ind w:left="509" w:right="0" w:hanging="567"/>
        <w:contextualSpacing w:val="0"/>
        <w:rPr>
          <w:rtl/>
        </w:rPr>
      </w:pPr>
      <w:r>
        <w:rPr>
          <w:rFonts w:hint="cs"/>
          <w:rtl/>
        </w:rPr>
        <w:t xml:space="preserve">בנוסף טענה </w:t>
      </w:r>
      <w:r>
        <w:rPr>
          <w:rtl/>
        </w:rPr>
        <w:t>הנתבעת, כי יש לחייב את התובעים בהוצאות ריאליות</w:t>
      </w:r>
      <w:r>
        <w:rPr>
          <w:rFonts w:hint="cs"/>
          <w:rtl/>
        </w:rPr>
        <w:t xml:space="preserve"> שעו</w:t>
      </w:r>
      <w:r>
        <w:rPr>
          <w:rtl/>
        </w:rPr>
        <w:t>מדות על לא פחות מ- 150,000 ₪</w:t>
      </w:r>
      <w:r>
        <w:rPr>
          <w:rFonts w:hint="cs"/>
          <w:rtl/>
        </w:rPr>
        <w:t xml:space="preserve"> </w:t>
      </w:r>
      <w:r>
        <w:rPr>
          <w:rtl/>
        </w:rPr>
        <w:t>בגין בקשה זו</w:t>
      </w:r>
      <w:r>
        <w:rPr>
          <w:rFonts w:hint="cs"/>
          <w:rtl/>
        </w:rPr>
        <w:t>,</w:t>
      </w:r>
      <w:r>
        <w:rPr>
          <w:rtl/>
        </w:rPr>
        <w:t xml:space="preserve"> והוסיפו כי אילו היו התובעים ממתינים להבשלת תביעתם ולא נחפזים להגישה, לא היה הולכים לאיבוד זמן יקר ומשאבים שהושקעו בהליך משפטי שמראש ניתן היה לומר כי אין לו תוחלת</w:t>
      </w:r>
      <w:r>
        <w:rPr>
          <w:rFonts w:hint="cs"/>
          <w:rtl/>
        </w:rPr>
        <w:t>. זאת,</w:t>
      </w:r>
      <w:r>
        <w:rPr>
          <w:rtl/>
        </w:rPr>
        <w:t xml:space="preserve"> תוך ש</w:t>
      </w:r>
      <w:r>
        <w:rPr>
          <w:rFonts w:hint="cs"/>
          <w:rtl/>
        </w:rPr>
        <w:t xml:space="preserve">הנתבעת </w:t>
      </w:r>
      <w:r>
        <w:rPr>
          <w:rtl/>
        </w:rPr>
        <w:t>נתלית בין היתר בהמלצתי כמפורט לעיל</w:t>
      </w:r>
      <w:r>
        <w:rPr>
          <w:rFonts w:hint="cs"/>
          <w:rtl/>
        </w:rPr>
        <w:t>,</w:t>
      </w:r>
      <w:r>
        <w:rPr>
          <w:rtl/>
        </w:rPr>
        <w:t xml:space="preserve"> </w:t>
      </w:r>
      <w:r>
        <w:rPr>
          <w:rFonts w:hint="cs"/>
          <w:rtl/>
        </w:rPr>
        <w:t xml:space="preserve">לשקול מחיקת </w:t>
      </w:r>
      <w:r>
        <w:rPr>
          <w:rtl/>
        </w:rPr>
        <w:t>התביעה והגש</w:t>
      </w:r>
      <w:r>
        <w:rPr>
          <w:rFonts w:hint="cs"/>
          <w:rtl/>
        </w:rPr>
        <w:t>ת</w:t>
      </w:r>
      <w:r>
        <w:rPr>
          <w:rtl/>
        </w:rPr>
        <w:t>ה מחדש לאחר שתת</w:t>
      </w:r>
      <w:r>
        <w:rPr>
          <w:rtl/>
        </w:rPr>
        <w:t xml:space="preserve">בהר התמונה בהמשך להודעת הצדדים וההשבה שהייתה צפויה על פיה (ולא התרחשה </w:t>
      </w:r>
      <w:r w:rsidR="002F13B5">
        <w:rPr>
          <w:rFonts w:hint="cs"/>
          <w:rtl/>
        </w:rPr>
        <w:t xml:space="preserve">כך נראה מטענות הצדדים, </w:t>
      </w:r>
      <w:r>
        <w:rPr>
          <w:rtl/>
        </w:rPr>
        <w:t xml:space="preserve">עד כה). </w:t>
      </w:r>
    </w:p>
    <w:p w14:paraId="60544F36" w14:textId="77777777" w:rsidR="004A6EC9" w:rsidRDefault="00286B43" w:rsidP="002F13B5">
      <w:pPr>
        <w:pStyle w:val="ae"/>
        <w:numPr>
          <w:ilvl w:val="0"/>
          <w:numId w:val="1"/>
        </w:numPr>
        <w:spacing w:before="276" w:after="0"/>
        <w:ind w:left="509" w:right="0" w:hanging="567"/>
        <w:contextualSpacing w:val="0"/>
      </w:pPr>
      <w:r>
        <w:rPr>
          <w:rtl/>
        </w:rPr>
        <w:t>בתגובה לתשובה מיום 8.6.2025  השיבו התובעים, בין היתר, לטענת הנתבעת כי לא צורף תצהיר לבקשה לתיקון כתב התביעה וטענו כי זו מתבססת על ההודע</w:t>
      </w:r>
      <w:r w:rsidR="002F13B5">
        <w:rPr>
          <w:rFonts w:hint="cs"/>
          <w:rtl/>
        </w:rPr>
        <w:t>ה</w:t>
      </w:r>
      <w:r>
        <w:rPr>
          <w:rtl/>
        </w:rPr>
        <w:t xml:space="preserve"> המוסכמת שהוגש</w:t>
      </w:r>
      <w:r w:rsidR="002F13B5">
        <w:rPr>
          <w:rFonts w:hint="cs"/>
          <w:rtl/>
        </w:rPr>
        <w:t>ה</w:t>
      </w:r>
      <w:r>
        <w:rPr>
          <w:rtl/>
        </w:rPr>
        <w:t xml:space="preserve"> ל</w:t>
      </w:r>
      <w:r w:rsidR="002F13B5">
        <w:rPr>
          <w:rFonts w:hint="cs"/>
          <w:rtl/>
        </w:rPr>
        <w:t>ב</w:t>
      </w:r>
      <w:r>
        <w:rPr>
          <w:rtl/>
        </w:rPr>
        <w:t xml:space="preserve">ית המשפט. עם זאת, למניעת לזות שפתיים, צורף תצהיר של התובע 1 צורף לתגובה </w:t>
      </w:r>
      <w:r w:rsidR="002F13B5">
        <w:rPr>
          <w:rFonts w:hint="cs"/>
          <w:rtl/>
        </w:rPr>
        <w:t>זו</w:t>
      </w:r>
      <w:r>
        <w:rPr>
          <w:rtl/>
        </w:rPr>
        <w:t>. התובעים טענו כי אין יסוד לטענה שכתב התביעה הוגש מוקדם מידי שכן אין מחלוקת כי בכתב הגנתה כפרה הנתבעת בזכות הביטול של התובעים ו</w:t>
      </w:r>
      <w:r w:rsidR="002F13B5">
        <w:rPr>
          <w:rFonts w:hint="cs"/>
          <w:rtl/>
        </w:rPr>
        <w:t>ב</w:t>
      </w:r>
      <w:r>
        <w:rPr>
          <w:rtl/>
        </w:rPr>
        <w:t>חובת ההשבה</w:t>
      </w:r>
      <w:r w:rsidR="002F13B5">
        <w:rPr>
          <w:rFonts w:hint="cs"/>
          <w:rtl/>
        </w:rPr>
        <w:t>,</w:t>
      </w:r>
      <w:r>
        <w:rPr>
          <w:rtl/>
        </w:rPr>
        <w:t xml:space="preserve"> ולא הביעה נכונות בכל דרך לביטול ה</w:t>
      </w:r>
      <w:r w:rsidR="002F13B5">
        <w:rPr>
          <w:rFonts w:hint="cs"/>
          <w:rtl/>
        </w:rPr>
        <w:t>חוזים</w:t>
      </w:r>
      <w:r>
        <w:rPr>
          <w:rtl/>
        </w:rPr>
        <w:t xml:space="preserve"> או לביצוע השבה, אף לא חלקית. הנתבע</w:t>
      </w:r>
      <w:r w:rsidR="002F13B5">
        <w:rPr>
          <w:rFonts w:hint="cs"/>
          <w:rtl/>
        </w:rPr>
        <w:t>ת</w:t>
      </w:r>
      <w:r>
        <w:rPr>
          <w:rtl/>
        </w:rPr>
        <w:t xml:space="preserve"> לא הסכימה לדון </w:t>
      </w:r>
      <w:r w:rsidR="002F13B5">
        <w:rPr>
          <w:rFonts w:hint="cs"/>
          <w:rtl/>
        </w:rPr>
        <w:t>ב</w:t>
      </w:r>
      <w:r>
        <w:rPr>
          <w:rtl/>
        </w:rPr>
        <w:t>כל מתווה לביטול</w:t>
      </w:r>
      <w:r w:rsidR="002F13B5">
        <w:rPr>
          <w:rFonts w:hint="cs"/>
          <w:rtl/>
        </w:rPr>
        <w:t xml:space="preserve"> החוזים</w:t>
      </w:r>
      <w:r>
        <w:rPr>
          <w:rtl/>
        </w:rPr>
        <w:t>. התנהל גם הליך גישור שכשל, ורק לאחריו הוגשה התביעה. רק הגשת התביעה ו</w:t>
      </w:r>
      <w:r w:rsidR="002F13B5">
        <w:rPr>
          <w:rFonts w:hint="cs"/>
          <w:rtl/>
        </w:rPr>
        <w:t xml:space="preserve">גם זאת </w:t>
      </w:r>
      <w:r>
        <w:rPr>
          <w:rtl/>
        </w:rPr>
        <w:t xml:space="preserve">לאחר שהוחלפו באי כוחה </w:t>
      </w:r>
      <w:r w:rsidR="002F13B5">
        <w:rPr>
          <w:rFonts w:hint="cs"/>
          <w:rtl/>
        </w:rPr>
        <w:t xml:space="preserve">של הנתבעת </w:t>
      </w:r>
      <w:r>
        <w:rPr>
          <w:rtl/>
        </w:rPr>
        <w:t xml:space="preserve">ותוך שינוי חזית שנעשה לאור הערות </w:t>
      </w:r>
      <w:r>
        <w:rPr>
          <w:rtl/>
        </w:rPr>
        <w:lastRenderedPageBreak/>
        <w:t>בית המשפט</w:t>
      </w:r>
      <w:r w:rsidR="002F13B5">
        <w:rPr>
          <w:rFonts w:hint="cs"/>
          <w:rtl/>
        </w:rPr>
        <w:t>,</w:t>
      </w:r>
      <w:r>
        <w:rPr>
          <w:rtl/>
        </w:rPr>
        <w:t xml:space="preserve"> הסכימה הנתבעת לשנות עמדתה הבל</w:t>
      </w:r>
      <w:r>
        <w:rPr>
          <w:rtl/>
        </w:rPr>
        <w:t>תי מוצדקת</w:t>
      </w:r>
      <w:r w:rsidR="002F13B5">
        <w:rPr>
          <w:rFonts w:hint="cs"/>
          <w:rtl/>
        </w:rPr>
        <w:t>,</w:t>
      </w:r>
      <w:r>
        <w:rPr>
          <w:rtl/>
        </w:rPr>
        <w:t xml:space="preserve"> להכיר בכך שמדובר בעסקה שיש לבטלה (אף שגם כעת היא נמנעת מהשבה). תיקון התביעה נכפה על התובעים שכן הנתבעת הסכימה לכאורה לביטול החוזה, ללא יישום הביטול בפועל. אין כל מקום לחייב את התובעים בהוצאות, כי אם את הנתבעת יש לחייב בהוצאות משום</w:t>
      </w:r>
      <w:r w:rsidR="002F13B5">
        <w:rPr>
          <w:rFonts w:hint="cs"/>
          <w:rtl/>
        </w:rPr>
        <w:t>,</w:t>
      </w:r>
      <w:r>
        <w:rPr>
          <w:rtl/>
        </w:rPr>
        <w:t xml:space="preserve"> שהיא מציגה כע</w:t>
      </w:r>
      <w:r>
        <w:rPr>
          <w:rtl/>
        </w:rPr>
        <w:t>ת עמדה שונה מזו המופיעה בכתב ההגנה. לעניין היקף תיקון כתב ההגנה – התקנות החדשות מקנות שיקול דעת לבית המשפט, ולא בכדי. זהו לטענת התובעים המקרה שבו יש ליישם את שיקול הדעת. התיקון המבוקש מתייחס רק לאירועים שלאחר הגשת התביעה ומחיקת סעדים שהתייתרו נוכח ההכרה בב</w:t>
      </w:r>
      <w:r>
        <w:rPr>
          <w:rtl/>
        </w:rPr>
        <w:t>יטול</w:t>
      </w:r>
      <w:r w:rsidR="002F13B5">
        <w:rPr>
          <w:rFonts w:hint="cs"/>
          <w:rtl/>
        </w:rPr>
        <w:t>,</w:t>
      </w:r>
      <w:r>
        <w:rPr>
          <w:rtl/>
        </w:rPr>
        <w:t xml:space="preserve"> ואין סיבה לאפשר הגשת כתב הגנה חדש לחלוטין שמתייחס לסוגיות שצריך היה להתייחס להן במקור.</w:t>
      </w:r>
    </w:p>
    <w:p w14:paraId="1D6FC727" w14:textId="77777777" w:rsidR="004A6EC9" w:rsidRDefault="00286B43" w:rsidP="00DE4996">
      <w:pPr>
        <w:spacing w:before="276" w:line="276" w:lineRule="auto"/>
        <w:ind w:left="510" w:hanging="567"/>
        <w:outlineLvl w:val="1"/>
        <w:rPr>
          <w:b/>
          <w:bCs/>
          <w:u w:val="single"/>
          <w:rtl/>
        </w:rPr>
      </w:pPr>
      <w:r>
        <w:rPr>
          <w:b/>
          <w:bCs/>
          <w:u w:val="single"/>
          <w:rtl/>
        </w:rPr>
        <w:t>דיון והכרעה</w:t>
      </w:r>
    </w:p>
    <w:p w14:paraId="6437D24C" w14:textId="77777777" w:rsidR="004A6EC9" w:rsidRDefault="00286B43" w:rsidP="002F13B5">
      <w:pPr>
        <w:pStyle w:val="ae"/>
        <w:numPr>
          <w:ilvl w:val="0"/>
          <w:numId w:val="1"/>
        </w:numPr>
        <w:spacing w:before="272" w:after="0"/>
        <w:ind w:left="509" w:right="0" w:hanging="567"/>
        <w:contextualSpacing w:val="0"/>
        <w:rPr>
          <w:rtl/>
        </w:rPr>
      </w:pPr>
      <w:r>
        <w:rPr>
          <w:rtl/>
        </w:rPr>
        <w:t xml:space="preserve">לאחר שבחנתי את טענות הצדדים, החלטתי לקבל את הבקשה לתיקון כתב התביעה </w:t>
      </w:r>
      <w:r w:rsidR="002F13B5">
        <w:rPr>
          <w:rFonts w:hint="cs"/>
          <w:rtl/>
        </w:rPr>
        <w:t>(</w:t>
      </w:r>
      <w:r w:rsidR="002F13B5" w:rsidRPr="002F13B5">
        <w:rPr>
          <w:rFonts w:hint="cs"/>
          <w:b/>
          <w:bCs/>
          <w:rtl/>
        </w:rPr>
        <w:t>הבקשה</w:t>
      </w:r>
      <w:r w:rsidR="002F13B5">
        <w:rPr>
          <w:rFonts w:hint="cs"/>
          <w:rtl/>
        </w:rPr>
        <w:t xml:space="preserve">) ולאפשר הגשת כתב הגנה מתוקן שתיקוניו מוגבלים לתיקונים שבוצעו בכתב התביעה. </w:t>
      </w:r>
      <w:r>
        <w:rPr>
          <w:rtl/>
        </w:rPr>
        <w:t>אל</w:t>
      </w:r>
      <w:r>
        <w:rPr>
          <w:rtl/>
        </w:rPr>
        <w:t>ו טעמיי</w:t>
      </w:r>
      <w:r w:rsidR="002F13B5">
        <w:rPr>
          <w:rFonts w:hint="cs"/>
          <w:rtl/>
        </w:rPr>
        <w:t>;</w:t>
      </w:r>
    </w:p>
    <w:p w14:paraId="4C8B911D" w14:textId="77777777" w:rsidR="004A6EC9" w:rsidRDefault="00286B43" w:rsidP="002F13B5">
      <w:pPr>
        <w:numPr>
          <w:ilvl w:val="0"/>
          <w:numId w:val="1"/>
        </w:numPr>
        <w:spacing w:before="276" w:line="360" w:lineRule="auto"/>
        <w:ind w:left="509" w:right="0" w:hanging="567"/>
        <w:jc w:val="both"/>
        <w:rPr>
          <w:b/>
          <w:bCs/>
        </w:rPr>
      </w:pPr>
      <w:r>
        <w:rPr>
          <w:rtl/>
        </w:rPr>
        <w:t>לא יכול להיות חולק על הצורך בתיקון כתב התביעה, לאור ההתפתחויות שחלו לאחר הגשת כתבי הטענות, כמפורט לעיל וכעולה מהחלטותיי שקדמו להגשת הבקשה</w:t>
      </w:r>
      <w:r w:rsidR="002F13B5">
        <w:rPr>
          <w:rFonts w:hint="cs"/>
          <w:rtl/>
        </w:rPr>
        <w:t xml:space="preserve"> שלפניי</w:t>
      </w:r>
      <w:r>
        <w:rPr>
          <w:rtl/>
        </w:rPr>
        <w:t>. למעשה, גם הנתבעת סבורה שכך ועיקר המחלוקת הוא בשאלת היקף ההיתר לתיקון כתב ההגנה ושאלת ההוצאות. על כן ל</w:t>
      </w:r>
      <w:r>
        <w:rPr>
          <w:rtl/>
        </w:rPr>
        <w:t>א ארחיב בשאלת עצם התרתו של התיקון אלא רק במה ששנוי</w:t>
      </w:r>
      <w:r w:rsidR="002F13B5">
        <w:rPr>
          <w:rFonts w:hint="cs"/>
          <w:rtl/>
        </w:rPr>
        <w:t>,</w:t>
      </w:r>
      <w:r>
        <w:rPr>
          <w:rtl/>
        </w:rPr>
        <w:t xml:space="preserve"> כאמור</w:t>
      </w:r>
      <w:r w:rsidR="002F13B5">
        <w:rPr>
          <w:rFonts w:hint="cs"/>
          <w:rtl/>
        </w:rPr>
        <w:t>,</w:t>
      </w:r>
      <w:r>
        <w:rPr>
          <w:rtl/>
        </w:rPr>
        <w:t xml:space="preserve"> במחלוקת. ואולם פטור בלא כלום אי אפשר</w:t>
      </w:r>
      <w:r w:rsidR="002F13B5">
        <w:rPr>
          <w:rFonts w:hint="cs"/>
          <w:rtl/>
        </w:rPr>
        <w:t>.</w:t>
      </w:r>
      <w:r>
        <w:rPr>
          <w:rtl/>
        </w:rPr>
        <w:t xml:space="preserve"> אזכיר כאן את תקנה 46 לתקנות</w:t>
      </w:r>
      <w:r w:rsidR="002F13B5">
        <w:rPr>
          <w:rFonts w:hint="cs"/>
          <w:rtl/>
        </w:rPr>
        <w:t>,</w:t>
      </w:r>
      <w:r>
        <w:rPr>
          <w:rtl/>
        </w:rPr>
        <w:t xml:space="preserve"> שלפיה בית המשפט רשאי ליתן "</w:t>
      </w:r>
      <w:r>
        <w:rPr>
          <w:b/>
          <w:bCs/>
          <w:rtl/>
        </w:rPr>
        <w:t>בכל עת</w:t>
      </w:r>
      <w:r>
        <w:rPr>
          <w:rtl/>
        </w:rPr>
        <w:t>" הוראות לתיקון כתב טענות "</w:t>
      </w:r>
      <w:r>
        <w:rPr>
          <w:b/>
          <w:bCs/>
          <w:rtl/>
        </w:rPr>
        <w:t xml:space="preserve">לשם קיומו של הליך שיפוטי ראוי והוגן, תוך התחשבות, בין השאר, בהתנהלותו </w:t>
      </w:r>
      <w:r>
        <w:rPr>
          <w:b/>
          <w:bCs/>
          <w:rtl/>
        </w:rPr>
        <w:t>של מבקש התיקון, השלב הדיוני שבו מוגשת הבקשה, והמטרה שהתיקון המבוקש צפוי להשיג".</w:t>
      </w:r>
      <w:r>
        <w:rPr>
          <w:rtl/>
        </w:rPr>
        <w:t xml:space="preserve"> </w:t>
      </w:r>
    </w:p>
    <w:p w14:paraId="214AE7C5" w14:textId="77777777" w:rsidR="004A6EC9" w:rsidRDefault="00286B43" w:rsidP="00D0118D">
      <w:pPr>
        <w:pStyle w:val="ae"/>
        <w:numPr>
          <w:ilvl w:val="0"/>
          <w:numId w:val="1"/>
        </w:numPr>
        <w:spacing w:before="276" w:after="0"/>
        <w:ind w:left="509" w:right="0" w:hanging="567"/>
        <w:contextualSpacing w:val="0"/>
        <w:rPr>
          <w:rtl/>
        </w:rPr>
      </w:pPr>
      <w:r>
        <w:rPr>
          <w:rtl/>
        </w:rPr>
        <w:t xml:space="preserve">בענייננו, הבקשה הוגשה </w:t>
      </w:r>
      <w:r w:rsidR="0037518F">
        <w:rPr>
          <w:rFonts w:hint="cs"/>
          <w:rtl/>
        </w:rPr>
        <w:t>ב</w:t>
      </w:r>
      <w:r>
        <w:rPr>
          <w:rtl/>
        </w:rPr>
        <w:t xml:space="preserve">שלב ראשוני יחסית </w:t>
      </w:r>
      <w:r w:rsidR="0037518F">
        <w:rPr>
          <w:rFonts w:hint="cs"/>
          <w:rtl/>
        </w:rPr>
        <w:t xml:space="preserve">של ההליך </w:t>
      </w:r>
      <w:r>
        <w:rPr>
          <w:rtl/>
        </w:rPr>
        <w:t>ובטרם הוגשו ראיות בתיק (ניתנה הוראה על הגשת ראיות</w:t>
      </w:r>
      <w:r w:rsidR="0037518F">
        <w:rPr>
          <w:rFonts w:hint="cs"/>
          <w:rtl/>
        </w:rPr>
        <w:t>,</w:t>
      </w:r>
      <w:r>
        <w:rPr>
          <w:rtl/>
        </w:rPr>
        <w:t xml:space="preserve"> אך ההודעה המשותפת והמחלוקת בקשר עם תיקון כתב התביעה מנעו </w:t>
      </w:r>
      <w:r w:rsidR="0037518F">
        <w:rPr>
          <w:rFonts w:hint="cs"/>
          <w:rtl/>
        </w:rPr>
        <w:t>הגשתן</w:t>
      </w:r>
      <w:r>
        <w:rPr>
          <w:rtl/>
        </w:rPr>
        <w:t>). כאמור, התי</w:t>
      </w:r>
      <w:r>
        <w:rPr>
          <w:rtl/>
        </w:rPr>
        <w:t>קון נדרש לאור השינוי שחל לאחר הגשת התביעה ולאור הודעת הצדדים שחוזי המכר מבוטלים, והכוונה לבצע השבה. כפועל יוצא מ</w:t>
      </w:r>
      <w:r w:rsidR="0037518F">
        <w:rPr>
          <w:rFonts w:hint="cs"/>
          <w:rtl/>
        </w:rPr>
        <w:t>ה</w:t>
      </w:r>
      <w:r>
        <w:rPr>
          <w:rtl/>
        </w:rPr>
        <w:t>הוד</w:t>
      </w:r>
      <w:r w:rsidR="0037518F">
        <w:rPr>
          <w:rFonts w:hint="cs"/>
          <w:rtl/>
        </w:rPr>
        <w:t xml:space="preserve">עה </w:t>
      </w:r>
      <w:r>
        <w:rPr>
          <w:rtl/>
        </w:rPr>
        <w:t xml:space="preserve">המשותפת התעוררו כיום סוגיות נוספות בקשר להשבה </w:t>
      </w:r>
      <w:r w:rsidR="0037518F">
        <w:rPr>
          <w:rFonts w:hint="cs"/>
          <w:rtl/>
        </w:rPr>
        <w:t>ובכלל זה: מ</w:t>
      </w:r>
      <w:r>
        <w:rPr>
          <w:rtl/>
        </w:rPr>
        <w:t>הו סכום ההשבה והאם רשאית הנתבעת לקזז סכומים כאלה ואחרים כפי שהיא טוענת. מחלוקת נ</w:t>
      </w:r>
      <w:r>
        <w:rPr>
          <w:rtl/>
        </w:rPr>
        <w:t xml:space="preserve">וספת עולה בקשר עם השבת הערבויות, שעה שהתובעים סבורים כי אין מקום להשבת כל הערבויות לפי חוק המכר והנתבעת עומדת על השבתן במלואן. אין למעשה מחלוקת כי לאחר הגשת כתב התביעה חלו התפתחויות אשר מחייבות את תיקון כתב התביעה. כאמור, סברתי כי יש לשקול מחיקת </w:t>
      </w:r>
      <w:r>
        <w:rPr>
          <w:rtl/>
        </w:rPr>
        <w:lastRenderedPageBreak/>
        <w:t>התביעה והג</w:t>
      </w:r>
      <w:r>
        <w:rPr>
          <w:rtl/>
        </w:rPr>
        <w:t>שתה מחדש לאחר שתתגבש המחלוקת לאשורה עם ביצוע ההשבה (שעליה הודע בהודעה המשותפת) ומטעמים של יעילות דיונית. אך אין בכך כדי לגרוע מהאפשרות של תיקון כתב התביעה (ואף צוין למען הסר ספק</w:t>
      </w:r>
      <w:r w:rsidR="0037518F">
        <w:rPr>
          <w:rFonts w:hint="cs"/>
          <w:rtl/>
        </w:rPr>
        <w:t>,</w:t>
      </w:r>
      <w:r>
        <w:rPr>
          <w:rtl/>
        </w:rPr>
        <w:t xml:space="preserve"> כי שיקול הדעת המלא שמור לבית המשפט וכי אין בהמלצה משום הכרעה בבקשה שטרם הוגשה</w:t>
      </w:r>
      <w:r>
        <w:rPr>
          <w:rtl/>
        </w:rPr>
        <w:t>). למרבה הצער, נראה גם כי המחלוקת בכל הקשור להשבה כבר התגבשה בעיקרה כמפורט לעיל (הגם שיש עוד לראות את פרטי הטענות ואת תחשיב הנתבעת ביחס להשבה, שטרם הונח לפני בית המשפט ויבוא, כך נראה</w:t>
      </w:r>
      <w:r w:rsidR="0037518F">
        <w:rPr>
          <w:rFonts w:hint="cs"/>
          <w:rtl/>
        </w:rPr>
        <w:t>,</w:t>
      </w:r>
      <w:r>
        <w:rPr>
          <w:rtl/>
        </w:rPr>
        <w:t xml:space="preserve"> במסגרת כתב ההגנה המתוקן). אוסיף כאן כי נדמה שהנתבעת ביקשה לעשות בהמלצת ב</w:t>
      </w:r>
      <w:r>
        <w:rPr>
          <w:rtl/>
        </w:rPr>
        <w:t xml:space="preserve">ית המשפט לשקול </w:t>
      </w:r>
      <w:r w:rsidR="0037518F">
        <w:rPr>
          <w:rFonts w:hint="cs"/>
          <w:rtl/>
        </w:rPr>
        <w:t>את מ</w:t>
      </w:r>
      <w:r>
        <w:rPr>
          <w:rtl/>
        </w:rPr>
        <w:t>חיקת התביעה והגשתה מחדש, שימוש החורג מגדר ההמלצה ותכליתה.</w:t>
      </w:r>
      <w:r w:rsidR="0037518F">
        <w:rPr>
          <w:rFonts w:hint="cs"/>
          <w:rtl/>
        </w:rPr>
        <w:t xml:space="preserve"> </w:t>
      </w:r>
      <w:r>
        <w:rPr>
          <w:rtl/>
        </w:rPr>
        <w:t>בהחלטתי לא נקבע</w:t>
      </w:r>
      <w:r w:rsidR="0037518F">
        <w:rPr>
          <w:rFonts w:hint="cs"/>
          <w:rtl/>
        </w:rPr>
        <w:t xml:space="preserve"> ואף לא נרמז</w:t>
      </w:r>
      <w:r>
        <w:rPr>
          <w:rtl/>
        </w:rPr>
        <w:t xml:space="preserve"> כי התביעה הוגשה טרם זמנה. כפי שתואר לעיל, הסכמת הצדדים באה נוכח המלצת בית המשפט בדיון לבוא לכדי הסכמות שימנעו נזקים נוספים בתקופת ההתדיינות. הסכמות אלה</w:t>
      </w:r>
      <w:r w:rsidR="0037518F">
        <w:rPr>
          <w:rFonts w:hint="cs"/>
          <w:rtl/>
        </w:rPr>
        <w:t xml:space="preserve"> כפי שבאו לידי ביטוי בהודעה המשותפת</w:t>
      </w:r>
      <w:r>
        <w:rPr>
          <w:rtl/>
        </w:rPr>
        <w:t>, הם שהובילו לצורך בתיקון כתב התביעה והתאמתו למצב החדש.</w:t>
      </w:r>
    </w:p>
    <w:p w14:paraId="51AA2910" w14:textId="77777777" w:rsidR="004A6EC9" w:rsidRPr="00697047" w:rsidRDefault="00286B43" w:rsidP="00D0118D">
      <w:pPr>
        <w:numPr>
          <w:ilvl w:val="0"/>
          <w:numId w:val="1"/>
        </w:numPr>
        <w:spacing w:before="354" w:line="360" w:lineRule="auto"/>
        <w:ind w:left="509" w:right="0" w:hanging="567"/>
        <w:jc w:val="both"/>
        <w:rPr>
          <w:rFonts w:ascii="Garamond" w:hAnsi="Garamond"/>
        </w:rPr>
      </w:pPr>
      <w:r>
        <w:rPr>
          <w:rtl/>
        </w:rPr>
        <w:t>לפי תקנה 47 לתקנות, בשונה מהדין שקדם לה, אין לנתבע זכות מוקנית להגשת כתב הגנה מתוקן, וההחלטה בעניין זה נתונה לשיקול דעת בית המשפט. זו לשון התקנה: "</w:t>
      </w:r>
      <w:r w:rsidRPr="00697047">
        <w:rPr>
          <w:b/>
          <w:bCs/>
          <w:rtl/>
        </w:rPr>
        <w:t xml:space="preserve">החליט בית המשפט </w:t>
      </w:r>
      <w:r w:rsidRPr="00697047">
        <w:rPr>
          <w:b/>
          <w:bCs/>
          <w:rtl/>
        </w:rPr>
        <w:t>להתיר לבעל דין לתקן כתב טענותיו לפי תקנה 46, יורה אם רשאי בעל הדין שכנגד לתקן כתב טענותיו ואת התנאים לכך</w:t>
      </w:r>
      <w:r>
        <w:rPr>
          <w:rtl/>
        </w:rPr>
        <w:t>". תקנה 47 ביקשה לשנות את הדין הקודם</w:t>
      </w:r>
      <w:r w:rsidR="0037518F">
        <w:rPr>
          <w:rFonts w:hint="cs"/>
          <w:rtl/>
        </w:rPr>
        <w:t>,</w:t>
      </w:r>
      <w:r>
        <w:rPr>
          <w:rtl/>
        </w:rPr>
        <w:t xml:space="preserve"> ש</w:t>
      </w:r>
      <w:r w:rsidR="0037518F">
        <w:rPr>
          <w:rFonts w:hint="cs"/>
          <w:rtl/>
        </w:rPr>
        <w:t>לפיו הת</w:t>
      </w:r>
      <w:r>
        <w:rPr>
          <w:rtl/>
        </w:rPr>
        <w:t xml:space="preserve">אפשר תיקון כתב הטענות </w:t>
      </w:r>
      <w:r w:rsidR="0037518F">
        <w:rPr>
          <w:rFonts w:hint="cs"/>
          <w:rtl/>
        </w:rPr>
        <w:t>ללא צורך בהיתר בית המשפט ו</w:t>
      </w:r>
      <w:r>
        <w:rPr>
          <w:rtl/>
        </w:rPr>
        <w:t>גם ללא קשר לתיקון שנעשה</w:t>
      </w:r>
      <w:r w:rsidR="0037518F">
        <w:rPr>
          <w:rFonts w:hint="cs"/>
          <w:rtl/>
        </w:rPr>
        <w:t>,</w:t>
      </w:r>
      <w:r>
        <w:rPr>
          <w:rtl/>
        </w:rPr>
        <w:t xml:space="preserve"> </w:t>
      </w:r>
      <w:r w:rsidR="0037518F">
        <w:rPr>
          <w:rFonts w:hint="cs"/>
          <w:rtl/>
        </w:rPr>
        <w:t xml:space="preserve">לרבות </w:t>
      </w:r>
      <w:r>
        <w:rPr>
          <w:rtl/>
        </w:rPr>
        <w:t>משלוח הודעות לצד ג' והגשת ת</w:t>
      </w:r>
      <w:r>
        <w:rPr>
          <w:rtl/>
        </w:rPr>
        <w:t xml:space="preserve">ביעה שכנגד </w:t>
      </w:r>
      <w:r w:rsidR="0037518F">
        <w:rPr>
          <w:rFonts w:hint="cs"/>
          <w:rtl/>
        </w:rPr>
        <w:t>[</w:t>
      </w:r>
      <w:r w:rsidR="00A663CE">
        <w:rPr>
          <w:rFonts w:hint="cs"/>
          <w:rtl/>
        </w:rPr>
        <w:t xml:space="preserve">לשינוי בדין ראו רע"א 3901/21 </w:t>
      </w:r>
      <w:r w:rsidR="00A663CE" w:rsidRPr="00A663CE">
        <w:rPr>
          <w:rFonts w:hint="cs"/>
          <w:b/>
          <w:bCs/>
          <w:rtl/>
        </w:rPr>
        <w:t>פלוני נ' שירותי בר</w:t>
      </w:r>
      <w:r w:rsidR="00A663CE">
        <w:rPr>
          <w:rFonts w:hint="cs"/>
          <w:b/>
          <w:bCs/>
          <w:rtl/>
        </w:rPr>
        <w:t>י</w:t>
      </w:r>
      <w:r w:rsidR="00A663CE" w:rsidRPr="00A663CE">
        <w:rPr>
          <w:rFonts w:hint="cs"/>
          <w:b/>
          <w:bCs/>
          <w:rtl/>
        </w:rPr>
        <w:t>אות כללית</w:t>
      </w:r>
      <w:r w:rsidR="00A663CE">
        <w:rPr>
          <w:rFonts w:hint="cs"/>
          <w:rtl/>
        </w:rPr>
        <w:t xml:space="preserve">  (22.7.2021). </w:t>
      </w:r>
      <w:r>
        <w:rPr>
          <w:rtl/>
        </w:rPr>
        <w:t>להרחבה בעניין זה ראו יששכר רוזן</w:t>
      </w:r>
      <w:r w:rsidR="0092190A">
        <w:rPr>
          <w:rFonts w:hint="cs"/>
          <w:rtl/>
        </w:rPr>
        <w:t>-</w:t>
      </w:r>
      <w:r>
        <w:rPr>
          <w:rtl/>
        </w:rPr>
        <w:t xml:space="preserve">צבי </w:t>
      </w:r>
      <w:r w:rsidRPr="00697047">
        <w:rPr>
          <w:b/>
          <w:bCs/>
          <w:rtl/>
        </w:rPr>
        <w:t>הרפורמה בסדר הדין האזרחי: מורה נבוכים</w:t>
      </w:r>
      <w:r>
        <w:rPr>
          <w:rtl/>
        </w:rPr>
        <w:t xml:space="preserve"> (מהדורה שלישית – דיגיטילית, יולי 2025 בעמ' 343-346)</w:t>
      </w:r>
      <w:r w:rsidR="0092190A">
        <w:rPr>
          <w:rFonts w:hint="cs"/>
          <w:rtl/>
        </w:rPr>
        <w:t xml:space="preserve"> (</w:t>
      </w:r>
      <w:r w:rsidR="0092190A" w:rsidRPr="0092190A">
        <w:rPr>
          <w:rFonts w:hint="cs"/>
          <w:b/>
          <w:bCs/>
          <w:rtl/>
        </w:rPr>
        <w:t>רוזן- צבי</w:t>
      </w:r>
      <w:r w:rsidR="0092190A">
        <w:rPr>
          <w:rFonts w:hint="cs"/>
          <w:rtl/>
        </w:rPr>
        <w:t>)</w:t>
      </w:r>
      <w:r w:rsidR="0037518F">
        <w:rPr>
          <w:rFonts w:hint="cs"/>
          <w:rtl/>
        </w:rPr>
        <w:t>]</w:t>
      </w:r>
      <w:r>
        <w:rPr>
          <w:rtl/>
        </w:rPr>
        <w:t>. יצוין כי תקנה זו טרם זכתה לליבון</w:t>
      </w:r>
      <w:r>
        <w:rPr>
          <w:rtl/>
        </w:rPr>
        <w:t xml:space="preserve"> משמעותי בפסיקה. </w:t>
      </w:r>
      <w:r w:rsidR="00D0118D">
        <w:rPr>
          <w:rFonts w:hint="cs"/>
          <w:rtl/>
        </w:rPr>
        <w:t>רוזן-צבי</w:t>
      </w:r>
      <w:r>
        <w:rPr>
          <w:rtl/>
        </w:rPr>
        <w:t xml:space="preserve"> מציין כי הדין הקודם ביקש ליצור "מאזן אימה" בין בעלי הדין</w:t>
      </w:r>
      <w:r w:rsidR="0037518F">
        <w:rPr>
          <w:rFonts w:hint="cs"/>
          <w:rtl/>
        </w:rPr>
        <w:t>,</w:t>
      </w:r>
      <w:r>
        <w:rPr>
          <w:rtl/>
        </w:rPr>
        <w:t xml:space="preserve"> כך שבעל דין המבקש לתקן את כתב התביעה צריך להביא בחשבון שהיענות לבקשה עלולה לגרור גם תיקון כתב הטענות של הצד שכנגד ככל העולה על רוחו. </w:t>
      </w:r>
      <w:r w:rsidR="0037518F">
        <w:rPr>
          <w:rFonts w:hint="cs"/>
          <w:rtl/>
        </w:rPr>
        <w:t xml:space="preserve">לדעתו של </w:t>
      </w:r>
      <w:r>
        <w:rPr>
          <w:rtl/>
        </w:rPr>
        <w:t>רוזן</w:t>
      </w:r>
      <w:r w:rsidR="0092190A">
        <w:rPr>
          <w:rFonts w:hint="cs"/>
          <w:rtl/>
        </w:rPr>
        <w:t>-</w:t>
      </w:r>
      <w:r>
        <w:rPr>
          <w:rtl/>
        </w:rPr>
        <w:t>צבי</w:t>
      </w:r>
      <w:r w:rsidR="00697047">
        <w:rPr>
          <w:rFonts w:hint="cs"/>
          <w:rtl/>
        </w:rPr>
        <w:t>,</w:t>
      </w:r>
      <w:r>
        <w:rPr>
          <w:rtl/>
        </w:rPr>
        <w:t xml:space="preserve"> לדין הקודם לא הייתה </w:t>
      </w:r>
      <w:r>
        <w:rPr>
          <w:rtl/>
        </w:rPr>
        <w:t>הצדקה בחלק לא מבוטל של המקרים</w:t>
      </w:r>
      <w:r w:rsidR="0037518F">
        <w:rPr>
          <w:rFonts w:hint="cs"/>
          <w:rtl/>
        </w:rPr>
        <w:t xml:space="preserve">, </w:t>
      </w:r>
      <w:r>
        <w:rPr>
          <w:rtl/>
        </w:rPr>
        <w:t xml:space="preserve"> והוא </w:t>
      </w:r>
      <w:r w:rsidRPr="00A663CE">
        <w:rPr>
          <w:b/>
          <w:bCs/>
          <w:rtl/>
        </w:rPr>
        <w:t xml:space="preserve">הפר </w:t>
      </w:r>
      <w:r w:rsidRPr="00A663CE">
        <w:rPr>
          <w:rtl/>
        </w:rPr>
        <w:t>"</w:t>
      </w:r>
      <w:r w:rsidRPr="00697047">
        <w:rPr>
          <w:b/>
          <w:bCs/>
          <w:rtl/>
        </w:rPr>
        <w:t xml:space="preserve">את האיזון הראוי בין הזכויות הדיוניות של מבקש התיקון לבין זכויות בעל הדין שכנגד, אשר לעתים מצא את עצמו נאלץ לתקן את כתב טענותיו בשל סיבות שאינן תלויות בו, ואף על פי כן הוא מצא את עצמו בנחיתות דיונית לעומת הצד שכנגד </w:t>
      </w:r>
      <w:r w:rsidRPr="00697047">
        <w:rPr>
          <w:b/>
          <w:bCs/>
          <w:rtl/>
        </w:rPr>
        <w:t>שהיה רש</w:t>
      </w:r>
      <w:r w:rsidR="00697047" w:rsidRPr="00697047">
        <w:rPr>
          <w:rFonts w:hint="cs"/>
          <w:b/>
          <w:bCs/>
          <w:rtl/>
        </w:rPr>
        <w:t>א</w:t>
      </w:r>
      <w:r w:rsidRPr="00697047">
        <w:rPr>
          <w:b/>
          <w:bCs/>
          <w:rtl/>
        </w:rPr>
        <w:t>י לתקן פגמים דיוניים או לשפר את מצבו הדיוני ככל העולה על הרוחו</w:t>
      </w:r>
      <w:r>
        <w:rPr>
          <w:rtl/>
        </w:rPr>
        <w:t>". עם זאת, הוא סבור כי ההסדר בתקנה</w:t>
      </w:r>
      <w:r w:rsidR="005D574A">
        <w:rPr>
          <w:rFonts w:hint="cs"/>
          <w:rtl/>
        </w:rPr>
        <w:t xml:space="preserve"> 47 </w:t>
      </w:r>
      <w:r>
        <w:rPr>
          <w:rtl/>
        </w:rPr>
        <w:t>מפר את האיזון</w:t>
      </w:r>
      <w:r w:rsidR="0092190A">
        <w:rPr>
          <w:rFonts w:hint="cs"/>
          <w:rtl/>
        </w:rPr>
        <w:t xml:space="preserve"> אף הוא</w:t>
      </w:r>
      <w:r w:rsidR="005D574A">
        <w:rPr>
          <w:rFonts w:hint="cs"/>
          <w:rtl/>
        </w:rPr>
        <w:t>,</w:t>
      </w:r>
      <w:r>
        <w:rPr>
          <w:rtl/>
        </w:rPr>
        <w:t xml:space="preserve"> זו הפעם לטובת הצד שביקש את התיקון, </w:t>
      </w:r>
      <w:r w:rsidR="005D574A">
        <w:rPr>
          <w:rFonts w:hint="cs"/>
          <w:rtl/>
        </w:rPr>
        <w:t xml:space="preserve">באופן שהצד שכנגד </w:t>
      </w:r>
      <w:r>
        <w:rPr>
          <w:rtl/>
        </w:rPr>
        <w:t xml:space="preserve">שעלול למצוא עצמו בפני עובדות חדשות שנותרו ללא מענה. רוזן צבי </w:t>
      </w:r>
      <w:r w:rsidR="00B21CCA">
        <w:rPr>
          <w:rFonts w:hint="cs"/>
          <w:rtl/>
        </w:rPr>
        <w:t xml:space="preserve"> סבור כי יש לאפשר זכות תיקון אוטמטית למענה לעובדות החדשות שהועלו בתיקון כתב התביעה, אף ללא צורך באישור בית המשפט. אך אם התיקון המתבקש בכתב ההגנה אינו נוגע ישירות לתיקון שנעשה בכתב התביעה</w:t>
      </w:r>
      <w:r w:rsidR="0092190A">
        <w:rPr>
          <w:rFonts w:hint="cs"/>
          <w:rtl/>
        </w:rPr>
        <w:t>,</w:t>
      </w:r>
      <w:r w:rsidR="00B21CCA">
        <w:rPr>
          <w:rFonts w:hint="cs"/>
          <w:rtl/>
        </w:rPr>
        <w:t xml:space="preserve"> נדרש אישור בית המשפט</w:t>
      </w:r>
      <w:r w:rsidR="00697047">
        <w:rPr>
          <w:rFonts w:hint="cs"/>
          <w:rtl/>
        </w:rPr>
        <w:t>.</w:t>
      </w:r>
      <w:r w:rsidR="00B21CCA">
        <w:rPr>
          <w:rFonts w:hint="cs"/>
          <w:rtl/>
        </w:rPr>
        <w:t xml:space="preserve"> </w:t>
      </w:r>
      <w:r w:rsidR="00697047">
        <w:rPr>
          <w:rFonts w:hint="cs"/>
          <w:rtl/>
        </w:rPr>
        <w:t xml:space="preserve">לגבי </w:t>
      </w:r>
      <w:r w:rsidR="00A663CE">
        <w:rPr>
          <w:rFonts w:hint="cs"/>
          <w:rtl/>
        </w:rPr>
        <w:t xml:space="preserve">מצב הדברים </w:t>
      </w:r>
      <w:r w:rsidR="00697047">
        <w:rPr>
          <w:rFonts w:hint="cs"/>
          <w:rtl/>
        </w:rPr>
        <w:t xml:space="preserve">האחרון </w:t>
      </w:r>
      <w:r w:rsidR="00697047">
        <w:rPr>
          <w:rFonts w:hint="cs"/>
          <w:rtl/>
        </w:rPr>
        <w:lastRenderedPageBreak/>
        <w:t xml:space="preserve">רוזן-צבי מציע </w:t>
      </w:r>
      <w:r w:rsidR="00B21CCA">
        <w:rPr>
          <w:rFonts w:hint="cs"/>
          <w:rtl/>
        </w:rPr>
        <w:t>להבחין</w:t>
      </w:r>
      <w:r>
        <w:rPr>
          <w:rtl/>
        </w:rPr>
        <w:t xml:space="preserve"> בי</w:t>
      </w:r>
      <w:r>
        <w:rPr>
          <w:rtl/>
        </w:rPr>
        <w:t xml:space="preserve">ן </w:t>
      </w:r>
      <w:r w:rsidR="00A43E45">
        <w:rPr>
          <w:rFonts w:hint="cs"/>
          <w:rtl/>
        </w:rPr>
        <w:t xml:space="preserve">שני מצבים: </w:t>
      </w:r>
      <w:r w:rsidR="00A43E45" w:rsidRPr="00697047">
        <w:rPr>
          <w:rFonts w:hint="cs"/>
          <w:u w:val="single"/>
          <w:rtl/>
        </w:rPr>
        <w:t>האחד</w:t>
      </w:r>
      <w:r w:rsidR="00A43E45">
        <w:rPr>
          <w:rFonts w:hint="cs"/>
          <w:rtl/>
        </w:rPr>
        <w:t xml:space="preserve">, מצב שבו </w:t>
      </w:r>
      <w:r>
        <w:rPr>
          <w:rtl/>
        </w:rPr>
        <w:t xml:space="preserve">תיקון </w:t>
      </w:r>
      <w:r w:rsidR="00A43E45">
        <w:rPr>
          <w:rFonts w:hint="cs"/>
          <w:rtl/>
        </w:rPr>
        <w:t xml:space="preserve">כתב התביעה נדרש בשל </w:t>
      </w:r>
      <w:r>
        <w:rPr>
          <w:rtl/>
        </w:rPr>
        <w:t xml:space="preserve">רשלנות של עורך הדין </w:t>
      </w:r>
      <w:r w:rsidR="00A43E45">
        <w:rPr>
          <w:rFonts w:hint="cs"/>
          <w:rtl/>
        </w:rPr>
        <w:t>של התובע</w:t>
      </w:r>
      <w:r w:rsidR="0092190A">
        <w:rPr>
          <w:rFonts w:hint="cs"/>
          <w:rtl/>
        </w:rPr>
        <w:t xml:space="preserve">-המבקש </w:t>
      </w:r>
      <w:r>
        <w:rPr>
          <w:rtl/>
        </w:rPr>
        <w:t xml:space="preserve">– </w:t>
      </w:r>
      <w:r w:rsidR="00A663CE">
        <w:rPr>
          <w:rFonts w:hint="cs"/>
          <w:rtl/>
        </w:rPr>
        <w:t xml:space="preserve">שאז </w:t>
      </w:r>
      <w:r>
        <w:rPr>
          <w:rtl/>
        </w:rPr>
        <w:t>יש לאפשר</w:t>
      </w:r>
      <w:r w:rsidR="00697047">
        <w:rPr>
          <w:rFonts w:hint="cs"/>
          <w:rtl/>
        </w:rPr>
        <w:t xml:space="preserve"> </w:t>
      </w:r>
      <w:r>
        <w:rPr>
          <w:rtl/>
        </w:rPr>
        <w:t xml:space="preserve">תיקון כתב ההגנה ללא כל מגבלה; </w:t>
      </w:r>
      <w:r w:rsidR="00A43E45" w:rsidRPr="00697047">
        <w:rPr>
          <w:rFonts w:hint="cs"/>
          <w:u w:val="single"/>
          <w:rtl/>
        </w:rPr>
        <w:t>השני</w:t>
      </w:r>
      <w:r w:rsidR="00A43E45">
        <w:rPr>
          <w:rFonts w:hint="cs"/>
          <w:rtl/>
        </w:rPr>
        <w:t xml:space="preserve">, מצב שבו </w:t>
      </w:r>
      <w:r>
        <w:rPr>
          <w:rtl/>
        </w:rPr>
        <w:t xml:space="preserve">תיקון </w:t>
      </w:r>
      <w:r w:rsidR="00A43E45">
        <w:rPr>
          <w:rFonts w:hint="cs"/>
          <w:rtl/>
        </w:rPr>
        <w:t xml:space="preserve">כתב התביעה </w:t>
      </w:r>
      <w:r>
        <w:rPr>
          <w:rtl/>
        </w:rPr>
        <w:t xml:space="preserve">התבקש בשל עובדות שלא היו ידועות </w:t>
      </w:r>
      <w:r w:rsidR="00A43E45">
        <w:rPr>
          <w:rFonts w:hint="cs"/>
          <w:rtl/>
        </w:rPr>
        <w:t>לתובע</w:t>
      </w:r>
      <w:r w:rsidR="0092190A">
        <w:rPr>
          <w:rFonts w:hint="cs"/>
          <w:rtl/>
        </w:rPr>
        <w:t>-המבקש</w:t>
      </w:r>
      <w:r w:rsidR="00A43E45">
        <w:rPr>
          <w:rFonts w:hint="cs"/>
          <w:rtl/>
        </w:rPr>
        <w:t xml:space="preserve"> </w:t>
      </w:r>
      <w:r>
        <w:rPr>
          <w:rtl/>
        </w:rPr>
        <w:t>או לא היה על</w:t>
      </w:r>
      <w:r w:rsidR="0092190A">
        <w:rPr>
          <w:rFonts w:hint="cs"/>
          <w:rtl/>
        </w:rPr>
        <w:t xml:space="preserve">יו </w:t>
      </w:r>
      <w:r>
        <w:rPr>
          <w:rtl/>
        </w:rPr>
        <w:t>לדעת על קיומן – שאז</w:t>
      </w:r>
      <w:r w:rsidR="00A663CE">
        <w:rPr>
          <w:rFonts w:hint="cs"/>
          <w:rtl/>
        </w:rPr>
        <w:t>,</w:t>
      </w:r>
      <w:r>
        <w:rPr>
          <w:rtl/>
        </w:rPr>
        <w:t xml:space="preserve"> ככלל, אין מק</w:t>
      </w:r>
      <w:r>
        <w:rPr>
          <w:rtl/>
        </w:rPr>
        <w:t>ום לאפשר</w:t>
      </w:r>
      <w:r w:rsidR="0092190A">
        <w:rPr>
          <w:rFonts w:hint="cs"/>
          <w:rtl/>
        </w:rPr>
        <w:t>,</w:t>
      </w:r>
      <w:r>
        <w:rPr>
          <w:rtl/>
        </w:rPr>
        <w:t xml:space="preserve"> </w:t>
      </w:r>
      <w:r w:rsidR="00697047">
        <w:rPr>
          <w:rFonts w:hint="cs"/>
          <w:rtl/>
        </w:rPr>
        <w:t>לדעת רוזן-צבי</w:t>
      </w:r>
      <w:r w:rsidR="0092190A">
        <w:rPr>
          <w:rFonts w:hint="cs"/>
          <w:rtl/>
        </w:rPr>
        <w:t>,</w:t>
      </w:r>
      <w:r w:rsidR="00697047">
        <w:rPr>
          <w:rFonts w:hint="cs"/>
          <w:rtl/>
        </w:rPr>
        <w:t xml:space="preserve"> </w:t>
      </w:r>
      <w:r w:rsidR="00A43E45">
        <w:rPr>
          <w:rFonts w:hint="cs"/>
          <w:rtl/>
        </w:rPr>
        <w:t xml:space="preserve">הגשת כתב הגנה מתוקן </w:t>
      </w:r>
      <w:r>
        <w:rPr>
          <w:rtl/>
        </w:rPr>
        <w:t>בשום עניין שאינו ע</w:t>
      </w:r>
      <w:r w:rsidR="00B21CCA">
        <w:rPr>
          <w:rFonts w:hint="cs"/>
          <w:rtl/>
        </w:rPr>
        <w:t>ו</w:t>
      </w:r>
      <w:r>
        <w:rPr>
          <w:rtl/>
        </w:rPr>
        <w:t>לה ישירות מתיקון</w:t>
      </w:r>
      <w:r w:rsidR="00A43E45">
        <w:rPr>
          <w:rFonts w:hint="cs"/>
          <w:rtl/>
        </w:rPr>
        <w:t xml:space="preserve"> כתב התביעה</w:t>
      </w:r>
      <w:r>
        <w:rPr>
          <w:rtl/>
        </w:rPr>
        <w:t>.</w:t>
      </w:r>
      <w:r w:rsidR="00697047">
        <w:rPr>
          <w:rFonts w:hint="cs"/>
          <w:rtl/>
        </w:rPr>
        <w:t xml:space="preserve"> </w:t>
      </w:r>
      <w:r w:rsidR="005D574A">
        <w:rPr>
          <w:rFonts w:hint="cs"/>
          <w:rtl/>
        </w:rPr>
        <w:t>בענייננו, על יסוד המפורט לעיל וכמבואר להלן, אין צורך לקבוע מסמרות בדבר</w:t>
      </w:r>
      <w:r w:rsidR="00A43E45">
        <w:rPr>
          <w:rFonts w:hint="cs"/>
          <w:rtl/>
        </w:rPr>
        <w:t xml:space="preserve"> </w:t>
      </w:r>
      <w:r w:rsidR="00A663CE">
        <w:rPr>
          <w:rFonts w:hint="cs"/>
          <w:rtl/>
        </w:rPr>
        <w:t>האבחנה המוצעת</w:t>
      </w:r>
      <w:r w:rsidR="0092190A">
        <w:rPr>
          <w:rFonts w:hint="cs"/>
          <w:rtl/>
        </w:rPr>
        <w:t xml:space="preserve"> ולגבי המצב הראשון</w:t>
      </w:r>
      <w:r w:rsidR="005D574A">
        <w:rPr>
          <w:rFonts w:hint="cs"/>
          <w:rtl/>
        </w:rPr>
        <w:t xml:space="preserve">, שעה שממילא </w:t>
      </w:r>
      <w:r w:rsidR="00A43E45">
        <w:rPr>
          <w:rFonts w:hint="cs"/>
          <w:rtl/>
        </w:rPr>
        <w:t xml:space="preserve">אין מחלוקת שיש לאפשר </w:t>
      </w:r>
      <w:r w:rsidR="00697047">
        <w:rPr>
          <w:rFonts w:hint="cs"/>
          <w:rtl/>
        </w:rPr>
        <w:t>לנתבעת ל</w:t>
      </w:r>
      <w:r w:rsidR="00A43E45">
        <w:rPr>
          <w:rFonts w:hint="cs"/>
          <w:rtl/>
        </w:rPr>
        <w:t>הג</w:t>
      </w:r>
      <w:r w:rsidR="00697047">
        <w:rPr>
          <w:rFonts w:hint="cs"/>
          <w:rtl/>
        </w:rPr>
        <w:t>י</w:t>
      </w:r>
      <w:r w:rsidR="00A43E45">
        <w:rPr>
          <w:rFonts w:hint="cs"/>
          <w:rtl/>
        </w:rPr>
        <w:t>ש כתב הגנה מתוקן, וה</w:t>
      </w:r>
      <w:r w:rsidR="005D574A">
        <w:rPr>
          <w:rFonts w:hint="cs"/>
          <w:rtl/>
        </w:rPr>
        <w:t>תיקון המבוקש אינו נעוץ ברשלנות התובעים</w:t>
      </w:r>
      <w:r w:rsidR="00A43E45">
        <w:rPr>
          <w:rFonts w:hint="cs"/>
          <w:rtl/>
        </w:rPr>
        <w:t xml:space="preserve">, כך </w:t>
      </w:r>
      <w:r w:rsidR="00D0118D">
        <w:rPr>
          <w:rFonts w:hint="cs"/>
          <w:rtl/>
        </w:rPr>
        <w:t xml:space="preserve">שגם על פי אבחנה זו </w:t>
      </w:r>
      <w:r w:rsidR="00A43E45">
        <w:rPr>
          <w:rFonts w:hint="cs"/>
          <w:rtl/>
        </w:rPr>
        <w:t>יש להגביל את כתב ההגנה שיתייחס רק לתיקונים שהתבקשו בכתב התביעה</w:t>
      </w:r>
      <w:r w:rsidR="005D574A">
        <w:rPr>
          <w:rFonts w:hint="cs"/>
          <w:rtl/>
        </w:rPr>
        <w:t>.</w:t>
      </w:r>
    </w:p>
    <w:p w14:paraId="07F62302" w14:textId="77777777" w:rsidR="004A6EC9" w:rsidRDefault="00286B43" w:rsidP="00797705">
      <w:pPr>
        <w:numPr>
          <w:ilvl w:val="0"/>
          <w:numId w:val="1"/>
        </w:numPr>
        <w:spacing w:before="414" w:line="360" w:lineRule="auto"/>
        <w:ind w:left="509" w:right="0" w:hanging="567"/>
        <w:jc w:val="both"/>
        <w:rPr>
          <w:rtl/>
        </w:rPr>
      </w:pPr>
      <w:r w:rsidRPr="005D574A">
        <w:rPr>
          <w:rFonts w:hint="cs"/>
          <w:b/>
          <w:bCs/>
          <w:rtl/>
        </w:rPr>
        <w:t>מן הכלל אל הפרט:</w:t>
      </w:r>
      <w:r>
        <w:rPr>
          <w:rFonts w:hint="cs"/>
          <w:rtl/>
        </w:rPr>
        <w:t xml:space="preserve"> </w:t>
      </w:r>
      <w:r>
        <w:rPr>
          <w:rtl/>
        </w:rPr>
        <w:t xml:space="preserve">בנסיבות העניין </w:t>
      </w:r>
      <w:r>
        <w:rPr>
          <w:rFonts w:hint="cs"/>
          <w:rtl/>
        </w:rPr>
        <w:t xml:space="preserve">שלפני, </w:t>
      </w:r>
      <w:r>
        <w:rPr>
          <w:rtl/>
        </w:rPr>
        <w:t xml:space="preserve">כשהועלו עניינים חדשים בכתב התביעה המתוקן בעקבות ההתפתחות </w:t>
      </w:r>
      <w:r w:rsidR="00DF5C0C">
        <w:rPr>
          <w:rFonts w:hint="cs"/>
          <w:rtl/>
        </w:rPr>
        <w:t xml:space="preserve">שחלה </w:t>
      </w:r>
      <w:r>
        <w:rPr>
          <w:rtl/>
        </w:rPr>
        <w:t>לאחר הגשת כתב התביעה</w:t>
      </w:r>
      <w:r w:rsidR="00A663CE">
        <w:rPr>
          <w:rFonts w:hint="cs"/>
          <w:rtl/>
        </w:rPr>
        <w:t xml:space="preserve"> ולאור ההודעה המשותפת</w:t>
      </w:r>
      <w:r w:rsidR="00DF5C0C">
        <w:rPr>
          <w:rFonts w:hint="cs"/>
          <w:rtl/>
        </w:rPr>
        <w:t>,</w:t>
      </w:r>
      <w:r>
        <w:rPr>
          <w:rtl/>
        </w:rPr>
        <w:t xml:space="preserve"> ו</w:t>
      </w:r>
      <w:r w:rsidR="00DF5C0C">
        <w:rPr>
          <w:rFonts w:hint="cs"/>
          <w:rtl/>
        </w:rPr>
        <w:t xml:space="preserve">תוך שתועמד </w:t>
      </w:r>
      <w:r>
        <w:rPr>
          <w:rFonts w:hint="cs"/>
          <w:rtl/>
        </w:rPr>
        <w:t xml:space="preserve">גם </w:t>
      </w:r>
      <w:r>
        <w:rPr>
          <w:rtl/>
        </w:rPr>
        <w:t>המחלוקת בעניין ההשבה על מכונה להכרעת בית המשפט</w:t>
      </w:r>
      <w:r>
        <w:rPr>
          <w:rFonts w:hint="cs"/>
          <w:rtl/>
        </w:rPr>
        <w:t xml:space="preserve"> -</w:t>
      </w:r>
      <w:r>
        <w:rPr>
          <w:rtl/>
        </w:rPr>
        <w:t xml:space="preserve"> נהיר שיש לאפשר לתקן את כתב ההגנה. </w:t>
      </w:r>
      <w:r>
        <w:rPr>
          <w:rFonts w:hint="cs"/>
          <w:rtl/>
        </w:rPr>
        <w:t>יש ל</w:t>
      </w:r>
      <w:r>
        <w:rPr>
          <w:rtl/>
        </w:rPr>
        <w:t>ציין כי אין מדובר בתיקונים רחבי היקף (השמטת התביעה של אורנשטיין שהופרדה</w:t>
      </w:r>
      <w:r w:rsidR="00DF5C0C">
        <w:rPr>
          <w:rFonts w:hint="cs"/>
          <w:rtl/>
        </w:rPr>
        <w:t>,</w:t>
      </w:r>
      <w:r>
        <w:rPr>
          <w:rtl/>
        </w:rPr>
        <w:t xml:space="preserve"> רק מקלה ולא קשורה לתיקון). אלא שהנתבעת סבורה, כאמור, כי יש</w:t>
      </w:r>
      <w:r>
        <w:rPr>
          <w:rtl/>
        </w:rPr>
        <w:t xml:space="preserve"> לאפשר לה להגיש כתב הגנה חדש ללא כל מגבלה (ואף הגשת כתב תביעה שכנגד), ואילו התובעים טוענים כי יש להגביל את הנתבעת כך שתוכל להתייחס לתיקונים שהתבקשו בלבד. אני סבורה כי על רקע תכלית התקנה ונסיבות העניין, אין מקום לאפשר הגשת כתב הגנה מתוקן ללא כל סייג. </w:t>
      </w:r>
      <w:r w:rsidR="00DF5C0C">
        <w:rPr>
          <w:rFonts w:hint="cs"/>
          <w:rtl/>
        </w:rPr>
        <w:t xml:space="preserve">תיקון כתב התביעה </w:t>
      </w:r>
      <w:r>
        <w:rPr>
          <w:rtl/>
        </w:rPr>
        <w:t>התבקש בשל נסיבות חדשות שנוצרו</w:t>
      </w:r>
      <w:r w:rsidR="00DF5C0C">
        <w:rPr>
          <w:rFonts w:hint="cs"/>
          <w:rtl/>
        </w:rPr>
        <w:t>,</w:t>
      </w:r>
      <w:r>
        <w:rPr>
          <w:rtl/>
        </w:rPr>
        <w:t xml:space="preserve"> ולא מסיבות התלויות בתובעים או בשל מחדלם. אין כל סיבה להעניק לנתבעת יתרון דיוני בנסיבות אלה, ויש להגביל את כתב ההגנה המתוקן לתיקונים הנוגעים לתיקונים שנעשו בכתב התביעה </w:t>
      </w:r>
      <w:r w:rsidR="00DF5C0C">
        <w:rPr>
          <w:rFonts w:hint="cs"/>
          <w:rtl/>
        </w:rPr>
        <w:t>המקורי</w:t>
      </w:r>
      <w:r>
        <w:rPr>
          <w:rtl/>
        </w:rPr>
        <w:t>, ולא מעבר לכך. וודאי שאין מקום לאפשר הגש</w:t>
      </w:r>
      <w:r>
        <w:rPr>
          <w:rtl/>
        </w:rPr>
        <w:t xml:space="preserve">ת כתב תביעה שכנגד שהתבקש "על החלק" מבלי שפורט דבר בעניין ומבלי שהובהר הצורך בו ולא פורט כדבעי, אם בכלל, כיצד כלל יכול להתעורר כאן הצורך בתביעה שכזו (אזכיר כי בידי </w:t>
      </w:r>
      <w:r w:rsidR="00D0118D">
        <w:rPr>
          <w:rFonts w:hint="cs"/>
          <w:rtl/>
        </w:rPr>
        <w:t>ה</w:t>
      </w:r>
      <w:r w:rsidR="00FC7F27">
        <w:rPr>
          <w:rFonts w:hint="cs"/>
          <w:rtl/>
        </w:rPr>
        <w:t xml:space="preserve">נתבעת </w:t>
      </w:r>
      <w:r>
        <w:rPr>
          <w:rtl/>
        </w:rPr>
        <w:t>סכומים נכבדים ששולמו בתמורה לדירות ו</w:t>
      </w:r>
      <w:r w:rsidR="0092190A">
        <w:rPr>
          <w:rFonts w:hint="cs"/>
          <w:rtl/>
        </w:rPr>
        <w:t>ה</w:t>
      </w:r>
      <w:r w:rsidR="00CA137C">
        <w:rPr>
          <w:rFonts w:hint="cs"/>
          <w:rtl/>
        </w:rPr>
        <w:t>נ</w:t>
      </w:r>
      <w:r w:rsidR="0092190A">
        <w:rPr>
          <w:rFonts w:hint="cs"/>
          <w:rtl/>
        </w:rPr>
        <w:t xml:space="preserve">תבעת </w:t>
      </w:r>
      <w:r w:rsidR="00BE214E">
        <w:rPr>
          <w:rFonts w:hint="cs"/>
          <w:rtl/>
        </w:rPr>
        <w:t>מבקשת להעלות</w:t>
      </w:r>
      <w:r>
        <w:rPr>
          <w:rtl/>
        </w:rPr>
        <w:t>, כך נראה לכאורה</w:t>
      </w:r>
      <w:r w:rsidR="00FC7F27">
        <w:rPr>
          <w:rFonts w:hint="cs"/>
          <w:rtl/>
        </w:rPr>
        <w:t xml:space="preserve"> מטענות הצדדים</w:t>
      </w:r>
      <w:r>
        <w:rPr>
          <w:rtl/>
        </w:rPr>
        <w:t>,</w:t>
      </w:r>
      <w:r>
        <w:rPr>
          <w:rtl/>
        </w:rPr>
        <w:t xml:space="preserve"> טענות קיזוז שיש בה</w:t>
      </w:r>
      <w:r w:rsidR="00FC7F27">
        <w:rPr>
          <w:rFonts w:hint="cs"/>
          <w:rtl/>
        </w:rPr>
        <w:t>ן</w:t>
      </w:r>
      <w:r>
        <w:rPr>
          <w:rtl/>
        </w:rPr>
        <w:t xml:space="preserve"> כדי לכרסם בסכום ההשבה</w:t>
      </w:r>
      <w:r w:rsidR="00797705">
        <w:rPr>
          <w:rFonts w:hint="cs"/>
          <w:rtl/>
        </w:rPr>
        <w:t>.</w:t>
      </w:r>
      <w:r w:rsidR="00FC7F27">
        <w:rPr>
          <w:rFonts w:hint="cs"/>
          <w:rtl/>
        </w:rPr>
        <w:t xml:space="preserve"> אם כך תבקש לטעון,</w:t>
      </w:r>
      <w:r>
        <w:rPr>
          <w:rtl/>
        </w:rPr>
        <w:t xml:space="preserve"> </w:t>
      </w:r>
      <w:r w:rsidR="00BE214E">
        <w:rPr>
          <w:rFonts w:hint="cs"/>
          <w:rtl/>
        </w:rPr>
        <w:t xml:space="preserve">בידה </w:t>
      </w:r>
      <w:r w:rsidR="00FC7F27">
        <w:rPr>
          <w:rFonts w:hint="cs"/>
          <w:rtl/>
        </w:rPr>
        <w:t>לעשות זאת במסגרת כתב ההגנה המתוקן</w:t>
      </w:r>
      <w:r>
        <w:rPr>
          <w:rtl/>
        </w:rPr>
        <w:t xml:space="preserve">). סבורני כי בנסיבות העניין די בכך שיוגש כתב הגנה מתוקן כשתיקוניו נוגעים לתיקונים שנעשו בכתב התביעה </w:t>
      </w:r>
      <w:r w:rsidR="00DF5C0C">
        <w:rPr>
          <w:rFonts w:hint="cs"/>
          <w:rtl/>
        </w:rPr>
        <w:t xml:space="preserve">המקורי </w:t>
      </w:r>
      <w:r w:rsidR="00BE214E">
        <w:rPr>
          <w:rFonts w:hint="cs"/>
          <w:rtl/>
        </w:rPr>
        <w:t>(</w:t>
      </w:r>
      <w:r w:rsidR="00DF5C0C">
        <w:rPr>
          <w:rFonts w:hint="cs"/>
          <w:rtl/>
        </w:rPr>
        <w:t xml:space="preserve">כפי שמופיעים הם בכתב התביעה </w:t>
      </w:r>
      <w:r>
        <w:rPr>
          <w:rtl/>
        </w:rPr>
        <w:t>המתוקן</w:t>
      </w:r>
      <w:r w:rsidR="00BE214E">
        <w:rPr>
          <w:rFonts w:hint="cs"/>
          <w:rtl/>
        </w:rPr>
        <w:t>)</w:t>
      </w:r>
      <w:r>
        <w:rPr>
          <w:rtl/>
        </w:rPr>
        <w:t xml:space="preserve">, ולכך בלבד. </w:t>
      </w:r>
      <w:r w:rsidR="00FC7F27">
        <w:rPr>
          <w:rFonts w:hint="cs"/>
          <w:rtl/>
        </w:rPr>
        <w:t>ל</w:t>
      </w:r>
      <w:r>
        <w:rPr>
          <w:rtl/>
        </w:rPr>
        <w:t>נתבעת יהא יומה במענה לתיקונים כנדרש ותוך שמירת ההגינות הדיונית והאיזון בין הצדדים</w:t>
      </w:r>
      <w:r w:rsidR="00BE214E">
        <w:rPr>
          <w:rFonts w:hint="cs"/>
          <w:rtl/>
        </w:rPr>
        <w:t>,</w:t>
      </w:r>
      <w:r w:rsidR="00DF5C0C">
        <w:rPr>
          <w:rFonts w:hint="cs"/>
          <w:rtl/>
        </w:rPr>
        <w:t xml:space="preserve"> ואף תוך שמירת התכלית הכללית של "מאזן האימה" כמתואר לעיל</w:t>
      </w:r>
      <w:r>
        <w:rPr>
          <w:rtl/>
        </w:rPr>
        <w:t xml:space="preserve">. </w:t>
      </w:r>
    </w:p>
    <w:p w14:paraId="08A9AF30" w14:textId="77777777" w:rsidR="004A6EC9" w:rsidRDefault="00286B43" w:rsidP="00DE4996">
      <w:pPr>
        <w:spacing w:before="708" w:line="276" w:lineRule="auto"/>
        <w:ind w:left="510" w:hanging="567"/>
        <w:outlineLvl w:val="1"/>
        <w:rPr>
          <w:rFonts w:ascii="David" w:hAnsi="David"/>
          <w:b/>
          <w:bCs/>
          <w:u w:val="single"/>
          <w:rtl/>
        </w:rPr>
      </w:pPr>
      <w:r>
        <w:rPr>
          <w:rFonts w:ascii="David" w:hAnsi="David" w:hint="cs"/>
          <w:b/>
          <w:bCs/>
          <w:u w:val="single"/>
          <w:rtl/>
        </w:rPr>
        <w:lastRenderedPageBreak/>
        <w:t>סיכום ו</w:t>
      </w:r>
      <w:r>
        <w:rPr>
          <w:rFonts w:ascii="David" w:hAnsi="David"/>
          <w:b/>
          <w:bCs/>
          <w:u w:val="single"/>
          <w:rtl/>
        </w:rPr>
        <w:t>סוף דבר</w:t>
      </w:r>
    </w:p>
    <w:p w14:paraId="70B28566" w14:textId="77777777" w:rsidR="004A6EC9" w:rsidRDefault="00286B43" w:rsidP="00D0118D">
      <w:pPr>
        <w:numPr>
          <w:ilvl w:val="0"/>
          <w:numId w:val="1"/>
        </w:numPr>
        <w:spacing w:before="272" w:line="360" w:lineRule="auto"/>
        <w:ind w:left="509" w:right="0" w:hanging="567"/>
        <w:jc w:val="both"/>
        <w:rPr>
          <w:rFonts w:ascii="Garamond" w:hAnsi="Garamond"/>
        </w:rPr>
      </w:pPr>
      <w:r>
        <w:rPr>
          <w:rFonts w:ascii="David" w:hAnsi="David"/>
          <w:rtl/>
        </w:rPr>
        <w:t xml:space="preserve">מכל המקובץ, הבקשה לתיקון כתב התביעה מתקבלת. </w:t>
      </w:r>
      <w:r>
        <w:rPr>
          <w:rFonts w:ascii="David" w:hAnsi="David"/>
          <w:rtl/>
        </w:rPr>
        <w:tab/>
      </w:r>
      <w:r>
        <w:rPr>
          <w:rFonts w:ascii="David" w:hAnsi="David"/>
          <w:rtl/>
        </w:rPr>
        <w:br/>
        <w:t xml:space="preserve">ראיתי לאפשר </w:t>
      </w:r>
      <w:r>
        <w:rPr>
          <w:rtl/>
        </w:rPr>
        <w:t xml:space="preserve">הגשתו של כתב הגנה מתוקן המתייחס לתיקונים שנעשו </w:t>
      </w:r>
      <w:r w:rsidR="00DF5C0C">
        <w:rPr>
          <w:rFonts w:hint="cs"/>
          <w:rtl/>
        </w:rPr>
        <w:t>בכתב התביעה מקורי</w:t>
      </w:r>
      <w:r>
        <w:rPr>
          <w:rtl/>
        </w:rPr>
        <w:t xml:space="preserve">, ורק זאת. </w:t>
      </w:r>
    </w:p>
    <w:p w14:paraId="0BB48668" w14:textId="77777777" w:rsidR="004A6EC9" w:rsidRDefault="00286B43" w:rsidP="00797705">
      <w:pPr>
        <w:numPr>
          <w:ilvl w:val="0"/>
          <w:numId w:val="1"/>
        </w:numPr>
        <w:spacing w:before="414" w:line="360" w:lineRule="auto"/>
        <w:ind w:left="509" w:right="0" w:hanging="567"/>
        <w:jc w:val="both"/>
        <w:rPr>
          <w:rtl/>
        </w:rPr>
      </w:pPr>
      <w:r w:rsidRPr="00D0118D">
        <w:rPr>
          <w:b/>
          <w:bCs/>
          <w:rtl/>
        </w:rPr>
        <w:t>בהמשך להכרעתי</w:t>
      </w:r>
      <w:r w:rsidR="00797705">
        <w:rPr>
          <w:rFonts w:hint="cs"/>
          <w:b/>
          <w:bCs/>
          <w:rtl/>
        </w:rPr>
        <w:t xml:space="preserve"> האמורה</w:t>
      </w:r>
      <w:r w:rsidRPr="00D0118D">
        <w:rPr>
          <w:b/>
          <w:bCs/>
          <w:rtl/>
        </w:rPr>
        <w:t>, נקבעות הוראות נוספות כדלקמן:</w:t>
      </w:r>
      <w:r>
        <w:rPr>
          <w:rtl/>
        </w:rPr>
        <w:tab/>
      </w:r>
      <w:r>
        <w:rPr>
          <w:rtl/>
        </w:rPr>
        <w:br/>
      </w:r>
      <w:r>
        <w:rPr>
          <w:b/>
          <w:bCs/>
          <w:rtl/>
        </w:rPr>
        <w:t>(1)</w:t>
      </w:r>
      <w:r>
        <w:rPr>
          <w:rtl/>
        </w:rPr>
        <w:t>. כתב התביעה המתוקן יוגש לתיקיית כתבי הטענות</w:t>
      </w:r>
      <w:r w:rsidR="00FC7F27">
        <w:rPr>
          <w:rFonts w:hint="cs"/>
          <w:rtl/>
        </w:rPr>
        <w:t xml:space="preserve"> בנט המשפט</w:t>
      </w:r>
      <w:r>
        <w:rPr>
          <w:rtl/>
        </w:rPr>
        <w:t xml:space="preserve"> ולצד שכנגד</w:t>
      </w:r>
      <w:r w:rsidR="00DF5C0C">
        <w:rPr>
          <w:rFonts w:hint="cs"/>
          <w:rtl/>
        </w:rPr>
        <w:t>,</w:t>
      </w:r>
      <w:r>
        <w:rPr>
          <w:rtl/>
        </w:rPr>
        <w:t xml:space="preserve"> בתוך עד 14 ימים (הפגרה במניין). </w:t>
      </w:r>
      <w:r w:rsidR="00FC7F27">
        <w:rPr>
          <w:rtl/>
        </w:rPr>
        <w:tab/>
      </w:r>
      <w:r>
        <w:rPr>
          <w:rtl/>
        </w:rPr>
        <w:br/>
      </w:r>
      <w:r>
        <w:rPr>
          <w:b/>
          <w:bCs/>
          <w:rtl/>
        </w:rPr>
        <w:t>(2)</w:t>
      </w:r>
      <w:r>
        <w:rPr>
          <w:rtl/>
        </w:rPr>
        <w:t>. כתב ההגנה יוגש בתוך</w:t>
      </w:r>
      <w:r>
        <w:rPr>
          <w:rtl/>
        </w:rPr>
        <w:t xml:space="preserve"> 20 ימים (הפגרה לא במניין)</w:t>
      </w:r>
      <w:r>
        <w:rPr>
          <w:rFonts w:hint="cs"/>
        </w:rPr>
        <w:t xml:space="preserve"> </w:t>
      </w:r>
      <w:r>
        <w:rPr>
          <w:rtl/>
        </w:rPr>
        <w:t xml:space="preserve">ובהתאם להוראות לעיל. </w:t>
      </w:r>
      <w:r w:rsidR="00DF5C0C">
        <w:rPr>
          <w:rtl/>
        </w:rPr>
        <w:tab/>
      </w:r>
      <w:r w:rsidR="00DF5C0C">
        <w:rPr>
          <w:rtl/>
        </w:rPr>
        <w:br/>
      </w:r>
      <w:r>
        <w:rPr>
          <w:rtl/>
        </w:rPr>
        <w:t xml:space="preserve">כתב ההגנה יוגש בעותק אחד עם סימני מהדורה ובעותק נוסף חלק ללא סימני מהדורה. </w:t>
      </w:r>
      <w:r>
        <w:rPr>
          <w:rtl/>
        </w:rPr>
        <w:br/>
      </w:r>
      <w:r>
        <w:rPr>
          <w:b/>
          <w:bCs/>
          <w:rtl/>
        </w:rPr>
        <w:t>(3)</w:t>
      </w:r>
      <w:r>
        <w:rPr>
          <w:rtl/>
        </w:rPr>
        <w:t xml:space="preserve">. כתב תשובה אם יידרש, ואף הוא רק לעניין התיקונים </w:t>
      </w:r>
      <w:r w:rsidR="00DF5C0C">
        <w:rPr>
          <w:rFonts w:hint="cs"/>
          <w:rtl/>
        </w:rPr>
        <w:t xml:space="preserve">שנעשו </w:t>
      </w:r>
      <w:r>
        <w:rPr>
          <w:rtl/>
        </w:rPr>
        <w:t>בכתב ההגנה</w:t>
      </w:r>
      <w:r w:rsidR="0022320F">
        <w:rPr>
          <w:rFonts w:hint="cs"/>
          <w:rtl/>
        </w:rPr>
        <w:t xml:space="preserve"> המקורי</w:t>
      </w:r>
      <w:r>
        <w:rPr>
          <w:rtl/>
        </w:rPr>
        <w:t xml:space="preserve">, יוגש בתוך 14 ימים שלאחר מכן. </w:t>
      </w:r>
      <w:r>
        <w:rPr>
          <w:rtl/>
        </w:rPr>
        <w:tab/>
      </w:r>
      <w:r>
        <w:rPr>
          <w:rtl/>
        </w:rPr>
        <w:br/>
      </w:r>
      <w:r>
        <w:rPr>
          <w:b/>
          <w:bCs/>
          <w:rtl/>
        </w:rPr>
        <w:t>(4)</w:t>
      </w:r>
      <w:r w:rsidRPr="00FC7F27">
        <w:rPr>
          <w:rtl/>
        </w:rPr>
        <w:t xml:space="preserve">. </w:t>
      </w:r>
      <w:r>
        <w:rPr>
          <w:rtl/>
        </w:rPr>
        <w:t xml:space="preserve">ההליכים המקדמיים </w:t>
      </w:r>
      <w:r>
        <w:rPr>
          <w:rtl/>
        </w:rPr>
        <w:t>בקשר עם התיקונים בלבד, יושלמו</w:t>
      </w:r>
      <w:r w:rsidR="00BE214E">
        <w:rPr>
          <w:rFonts w:hint="cs"/>
          <w:rtl/>
        </w:rPr>
        <w:t xml:space="preserve"> </w:t>
      </w:r>
      <w:r w:rsidR="0022320F">
        <w:rPr>
          <w:rFonts w:hint="cs"/>
          <w:rtl/>
        </w:rPr>
        <w:t>ב</w:t>
      </w:r>
      <w:r w:rsidR="00BE214E">
        <w:rPr>
          <w:rFonts w:hint="cs"/>
          <w:rtl/>
        </w:rPr>
        <w:t xml:space="preserve">תוך </w:t>
      </w:r>
      <w:r>
        <w:rPr>
          <w:rtl/>
        </w:rPr>
        <w:t xml:space="preserve">30 ימים </w:t>
      </w:r>
      <w:r w:rsidR="00BE214E">
        <w:rPr>
          <w:rFonts w:hint="cs"/>
          <w:rtl/>
        </w:rPr>
        <w:t>ש</w:t>
      </w:r>
      <w:r>
        <w:rPr>
          <w:rtl/>
        </w:rPr>
        <w:t>לאחר מכן (כולל עיון. דהיינו: לתצהירי הגילוי המשלימים</w:t>
      </w:r>
      <w:r w:rsidR="0022320F">
        <w:rPr>
          <w:rFonts w:hint="cs"/>
          <w:rtl/>
        </w:rPr>
        <w:t>,</w:t>
      </w:r>
      <w:r>
        <w:rPr>
          <w:rtl/>
        </w:rPr>
        <w:t xml:space="preserve"> יצורפו המסמכים עצמם). </w:t>
      </w:r>
      <w:r w:rsidR="00FC7F27">
        <w:rPr>
          <w:rtl/>
        </w:rPr>
        <w:tab/>
      </w:r>
      <w:r w:rsidR="00FC7F27">
        <w:rPr>
          <w:rtl/>
        </w:rPr>
        <w:br/>
      </w:r>
      <w:r w:rsidR="00BE214E">
        <w:rPr>
          <w:rFonts w:hint="cs"/>
          <w:rtl/>
        </w:rPr>
        <w:t>למען הסר ספק, אם קיים, מובהר שוב, כי החלטתי מיום 13.2.2025 (</w:t>
      </w:r>
      <w:r w:rsidR="00D0118D">
        <w:rPr>
          <w:rFonts w:hint="cs"/>
          <w:rtl/>
        </w:rPr>
        <w:t xml:space="preserve">על הארכת המועד </w:t>
      </w:r>
      <w:r w:rsidR="00BE214E">
        <w:rPr>
          <w:rFonts w:hint="cs"/>
          <w:rtl/>
        </w:rPr>
        <w:t>מיום 16.3.2025)</w:t>
      </w:r>
      <w:r w:rsidR="00BE214E">
        <w:rPr>
          <w:rFonts w:hint="cs"/>
        </w:rPr>
        <w:t xml:space="preserve"> </w:t>
      </w:r>
      <w:r w:rsidR="00BE214E">
        <w:rPr>
          <w:rFonts w:hint="cs"/>
          <w:rtl/>
        </w:rPr>
        <w:t xml:space="preserve">בעינה עומדת ואין דבר בהחלטה זו שיש בו כדי לגרוע ממנה. </w:t>
      </w:r>
    </w:p>
    <w:p w14:paraId="2794EA12" w14:textId="77777777" w:rsidR="004A6EC9" w:rsidRDefault="00286B43" w:rsidP="00D0118D">
      <w:pPr>
        <w:numPr>
          <w:ilvl w:val="0"/>
          <w:numId w:val="1"/>
        </w:numPr>
        <w:spacing w:before="414" w:line="360" w:lineRule="auto"/>
        <w:ind w:left="509" w:right="0" w:hanging="567"/>
        <w:jc w:val="both"/>
        <w:rPr>
          <w:rFonts w:ascii="David" w:hAnsi="David"/>
          <w:rtl/>
        </w:rPr>
      </w:pPr>
      <w:r>
        <w:rPr>
          <w:rtl/>
        </w:rPr>
        <w:t>באשר להוצאות – בנסיבות העניין, ובשים לב לכך שבעניין היקף תיקון כתב ההגנה (שהוא למעשה העניין העיקרי</w:t>
      </w:r>
      <w:r>
        <w:rPr>
          <w:rFonts w:ascii="David" w:hAnsi="David"/>
          <w:rtl/>
        </w:rPr>
        <w:t xml:space="preserve"> בהחלטה)</w:t>
      </w:r>
      <w:r>
        <w:rPr>
          <w:rFonts w:ascii="David" w:hAnsi="David"/>
        </w:rPr>
        <w:t xml:space="preserve"> </w:t>
      </w:r>
      <w:r>
        <w:rPr>
          <w:rFonts w:ascii="David" w:hAnsi="David"/>
          <w:rtl/>
        </w:rPr>
        <w:t>דחיתי את עמדת הנתבעת, לא ראיתי לקבוע הוצאות בנפרד לעניין זה</w:t>
      </w:r>
      <w:r w:rsidR="0022320F">
        <w:rPr>
          <w:rFonts w:ascii="David" w:hAnsi="David" w:hint="cs"/>
          <w:rtl/>
        </w:rPr>
        <w:t>,</w:t>
      </w:r>
      <w:r>
        <w:rPr>
          <w:rFonts w:ascii="David" w:hAnsi="David"/>
          <w:rtl/>
        </w:rPr>
        <w:t xml:space="preserve"> והדבר יובא בחשבון במסגרת פסק הדין. </w:t>
      </w:r>
    </w:p>
    <w:p w14:paraId="16E4876A" w14:textId="77777777" w:rsidR="00694556" w:rsidRPr="0022320F" w:rsidRDefault="00286B43" w:rsidP="00DE4996">
      <w:pPr>
        <w:spacing w:before="354" w:line="360" w:lineRule="auto"/>
        <w:jc w:val="both"/>
        <w:outlineLvl w:val="2"/>
        <w:rPr>
          <w:rFonts w:ascii="Arial" w:hAnsi="Arial"/>
          <w:b/>
          <w:bCs/>
          <w:noProof w:val="0"/>
          <w:u w:val="single"/>
          <w:rtl/>
        </w:rPr>
      </w:pPr>
      <w:r w:rsidRPr="0022320F">
        <w:rPr>
          <w:rFonts w:ascii="Arial" w:hAnsi="Arial" w:hint="cs"/>
          <w:b/>
          <w:bCs/>
          <w:noProof w:val="0"/>
          <w:u w:val="single"/>
          <w:rtl/>
        </w:rPr>
        <w:t>המזכירות תדוור לצדדים</w:t>
      </w:r>
    </w:p>
    <w:p w14:paraId="582B9CF0" w14:textId="77777777" w:rsidR="00C43648" w:rsidRDefault="00286B43" w:rsidP="00D0118D">
      <w:pPr>
        <w:spacing w:line="360" w:lineRule="auto"/>
        <w:jc w:val="both"/>
        <w:rPr>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 xml:space="preserve">כ"ה </w:t>
          </w:r>
          <w:r>
            <w:rPr>
              <w:rFonts w:ascii="Arial" w:hAnsi="Arial"/>
              <w:noProof w:val="0"/>
              <w:rtl/>
            </w:rPr>
            <w:t>תמוז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21 יולי 2025</w:t>
          </w:r>
        </w:sdtContent>
      </w:sdt>
      <w:r w:rsidR="00005C8B">
        <w:rPr>
          <w:rFonts w:ascii="Arial" w:hAnsi="Arial"/>
          <w:noProof w:val="0"/>
          <w:rtl/>
        </w:rPr>
        <w:t>, בהעדר הצדדים.</w:t>
      </w:r>
      <w:sdt>
        <w:sdtPr>
          <w:rPr>
            <w:rFonts w:hint="cs"/>
            <w:rtl/>
          </w:rPr>
          <w:alias w:val="2045"/>
          <w:tag w:val="2045"/>
          <w:id w:val="740689340"/>
          <w:placeholder>
            <w:docPart w:val="E460D38E05664FF79D4EFF282EF8EC99"/>
          </w:placeholder>
          <w:showingPlcHdr/>
          <w:text w:multiLine="1"/>
        </w:sdtPr>
        <w:sdtEndPr/>
        <w:sdtContent>
          <w:r>
            <w:rPr>
              <w:rFonts w:hint="cs"/>
              <w:rtl/>
            </w:rPr>
            <w:t xml:space="preserve">     </w:t>
          </w:r>
        </w:sdtContent>
      </w:sdt>
    </w:p>
    <w:p w14:paraId="1C307C34" w14:textId="77777777" w:rsidR="00694556" w:rsidRDefault="00286B43" w:rsidP="00BD6531">
      <w:pPr>
        <w:tabs>
          <w:tab w:val="left" w:pos="2553"/>
        </w:tabs>
        <w:spacing w:after="236"/>
      </w:pPr>
      <w:r>
        <w:rPr>
          <w:rFonts w:hint="cs"/>
          <w:rtl/>
        </w:rPr>
        <w:tab/>
      </w:r>
      <w:r>
        <w:rPr>
          <w:rFonts w:hint="cs"/>
          <w:rtl/>
        </w:rPr>
        <w:tab/>
      </w:r>
      <w:r>
        <w:rPr>
          <w:rFonts w:hint="cs"/>
          <w:rtl/>
        </w:rPr>
        <w:tab/>
      </w:r>
      <w:r>
        <w:rPr>
          <w:rFonts w:hint="cs"/>
          <w:rtl/>
        </w:rPr>
        <w:tab/>
        <w:t xml:space="preserve">        </w:t>
      </w:r>
      <w:sdt>
        <w:sdtPr>
          <w:rPr>
            <w:rtl/>
          </w:rPr>
          <w:alias w:val="MergeField"/>
          <w:tag w:val="1237"/>
          <w:id w:val="689033173"/>
        </w:sdtPr>
        <w:sdtEndPr/>
        <w:sdtContent>
          <w:r w:rsidR="00F121A6">
            <w:drawing>
              <wp:inline distT="0" distB="0" distL="0" distR="0" wp14:anchorId="0B19A8A4" wp14:editId="38DE65BC">
                <wp:extent cx="1028700" cy="828675"/>
                <wp:effectExtent l="0" t="0" r="0" b="0"/>
                <wp:docPr id="1" name="Picture 1" descr="חתימת יעל בלכר- שופט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חתימת יעל בלכר- שופטת"/>
                        <pic:cNvPicPr/>
                      </pic:nvPicPr>
                      <pic:blipFill>
                        <a:blip r:embed="rId13" cstate="print"/>
                        <a:stretch>
                          <a:fillRect/>
                        </a:stretch>
                      </pic:blipFill>
                      <pic:spPr>
                        <a:xfrm>
                          <a:off x="0" y="0"/>
                          <a:ext cx="1028700" cy="828675"/>
                        </a:xfrm>
                        <a:prstGeom prst="rect">
                          <a:avLst/>
                        </a:prstGeom>
                      </pic:spPr>
                    </pic:pic>
                  </a:graphicData>
                </a:graphic>
              </wp:inline>
            </w:drawing>
          </w:r>
        </w:sdtContent>
      </w:sdt>
    </w:p>
    <w:sectPr w:rsidR="00694556" w:rsidSect="00986AC2">
      <w:headerReference w:type="default" r:id="rId14"/>
      <w:type w:val="continuous"/>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50EA4" w14:textId="77777777" w:rsidR="001811C0" w:rsidRDefault="001811C0">
      <w:r>
        <w:separator/>
      </w:r>
    </w:p>
  </w:endnote>
  <w:endnote w:type="continuationSeparator" w:id="0">
    <w:p w14:paraId="547D5273" w14:textId="77777777" w:rsidR="001811C0" w:rsidRDefault="00181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avid,Bold">
    <w:altName w:val="David"/>
    <w:panose1 w:val="00000000000000000000"/>
    <w:charset w:val="B1"/>
    <w:family w:val="auto"/>
    <w:notTrueType/>
    <w:pitch w:val="default"/>
    <w:sig w:usb0="00000801" w:usb1="0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85218" w14:textId="5EF6349B" w:rsidR="00694556" w:rsidRPr="00E765F7" w:rsidRDefault="00286B43">
    <w:pPr>
      <w:pStyle w:val="a5"/>
      <w:jc w:val="center"/>
      <w:rPr>
        <w:rStyle w:val="ac"/>
        <w:rFonts w:ascii="David" w:hAnsi="David"/>
      </w:rPr>
    </w:pPr>
    <w:r w:rsidRPr="00E765F7">
      <w:rPr>
        <w:rStyle w:val="ac"/>
        <w:rFonts w:ascii="David" w:hAnsi="David"/>
      </w:rPr>
      <w:fldChar w:fldCharType="begin"/>
    </w:r>
    <w:r w:rsidR="00005C8B" w:rsidRPr="00E765F7">
      <w:rPr>
        <w:rStyle w:val="ac"/>
        <w:rFonts w:ascii="David" w:hAnsi="David"/>
      </w:rPr>
      <w:instrText xml:space="preserve"> PAGE </w:instrText>
    </w:r>
    <w:r w:rsidRPr="00E765F7">
      <w:rPr>
        <w:rStyle w:val="ac"/>
        <w:rFonts w:ascii="David" w:hAnsi="David"/>
      </w:rPr>
      <w:fldChar w:fldCharType="separate"/>
    </w:r>
    <w:r>
      <w:rPr>
        <w:rStyle w:val="ac"/>
        <w:rFonts w:ascii="David" w:hAnsi="David"/>
        <w:rtl/>
      </w:rPr>
      <w:t>2</w:t>
    </w:r>
    <w:r w:rsidRPr="00E765F7">
      <w:rPr>
        <w:rStyle w:val="ac"/>
        <w:rFonts w:ascii="David" w:hAnsi="David"/>
      </w:rPr>
      <w:fldChar w:fldCharType="end"/>
    </w:r>
    <w:r w:rsidR="00005C8B" w:rsidRPr="00E765F7">
      <w:rPr>
        <w:rStyle w:val="ac"/>
        <w:rFonts w:ascii="David" w:hAnsi="David"/>
        <w:rtl/>
      </w:rPr>
      <w:t xml:space="preserve"> מתוך </w:t>
    </w:r>
    <w:r w:rsidRPr="00E765F7">
      <w:rPr>
        <w:rStyle w:val="ac"/>
        <w:rFonts w:ascii="David" w:hAnsi="David"/>
      </w:rPr>
      <w:fldChar w:fldCharType="begin"/>
    </w:r>
    <w:r w:rsidR="00005C8B" w:rsidRPr="00E765F7">
      <w:rPr>
        <w:rStyle w:val="ac"/>
        <w:rFonts w:ascii="David" w:hAnsi="David"/>
      </w:rPr>
      <w:instrText xml:space="preserve"> NUMPAGES </w:instrText>
    </w:r>
    <w:r w:rsidRPr="00E765F7">
      <w:rPr>
        <w:rStyle w:val="ac"/>
        <w:rFonts w:ascii="David" w:hAnsi="David"/>
      </w:rPr>
      <w:fldChar w:fldCharType="separate"/>
    </w:r>
    <w:r>
      <w:rPr>
        <w:rStyle w:val="ac"/>
        <w:rFonts w:ascii="David" w:hAnsi="David"/>
        <w:rtl/>
      </w:rPr>
      <w:t>8</w:t>
    </w:r>
    <w:r w:rsidRPr="00E765F7">
      <w:rPr>
        <w:rStyle w:val="ac"/>
        <w:rFonts w:ascii="David" w:hAnsi="Dav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1D255C" w14:textId="77777777" w:rsidR="001811C0" w:rsidRDefault="001811C0">
      <w:r>
        <w:separator/>
      </w:r>
    </w:p>
  </w:footnote>
  <w:footnote w:type="continuationSeparator" w:id="0">
    <w:p w14:paraId="4B63CDFF" w14:textId="77777777" w:rsidR="001811C0" w:rsidRDefault="00181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52DF5" w14:textId="77777777" w:rsidR="00986AC2" w:rsidRDefault="00986AC2">
    <w:pPr>
      <w:pStyle w:val="a3"/>
      <w:jc w:val="center"/>
      <w:rPr>
        <w:rFonts w:cs="FrankRuehl"/>
        <w:noProof w:val="0"/>
        <w:sz w:val="28"/>
        <w:szCs w:val="28"/>
        <w:rtl/>
      </w:rPr>
    </w:pPr>
    <w:r>
      <w:rPr>
        <w:rFonts w:cs="FrankRuehl"/>
        <w:sz w:val="28"/>
        <w:szCs w:val="28"/>
      </w:rPr>
      <w:drawing>
        <wp:inline distT="0" distB="0" distL="0" distR="0" wp14:anchorId="382C824D" wp14:editId="1E8F8DEE">
          <wp:extent cx="374015" cy="469265"/>
          <wp:effectExtent l="0" t="0" r="6985" b="6985"/>
          <wp:docPr id="1510026929"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74015" cy="469265"/>
                  </a:xfrm>
                  <a:prstGeom prst="rect">
                    <a:avLst/>
                  </a:prstGeom>
                  <a:noFill/>
                  <a:ln>
                    <a:noFill/>
                  </a:ln>
                </pic:spPr>
              </pic:pic>
            </a:graphicData>
          </a:graphic>
        </wp:inline>
      </w:drawing>
    </w:r>
  </w:p>
  <w:p w14:paraId="6D40BC5C" w14:textId="77777777" w:rsidR="00986AC2" w:rsidRPr="00F038D8" w:rsidRDefault="00986AC2"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בתל אביב -יפו</w:t>
    </w:r>
  </w:p>
  <w:p w14:paraId="678703A4" w14:textId="77777777" w:rsidR="00986AC2" w:rsidRDefault="00986AC2">
    <w:pPr>
      <w:rPr>
        <w:b/>
        <w:bCs/>
        <w:noProof w:val="0"/>
        <w:sz w:val="26"/>
        <w:szCs w:val="26"/>
        <w:rtl/>
      </w:rPr>
    </w:pPr>
  </w:p>
  <w:p w14:paraId="41A39773" w14:textId="77777777" w:rsidR="00986AC2" w:rsidRDefault="00286B43" w:rsidP="00DE4996">
    <w:pPr>
      <w:spacing w:before="240"/>
      <w:rPr>
        <w:b/>
        <w:bCs/>
        <w:noProof w:val="0"/>
        <w:sz w:val="26"/>
        <w:szCs w:val="26"/>
        <w:rtl/>
      </w:rPr>
    </w:pPr>
    <w:sdt>
      <w:sdtPr>
        <w:rPr>
          <w:rtl/>
        </w:rPr>
        <w:alias w:val="1170"/>
        <w:tag w:val="1170"/>
        <w:id w:val="-1161609446"/>
        <w:text w:multiLine="1"/>
      </w:sdtPr>
      <w:sdtEndPr/>
      <w:sdtContent>
        <w:r w:rsidR="00986AC2">
          <w:rPr>
            <w:b/>
            <w:bCs/>
            <w:noProof w:val="0"/>
            <w:sz w:val="26"/>
            <w:szCs w:val="26"/>
            <w:rtl/>
          </w:rPr>
          <w:t>ת"א</w:t>
        </w:r>
      </w:sdtContent>
    </w:sdt>
    <w:r w:rsidR="00986AC2">
      <w:rPr>
        <w:b/>
        <w:bCs/>
        <w:noProof w:val="0"/>
        <w:sz w:val="26"/>
        <w:szCs w:val="26"/>
        <w:rtl/>
      </w:rPr>
      <w:t xml:space="preserve"> </w:t>
    </w:r>
    <w:sdt>
      <w:sdtPr>
        <w:rPr>
          <w:rtl/>
        </w:rPr>
        <w:alias w:val="1171"/>
        <w:tag w:val="1171"/>
        <w:id w:val="702371499"/>
        <w:text w:multiLine="1"/>
      </w:sdtPr>
      <w:sdtEndPr/>
      <w:sdtContent>
        <w:r w:rsidR="00986AC2">
          <w:rPr>
            <w:b/>
            <w:bCs/>
            <w:noProof w:val="0"/>
            <w:sz w:val="26"/>
            <w:szCs w:val="26"/>
            <w:rtl/>
          </w:rPr>
          <w:t>26097-02-24</w:t>
        </w:r>
      </w:sdtContent>
    </w:sdt>
    <w:r w:rsidR="00986AC2">
      <w:rPr>
        <w:b/>
        <w:bCs/>
        <w:noProof w:val="0"/>
        <w:sz w:val="26"/>
        <w:szCs w:val="26"/>
        <w:rtl/>
      </w:rPr>
      <w:t xml:space="preserve"> </w:t>
    </w:r>
    <w:sdt>
      <w:sdtPr>
        <w:rPr>
          <w:b/>
          <w:bCs/>
          <w:noProof w:val="0"/>
          <w:sz w:val="26"/>
          <w:szCs w:val="26"/>
          <w:rtl/>
        </w:rPr>
        <w:alias w:val="3154"/>
        <w:tag w:val="3154"/>
        <w:id w:val="883909915"/>
        <w:placeholder>
          <w:docPart w:val="1D27EB8764074530A2A022FE5C91CC5A"/>
        </w:placeholder>
        <w:text w:multiLine="1"/>
      </w:sdtPr>
      <w:sdtEndPr/>
      <w:sdtContent>
        <w:r w:rsidR="00986AC2">
          <w:rPr>
            <w:b/>
            <w:bCs/>
            <w:noProof w:val="0"/>
            <w:sz w:val="26"/>
            <w:szCs w:val="26"/>
            <w:rtl/>
          </w:rPr>
          <w:t>ברנובסקי ואח' נ' מגדלי בראשית דניאל - נדל"ן בע"מ</w:t>
        </w:r>
      </w:sdtContent>
    </w:sdt>
    <w:r w:rsidR="00986AC2">
      <w:rPr>
        <w:b/>
        <w:bCs/>
        <w:noProof w:val="0"/>
        <w:sz w:val="26"/>
        <w:szCs w:val="26"/>
        <w:rtl/>
      </w:rPr>
      <w:t xml:space="preserve"> </w:t>
    </w:r>
  </w:p>
  <w:p w14:paraId="3BF5EDB2" w14:textId="77777777" w:rsidR="00986AC2" w:rsidRPr="007B7765" w:rsidRDefault="00986AC2" w:rsidP="007D45E3">
    <w:pPr>
      <w:rPr>
        <w:b/>
        <w:bCs/>
        <w:noProof w:val="0"/>
        <w:sz w:val="2"/>
        <w:szCs w:val="2"/>
        <w:rtl/>
      </w:rPr>
    </w:pPr>
  </w:p>
  <w:p w14:paraId="64AC941D" w14:textId="77777777" w:rsidR="00986AC2" w:rsidRDefault="00986AC2" w:rsidP="007D45E3">
    <w:pPr>
      <w:rPr>
        <w:sz w:val="20"/>
        <w:szCs w:val="20"/>
        <w:rtl/>
      </w:rPr>
    </w:pPr>
    <w:r>
      <w:rPr>
        <w:rFonts w:hint="cs"/>
        <w:rtl/>
      </w:rPr>
      <w:t xml:space="preserve">                           </w:t>
    </w:r>
    <w:r>
      <w:rPr>
        <w:rFonts w:hint="cs"/>
        <w:sz w:val="20"/>
        <w:szCs w:val="20"/>
        <w:rtl/>
      </w:rPr>
      <w:t xml:space="preserve">                                       </w:t>
    </w:r>
  </w:p>
  <w:p w14:paraId="4BBAFD31" w14:textId="77777777" w:rsidR="00986AC2" w:rsidRPr="00E1068A" w:rsidRDefault="00986AC2" w:rsidP="007D45E3">
    <w:pPr>
      <w:rPr>
        <w:sz w:val="20"/>
        <w:szCs w:val="20"/>
        <w:rtl/>
      </w:rPr>
    </w:pPr>
  </w:p>
  <w:p w14:paraId="5F9026C7" w14:textId="77777777" w:rsidR="00986AC2" w:rsidRDefault="00986AC2" w:rsidP="00DE4996">
    <w:pPr>
      <w:pStyle w:val="a3"/>
      <w:spacing w:after="240"/>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FC6277"/>
    <w:multiLevelType w:val="hybridMultilevel"/>
    <w:tmpl w:val="99EC6E66"/>
    <w:lvl w:ilvl="0" w:tplc="288AA9E6">
      <w:start w:val="1"/>
      <w:numFmt w:val="decimal"/>
      <w:lvlText w:val="%1."/>
      <w:lvlJc w:val="left"/>
      <w:pPr>
        <w:ind w:left="720" w:right="3762" w:hanging="360"/>
      </w:pPr>
      <w:rPr>
        <w:b w:val="0"/>
        <w:bCs w:val="0"/>
      </w:rPr>
    </w:lvl>
    <w:lvl w:ilvl="1" w:tplc="5C78DAC8">
      <w:start w:val="1"/>
      <w:numFmt w:val="lowerLetter"/>
      <w:lvlText w:val="%2."/>
      <w:lvlJc w:val="left"/>
      <w:pPr>
        <w:ind w:left="1440" w:hanging="360"/>
      </w:pPr>
    </w:lvl>
    <w:lvl w:ilvl="2" w:tplc="C352DA50">
      <w:start w:val="1"/>
      <w:numFmt w:val="lowerRoman"/>
      <w:lvlText w:val="%3."/>
      <w:lvlJc w:val="right"/>
      <w:pPr>
        <w:ind w:left="2160" w:hanging="180"/>
      </w:pPr>
    </w:lvl>
    <w:lvl w:ilvl="3" w:tplc="D836523A">
      <w:start w:val="1"/>
      <w:numFmt w:val="decimal"/>
      <w:lvlText w:val="%4."/>
      <w:lvlJc w:val="left"/>
      <w:pPr>
        <w:ind w:left="2880" w:hanging="360"/>
      </w:pPr>
    </w:lvl>
    <w:lvl w:ilvl="4" w:tplc="DCF0943E">
      <w:start w:val="1"/>
      <w:numFmt w:val="lowerLetter"/>
      <w:lvlText w:val="%5."/>
      <w:lvlJc w:val="left"/>
      <w:pPr>
        <w:ind w:left="3600" w:hanging="360"/>
      </w:pPr>
    </w:lvl>
    <w:lvl w:ilvl="5" w:tplc="A9FA4B02">
      <w:start w:val="1"/>
      <w:numFmt w:val="lowerRoman"/>
      <w:lvlText w:val="%6."/>
      <w:lvlJc w:val="right"/>
      <w:pPr>
        <w:ind w:left="4320" w:hanging="180"/>
      </w:pPr>
    </w:lvl>
    <w:lvl w:ilvl="6" w:tplc="0DE2014E">
      <w:start w:val="1"/>
      <w:numFmt w:val="decimal"/>
      <w:lvlText w:val="%7."/>
      <w:lvlJc w:val="left"/>
      <w:pPr>
        <w:ind w:left="5040" w:hanging="360"/>
      </w:pPr>
    </w:lvl>
    <w:lvl w:ilvl="7" w:tplc="737CF198">
      <w:start w:val="1"/>
      <w:numFmt w:val="lowerLetter"/>
      <w:lvlText w:val="%8."/>
      <w:lvlJc w:val="left"/>
      <w:pPr>
        <w:ind w:left="5760" w:hanging="360"/>
      </w:pPr>
    </w:lvl>
    <w:lvl w:ilvl="8" w:tplc="DE48125A">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07DE0"/>
    <w:rsid w:val="00015B33"/>
    <w:rsid w:val="000346CC"/>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496E"/>
    <w:rsid w:val="001367BC"/>
    <w:rsid w:val="00144D2A"/>
    <w:rsid w:val="0014653E"/>
    <w:rsid w:val="00180519"/>
    <w:rsid w:val="001811C0"/>
    <w:rsid w:val="00191C82"/>
    <w:rsid w:val="001C4003"/>
    <w:rsid w:val="001D4DBF"/>
    <w:rsid w:val="001E75CA"/>
    <w:rsid w:val="0022320F"/>
    <w:rsid w:val="002265FF"/>
    <w:rsid w:val="00234D19"/>
    <w:rsid w:val="00235B97"/>
    <w:rsid w:val="00271B56"/>
    <w:rsid w:val="002859BB"/>
    <w:rsid w:val="00286B43"/>
    <w:rsid w:val="002C344E"/>
    <w:rsid w:val="002E75E9"/>
    <w:rsid w:val="002F0B1E"/>
    <w:rsid w:val="002F13B5"/>
    <w:rsid w:val="00307A6A"/>
    <w:rsid w:val="00307C40"/>
    <w:rsid w:val="00320433"/>
    <w:rsid w:val="00320AAA"/>
    <w:rsid w:val="003230C7"/>
    <w:rsid w:val="00327E50"/>
    <w:rsid w:val="0033597A"/>
    <w:rsid w:val="00343D89"/>
    <w:rsid w:val="00345C9D"/>
    <w:rsid w:val="00362612"/>
    <w:rsid w:val="0036743F"/>
    <w:rsid w:val="003715DD"/>
    <w:rsid w:val="0037518F"/>
    <w:rsid w:val="003823E0"/>
    <w:rsid w:val="003A4521"/>
    <w:rsid w:val="003B3E8D"/>
    <w:rsid w:val="003D1C8C"/>
    <w:rsid w:val="003E5E0D"/>
    <w:rsid w:val="0040096C"/>
    <w:rsid w:val="00414F1F"/>
    <w:rsid w:val="0043125D"/>
    <w:rsid w:val="0043502B"/>
    <w:rsid w:val="004443AC"/>
    <w:rsid w:val="00444B02"/>
    <w:rsid w:val="00451E28"/>
    <w:rsid w:val="004549C7"/>
    <w:rsid w:val="00462C62"/>
    <w:rsid w:val="00465D36"/>
    <w:rsid w:val="004A6EC9"/>
    <w:rsid w:val="004C17EE"/>
    <w:rsid w:val="004C3D07"/>
    <w:rsid w:val="004C4BDF"/>
    <w:rsid w:val="004D1187"/>
    <w:rsid w:val="004D3AA0"/>
    <w:rsid w:val="004E1987"/>
    <w:rsid w:val="004E2E15"/>
    <w:rsid w:val="004E6E3C"/>
    <w:rsid w:val="00511B90"/>
    <w:rsid w:val="00520898"/>
    <w:rsid w:val="00523621"/>
    <w:rsid w:val="00524986"/>
    <w:rsid w:val="005268F6"/>
    <w:rsid w:val="00534284"/>
    <w:rsid w:val="00547DB7"/>
    <w:rsid w:val="005718B4"/>
    <w:rsid w:val="005C0627"/>
    <w:rsid w:val="005D574A"/>
    <w:rsid w:val="005F4F09"/>
    <w:rsid w:val="0061431B"/>
    <w:rsid w:val="00622BAA"/>
    <w:rsid w:val="006306CF"/>
    <w:rsid w:val="006318D8"/>
    <w:rsid w:val="00644E9A"/>
    <w:rsid w:val="00671BD5"/>
    <w:rsid w:val="006805C1"/>
    <w:rsid w:val="00686C21"/>
    <w:rsid w:val="006931C1"/>
    <w:rsid w:val="00694556"/>
    <w:rsid w:val="00697047"/>
    <w:rsid w:val="006B7258"/>
    <w:rsid w:val="006C30C5"/>
    <w:rsid w:val="006D3B31"/>
    <w:rsid w:val="006E0D96"/>
    <w:rsid w:val="006E1A53"/>
    <w:rsid w:val="006F56E6"/>
    <w:rsid w:val="00704EDA"/>
    <w:rsid w:val="00721122"/>
    <w:rsid w:val="00734689"/>
    <w:rsid w:val="00737920"/>
    <w:rsid w:val="00753019"/>
    <w:rsid w:val="00754801"/>
    <w:rsid w:val="00761441"/>
    <w:rsid w:val="00795365"/>
    <w:rsid w:val="00797705"/>
    <w:rsid w:val="007A351D"/>
    <w:rsid w:val="007B5562"/>
    <w:rsid w:val="007B7765"/>
    <w:rsid w:val="007C5BDD"/>
    <w:rsid w:val="007D45E3"/>
    <w:rsid w:val="007E6115"/>
    <w:rsid w:val="007F4609"/>
    <w:rsid w:val="0080569C"/>
    <w:rsid w:val="008074FA"/>
    <w:rsid w:val="00814468"/>
    <w:rsid w:val="008176A1"/>
    <w:rsid w:val="00820005"/>
    <w:rsid w:val="00841158"/>
    <w:rsid w:val="00844318"/>
    <w:rsid w:val="00851257"/>
    <w:rsid w:val="00863F5D"/>
    <w:rsid w:val="00870890"/>
    <w:rsid w:val="00873602"/>
    <w:rsid w:val="00875D12"/>
    <w:rsid w:val="0088479D"/>
    <w:rsid w:val="00891F42"/>
    <w:rsid w:val="00896889"/>
    <w:rsid w:val="008A59EE"/>
    <w:rsid w:val="008A6E97"/>
    <w:rsid w:val="008C5714"/>
    <w:rsid w:val="008D10B2"/>
    <w:rsid w:val="00903896"/>
    <w:rsid w:val="00906F3D"/>
    <w:rsid w:val="0092190A"/>
    <w:rsid w:val="0094424E"/>
    <w:rsid w:val="00955642"/>
    <w:rsid w:val="009622DF"/>
    <w:rsid w:val="0096493F"/>
    <w:rsid w:val="00967DFF"/>
    <w:rsid w:val="009777CA"/>
    <w:rsid w:val="00986AC2"/>
    <w:rsid w:val="00994341"/>
    <w:rsid w:val="009D1A48"/>
    <w:rsid w:val="009E1CE7"/>
    <w:rsid w:val="009E4EA5"/>
    <w:rsid w:val="009F164B"/>
    <w:rsid w:val="009F323C"/>
    <w:rsid w:val="00A3392B"/>
    <w:rsid w:val="00A42053"/>
    <w:rsid w:val="00A43E45"/>
    <w:rsid w:val="00A663CE"/>
    <w:rsid w:val="00A67C79"/>
    <w:rsid w:val="00A74356"/>
    <w:rsid w:val="00A81988"/>
    <w:rsid w:val="00A84964"/>
    <w:rsid w:val="00A85E34"/>
    <w:rsid w:val="00A87DF6"/>
    <w:rsid w:val="00A9144F"/>
    <w:rsid w:val="00A94B64"/>
    <w:rsid w:val="00AA3229"/>
    <w:rsid w:val="00AA7596"/>
    <w:rsid w:val="00AB5E52"/>
    <w:rsid w:val="00AC3B02"/>
    <w:rsid w:val="00AC3B7B"/>
    <w:rsid w:val="00AC5209"/>
    <w:rsid w:val="00AC5857"/>
    <w:rsid w:val="00AD1850"/>
    <w:rsid w:val="00AE0E34"/>
    <w:rsid w:val="00AE729E"/>
    <w:rsid w:val="00AE7752"/>
    <w:rsid w:val="00AF7FDA"/>
    <w:rsid w:val="00B15487"/>
    <w:rsid w:val="00B21CCA"/>
    <w:rsid w:val="00B5356E"/>
    <w:rsid w:val="00B573CE"/>
    <w:rsid w:val="00B62AD7"/>
    <w:rsid w:val="00B66717"/>
    <w:rsid w:val="00B809AD"/>
    <w:rsid w:val="00B80CBD"/>
    <w:rsid w:val="00B86096"/>
    <w:rsid w:val="00B95D6E"/>
    <w:rsid w:val="00B964D9"/>
    <w:rsid w:val="00BA0A7C"/>
    <w:rsid w:val="00BA517C"/>
    <w:rsid w:val="00BB3D05"/>
    <w:rsid w:val="00BB73BE"/>
    <w:rsid w:val="00BC2D89"/>
    <w:rsid w:val="00BD6531"/>
    <w:rsid w:val="00BE05B2"/>
    <w:rsid w:val="00BE214E"/>
    <w:rsid w:val="00BF1908"/>
    <w:rsid w:val="00C16E4E"/>
    <w:rsid w:val="00C22D93"/>
    <w:rsid w:val="00C23458"/>
    <w:rsid w:val="00C31120"/>
    <w:rsid w:val="00C34482"/>
    <w:rsid w:val="00C37D6F"/>
    <w:rsid w:val="00C43648"/>
    <w:rsid w:val="00C50A9F"/>
    <w:rsid w:val="00C60B5A"/>
    <w:rsid w:val="00C642FA"/>
    <w:rsid w:val="00C7086A"/>
    <w:rsid w:val="00C97777"/>
    <w:rsid w:val="00CA137C"/>
    <w:rsid w:val="00CA261D"/>
    <w:rsid w:val="00CC6F0E"/>
    <w:rsid w:val="00CC7622"/>
    <w:rsid w:val="00CD516B"/>
    <w:rsid w:val="00CD608F"/>
    <w:rsid w:val="00CE0084"/>
    <w:rsid w:val="00CF6BB7"/>
    <w:rsid w:val="00D0118D"/>
    <w:rsid w:val="00D04AA4"/>
    <w:rsid w:val="00D27982"/>
    <w:rsid w:val="00D33B86"/>
    <w:rsid w:val="00D43EF4"/>
    <w:rsid w:val="00D44968"/>
    <w:rsid w:val="00D53924"/>
    <w:rsid w:val="00D55D0C"/>
    <w:rsid w:val="00D96D8C"/>
    <w:rsid w:val="00DA6649"/>
    <w:rsid w:val="00DC1259"/>
    <w:rsid w:val="00DC1BD2"/>
    <w:rsid w:val="00DC2571"/>
    <w:rsid w:val="00DC487C"/>
    <w:rsid w:val="00DD4335"/>
    <w:rsid w:val="00DE1E7D"/>
    <w:rsid w:val="00DE4996"/>
    <w:rsid w:val="00DE6BF6"/>
    <w:rsid w:val="00DF5C0C"/>
    <w:rsid w:val="00E1068A"/>
    <w:rsid w:val="00E25884"/>
    <w:rsid w:val="00E25B55"/>
    <w:rsid w:val="00E31C2B"/>
    <w:rsid w:val="00E43FEA"/>
    <w:rsid w:val="00E5426A"/>
    <w:rsid w:val="00E54642"/>
    <w:rsid w:val="00E765F7"/>
    <w:rsid w:val="00E80CBE"/>
    <w:rsid w:val="00E9269D"/>
    <w:rsid w:val="00E962E3"/>
    <w:rsid w:val="00EB4E40"/>
    <w:rsid w:val="00EB6C79"/>
    <w:rsid w:val="00EC37E9"/>
    <w:rsid w:val="00F038D8"/>
    <w:rsid w:val="00F06995"/>
    <w:rsid w:val="00F121A6"/>
    <w:rsid w:val="00F12D66"/>
    <w:rsid w:val="00F13623"/>
    <w:rsid w:val="00F44D1D"/>
    <w:rsid w:val="00F84B6D"/>
    <w:rsid w:val="00F957E8"/>
    <w:rsid w:val="00FA311A"/>
    <w:rsid w:val="00FA5FDA"/>
    <w:rsid w:val="00FA7FD0"/>
    <w:rsid w:val="00FB6AB3"/>
    <w:rsid w:val="00FC7F27"/>
    <w:rsid w:val="00FD1419"/>
    <w:rsid w:val="00FD79E4"/>
    <w:rsid w:val="00FE09EC"/>
    <w:rsid w:val="00FE2894"/>
    <w:rsid w:val="00FF6C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8B7AA"/>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64423"/>
    <w:pPr>
      <w:tabs>
        <w:tab w:val="center" w:pos="4153"/>
        <w:tab w:val="right" w:pos="8306"/>
      </w:tabs>
    </w:pPr>
  </w:style>
  <w:style w:type="paragraph" w:styleId="a5">
    <w:name w:val="footer"/>
    <w:basedOn w:val="a"/>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3230C7"/>
    <w:rPr>
      <w:color w:val="808080"/>
    </w:rPr>
  </w:style>
  <w:style w:type="paragraph" w:styleId="ae">
    <w:name w:val="List Paragraph"/>
    <w:basedOn w:val="a"/>
    <w:uiPriority w:val="34"/>
    <w:qFormat/>
    <w:rsid w:val="004A6EC9"/>
    <w:pPr>
      <w:spacing w:after="200" w:line="360" w:lineRule="auto"/>
      <w:ind w:left="720"/>
      <w:contextualSpacing/>
      <w:jc w:val="both"/>
    </w:pPr>
    <w:rPr>
      <w:rFonts w:ascii="Garamond" w:eastAsia="SimSun" w:hAnsi="Garamond"/>
      <w:noProof w:val="0"/>
    </w:rPr>
  </w:style>
  <w:style w:type="paragraph" w:customStyle="1" w:styleId="HiddenCell">
    <w:name w:val="__Hidden_Cell"/>
    <w:basedOn w:val="a"/>
    <w:rPr>
      <w:sz w:val="2"/>
      <w:szCs w:val="2"/>
    </w:rPr>
  </w:style>
  <w:style w:type="character" w:customStyle="1" w:styleId="a4">
    <w:name w:val="כותרת עליונה תו"/>
    <w:basedOn w:val="a0"/>
    <w:link w:val="a3"/>
    <w:rsid w:val="00986AC2"/>
    <w:rPr>
      <w:rFonts w:cs="David"/>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file:///\\hbm-storage\Sherut\&#1502;&#1512;&#1499;&#1494;%20&#1502;&#1497;&#1491;&#1506;\&#1506;&#1491;&#1499;&#1493;&#1503;%20&#1488;&#1514;&#1512;\&#1504;&#1490;&#1497;&#1513;&#1493;&#1514;%202025\&#1502;&#1505;&#1502;&#1499;&#1497;&#1501;%20&#1513;&#1492;&#1493;&#1506;&#1489;&#1512;&#1493;%20&#1500;&#1492;&#1504;&#1490;&#1513;&#1492;%20&#1495;&#1489;&#1512;%20&#1514;&#1512;&#1490;&#1493;&#1502;&#1497;&#1501;%2022\&#1495;&#1500;&#1511;%202\accessibledocs.ai\%3futm_source=document_icon&amp;utm_medium=file_embedded&amp;utm_campaign=template_processing&amp;utm_content=icon_top_right&amp;document_id=99f9285c-20d3-4f34-85cd-885d92c38ada" TargetMode="Externa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accessibledocs.ai/?utm_source=document_icon&amp;utm_medium=file_embedded&amp;utm_campaign=template_processing&amp;utm_content=icon_top_right&amp;document_id=99f9285c-20d3-4f34-85cd-885d92c38ad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783F16" w:rsidP="00A74356">
          <w:pPr>
            <w:pStyle w:val="E460D38E05664FF79D4EFF282EF8EC9931"/>
          </w:pPr>
          <w:r>
            <w:rPr>
              <w:rFonts w:hint="cs"/>
              <w:rtl/>
            </w:rPr>
            <w:t xml:space="preserve">     </w:t>
          </w:r>
        </w:p>
      </w:docPartBody>
    </w:docPart>
    <w:docPart>
      <w:docPartPr>
        <w:name w:val="AA2949C4CD934885B3CC015FBA1EEC87"/>
        <w:category>
          <w:name w:val="כללי"/>
          <w:gallery w:val="placeholder"/>
        </w:category>
        <w:types>
          <w:type w:val="bbPlcHdr"/>
        </w:types>
        <w:behaviors>
          <w:behavior w:val="content"/>
        </w:behaviors>
        <w:guid w:val="{F2F61E1E-7BB9-4791-B51D-12EC32DA5AF9}"/>
      </w:docPartPr>
      <w:docPartBody>
        <w:p w:rsidR="00783F16" w:rsidRDefault="00F82676" w:rsidP="00F82676">
          <w:pPr>
            <w:pStyle w:val="AA2949C4CD934885B3CC015FBA1EEC87"/>
          </w:pPr>
          <w:r w:rsidRPr="00CD516B">
            <w:rPr>
              <w:rFonts w:ascii="Arial" w:hAnsi="Arial"/>
              <w:b/>
              <w:bCs/>
              <w:sz w:val="26"/>
              <w:szCs w:val="26"/>
              <w:rtl/>
            </w:rPr>
            <w:t>שם צד א' ללא שם של חסוי</w:t>
          </w:r>
        </w:p>
      </w:docPartBody>
    </w:docPart>
    <w:docPart>
      <w:docPartPr>
        <w:name w:val="1D27EB8764074530A2A022FE5C91CC5A"/>
        <w:category>
          <w:name w:val="כללי"/>
          <w:gallery w:val="placeholder"/>
        </w:category>
        <w:types>
          <w:type w:val="bbPlcHdr"/>
        </w:types>
        <w:behaviors>
          <w:behavior w:val="content"/>
        </w:behaviors>
        <w:guid w:val="{0AFEB414-FA6B-489D-BF3D-A2CECEF2DB22}"/>
      </w:docPartPr>
      <w:docPartBody>
        <w:p w:rsidR="00783F16" w:rsidRDefault="00F82676" w:rsidP="00F82676">
          <w:pPr>
            <w:pStyle w:val="1D27EB8764074530A2A022FE5C91CC5A"/>
          </w:pPr>
          <w:r>
            <w:rPr>
              <w:b/>
              <w:bCs/>
              <w:sz w:val="26"/>
              <w:szCs w:val="26"/>
              <w:rtl/>
            </w:rPr>
            <w:t>שם תיק ללא שמות חסויים</w:t>
          </w:r>
        </w:p>
      </w:docPartBody>
    </w:docPart>
    <w:docPart>
      <w:docPartPr>
        <w:name w:val="67B825327F034E70BC4B379D562635E5"/>
        <w:category>
          <w:name w:val="כללי"/>
          <w:gallery w:val="placeholder"/>
        </w:category>
        <w:types>
          <w:type w:val="bbPlcHdr"/>
        </w:types>
        <w:behaviors>
          <w:behavior w:val="content"/>
        </w:behaviors>
        <w:guid w:val="{BE508B67-4EC0-427C-964C-B7EC014C5159}"/>
      </w:docPartPr>
      <w:docPartBody>
        <w:p w:rsidR="00783F16" w:rsidRDefault="00F82676" w:rsidP="00F82676">
          <w:pPr>
            <w:pStyle w:val="67B825327F034E70BC4B379D562635E5"/>
          </w:pPr>
          <w:r>
            <w:rPr>
              <w:b/>
              <w:bCs/>
              <w:sz w:val="26"/>
              <w:szCs w:val="26"/>
              <w:rtl/>
            </w:rPr>
            <w:t>שם תיק ללא שמות חסויים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avid,Bold">
    <w:altName w:val="David"/>
    <w:panose1 w:val="00000000000000000000"/>
    <w:charset w:val="B1"/>
    <w:family w:val="auto"/>
    <w:notTrueType/>
    <w:pitch w:val="default"/>
    <w:sig w:usb0="00000801" w:usb1="0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0C13"/>
    <w:rsid w:val="00015B33"/>
    <w:rsid w:val="00060CF6"/>
    <w:rsid w:val="000A4ACE"/>
    <w:rsid w:val="000E45EB"/>
    <w:rsid w:val="001A0763"/>
    <w:rsid w:val="002859BB"/>
    <w:rsid w:val="002D02C4"/>
    <w:rsid w:val="002D09CE"/>
    <w:rsid w:val="00345C9D"/>
    <w:rsid w:val="0048651F"/>
    <w:rsid w:val="004B017A"/>
    <w:rsid w:val="005157ED"/>
    <w:rsid w:val="00556D67"/>
    <w:rsid w:val="00673B50"/>
    <w:rsid w:val="00783F16"/>
    <w:rsid w:val="00793995"/>
    <w:rsid w:val="007B5562"/>
    <w:rsid w:val="007C6F98"/>
    <w:rsid w:val="007E254A"/>
    <w:rsid w:val="00893C03"/>
    <w:rsid w:val="008B4366"/>
    <w:rsid w:val="009133C7"/>
    <w:rsid w:val="009178E4"/>
    <w:rsid w:val="00961B27"/>
    <w:rsid w:val="009A36E7"/>
    <w:rsid w:val="00A74356"/>
    <w:rsid w:val="00AA7CE3"/>
    <w:rsid w:val="00B50DB2"/>
    <w:rsid w:val="00B72BC2"/>
    <w:rsid w:val="00B91FA3"/>
    <w:rsid w:val="00BD69D1"/>
    <w:rsid w:val="00BE6557"/>
    <w:rsid w:val="00C96C06"/>
    <w:rsid w:val="00D24521"/>
    <w:rsid w:val="00D6580E"/>
    <w:rsid w:val="00E31BF6"/>
    <w:rsid w:val="00E81DB1"/>
    <w:rsid w:val="00F04DC1"/>
    <w:rsid w:val="00F678CA"/>
    <w:rsid w:val="00F82676"/>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74356"/>
    <w:rPr>
      <w:color w:val="808080"/>
    </w:rPr>
  </w:style>
  <w:style w:type="paragraph" w:customStyle="1" w:styleId="1C8A38705F7143EA87FF3DEB2C34E7E56">
    <w:name w:val="1C8A38705F7143EA87FF3DEB2C34E7E56"/>
    <w:rsid w:val="00A74356"/>
    <w:pPr>
      <w:bidi/>
      <w:spacing w:after="0" w:line="240" w:lineRule="auto"/>
    </w:pPr>
    <w:rPr>
      <w:rFonts w:ascii="Times New Roman" w:eastAsia="Times New Roman" w:hAnsi="Times New Roman" w:cs="David"/>
      <w:noProof/>
      <w:sz w:val="24"/>
      <w:szCs w:val="24"/>
    </w:rPr>
  </w:style>
  <w:style w:type="paragraph" w:customStyle="1" w:styleId="4DC45A2FD697422FAA3CD896A84FA7B46">
    <w:name w:val="4DC45A2FD697422FAA3CD896A84FA7B46"/>
    <w:rsid w:val="00A74356"/>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A74356"/>
    <w:pPr>
      <w:bidi/>
      <w:spacing w:after="0" w:line="240" w:lineRule="auto"/>
    </w:pPr>
    <w:rPr>
      <w:rFonts w:ascii="Times New Roman" w:eastAsia="Times New Roman" w:hAnsi="Times New Roman" w:cs="David"/>
      <w:noProof/>
      <w:sz w:val="24"/>
      <w:szCs w:val="24"/>
    </w:rPr>
  </w:style>
  <w:style w:type="paragraph" w:customStyle="1" w:styleId="4672CCA166BA4F0A892EB1D7BA0002CB6">
    <w:name w:val="4672CCA166BA4F0A892EB1D7BA0002CB6"/>
    <w:rsid w:val="00A74356"/>
    <w:pPr>
      <w:bidi/>
      <w:spacing w:after="0" w:line="240" w:lineRule="auto"/>
    </w:pPr>
    <w:rPr>
      <w:rFonts w:ascii="Times New Roman" w:eastAsia="Times New Roman" w:hAnsi="Times New Roman" w:cs="David"/>
      <w:noProof/>
      <w:sz w:val="24"/>
      <w:szCs w:val="24"/>
    </w:rPr>
  </w:style>
  <w:style w:type="paragraph" w:customStyle="1" w:styleId="AA2949C4CD934885B3CC015FBA1EEC87">
    <w:name w:val="AA2949C4CD934885B3CC015FBA1EEC87"/>
    <w:rsid w:val="00F82676"/>
    <w:pPr>
      <w:bidi/>
      <w:spacing w:after="160" w:line="278" w:lineRule="auto"/>
    </w:pPr>
    <w:rPr>
      <w:kern w:val="2"/>
      <w:sz w:val="24"/>
      <w:szCs w:val="24"/>
      <w14:ligatures w14:val="standardContextual"/>
    </w:rPr>
  </w:style>
  <w:style w:type="paragraph" w:customStyle="1" w:styleId="CD2C566606624BF8AFF87E75D24E17FC">
    <w:name w:val="CD2C566606624BF8AFF87E75D24E17FC"/>
    <w:rsid w:val="00F82676"/>
    <w:pPr>
      <w:bidi/>
      <w:spacing w:after="160" w:line="278" w:lineRule="auto"/>
    </w:pPr>
    <w:rPr>
      <w:kern w:val="2"/>
      <w:sz w:val="24"/>
      <w:szCs w:val="24"/>
      <w14:ligatures w14:val="standardContextual"/>
    </w:rPr>
  </w:style>
  <w:style w:type="paragraph" w:customStyle="1" w:styleId="1D27EB8764074530A2A022FE5C91CC5A">
    <w:name w:val="1D27EB8764074530A2A022FE5C91CC5A"/>
    <w:rsid w:val="00F82676"/>
    <w:pPr>
      <w:bidi/>
      <w:spacing w:after="160" w:line="278" w:lineRule="auto"/>
    </w:pPr>
    <w:rPr>
      <w:kern w:val="2"/>
      <w:sz w:val="24"/>
      <w:szCs w:val="24"/>
      <w14:ligatures w14:val="standardContextual"/>
    </w:rPr>
  </w:style>
  <w:style w:type="paragraph" w:customStyle="1" w:styleId="67B825327F034E70BC4B379D562635E5">
    <w:name w:val="67B825327F034E70BC4B379D562635E5"/>
    <w:rsid w:val="00F82676"/>
    <w:pPr>
      <w:bidi/>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2746</Words>
  <Characters>13734</Characters>
  <Application>Microsoft Office Word</Application>
  <DocSecurity>0</DocSecurity>
  <Lines>114</Lines>
  <Paragraphs>32</Paragraphs>
  <ScaleCrop>false</ScaleCrop>
  <HeadingPairs>
    <vt:vector size="2" baseType="variant">
      <vt:variant>
        <vt:lpstr>שם</vt:lpstr>
      </vt:variant>
      <vt:variant>
        <vt:i4>1</vt:i4>
      </vt:variant>
    </vt:vector>
  </HeadingPairs>
  <TitlesOfParts>
    <vt:vector size="1" baseType="lpstr">
      <vt:lpstr>החלטה</vt:lpstr>
    </vt:vector>
  </TitlesOfParts>
  <Company>Microsoft Corporation</Company>
  <LinksUpToDate>false</LinksUpToDate>
  <CharactersWithSpaces>16448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החלטה</dc:title>
  <dc:creator>anatk</dc:creator>
  <cp:lastModifiedBy>איסרא אקעיק</cp:lastModifiedBy>
  <cp:revision>2</cp:revision>
  <cp:lastPrinted>2026-04-15T07:27:00Z</cp:lastPrinted>
  <dcterms:created xsi:type="dcterms:W3CDTF">2026-04-21T10:02:00Z</dcterms:created>
  <dcterms:modified xsi:type="dcterms:W3CDTF">2026-04-21T10:02:00Z</dcterms:modified>
</cp:coreProperties>
</file>