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bidiVisual/>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85"/>
        <w:gridCol w:w="5571"/>
      </w:tblGrid>
      <w:tr w:rsidR="004C5CA7" w:rsidRPr="00CD0055" w:rsidTr="00BE0AB3">
        <w:trPr>
          <w:jc w:val="center"/>
        </w:trPr>
        <w:tc>
          <w:tcPr>
            <w:tcW w:w="9356" w:type="dxa"/>
            <w:gridSpan w:val="2"/>
            <w:hideMark/>
          </w:tcPr>
          <w:p w:rsidR="004C5CA7" w:rsidRPr="004C5CA7" w:rsidRDefault="004C5CA7" w:rsidP="004C5CA7">
            <w:pPr>
              <w:jc w:val="both"/>
              <w:rPr>
                <w:b/>
                <w:bCs/>
                <w:sz w:val="26"/>
                <w:szCs w:val="26"/>
              </w:rPr>
            </w:pPr>
            <w:bookmarkStart w:id="0" w:name="_GoBack"/>
            <w:bookmarkEnd w:id="0"/>
            <w:r w:rsidRPr="00BE0AB3">
              <w:rPr>
                <w:rFonts w:hint="cs"/>
                <w:b/>
                <w:bCs/>
                <w:sz w:val="28"/>
                <w:szCs w:val="28"/>
                <w:rtl/>
              </w:rPr>
              <w:t xml:space="preserve">לפני </w:t>
            </w:r>
            <w:r w:rsidRPr="00BE0AB3">
              <w:rPr>
                <w:rFonts w:ascii="Arial" w:hAnsi="Arial" w:hint="cs"/>
                <w:b/>
                <w:bCs/>
                <w:sz w:val="28"/>
                <w:szCs w:val="28"/>
                <w:rtl/>
              </w:rPr>
              <w:t>כבוד ה</w:t>
            </w:r>
            <w:sdt>
              <w:sdtPr>
                <w:rPr>
                  <w:sz w:val="28"/>
                  <w:szCs w:val="28"/>
                  <w:rtl/>
                </w:rPr>
                <w:alias w:val="1574"/>
                <w:tag w:val="1574"/>
                <w:id w:val="-868990752"/>
                <w:text w:multiLine="1"/>
              </w:sdtPr>
              <w:sdtEndPr/>
              <w:sdtContent>
                <w:r w:rsidRPr="00BE0AB3">
                  <w:rPr>
                    <w:rFonts w:ascii="Arial" w:hAnsi="Arial"/>
                    <w:b/>
                    <w:bCs/>
                    <w:sz w:val="28"/>
                    <w:szCs w:val="28"/>
                    <w:rtl/>
                  </w:rPr>
                  <w:t>שופט</w:t>
                </w:r>
              </w:sdtContent>
            </w:sdt>
            <w:r w:rsidRPr="00BE0AB3">
              <w:rPr>
                <w:rFonts w:ascii="Arial" w:hAnsi="Arial" w:hint="cs"/>
                <w:b/>
                <w:bCs/>
                <w:sz w:val="28"/>
                <w:szCs w:val="28"/>
                <w:rtl/>
              </w:rPr>
              <w:t xml:space="preserve"> </w:t>
            </w:r>
            <w:sdt>
              <w:sdtPr>
                <w:rPr>
                  <w:sz w:val="28"/>
                  <w:szCs w:val="28"/>
                  <w:rtl/>
                </w:rPr>
                <w:alias w:val="1573"/>
                <w:tag w:val="1573"/>
                <w:id w:val="407734867"/>
                <w:text w:multiLine="1"/>
              </w:sdtPr>
              <w:sdtEndPr/>
              <w:sdtContent>
                <w:r w:rsidRPr="00BE0AB3">
                  <w:rPr>
                    <w:rFonts w:ascii="Arial" w:hAnsi="Arial"/>
                    <w:b/>
                    <w:bCs/>
                    <w:sz w:val="28"/>
                    <w:szCs w:val="28"/>
                    <w:rtl/>
                  </w:rPr>
                  <w:t>אביים ברקאי</w:t>
                </w:r>
              </w:sdtContent>
            </w:sdt>
          </w:p>
        </w:tc>
      </w:tr>
      <w:tr w:rsidR="006816EC" w:rsidRPr="00CD0055" w:rsidTr="00BE0AB3">
        <w:trPr>
          <w:jc w:val="center"/>
        </w:trPr>
        <w:tc>
          <w:tcPr>
            <w:tcW w:w="3785" w:type="dxa"/>
          </w:tcPr>
          <w:p w:rsidR="006816EC" w:rsidRDefault="006816EC">
            <w:pPr>
              <w:bidi w:val="0"/>
              <w:rPr>
                <w:rFonts w:ascii="Arial (W1)" w:hAnsi="Arial (W1)"/>
                <w:b/>
                <w:bCs/>
                <w:noProof w:val="0"/>
                <w:sz w:val="26"/>
                <w:szCs w:val="26"/>
              </w:rPr>
            </w:pPr>
          </w:p>
          <w:p w:rsidR="00BE0AB3" w:rsidRPr="00BE0AB3" w:rsidRDefault="00BE0AB3" w:rsidP="00BE0AB3">
            <w:pPr>
              <w:bidi w:val="0"/>
              <w:rPr>
                <w:rFonts w:ascii="Arial (W1)" w:hAnsi="Arial (W1)"/>
                <w:b/>
                <w:bCs/>
                <w:noProof w:val="0"/>
                <w:sz w:val="26"/>
                <w:szCs w:val="26"/>
                <w:rtl/>
              </w:rPr>
            </w:pPr>
          </w:p>
          <w:p w:rsidR="006816EC" w:rsidRPr="00BE0AB3" w:rsidRDefault="00A62BD0" w:rsidP="00BE0AB3">
            <w:pPr>
              <w:rPr>
                <w:rFonts w:ascii="Arial (W1)" w:hAnsi="Arial (W1)"/>
                <w:b/>
                <w:bCs/>
                <w:noProof w:val="0"/>
                <w:sz w:val="26"/>
                <w:szCs w:val="26"/>
                <w:rtl/>
              </w:rPr>
            </w:pPr>
            <w:r w:rsidRPr="00BE0AB3">
              <w:rPr>
                <w:rFonts w:hint="cs"/>
                <w:b/>
                <w:bCs/>
                <w:sz w:val="26"/>
                <w:szCs w:val="26"/>
                <w:rtl/>
              </w:rPr>
              <w:t>ה</w:t>
            </w:r>
            <w:sdt>
              <w:sdtPr>
                <w:rPr>
                  <w:rFonts w:hint="cs"/>
                  <w:sz w:val="26"/>
                  <w:szCs w:val="26"/>
                  <w:rtl/>
                </w:rPr>
                <w:alias w:val="1180"/>
                <w:tag w:val="1180"/>
                <w:id w:val="-803768281"/>
                <w:text w:multiLine="1"/>
              </w:sdtPr>
              <w:sdtEndPr/>
              <w:sdtContent>
                <w:r w:rsidRPr="00BE0AB3">
                  <w:rPr>
                    <w:rFonts w:hint="cs"/>
                    <w:b/>
                    <w:bCs/>
                    <w:noProof w:val="0"/>
                    <w:sz w:val="26"/>
                    <w:szCs w:val="26"/>
                    <w:rtl/>
                  </w:rPr>
                  <w:t>תובע</w:t>
                </w:r>
                <w:r w:rsidR="00BE0AB3" w:rsidRPr="00BE0AB3">
                  <w:rPr>
                    <w:rFonts w:hint="cs"/>
                    <w:b/>
                    <w:bCs/>
                    <w:noProof w:val="0"/>
                    <w:sz w:val="26"/>
                    <w:szCs w:val="26"/>
                    <w:rtl/>
                  </w:rPr>
                  <w:t>ת</w:t>
                </w:r>
              </w:sdtContent>
            </w:sdt>
            <w:r w:rsidRPr="00BE0AB3">
              <w:rPr>
                <w:rFonts w:hint="cs"/>
                <w:b/>
                <w:bCs/>
                <w:sz w:val="26"/>
                <w:szCs w:val="26"/>
                <w:rtl/>
              </w:rPr>
              <w:t>:</w:t>
            </w:r>
          </w:p>
        </w:tc>
        <w:tc>
          <w:tcPr>
            <w:tcW w:w="5571" w:type="dxa"/>
          </w:tcPr>
          <w:p w:rsidR="006816EC" w:rsidRPr="00BE0AB3" w:rsidRDefault="006816EC">
            <w:pPr>
              <w:rPr>
                <w:rFonts w:ascii="Arial (W1)" w:hAnsi="Arial (W1)"/>
                <w:b/>
                <w:bCs/>
                <w:noProof w:val="0"/>
                <w:sz w:val="26"/>
                <w:szCs w:val="26"/>
                <w:rtl/>
              </w:rPr>
            </w:pPr>
          </w:p>
          <w:p w:rsidR="00590BFF" w:rsidRPr="00BE0AB3" w:rsidRDefault="00590BFF" w:rsidP="00590BFF">
            <w:pPr>
              <w:suppressLineNumbers/>
              <w:rPr>
                <w:sz w:val="26"/>
                <w:szCs w:val="26"/>
              </w:rPr>
            </w:pPr>
            <w:r w:rsidRPr="00BE0AB3">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BE0AB3">
                  <w:rPr>
                    <w:rFonts w:ascii="Arial" w:hAnsi="Arial"/>
                    <w:b/>
                    <w:bCs/>
                    <w:noProof w:val="0"/>
                    <w:sz w:val="26"/>
                    <w:szCs w:val="26"/>
                    <w:rtl/>
                  </w:rPr>
                  <w:br/>
                </w:r>
                <w:r w:rsidRPr="00BE0AB3">
                  <w:rPr>
                    <w:rFonts w:ascii="Arial" w:hAnsi="Arial"/>
                    <w:b/>
                    <w:bCs/>
                    <w:noProof w:val="0"/>
                    <w:sz w:val="26"/>
                    <w:szCs w:val="26"/>
                    <w:rtl/>
                  </w:rPr>
                  <w:t>שרון גבריאל</w:t>
                </w:r>
              </w:sdtContent>
            </w:sdt>
          </w:p>
          <w:p w:rsidR="006816EC" w:rsidRPr="00BE0AB3" w:rsidRDefault="006816EC" w:rsidP="00934F1C">
            <w:pPr>
              <w:rPr>
                <w:sz w:val="26"/>
                <w:szCs w:val="26"/>
              </w:rPr>
            </w:pPr>
          </w:p>
        </w:tc>
      </w:tr>
      <w:tr w:rsidR="006816EC" w:rsidRPr="00CD0055" w:rsidTr="00BE0AB3">
        <w:trPr>
          <w:jc w:val="center"/>
        </w:trPr>
        <w:tc>
          <w:tcPr>
            <w:tcW w:w="9356" w:type="dxa"/>
            <w:gridSpan w:val="2"/>
          </w:tcPr>
          <w:p w:rsidR="006816EC" w:rsidRPr="00BE0AB3" w:rsidRDefault="006816EC">
            <w:pPr>
              <w:rPr>
                <w:rFonts w:ascii="Arial (W1)" w:hAnsi="Arial (W1)"/>
                <w:b/>
                <w:bCs/>
                <w:noProof w:val="0"/>
                <w:sz w:val="26"/>
                <w:szCs w:val="26"/>
                <w:rtl/>
              </w:rPr>
            </w:pPr>
          </w:p>
          <w:p w:rsidR="006816EC" w:rsidRPr="00BE0AB3" w:rsidRDefault="006816EC">
            <w:pPr>
              <w:jc w:val="center"/>
              <w:rPr>
                <w:b/>
                <w:bCs/>
                <w:noProof w:val="0"/>
                <w:sz w:val="26"/>
                <w:szCs w:val="26"/>
                <w:rtl/>
              </w:rPr>
            </w:pPr>
            <w:r w:rsidRPr="00BE0AB3">
              <w:rPr>
                <w:rFonts w:hint="cs"/>
                <w:b/>
                <w:bCs/>
                <w:noProof w:val="0"/>
                <w:sz w:val="26"/>
                <w:szCs w:val="26"/>
                <w:rtl/>
              </w:rPr>
              <w:t>נגד</w:t>
            </w:r>
          </w:p>
          <w:p w:rsidR="006816EC" w:rsidRPr="00BE0AB3" w:rsidRDefault="006816EC">
            <w:pPr>
              <w:rPr>
                <w:rFonts w:ascii="Arial (W1)" w:hAnsi="Arial (W1)"/>
                <w:b/>
                <w:bCs/>
                <w:noProof w:val="0"/>
                <w:sz w:val="26"/>
                <w:szCs w:val="26"/>
              </w:rPr>
            </w:pPr>
          </w:p>
        </w:tc>
      </w:tr>
      <w:tr w:rsidR="006816EC" w:rsidRPr="00CD0055" w:rsidTr="00BE0AB3">
        <w:trPr>
          <w:jc w:val="center"/>
        </w:trPr>
        <w:tc>
          <w:tcPr>
            <w:tcW w:w="3785" w:type="dxa"/>
          </w:tcPr>
          <w:p w:rsidR="006816EC" w:rsidRPr="00BE0AB3" w:rsidRDefault="006816EC">
            <w:pPr>
              <w:rPr>
                <w:rFonts w:ascii="Arial (W1)" w:hAnsi="Arial (W1)"/>
                <w:b/>
                <w:bCs/>
                <w:noProof w:val="0"/>
                <w:sz w:val="26"/>
                <w:szCs w:val="26"/>
                <w:rtl/>
              </w:rPr>
            </w:pPr>
          </w:p>
          <w:p w:rsidR="006816EC" w:rsidRPr="00BE0AB3" w:rsidRDefault="00A62BD0" w:rsidP="00BE0AB3">
            <w:pPr>
              <w:rPr>
                <w:rFonts w:ascii="Arial (W1)" w:hAnsi="Arial (W1)"/>
                <w:b/>
                <w:bCs/>
                <w:noProof w:val="0"/>
                <w:sz w:val="26"/>
                <w:szCs w:val="26"/>
              </w:rPr>
            </w:pPr>
            <w:r w:rsidRPr="00BE0AB3">
              <w:rPr>
                <w:rFonts w:hint="cs"/>
                <w:b/>
                <w:bCs/>
                <w:sz w:val="26"/>
                <w:szCs w:val="26"/>
                <w:rtl/>
              </w:rPr>
              <w:t>ה</w:t>
            </w:r>
            <w:sdt>
              <w:sdtPr>
                <w:rPr>
                  <w:rFonts w:hint="cs"/>
                  <w:sz w:val="26"/>
                  <w:szCs w:val="26"/>
                  <w:rtl/>
                </w:rPr>
                <w:alias w:val="1184"/>
                <w:tag w:val="1184"/>
                <w:id w:val="-910234160"/>
                <w:text w:multiLine="1"/>
              </w:sdtPr>
              <w:sdtEndPr/>
              <w:sdtContent>
                <w:r w:rsidRPr="00BE0AB3">
                  <w:rPr>
                    <w:rFonts w:hint="cs"/>
                    <w:b/>
                    <w:bCs/>
                    <w:noProof w:val="0"/>
                    <w:sz w:val="26"/>
                    <w:szCs w:val="26"/>
                    <w:rtl/>
                  </w:rPr>
                  <w:t>נתבע</w:t>
                </w:r>
                <w:r w:rsidR="00BE0AB3" w:rsidRPr="00BE0AB3">
                  <w:rPr>
                    <w:rFonts w:hint="cs"/>
                    <w:b/>
                    <w:bCs/>
                    <w:noProof w:val="0"/>
                    <w:sz w:val="26"/>
                    <w:szCs w:val="26"/>
                    <w:rtl/>
                  </w:rPr>
                  <w:t>ת</w:t>
                </w:r>
              </w:sdtContent>
            </w:sdt>
            <w:r w:rsidRPr="00BE0AB3">
              <w:rPr>
                <w:rFonts w:ascii="Arial (W1)" w:hAnsi="Arial (W1)" w:hint="cs"/>
                <w:b/>
                <w:bCs/>
                <w:noProof w:val="0"/>
                <w:sz w:val="26"/>
                <w:szCs w:val="26"/>
                <w:rtl/>
              </w:rPr>
              <w:t>:</w:t>
            </w:r>
          </w:p>
        </w:tc>
        <w:tc>
          <w:tcPr>
            <w:tcW w:w="5571" w:type="dxa"/>
          </w:tcPr>
          <w:p w:rsidR="006816EC" w:rsidRPr="00BE0AB3" w:rsidRDefault="006816EC">
            <w:pPr>
              <w:rPr>
                <w:rFonts w:ascii="Arial (W1)" w:hAnsi="Arial (W1)"/>
                <w:b/>
                <w:bCs/>
                <w:noProof w:val="0"/>
                <w:sz w:val="26"/>
                <w:szCs w:val="26"/>
                <w:rtl/>
              </w:rPr>
            </w:pPr>
          </w:p>
          <w:p w:rsidR="00590BFF" w:rsidRPr="00BE0AB3" w:rsidRDefault="00590BFF" w:rsidP="00590BFF">
            <w:pPr>
              <w:suppressLineNumbers/>
              <w:rPr>
                <w:sz w:val="26"/>
                <w:szCs w:val="26"/>
              </w:rPr>
            </w:pPr>
            <w:r w:rsidRPr="00BE0AB3">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Pr="00BE0AB3">
                  <w:rPr>
                    <w:rFonts w:ascii="Arial" w:hAnsi="Arial"/>
                    <w:b/>
                    <w:bCs/>
                    <w:noProof w:val="0"/>
                    <w:sz w:val="26"/>
                    <w:szCs w:val="26"/>
                    <w:rtl/>
                  </w:rPr>
                  <w:t>ורד סנדיק אשד</w:t>
                </w:r>
              </w:sdtContent>
            </w:sdt>
          </w:p>
          <w:p w:rsidR="006816EC" w:rsidRPr="00BE0AB3" w:rsidRDefault="006816EC" w:rsidP="00934F1C">
            <w:pPr>
              <w:rPr>
                <w:sz w:val="26"/>
                <w:szCs w:val="26"/>
              </w:rPr>
            </w:pPr>
          </w:p>
        </w:tc>
      </w:tr>
    </w:tbl>
    <w:p w:rsidR="006816EC" w:rsidRPr="00BE0AB3" w:rsidRDefault="006816EC" w:rsidP="00E13360">
      <w:pPr>
        <w:suppressLineNumbers/>
        <w:rPr>
          <w:rFonts w:ascii="Arial (W1)" w:hAnsi="Arial (W1)"/>
          <w:rtl/>
        </w:rPr>
      </w:pPr>
    </w:p>
    <w:p w:rsidR="00BE0AB3" w:rsidRPr="00BE0AB3" w:rsidRDefault="00BE0AB3" w:rsidP="00BE0AB3">
      <w:pPr>
        <w:suppressLineNumbers/>
        <w:ind w:left="-482"/>
        <w:rPr>
          <w:rFonts w:ascii="Arial (W1)" w:hAnsi="Arial (W1)"/>
          <w:rtl/>
        </w:rPr>
      </w:pPr>
      <w:r w:rsidRPr="00BE0AB3">
        <w:rPr>
          <w:rFonts w:ascii="Arial (W1)" w:hAnsi="Arial (W1)" w:hint="cs"/>
          <w:rtl/>
        </w:rPr>
        <w:t>ב"כ התובעת:</w:t>
      </w:r>
      <w:r>
        <w:rPr>
          <w:rFonts w:ascii="Arial (W1)" w:hAnsi="Arial (W1)"/>
          <w:rtl/>
        </w:rPr>
        <w:tab/>
      </w:r>
      <w:r w:rsidRPr="00BE0AB3">
        <w:rPr>
          <w:rFonts w:ascii="Arial (W1)" w:hAnsi="Arial (W1)"/>
          <w:rtl/>
        </w:rPr>
        <w:tab/>
      </w:r>
      <w:r w:rsidRPr="00BE0AB3">
        <w:rPr>
          <w:rFonts w:ascii="Arial (W1)" w:hAnsi="Arial (W1)" w:hint="cs"/>
          <w:rtl/>
        </w:rPr>
        <w:t>עו"ד ליאור חאיק</w:t>
      </w:r>
    </w:p>
    <w:p w:rsidR="00BE0AB3" w:rsidRPr="00BE0AB3" w:rsidRDefault="00BE0AB3" w:rsidP="00BE0AB3">
      <w:pPr>
        <w:suppressLineNumbers/>
        <w:ind w:left="-482"/>
        <w:rPr>
          <w:rFonts w:ascii="Arial (W1)" w:hAnsi="Arial (W1)"/>
          <w:rtl/>
        </w:rPr>
      </w:pPr>
      <w:r w:rsidRPr="00BE0AB3">
        <w:rPr>
          <w:rFonts w:ascii="Arial (W1)" w:hAnsi="Arial (W1)" w:hint="cs"/>
          <w:rtl/>
        </w:rPr>
        <w:t>ב"כ הנתבעת:</w:t>
      </w:r>
      <w:r w:rsidRPr="00BE0AB3">
        <w:rPr>
          <w:rFonts w:ascii="Arial (W1)" w:hAnsi="Arial (W1)"/>
          <w:rtl/>
        </w:rPr>
        <w:tab/>
      </w:r>
      <w:r>
        <w:rPr>
          <w:rFonts w:ascii="Arial (W1)" w:hAnsi="Arial (W1)"/>
          <w:rtl/>
        </w:rPr>
        <w:tab/>
      </w:r>
      <w:r w:rsidRPr="00BE0AB3">
        <w:rPr>
          <w:rFonts w:ascii="Arial (W1)" w:hAnsi="Arial (W1)" w:hint="cs"/>
          <w:rtl/>
        </w:rPr>
        <w:t>עו"ד יורם ליכטנשטיין</w:t>
      </w:r>
    </w:p>
    <w:p w:rsidR="00BE0AB3" w:rsidRPr="00E13360" w:rsidRDefault="00BE0AB3" w:rsidP="00E13360">
      <w:pPr>
        <w:suppressLineNumbers/>
        <w:rPr>
          <w:rFonts w:ascii="Arial (W1)" w:hAnsi="Arial (W1)"/>
          <w:sz w:val="28"/>
          <w:szCs w:val="28"/>
        </w:rPr>
      </w:pPr>
    </w:p>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Pr="00BE0AB3" w:rsidRDefault="00005C8B">
            <w:pPr>
              <w:bidi w:val="0"/>
              <w:jc w:val="center"/>
              <w:rPr>
                <w:rFonts w:ascii="Arial" w:hAnsi="Arial"/>
                <w:b/>
                <w:bCs/>
                <w:noProof w:val="0"/>
                <w:sz w:val="34"/>
                <w:szCs w:val="34"/>
                <w:u w:val="single"/>
              </w:rPr>
            </w:pPr>
            <w:r w:rsidRPr="00BE0AB3">
              <w:rPr>
                <w:rFonts w:ascii="Arial" w:hAnsi="Arial"/>
                <w:b/>
                <w:bCs/>
                <w:noProof w:val="0"/>
                <w:sz w:val="34"/>
                <w:szCs w:val="34"/>
                <w:u w:val="single"/>
                <w:rtl/>
              </w:rPr>
              <w:t>פסק דין</w:t>
            </w:r>
          </w:p>
        </w:tc>
      </w:tr>
    </w:tbl>
    <w:p w:rsidR="00694556" w:rsidRDefault="00694556">
      <w:pPr>
        <w:spacing w:line="360" w:lineRule="auto"/>
        <w:jc w:val="both"/>
        <w:rPr>
          <w:rFonts w:ascii="Arial" w:hAnsi="Arial"/>
          <w:noProof w:val="0"/>
          <w:rtl/>
        </w:rPr>
      </w:pPr>
    </w:p>
    <w:p w:rsidR="00BE0AB3" w:rsidRDefault="00BE0AB3" w:rsidP="00BE0AB3">
      <w:pPr>
        <w:pStyle w:val="af8"/>
        <w:spacing w:line="360" w:lineRule="auto"/>
        <w:ind w:left="-739"/>
        <w:jc w:val="both"/>
        <w:rPr>
          <w:rFonts w:ascii="David" w:hAnsi="David" w:cs="David"/>
          <w:b/>
          <w:bCs/>
          <w:sz w:val="28"/>
          <w:szCs w:val="28"/>
          <w:u w:val="single"/>
        </w:rPr>
      </w:pPr>
      <w:r>
        <w:rPr>
          <w:rFonts w:ascii="David" w:hAnsi="David" w:cs="David"/>
          <w:b/>
          <w:bCs/>
          <w:sz w:val="28"/>
          <w:szCs w:val="28"/>
          <w:u w:val="single"/>
          <w:rtl/>
        </w:rPr>
        <w:t>חלק ראשון – פתח דבר וכן תוצאת ההליך</w:t>
      </w:r>
    </w:p>
    <w:p w:rsidR="00BE0AB3" w:rsidRDefault="00BE0AB3" w:rsidP="00BE0AB3">
      <w:pPr>
        <w:pStyle w:val="af8"/>
        <w:spacing w:line="360" w:lineRule="auto"/>
        <w:ind w:left="-739"/>
        <w:jc w:val="both"/>
        <w:rPr>
          <w:rFonts w:ascii="David" w:hAnsi="David" w:cs="David"/>
          <w:b/>
          <w:bCs/>
          <w:sz w:val="24"/>
          <w:szCs w:val="24"/>
          <w:u w:val="single"/>
          <w:rtl/>
        </w:rPr>
      </w:pPr>
    </w:p>
    <w:p w:rsidR="00BE0AB3" w:rsidRDefault="00BE0AB3" w:rsidP="00BE0AB3">
      <w:pPr>
        <w:pStyle w:val="af8"/>
        <w:numPr>
          <w:ilvl w:val="0"/>
          <w:numId w:val="2"/>
        </w:numPr>
        <w:spacing w:line="360" w:lineRule="auto"/>
        <w:ind w:left="-172" w:hanging="284"/>
        <w:jc w:val="both"/>
        <w:rPr>
          <w:rFonts w:ascii="David" w:hAnsi="David" w:cs="David"/>
          <w:sz w:val="24"/>
          <w:szCs w:val="24"/>
          <w:rtl/>
        </w:rPr>
      </w:pPr>
      <w:r>
        <w:rPr>
          <w:rFonts w:ascii="David" w:hAnsi="David" w:cs="David"/>
          <w:b/>
          <w:bCs/>
          <w:sz w:val="24"/>
          <w:szCs w:val="24"/>
          <w:u w:val="single"/>
          <w:rtl/>
        </w:rPr>
        <w:t>הכרת התביעה, הסעדים הנדרשים והליכים נוספים שהתנהלו בין הצדדים</w:t>
      </w:r>
    </w:p>
    <w:p w:rsidR="00BE0AB3" w:rsidRDefault="00BE0AB3" w:rsidP="00BE0AB3">
      <w:pPr>
        <w:pStyle w:val="af8"/>
        <w:numPr>
          <w:ilvl w:val="1"/>
          <w:numId w:val="4"/>
        </w:numPr>
        <w:spacing w:line="360" w:lineRule="auto"/>
        <w:ind w:left="395" w:hanging="567"/>
        <w:jc w:val="both"/>
        <w:rPr>
          <w:rFonts w:ascii="David" w:hAnsi="David" w:cs="David"/>
          <w:sz w:val="24"/>
          <w:szCs w:val="24"/>
        </w:rPr>
      </w:pPr>
      <w:r>
        <w:rPr>
          <w:rFonts w:ascii="David" w:hAnsi="David" w:cs="David"/>
          <w:b/>
          <w:bCs/>
          <w:sz w:val="24"/>
          <w:szCs w:val="24"/>
          <w:u w:val="single"/>
          <w:rtl/>
        </w:rPr>
        <w:t>מהות התביעה</w:t>
      </w:r>
      <w:r>
        <w:rPr>
          <w:rFonts w:ascii="David" w:hAnsi="David" w:cs="David"/>
          <w:sz w:val="24"/>
          <w:szCs w:val="24"/>
          <w:rtl/>
        </w:rPr>
        <w:t xml:space="preserve"> - עניינו של פסק דין זה הוא תביעה לפיצוי כספי בסך 450,000 ₪ בגין פגיעה בזכויות יוצרים של התובעת, מרצה בכירה ללימודי תזונה וכן כפיצוי בגין הוצאת לשון הרע ופיצוי בגין כאב וסבל. במסגרת התביעה עתרה התובעת לסעדים הבאים:</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934" w:hanging="425"/>
        <w:jc w:val="both"/>
        <w:rPr>
          <w:rFonts w:ascii="David" w:hAnsi="David" w:cs="David"/>
          <w:sz w:val="24"/>
          <w:szCs w:val="24"/>
          <w:rtl/>
        </w:rPr>
      </w:pPr>
      <w:r>
        <w:rPr>
          <w:rFonts w:ascii="David" w:hAnsi="David" w:cs="David"/>
          <w:sz w:val="24"/>
          <w:szCs w:val="24"/>
          <w:rtl/>
        </w:rPr>
        <w:t>פיצוי ללא הוכחת נזק מכח חוק זכות יוצרים תשס"ח – 2008, בגין</w:t>
      </w:r>
    </w:p>
    <w:p w:rsidR="00BE0AB3" w:rsidRDefault="00BE0AB3" w:rsidP="00BE0AB3">
      <w:pPr>
        <w:pStyle w:val="af8"/>
        <w:spacing w:line="360" w:lineRule="auto"/>
        <w:ind w:left="934"/>
        <w:jc w:val="both"/>
        <w:rPr>
          <w:rFonts w:ascii="David" w:hAnsi="David" w:cs="David"/>
          <w:sz w:val="24"/>
          <w:szCs w:val="24"/>
        </w:rPr>
      </w:pPr>
      <w:r>
        <w:rPr>
          <w:rFonts w:ascii="David" w:hAnsi="David" w:cs="David"/>
          <w:sz w:val="24"/>
          <w:szCs w:val="24"/>
          <w:rtl/>
        </w:rPr>
        <w:t xml:space="preserve">הפרות ו/או העתקות ו/או גניבת קנין רוחני - </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300,000 ₪</w:t>
      </w:r>
    </w:p>
    <w:p w:rsidR="00BE0AB3" w:rsidRDefault="00BE0AB3" w:rsidP="00BE0AB3">
      <w:pPr>
        <w:pStyle w:val="af8"/>
        <w:spacing w:line="360" w:lineRule="auto"/>
        <w:ind w:left="1440"/>
        <w:jc w:val="both"/>
        <w:rPr>
          <w:rFonts w:ascii="David" w:hAnsi="David" w:cs="David"/>
          <w:sz w:val="24"/>
          <w:szCs w:val="24"/>
          <w:rtl/>
        </w:rPr>
      </w:pPr>
    </w:p>
    <w:p w:rsidR="00BE0AB3" w:rsidRDefault="00BE0AB3" w:rsidP="00BE0AB3">
      <w:pPr>
        <w:pStyle w:val="af8"/>
        <w:numPr>
          <w:ilvl w:val="0"/>
          <w:numId w:val="6"/>
        </w:numPr>
        <w:spacing w:line="360" w:lineRule="auto"/>
        <w:ind w:left="934" w:hanging="425"/>
        <w:jc w:val="both"/>
        <w:rPr>
          <w:rFonts w:ascii="David" w:hAnsi="David" w:cs="David"/>
          <w:sz w:val="24"/>
          <w:szCs w:val="24"/>
          <w:rtl/>
        </w:rPr>
      </w:pPr>
      <w:r>
        <w:rPr>
          <w:rFonts w:ascii="David" w:hAnsi="David" w:cs="David"/>
          <w:sz w:val="24"/>
          <w:szCs w:val="24"/>
          <w:rtl/>
        </w:rPr>
        <w:t xml:space="preserve">פיצוי ללא הוכחת נזק בגין הוצאת לשון הרע - </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100,000 ₪</w:t>
      </w:r>
    </w:p>
    <w:p w:rsidR="00BE0AB3" w:rsidRDefault="00BE0AB3" w:rsidP="00BE0AB3">
      <w:pPr>
        <w:pStyle w:val="af8"/>
        <w:spacing w:line="360" w:lineRule="auto"/>
        <w:ind w:left="1440"/>
        <w:jc w:val="both"/>
        <w:rPr>
          <w:rFonts w:ascii="David" w:hAnsi="David" w:cs="David"/>
          <w:sz w:val="24"/>
          <w:szCs w:val="24"/>
          <w:rtl/>
        </w:rPr>
      </w:pPr>
    </w:p>
    <w:p w:rsidR="00BE0AB3" w:rsidRDefault="00BE0AB3" w:rsidP="00BE0AB3">
      <w:pPr>
        <w:pStyle w:val="af8"/>
        <w:numPr>
          <w:ilvl w:val="0"/>
          <w:numId w:val="6"/>
        </w:numPr>
        <w:spacing w:line="360" w:lineRule="auto"/>
        <w:ind w:left="934" w:hanging="425"/>
        <w:jc w:val="both"/>
        <w:rPr>
          <w:rFonts w:ascii="David" w:hAnsi="David" w:cs="David"/>
          <w:sz w:val="24"/>
          <w:szCs w:val="24"/>
          <w:rtl/>
        </w:rPr>
      </w:pPr>
      <w:r>
        <w:rPr>
          <w:rFonts w:ascii="David" w:hAnsi="David" w:cs="David"/>
          <w:sz w:val="24"/>
          <w:szCs w:val="24"/>
          <w:rtl/>
        </w:rPr>
        <w:t xml:space="preserve">פיצוי בגין נזקים לא ממוניים, לרבות כאב וסבל - </w:t>
      </w:r>
      <w:r>
        <w:rPr>
          <w:rFonts w:ascii="David" w:hAnsi="David" w:cs="David"/>
          <w:sz w:val="24"/>
          <w:szCs w:val="24"/>
          <w:rtl/>
        </w:rPr>
        <w:tab/>
      </w:r>
      <w:r>
        <w:rPr>
          <w:rFonts w:ascii="David" w:hAnsi="David" w:cs="David"/>
          <w:sz w:val="24"/>
          <w:szCs w:val="24"/>
          <w:rtl/>
        </w:rPr>
        <w:tab/>
      </w:r>
      <w:r>
        <w:rPr>
          <w:rFonts w:ascii="David" w:hAnsi="David" w:cs="David"/>
          <w:sz w:val="24"/>
          <w:szCs w:val="24"/>
          <w:rtl/>
        </w:rPr>
        <w:tab/>
        <w:t>50,000 ₪</w:t>
      </w:r>
    </w:p>
    <w:p w:rsidR="00BE0AB3" w:rsidRDefault="00BE0AB3" w:rsidP="00BE0AB3">
      <w:pPr>
        <w:pStyle w:val="af8"/>
        <w:spacing w:line="360" w:lineRule="auto"/>
        <w:ind w:left="1440"/>
        <w:jc w:val="both"/>
        <w:rPr>
          <w:rFonts w:ascii="David" w:hAnsi="David" w:cs="David"/>
          <w:b/>
          <w:bCs/>
          <w:sz w:val="24"/>
          <w:szCs w:val="24"/>
          <w:rtl/>
        </w:rPr>
      </w:pP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t xml:space="preserve">===== </w:t>
      </w:r>
    </w:p>
    <w:p w:rsidR="00BE0AB3" w:rsidRDefault="00BE0AB3" w:rsidP="00BE0AB3">
      <w:pPr>
        <w:pStyle w:val="af8"/>
        <w:rPr>
          <w:rFonts w:ascii="David" w:hAnsi="David" w:cs="David"/>
          <w:b/>
          <w:bCs/>
          <w:sz w:val="24"/>
          <w:szCs w:val="24"/>
        </w:rPr>
      </w:pPr>
      <w:r>
        <w:rPr>
          <w:rFonts w:ascii="David" w:hAnsi="David" w:cs="David"/>
          <w:b/>
          <w:bCs/>
          <w:sz w:val="24"/>
          <w:szCs w:val="24"/>
          <w:rtl/>
        </w:rPr>
        <w:t xml:space="preserve">סה"כ - </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t>450,000 ₪</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 xml:space="preserve">עוד עתרה התובעת לסדרה של צווי עשה, מניעה וסעדים הצהרתיים – הכל </w:t>
      </w:r>
      <w:r>
        <w:rPr>
          <w:rFonts w:ascii="David" w:hAnsi="David" w:cs="David" w:hint="cs"/>
          <w:sz w:val="24"/>
          <w:szCs w:val="24"/>
          <w:rtl/>
        </w:rPr>
        <w:t>כ</w:t>
      </w:r>
      <w:r>
        <w:rPr>
          <w:rFonts w:ascii="David" w:hAnsi="David" w:cs="David"/>
          <w:sz w:val="24"/>
          <w:szCs w:val="24"/>
          <w:rtl/>
        </w:rPr>
        <w:t>מפורט בס</w:t>
      </w:r>
      <w:r>
        <w:rPr>
          <w:rFonts w:ascii="David" w:hAnsi="David" w:cs="David" w:hint="cs"/>
          <w:sz w:val="24"/>
          <w:szCs w:val="24"/>
          <w:rtl/>
        </w:rPr>
        <w:t>עיף</w:t>
      </w:r>
      <w:r>
        <w:rPr>
          <w:rFonts w:ascii="David" w:hAnsi="David" w:cs="David"/>
          <w:sz w:val="24"/>
          <w:szCs w:val="24"/>
          <w:rtl/>
        </w:rPr>
        <w:t xml:space="preserve"> 4.13 להלן. </w:t>
      </w:r>
    </w:p>
    <w:p w:rsidR="00BE0AB3" w:rsidRDefault="00BE0AB3" w:rsidP="00BE0AB3">
      <w:pPr>
        <w:pStyle w:val="af8"/>
        <w:spacing w:line="360" w:lineRule="auto"/>
        <w:ind w:left="1080"/>
        <w:jc w:val="both"/>
        <w:rPr>
          <w:rFonts w:ascii="David" w:hAnsi="David" w:cs="David"/>
          <w:sz w:val="24"/>
          <w:szCs w:val="24"/>
          <w:rtl/>
        </w:rPr>
      </w:pPr>
    </w:p>
    <w:p w:rsidR="00BE0AB3" w:rsidRDefault="00BE0AB3" w:rsidP="00BE0AB3">
      <w:pPr>
        <w:pStyle w:val="af8"/>
        <w:numPr>
          <w:ilvl w:val="1"/>
          <w:numId w:val="4"/>
        </w:numPr>
        <w:spacing w:line="360" w:lineRule="auto"/>
        <w:ind w:left="395" w:hanging="567"/>
        <w:jc w:val="both"/>
        <w:rPr>
          <w:rFonts w:ascii="David" w:hAnsi="David" w:cs="David"/>
          <w:sz w:val="24"/>
          <w:szCs w:val="24"/>
        </w:rPr>
      </w:pPr>
      <w:r>
        <w:rPr>
          <w:rFonts w:ascii="David" w:hAnsi="David" w:cs="David"/>
          <w:b/>
          <w:bCs/>
          <w:sz w:val="24"/>
          <w:szCs w:val="24"/>
          <w:u w:val="single"/>
          <w:rtl/>
        </w:rPr>
        <w:t>תמצית הטענות שעניינן פגיעה בקניין הרוחני של התובעת</w:t>
      </w:r>
      <w:r>
        <w:rPr>
          <w:rFonts w:ascii="David" w:hAnsi="David" w:cs="David"/>
          <w:sz w:val="24"/>
          <w:szCs w:val="24"/>
          <w:rtl/>
        </w:rPr>
        <w:t xml:space="preserve"> - התובעת היא דיאטנית קלינית, מרצה בכירה ללימודי תזונה באוניברסיטת אריאל אשר לאחר הגשת התביעה אף קיבלה תואר ד"ר בתזונה. הנתבעת, היא סטודנטית לשעבר של התובעת, אותה לימדה במסגרת לימודי התואר </w:t>
      </w:r>
      <w:r>
        <w:rPr>
          <w:rFonts w:ascii="David" w:hAnsi="David" w:cs="David"/>
          <w:sz w:val="24"/>
          <w:szCs w:val="24"/>
          <w:rtl/>
        </w:rPr>
        <w:lastRenderedPageBreak/>
        <w:t xml:space="preserve">הראשון. הנתבעת ערכה והוציאה לפועל קורסים שונים, ולפחות מפגש אחד אותו כינתה </w:t>
      </w:r>
      <w:r>
        <w:rPr>
          <w:rFonts w:ascii="David" w:hAnsi="David" w:cs="David"/>
          <w:sz w:val="24"/>
          <w:szCs w:val="24"/>
          <w:u w:val="single"/>
          <w:rtl/>
        </w:rPr>
        <w:t>"לעבור את שרון"</w:t>
      </w:r>
      <w:r>
        <w:rPr>
          <w:rFonts w:ascii="David" w:hAnsi="David" w:cs="David"/>
          <w:sz w:val="24"/>
          <w:szCs w:val="24"/>
          <w:rtl/>
        </w:rPr>
        <w:t xml:space="preserve"> – תוך שהיא מכוונת לתובעת וכגון קורס </w:t>
      </w:r>
      <w:r>
        <w:rPr>
          <w:rFonts w:ascii="David" w:hAnsi="David" w:cs="David"/>
          <w:sz w:val="24"/>
          <w:szCs w:val="24"/>
          <w:u w:val="single"/>
          <w:rtl/>
        </w:rPr>
        <w:t>הכנה לבחינה הממשלתית</w:t>
      </w:r>
      <w:r>
        <w:rPr>
          <w:rFonts w:ascii="David" w:hAnsi="David" w:cs="David"/>
          <w:sz w:val="24"/>
          <w:szCs w:val="24"/>
          <w:rtl/>
        </w:rPr>
        <w:t>.</w:t>
      </w:r>
    </w:p>
    <w:p w:rsidR="00BE0AB3" w:rsidRDefault="00BE0AB3" w:rsidP="00BE0AB3">
      <w:pPr>
        <w:pStyle w:val="af8"/>
        <w:spacing w:line="360" w:lineRule="auto"/>
        <w:ind w:left="395"/>
        <w:jc w:val="both"/>
        <w:rPr>
          <w:rFonts w:ascii="David" w:hAnsi="David" w:cs="David"/>
          <w:sz w:val="24"/>
          <w:szCs w:val="24"/>
        </w:rPr>
      </w:pPr>
      <w:r>
        <w:rPr>
          <w:rFonts w:ascii="David" w:hAnsi="David" w:cs="David"/>
          <w:sz w:val="24"/>
          <w:szCs w:val="24"/>
          <w:rtl/>
        </w:rPr>
        <w:t xml:space="preserve">התובעת טענה שהקורס אותו מעבירה הנתבעת כמרתון ההכנה לבחינה הממשלתית מזוהה, דומה ואף חופף למערכי השיעור שלה עצמה. עוד טענה התובעת להעתקת תכנים מקצועיים, שיטות לימוד, נוסחאות, פורמולות, דוגמאות מספריות פרי יצירתה, עמלה ומחשבה אוטונומית ומקורית שלה. </w:t>
      </w:r>
    </w:p>
    <w:p w:rsidR="00BE0AB3" w:rsidRDefault="00BE0AB3" w:rsidP="00BE0AB3">
      <w:pPr>
        <w:pStyle w:val="af8"/>
        <w:spacing w:line="360" w:lineRule="auto"/>
        <w:jc w:val="both"/>
        <w:rPr>
          <w:rFonts w:ascii="David" w:hAnsi="David" w:cs="David"/>
          <w:b/>
          <w:bCs/>
          <w:sz w:val="24"/>
          <w:szCs w:val="24"/>
          <w:u w:val="single"/>
        </w:rPr>
      </w:pPr>
    </w:p>
    <w:p w:rsidR="00BE0AB3" w:rsidRDefault="00BE0AB3" w:rsidP="00BE0AB3">
      <w:pPr>
        <w:pStyle w:val="af8"/>
        <w:numPr>
          <w:ilvl w:val="1"/>
          <w:numId w:val="4"/>
        </w:numPr>
        <w:spacing w:line="360" w:lineRule="auto"/>
        <w:ind w:left="395" w:hanging="567"/>
        <w:jc w:val="both"/>
        <w:rPr>
          <w:rFonts w:ascii="David" w:hAnsi="David" w:cs="David"/>
          <w:sz w:val="24"/>
          <w:szCs w:val="24"/>
        </w:rPr>
      </w:pPr>
      <w:r>
        <w:rPr>
          <w:rFonts w:ascii="David" w:hAnsi="David" w:cs="David"/>
          <w:b/>
          <w:bCs/>
          <w:sz w:val="24"/>
          <w:szCs w:val="24"/>
          <w:u w:val="single"/>
          <w:rtl/>
        </w:rPr>
        <w:t>תמצית טענות לשון הרע</w:t>
      </w:r>
      <w:r>
        <w:rPr>
          <w:rFonts w:ascii="David" w:hAnsi="David" w:cs="David"/>
          <w:sz w:val="24"/>
          <w:szCs w:val="24"/>
          <w:rtl/>
        </w:rPr>
        <w:t xml:space="preserve"> - התובעת טענה גם להוצאת לשון הרע, בשל פניות הנתבעת למבקר אוניברסיטת אריאל, וכן בגין פרסום באינטרנט – עליו עוד יורחב בהמשך.</w:t>
      </w:r>
    </w:p>
    <w:p w:rsidR="00BE0AB3" w:rsidRDefault="00BE0AB3" w:rsidP="00BE0AB3">
      <w:pPr>
        <w:pStyle w:val="af8"/>
        <w:spacing w:line="360" w:lineRule="auto"/>
        <w:ind w:left="1080"/>
        <w:jc w:val="both"/>
        <w:rPr>
          <w:rFonts w:ascii="David" w:hAnsi="David" w:cs="David"/>
          <w:sz w:val="24"/>
          <w:szCs w:val="24"/>
        </w:rPr>
      </w:pPr>
    </w:p>
    <w:p w:rsidR="00BE0AB3" w:rsidRDefault="00BE0AB3" w:rsidP="00BE0AB3">
      <w:pPr>
        <w:pStyle w:val="af8"/>
        <w:numPr>
          <w:ilvl w:val="1"/>
          <w:numId w:val="4"/>
        </w:numPr>
        <w:spacing w:line="360" w:lineRule="auto"/>
        <w:ind w:left="395" w:hanging="567"/>
        <w:jc w:val="both"/>
        <w:rPr>
          <w:rFonts w:ascii="David" w:hAnsi="David" w:cs="David"/>
          <w:sz w:val="24"/>
          <w:szCs w:val="24"/>
        </w:rPr>
      </w:pPr>
      <w:r>
        <w:rPr>
          <w:rFonts w:ascii="David" w:hAnsi="David" w:cs="David"/>
          <w:b/>
          <w:bCs/>
          <w:sz w:val="24"/>
          <w:szCs w:val="24"/>
          <w:u w:val="single"/>
          <w:rtl/>
        </w:rPr>
        <w:t>תמצית הטענה בדבר כאב וסבל וטענות נוספות</w:t>
      </w:r>
      <w:r>
        <w:rPr>
          <w:rFonts w:ascii="David" w:hAnsi="David" w:cs="David"/>
          <w:sz w:val="24"/>
          <w:szCs w:val="24"/>
          <w:rtl/>
        </w:rPr>
        <w:t xml:space="preserve"> -  בנוסף טענה התובעת לפיצוי בגין כאב וסבל, וכן הפנתה לשורה של הפרות הדין עליהן יפורט בסעיף 4 להלן. </w:t>
      </w:r>
    </w:p>
    <w:p w:rsidR="00BE0AB3" w:rsidRDefault="00BE0AB3" w:rsidP="00BE0AB3">
      <w:pPr>
        <w:pStyle w:val="af8"/>
        <w:rPr>
          <w:rFonts w:ascii="David" w:hAnsi="David" w:cs="David"/>
          <w:sz w:val="24"/>
          <w:szCs w:val="24"/>
        </w:rPr>
      </w:pPr>
    </w:p>
    <w:p w:rsidR="00BE0AB3" w:rsidRDefault="00BE0AB3" w:rsidP="00BE0AB3">
      <w:pPr>
        <w:pStyle w:val="af8"/>
        <w:numPr>
          <w:ilvl w:val="1"/>
          <w:numId w:val="4"/>
        </w:numPr>
        <w:spacing w:line="360" w:lineRule="auto"/>
        <w:ind w:left="395" w:hanging="567"/>
        <w:jc w:val="both"/>
        <w:rPr>
          <w:rFonts w:ascii="David" w:hAnsi="David" w:cs="David"/>
          <w:sz w:val="24"/>
          <w:szCs w:val="24"/>
          <w:rtl/>
        </w:rPr>
      </w:pPr>
      <w:r>
        <w:rPr>
          <w:rFonts w:ascii="David" w:hAnsi="David" w:cs="David"/>
          <w:b/>
          <w:bCs/>
          <w:sz w:val="24"/>
          <w:szCs w:val="24"/>
          <w:u w:val="single"/>
          <w:rtl/>
        </w:rPr>
        <w:t>ההליך החל בבית המשפט המחוזי ועניינו נדון גם בבית המשפט העליון</w:t>
      </w:r>
      <w:r>
        <w:rPr>
          <w:rFonts w:ascii="David" w:hAnsi="David" w:cs="David"/>
          <w:sz w:val="24"/>
          <w:szCs w:val="24"/>
          <w:rtl/>
        </w:rPr>
        <w:t xml:space="preserve"> - התביעה הוגשה בתחילה לבית המשפט המחוזי. לאחר שזה העבירו לבית משפט השלום, הגישה התובעת בקשת רשות ערעור לבית המשפט העליון. בקשת רשות הערעור של התובעת נדונה במסגרת רע"א 6500/19, </w:t>
      </w:r>
      <w:r>
        <w:rPr>
          <w:rFonts w:ascii="David" w:hAnsi="David" w:cs="David"/>
          <w:sz w:val="24"/>
          <w:szCs w:val="24"/>
          <w:u w:val="single"/>
          <w:rtl/>
        </w:rPr>
        <w:t>ד"ר שרון גבריאל נ' ורד אשד</w:t>
      </w:r>
      <w:r>
        <w:rPr>
          <w:rFonts w:ascii="David" w:hAnsi="David" w:cs="David"/>
          <w:sz w:val="24"/>
          <w:szCs w:val="24"/>
          <w:rtl/>
        </w:rPr>
        <w:t xml:space="preserve"> (מיום 7/5/2020 הש' נ' סולברג, מ' מזוז, ע' גרוסקופף). במסגרת החלטת בית המשפט העליון, נדונה שאלת הסמכות העניינית בהליכים שעניינם קנין רוחני ונקבע כך -  </w:t>
      </w:r>
      <w:r>
        <w:rPr>
          <w:rFonts w:ascii="David" w:hAnsi="David" w:cs="David"/>
          <w:b/>
          <w:bCs/>
          <w:sz w:val="24"/>
          <w:szCs w:val="24"/>
          <w:rtl/>
        </w:rPr>
        <w:t>"</w:t>
      </w:r>
      <w:r>
        <w:rPr>
          <w:rFonts w:ascii="David" w:hAnsi="David" w:cs="David"/>
          <w:b/>
          <w:bCs/>
          <w:sz w:val="24"/>
          <w:szCs w:val="24"/>
          <w:u w:val="single"/>
          <w:rtl/>
        </w:rPr>
        <w:t>לצורך קביעת הסמכות העניינית לדון בתביעות בענייני קניין רוחני, אין חשיבות לשאלה מהם סוגי הסעדים הנתבעים במסגרת התביעה – סעד כספי, סעד הצהרתי, צו מניעה או צו עשה – אלא יש לבחון את שווי התביעה</w:t>
      </w:r>
      <w:r>
        <w:rPr>
          <w:rFonts w:ascii="David" w:hAnsi="David" w:cs="David"/>
          <w:b/>
          <w:bCs/>
          <w:sz w:val="24"/>
          <w:szCs w:val="24"/>
          <w:rtl/>
        </w:rPr>
        <w:t xml:space="preserve">, דהיינו את סכום התביעה או שווי נושאה. ויובהר, ככל שמדובר בסעד כספי, הרי שהערכת שווי התביעה נעשה לפי "סכום התביעה" – הוא הסכום אותו דורש התובע בכתב התביעה; לעומת זאת, ככל שמדובר בסעד שאינו כספי הרי שלא ניתן לאומדו לפי "סכום התביעה", ועל כן יש להעריכו על פי </w:t>
      </w:r>
      <w:r>
        <w:rPr>
          <w:rFonts w:ascii="David" w:hAnsi="David" w:cs="David"/>
          <w:b/>
          <w:bCs/>
          <w:sz w:val="24"/>
          <w:szCs w:val="24"/>
          <w:u w:val="single"/>
          <w:rtl/>
        </w:rPr>
        <w:t>"שווי הנושא"</w:t>
      </w:r>
      <w:r>
        <w:rPr>
          <w:rFonts w:ascii="David" w:hAnsi="David" w:cs="David"/>
          <w:b/>
          <w:bCs/>
          <w:sz w:val="24"/>
          <w:szCs w:val="24"/>
          <w:rtl/>
        </w:rPr>
        <w:t>, דהיינו לפי אומדן הערך הכלכלי אותו ניתן לייחס לאינטרס עליו מבקש התובע להגן באמצעות הסעד"</w:t>
      </w:r>
      <w:r>
        <w:rPr>
          <w:rFonts w:ascii="David" w:hAnsi="David" w:cs="David"/>
          <w:sz w:val="24"/>
          <w:szCs w:val="24"/>
          <w:rtl/>
        </w:rPr>
        <w:t xml:space="preserve"> (סעיף 27 לפסק הדין – הש' ע' גרוסקופף, ההדגשות לא במקור).</w:t>
      </w:r>
    </w:p>
    <w:p w:rsidR="00BE0AB3" w:rsidRDefault="00BE0AB3" w:rsidP="00BE0AB3">
      <w:pPr>
        <w:pStyle w:val="af8"/>
        <w:rPr>
          <w:rFonts w:ascii="David" w:hAnsi="David" w:cs="David"/>
          <w:sz w:val="24"/>
          <w:szCs w:val="24"/>
        </w:rPr>
      </w:pPr>
    </w:p>
    <w:p w:rsidR="00BE0AB3" w:rsidRDefault="00BE0AB3" w:rsidP="00BE0AB3">
      <w:pPr>
        <w:pStyle w:val="af8"/>
        <w:numPr>
          <w:ilvl w:val="1"/>
          <w:numId w:val="4"/>
        </w:numPr>
        <w:spacing w:line="360" w:lineRule="auto"/>
        <w:ind w:left="395" w:hanging="567"/>
        <w:jc w:val="both"/>
        <w:rPr>
          <w:rFonts w:ascii="David" w:hAnsi="David" w:cs="David"/>
          <w:sz w:val="24"/>
          <w:szCs w:val="24"/>
          <w:rtl/>
        </w:rPr>
      </w:pPr>
      <w:r>
        <w:rPr>
          <w:rFonts w:ascii="David" w:hAnsi="David" w:cs="David"/>
          <w:b/>
          <w:bCs/>
          <w:sz w:val="24"/>
          <w:szCs w:val="24"/>
          <w:u w:val="single"/>
          <w:rtl/>
        </w:rPr>
        <w:t>על בקשה לתיקון כתב התביעה שנדחתה ועל בקשה להוספת ראיות שהתקבלה</w:t>
      </w:r>
    </w:p>
    <w:p w:rsidR="00BE0AB3" w:rsidRDefault="00BE0AB3" w:rsidP="00BE0AB3">
      <w:pPr>
        <w:pStyle w:val="af8"/>
        <w:numPr>
          <w:ilvl w:val="0"/>
          <w:numId w:val="6"/>
        </w:numPr>
        <w:spacing w:line="360" w:lineRule="auto"/>
        <w:ind w:left="678" w:hanging="283"/>
        <w:jc w:val="both"/>
        <w:rPr>
          <w:rFonts w:ascii="David" w:hAnsi="David" w:cs="David"/>
          <w:sz w:val="24"/>
          <w:szCs w:val="24"/>
        </w:rPr>
      </w:pPr>
      <w:r>
        <w:rPr>
          <w:rFonts w:ascii="David" w:hAnsi="David" w:cs="David"/>
          <w:sz w:val="24"/>
          <w:szCs w:val="24"/>
          <w:rtl/>
        </w:rPr>
        <w:t xml:space="preserve">במסגרת ניהול המחלוקת בבית משפט זה, התנהלו הליכים מקדמיים ערים, שאף הגיעו במסגרת הליכי ערעור שונים לבית המשפט המחוזי. אין מקום לפרט מלוא ההליכים המקדמיים, למעט בקשה לתיקון כתב תביעה וכן בקשה להוספת ראיות, כמפורט בפסקאות הבאות. חשיבות ההחלטה ביחס לאי תיקון כתב התביעה וכן ביחס להוספת ראיות חדשות תובא גם בסעיף 7 להלן. </w:t>
      </w:r>
    </w:p>
    <w:p w:rsidR="00BE0AB3" w:rsidRDefault="00BE0AB3" w:rsidP="00BE0AB3">
      <w:pPr>
        <w:pStyle w:val="af8"/>
        <w:spacing w:line="360" w:lineRule="auto"/>
        <w:ind w:left="678"/>
        <w:jc w:val="both"/>
        <w:rPr>
          <w:rFonts w:ascii="David" w:hAnsi="David" w:cs="David"/>
          <w:sz w:val="24"/>
          <w:szCs w:val="24"/>
        </w:rPr>
      </w:pPr>
    </w:p>
    <w:p w:rsidR="00BE0AB3" w:rsidRDefault="00BE0AB3" w:rsidP="00BE0AB3">
      <w:pPr>
        <w:pStyle w:val="af8"/>
        <w:numPr>
          <w:ilvl w:val="0"/>
          <w:numId w:val="6"/>
        </w:numPr>
        <w:spacing w:line="360" w:lineRule="auto"/>
        <w:ind w:left="678" w:hanging="283"/>
        <w:jc w:val="both"/>
        <w:rPr>
          <w:rFonts w:ascii="David" w:hAnsi="David" w:cs="David"/>
          <w:sz w:val="24"/>
          <w:szCs w:val="24"/>
        </w:rPr>
      </w:pPr>
      <w:r>
        <w:rPr>
          <w:rFonts w:ascii="David" w:hAnsi="David" w:cs="David"/>
          <w:sz w:val="24"/>
          <w:szCs w:val="24"/>
          <w:u w:val="single"/>
          <w:rtl/>
        </w:rPr>
        <w:t>בקשה לתיקון כתב תביעה שנדחתה</w:t>
      </w:r>
      <w:r>
        <w:rPr>
          <w:rFonts w:ascii="David" w:hAnsi="David" w:cs="David"/>
          <w:sz w:val="24"/>
          <w:szCs w:val="24"/>
          <w:rtl/>
        </w:rPr>
        <w:t xml:space="preserve"> - ביום 17/2/2021, כתשעה חודשים לאחר החלטת בית המשפט העליון, הגישה התובעת בקשה לתיקון כתב התביעה. התובעת עתרה לתקן את סכום התביעה לסך של 1,150,000 ₪ וזאת בשל "ההיקף האמיתי של ההפרות", כפי שהתגלה לה. הבקשה נדחתה על ידי ביום 17/2/2021 ועל כך הוגשה בקשת רשות ערעור.</w:t>
      </w:r>
    </w:p>
    <w:p w:rsidR="00BE0AB3" w:rsidRDefault="00BE0AB3" w:rsidP="00BE0AB3">
      <w:pPr>
        <w:pStyle w:val="af8"/>
        <w:spacing w:line="360" w:lineRule="auto"/>
        <w:ind w:left="678"/>
        <w:jc w:val="both"/>
        <w:rPr>
          <w:rFonts w:ascii="David" w:hAnsi="David" w:cs="David"/>
          <w:sz w:val="24"/>
          <w:szCs w:val="24"/>
        </w:rPr>
      </w:pPr>
    </w:p>
    <w:p w:rsidR="00BE0AB3" w:rsidRDefault="00BE0AB3" w:rsidP="00BE0AB3">
      <w:pPr>
        <w:pStyle w:val="af8"/>
        <w:numPr>
          <w:ilvl w:val="0"/>
          <w:numId w:val="6"/>
        </w:numPr>
        <w:spacing w:line="360" w:lineRule="auto"/>
        <w:ind w:left="678" w:hanging="283"/>
        <w:jc w:val="both"/>
        <w:rPr>
          <w:rFonts w:ascii="David" w:hAnsi="David" w:cs="David"/>
          <w:sz w:val="24"/>
          <w:szCs w:val="24"/>
        </w:rPr>
      </w:pPr>
      <w:r>
        <w:rPr>
          <w:rFonts w:ascii="David" w:hAnsi="David" w:cs="David"/>
          <w:sz w:val="24"/>
          <w:szCs w:val="24"/>
          <w:u w:val="single"/>
          <w:rtl/>
        </w:rPr>
        <w:t>בקשת התובעת להוספת ראיות שנדחתה</w:t>
      </w:r>
      <w:r>
        <w:rPr>
          <w:rFonts w:ascii="David" w:hAnsi="David" w:cs="David"/>
          <w:sz w:val="24"/>
          <w:szCs w:val="24"/>
          <w:rtl/>
        </w:rPr>
        <w:t xml:space="preserve"> - לאחר מכן, ביום 21/3/2021, הגישה התובעת בקשה לצירוף ראיות חדשות שהגיעו לידיה. לטענת התובעת – הראיות החדשות מלמדות רק על היקף ההפרה, אך אינן משנות את עילת התביעה. גם בקשה זו נדחתה על ידי, ביום 18/4/2021 ולאחר קבלת תשובת הנתבעת. בהחלטת הדחיה התייחסתי לכך שהבקשה להוספת ראיות היא המשך לבקשת תיקון כתב התביעה שנדחתה. גם החלטה זו מצאה דרכה לבקשת רשות הערעור.</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678" w:hanging="283"/>
        <w:jc w:val="both"/>
        <w:rPr>
          <w:rFonts w:ascii="David" w:hAnsi="David" w:cs="David"/>
          <w:sz w:val="24"/>
          <w:szCs w:val="24"/>
          <w:rtl/>
        </w:rPr>
      </w:pPr>
      <w:r>
        <w:rPr>
          <w:rFonts w:ascii="David" w:hAnsi="David" w:cs="David"/>
          <w:sz w:val="24"/>
          <w:szCs w:val="24"/>
          <w:u w:val="single"/>
          <w:rtl/>
        </w:rPr>
        <w:t>בקשת רשות ערעור שהוגשה בגין שתי ההחלטות דלעיל</w:t>
      </w:r>
      <w:r>
        <w:rPr>
          <w:rFonts w:ascii="David" w:hAnsi="David" w:cs="David"/>
          <w:sz w:val="24"/>
          <w:szCs w:val="24"/>
          <w:rtl/>
        </w:rPr>
        <w:t xml:space="preserve"> - בפועל הוגשה אפוא בקשת רשות ערעור המתייחסת הן להחלטה שלא התירה תיקון כתב התביעה והן להחלטה שלא התירה הוספת ראיות חדשות.</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678" w:hanging="283"/>
        <w:jc w:val="both"/>
        <w:rPr>
          <w:rFonts w:ascii="David" w:hAnsi="David" w:cs="David"/>
          <w:sz w:val="24"/>
          <w:szCs w:val="24"/>
          <w:rtl/>
        </w:rPr>
      </w:pPr>
      <w:r>
        <w:rPr>
          <w:rFonts w:ascii="David" w:hAnsi="David" w:cs="David"/>
          <w:sz w:val="24"/>
          <w:szCs w:val="24"/>
          <w:u w:val="single"/>
          <w:rtl/>
        </w:rPr>
        <w:t>הכרעת בית המשפט המחוזי בבקשת רשות הערעור</w:t>
      </w:r>
      <w:r>
        <w:rPr>
          <w:rFonts w:ascii="David" w:hAnsi="David" w:cs="David"/>
          <w:sz w:val="24"/>
          <w:szCs w:val="24"/>
          <w:rtl/>
        </w:rPr>
        <w:t xml:space="preserve"> - ביום 12/5/2021 ניתנה החלטת בית המשפט המחוזי בבקשת רשות הערעור  - רע"א 50104-04-21, </w:t>
      </w:r>
      <w:r>
        <w:rPr>
          <w:rFonts w:ascii="David" w:hAnsi="David" w:cs="David"/>
          <w:sz w:val="24"/>
          <w:szCs w:val="24"/>
          <w:u w:val="single"/>
          <w:rtl/>
        </w:rPr>
        <w:t>גבריאל נגד סנדיק אשד</w:t>
      </w:r>
      <w:r>
        <w:rPr>
          <w:rFonts w:ascii="David" w:hAnsi="David" w:cs="David"/>
          <w:sz w:val="24"/>
          <w:szCs w:val="24"/>
          <w:rtl/>
        </w:rPr>
        <w:t xml:space="preserve"> (מיום 12/5/2021, סג' הנ' השופטת א' כהן). בהחלטה נדחתה הבקשה לתיקון כתב התביעה. לצד זאת הותרה האפשרות להוסיף ראיות חדשות, תוך שנקבע כך – </w:t>
      </w:r>
      <w:r>
        <w:rPr>
          <w:rFonts w:ascii="David" w:hAnsi="David" w:cs="David"/>
          <w:b/>
          <w:bCs/>
          <w:sz w:val="24"/>
          <w:szCs w:val="24"/>
          <w:rtl/>
        </w:rPr>
        <w:t>"אמנם כפי שקבעתי אין מקום בנסיבות הענין לאפשר את תיקון כתב התביעה והגדלת הסעד המבוקש, אולם אני סבורה כי יש מקום לאפשר למבקשת לצרף ראיות שרלוונטיות לסוגיות הנטענות בכתב התביעה"</w:t>
      </w:r>
      <w:r>
        <w:rPr>
          <w:rFonts w:ascii="David" w:hAnsi="David" w:cs="David"/>
          <w:sz w:val="24"/>
          <w:szCs w:val="24"/>
          <w:rtl/>
        </w:rPr>
        <w:t>.</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678" w:hanging="283"/>
        <w:jc w:val="both"/>
        <w:rPr>
          <w:rFonts w:ascii="David" w:hAnsi="David" w:cs="David"/>
          <w:sz w:val="24"/>
          <w:szCs w:val="24"/>
          <w:rtl/>
        </w:rPr>
      </w:pPr>
      <w:r>
        <w:rPr>
          <w:rFonts w:ascii="David" w:hAnsi="David" w:cs="David"/>
          <w:sz w:val="24"/>
          <w:szCs w:val="24"/>
          <w:rtl/>
        </w:rPr>
        <w:t>התובעת אכן הגישה ראיות נוספות. כך או כך, גדר המחלוקת והחזית בין הצדדים היא כאמור בכתב ההגנה וכתב ההגנה כפי שהוגשו ונמצאים בתיק. במסגרת פסק הדין אכן הוכח שהנתבעת העתיקה חלק ניכר ונכבד מתוצרי התובעת ולכך עוד תהא התייחסות בהמשך.</w:t>
      </w:r>
    </w:p>
    <w:p w:rsidR="00BE0AB3" w:rsidRDefault="00BE0AB3" w:rsidP="00BE0AB3">
      <w:pPr>
        <w:pStyle w:val="af8"/>
        <w:spacing w:line="360" w:lineRule="auto"/>
        <w:jc w:val="both"/>
        <w:rPr>
          <w:rFonts w:ascii="David" w:hAnsi="David" w:cs="David"/>
          <w:b/>
          <w:bCs/>
          <w:sz w:val="24"/>
          <w:szCs w:val="24"/>
          <w:u w:val="single"/>
          <w:rtl/>
        </w:rPr>
      </w:pPr>
    </w:p>
    <w:p w:rsidR="00BE0AB3" w:rsidRDefault="00BE0AB3" w:rsidP="00BE0AB3">
      <w:pPr>
        <w:pStyle w:val="af8"/>
        <w:numPr>
          <w:ilvl w:val="0"/>
          <w:numId w:val="2"/>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t>חמש העדויות שנשמעו בהליך</w:t>
      </w:r>
    </w:p>
    <w:p w:rsidR="00BE0AB3" w:rsidRDefault="00BE0AB3" w:rsidP="00BE0AB3">
      <w:pPr>
        <w:pStyle w:val="af8"/>
        <w:spacing w:line="360" w:lineRule="auto"/>
        <w:ind w:left="-172"/>
        <w:jc w:val="both"/>
        <w:rPr>
          <w:rFonts w:ascii="David" w:hAnsi="David" w:cs="David"/>
          <w:sz w:val="24"/>
          <w:szCs w:val="24"/>
        </w:rPr>
      </w:pPr>
      <w:r>
        <w:rPr>
          <w:rFonts w:ascii="David" w:hAnsi="David" w:cs="David"/>
          <w:sz w:val="24"/>
          <w:szCs w:val="24"/>
          <w:rtl/>
        </w:rPr>
        <w:t>בשלב שמיעת הראיות נשמעו חמש עדויות, כמפורט להלן:</w:t>
      </w:r>
    </w:p>
    <w:p w:rsidR="00BE0AB3" w:rsidRDefault="00BE0AB3" w:rsidP="00BE0AB3">
      <w:pPr>
        <w:pStyle w:val="af8"/>
        <w:spacing w:line="360" w:lineRule="auto"/>
        <w:jc w:val="both"/>
        <w:rPr>
          <w:rFonts w:ascii="David" w:hAnsi="David" w:cs="David"/>
          <w:sz w:val="24"/>
          <w:szCs w:val="24"/>
          <w:rtl/>
        </w:rPr>
      </w:pPr>
    </w:p>
    <w:p w:rsidR="00BE0AB3" w:rsidRDefault="00BE0AB3" w:rsidP="00BE0AB3">
      <w:pPr>
        <w:pStyle w:val="af8"/>
        <w:numPr>
          <w:ilvl w:val="0"/>
          <w:numId w:val="6"/>
        </w:numPr>
        <w:spacing w:line="360" w:lineRule="auto"/>
        <w:ind w:left="395" w:hanging="567"/>
        <w:jc w:val="both"/>
        <w:rPr>
          <w:rFonts w:ascii="David" w:hAnsi="David" w:cs="David"/>
          <w:sz w:val="24"/>
          <w:szCs w:val="24"/>
          <w:rtl/>
        </w:rPr>
      </w:pPr>
      <w:r>
        <w:rPr>
          <w:rFonts w:ascii="David" w:hAnsi="David" w:cs="David"/>
          <w:sz w:val="24"/>
          <w:szCs w:val="24"/>
          <w:u w:val="single"/>
          <w:rtl/>
        </w:rPr>
        <w:t>מטעם התובעת נשמעו ארבע</w:t>
      </w:r>
      <w:r>
        <w:rPr>
          <w:rFonts w:ascii="David" w:hAnsi="David" w:cs="David"/>
          <w:sz w:val="24"/>
          <w:szCs w:val="24"/>
          <w:rtl/>
        </w:rPr>
        <w:t xml:space="preserve"> – התובעת עצמה; פרופ' אולגה רז שהוגדרה כ"אוטוריטה בתחום התזונה"; גב' אביבה שמש, דיאטנית קלינית; גב' אורטל אטואן, אשר למדה בקורס אצל הנתבעת וכן שימשה כמתרגלת של התובעת.</w:t>
      </w:r>
    </w:p>
    <w:p w:rsidR="00BE0AB3" w:rsidRDefault="00BE0AB3" w:rsidP="00BE0AB3">
      <w:pPr>
        <w:pStyle w:val="af8"/>
        <w:spacing w:line="360" w:lineRule="auto"/>
        <w:ind w:left="1440"/>
        <w:jc w:val="both"/>
        <w:rPr>
          <w:rFonts w:ascii="David" w:hAnsi="David" w:cs="David"/>
          <w:sz w:val="24"/>
          <w:szCs w:val="24"/>
        </w:rPr>
      </w:pPr>
    </w:p>
    <w:p w:rsidR="00BE0AB3" w:rsidRDefault="00BE0AB3" w:rsidP="00BE0AB3">
      <w:pPr>
        <w:pStyle w:val="af8"/>
        <w:numPr>
          <w:ilvl w:val="0"/>
          <w:numId w:val="6"/>
        </w:numPr>
        <w:spacing w:line="360" w:lineRule="auto"/>
        <w:ind w:left="395" w:hanging="567"/>
        <w:jc w:val="both"/>
        <w:rPr>
          <w:rFonts w:ascii="David" w:hAnsi="David" w:cs="David"/>
          <w:sz w:val="24"/>
          <w:szCs w:val="24"/>
        </w:rPr>
      </w:pPr>
      <w:r>
        <w:rPr>
          <w:rFonts w:ascii="David" w:hAnsi="David" w:cs="David"/>
          <w:sz w:val="24"/>
          <w:szCs w:val="24"/>
          <w:u w:val="single"/>
          <w:rtl/>
        </w:rPr>
        <w:t>מטעם הנתבעת, נשמעה עדות אחת</w:t>
      </w:r>
      <w:r>
        <w:rPr>
          <w:rFonts w:ascii="David" w:hAnsi="David" w:cs="David"/>
          <w:sz w:val="24"/>
          <w:szCs w:val="24"/>
          <w:rtl/>
        </w:rPr>
        <w:t xml:space="preserve"> - והעידה אך ורק הנתבעת עצמה. </w:t>
      </w:r>
      <w:r>
        <w:rPr>
          <w:rFonts w:ascii="David" w:hAnsi="David" w:cs="David"/>
          <w:sz w:val="24"/>
          <w:szCs w:val="24"/>
          <w:u w:val="single"/>
          <w:rtl/>
        </w:rPr>
        <w:t>לא</w:t>
      </w:r>
      <w:r>
        <w:rPr>
          <w:rFonts w:ascii="David" w:hAnsi="David" w:cs="David"/>
          <w:sz w:val="24"/>
          <w:szCs w:val="24"/>
          <w:rtl/>
        </w:rPr>
        <w:t xml:space="preserve"> הובאה, למשל, דיאטנית נוספת אשר נטען שסייעה לה בכל הקשור להכנת התוצרים השונים, גם </w:t>
      </w:r>
      <w:r>
        <w:rPr>
          <w:rFonts w:ascii="David" w:hAnsi="David" w:cs="David"/>
          <w:sz w:val="24"/>
          <w:szCs w:val="24"/>
          <w:u w:val="single"/>
          <w:rtl/>
        </w:rPr>
        <w:t>לא</w:t>
      </w:r>
      <w:r>
        <w:rPr>
          <w:rFonts w:ascii="David" w:hAnsi="David" w:cs="David"/>
          <w:sz w:val="24"/>
          <w:szCs w:val="24"/>
          <w:rtl/>
        </w:rPr>
        <w:t xml:space="preserve"> הובאה סטודנטית שנטען שסייעה לנתבעת. במהלך הדיון התחוור שלפחות אל מול אחת מהן התגלעה מחלוקת ביחס לשימוש אסור בזכויות יוצרים וכפרשנות התובעת גזל של זכויות יוצרים. אפשר וזו הסיבה שהנתבעת נמנעה מלהביא כל עדות שתתמוך בגרסתה, למעט עדותה שלה כבעלת דין.</w:t>
      </w:r>
    </w:p>
    <w:p w:rsidR="00BE0AB3" w:rsidRDefault="00BE0AB3" w:rsidP="00BE0AB3">
      <w:pPr>
        <w:pStyle w:val="af8"/>
        <w:spacing w:line="360" w:lineRule="auto"/>
        <w:jc w:val="both"/>
        <w:rPr>
          <w:rFonts w:ascii="David" w:hAnsi="David" w:cs="David"/>
          <w:b/>
          <w:bCs/>
          <w:sz w:val="24"/>
          <w:szCs w:val="24"/>
          <w:u w:val="single"/>
          <w:rtl/>
        </w:rPr>
      </w:pPr>
    </w:p>
    <w:p w:rsidR="00F326D4" w:rsidRDefault="00F326D4" w:rsidP="00BE0AB3">
      <w:pPr>
        <w:pStyle w:val="af8"/>
        <w:spacing w:line="360" w:lineRule="auto"/>
        <w:jc w:val="both"/>
        <w:rPr>
          <w:rFonts w:ascii="David" w:hAnsi="David" w:cs="David"/>
          <w:b/>
          <w:bCs/>
          <w:sz w:val="24"/>
          <w:szCs w:val="24"/>
          <w:u w:val="single"/>
          <w:rtl/>
        </w:rPr>
      </w:pPr>
    </w:p>
    <w:p w:rsidR="00F326D4" w:rsidRDefault="00F326D4" w:rsidP="00BE0AB3">
      <w:pPr>
        <w:pStyle w:val="af8"/>
        <w:spacing w:line="360" w:lineRule="auto"/>
        <w:jc w:val="both"/>
        <w:rPr>
          <w:rFonts w:ascii="David" w:hAnsi="David" w:cs="David"/>
          <w:b/>
          <w:bCs/>
          <w:sz w:val="24"/>
          <w:szCs w:val="24"/>
          <w:u w:val="single"/>
        </w:rPr>
      </w:pPr>
    </w:p>
    <w:p w:rsidR="00BE0AB3" w:rsidRDefault="00BE0AB3" w:rsidP="00BE0AB3">
      <w:pPr>
        <w:pStyle w:val="af8"/>
        <w:numPr>
          <w:ilvl w:val="0"/>
          <w:numId w:val="2"/>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lastRenderedPageBreak/>
        <w:t>תוצאת ההליך</w:t>
      </w:r>
    </w:p>
    <w:p w:rsidR="00BE0AB3" w:rsidRPr="00F326D4" w:rsidRDefault="00F326D4" w:rsidP="00BE0AB3">
      <w:pPr>
        <w:pStyle w:val="af8"/>
        <w:numPr>
          <w:ilvl w:val="1"/>
          <w:numId w:val="2"/>
        </w:numPr>
        <w:spacing w:line="360" w:lineRule="auto"/>
        <w:ind w:left="395" w:hanging="567"/>
        <w:jc w:val="both"/>
        <w:rPr>
          <w:rFonts w:ascii="David" w:hAnsi="David" w:cs="David"/>
          <w:b/>
          <w:bCs/>
          <w:sz w:val="24"/>
          <w:szCs w:val="24"/>
          <w:u w:val="single"/>
        </w:rPr>
      </w:pPr>
      <w:r>
        <w:rPr>
          <w:rFonts w:ascii="David" w:hAnsi="David" w:cs="David" w:hint="cs"/>
          <w:b/>
          <w:bCs/>
          <w:sz w:val="24"/>
          <w:szCs w:val="24"/>
          <w:u w:val="single"/>
          <w:rtl/>
        </w:rPr>
        <w:t>תוצאת ההליך ב</w:t>
      </w:r>
      <w:r w:rsidRPr="00F326D4">
        <w:rPr>
          <w:rFonts w:ascii="David" w:hAnsi="David" w:cs="David"/>
          <w:b/>
          <w:bCs/>
          <w:sz w:val="24"/>
          <w:szCs w:val="24"/>
          <w:u w:val="single"/>
          <w:rtl/>
        </w:rPr>
        <w:t xml:space="preserve">רכיב </w:t>
      </w:r>
      <w:r>
        <w:rPr>
          <w:rFonts w:ascii="David" w:hAnsi="David" w:cs="David" w:hint="cs"/>
          <w:b/>
          <w:bCs/>
          <w:sz w:val="24"/>
          <w:szCs w:val="24"/>
          <w:u w:val="single"/>
          <w:rtl/>
        </w:rPr>
        <w:t>ה</w:t>
      </w:r>
      <w:r w:rsidRPr="00F326D4">
        <w:rPr>
          <w:rFonts w:ascii="David" w:hAnsi="David" w:cs="David"/>
          <w:b/>
          <w:bCs/>
          <w:sz w:val="24"/>
          <w:szCs w:val="24"/>
          <w:u w:val="single"/>
          <w:rtl/>
        </w:rPr>
        <w:t xml:space="preserve">תביעה </w:t>
      </w:r>
      <w:r>
        <w:rPr>
          <w:rFonts w:ascii="David" w:hAnsi="David" w:cs="David" w:hint="cs"/>
          <w:b/>
          <w:bCs/>
          <w:sz w:val="24"/>
          <w:szCs w:val="24"/>
          <w:u w:val="single"/>
          <w:rtl/>
        </w:rPr>
        <w:t>ה</w:t>
      </w:r>
      <w:r w:rsidR="00BE0AB3" w:rsidRPr="00F326D4">
        <w:rPr>
          <w:rFonts w:ascii="David" w:hAnsi="David" w:cs="David"/>
          <w:b/>
          <w:bCs/>
          <w:sz w:val="24"/>
          <w:szCs w:val="24"/>
          <w:u w:val="single"/>
          <w:rtl/>
        </w:rPr>
        <w:t>ראשון מתוך שלושה - הנתבעת אכן הפרה זכויות יוצרים של התובעת ויש לחייב אותה בתשלום פיצוי</w:t>
      </w:r>
    </w:p>
    <w:p w:rsidR="00BE0AB3" w:rsidRDefault="00BE0AB3" w:rsidP="00BE0AB3">
      <w:pPr>
        <w:pStyle w:val="af8"/>
        <w:numPr>
          <w:ilvl w:val="0"/>
          <w:numId w:val="8"/>
        </w:numPr>
        <w:spacing w:line="360" w:lineRule="auto"/>
        <w:ind w:left="820" w:hanging="425"/>
        <w:jc w:val="both"/>
        <w:rPr>
          <w:rFonts w:ascii="David" w:hAnsi="David" w:cs="David"/>
          <w:sz w:val="24"/>
          <w:szCs w:val="24"/>
        </w:rPr>
      </w:pPr>
      <w:r>
        <w:rPr>
          <w:rFonts w:ascii="David" w:hAnsi="David" w:cs="David"/>
          <w:sz w:val="24"/>
          <w:szCs w:val="24"/>
          <w:rtl/>
        </w:rPr>
        <w:t xml:space="preserve">התובעת צירפה לכתב התביעה מגוון רחב ביותר של העתקות והפרות זכות יוצרים מצידה של הנתבעת. לצורך הענין ועל מנת לאמוד את ההיקף הנרחב מאוד של ההפרות - אתייחס לתיאור התביעה כפי שהנתבעת התייחסה אליו בכתב ההגנה. הנתבעת לא פסחה על אף קו הגנה אפשרי ועדיין הנתבעת עצמה הפנתה לכך שהתובעת מתייחסת ל – "410 קוביות" השוואה מתוכן </w:t>
      </w:r>
      <w:r>
        <w:rPr>
          <w:rFonts w:ascii="David" w:hAnsi="David" w:cs="David"/>
          <w:b/>
          <w:bCs/>
          <w:sz w:val="24"/>
          <w:szCs w:val="24"/>
          <w:rtl/>
        </w:rPr>
        <w:t>"152... ההפרות (המוכחשות) היחידות המבססות את עילת התביעה"</w:t>
      </w:r>
      <w:r>
        <w:rPr>
          <w:rFonts w:ascii="David" w:hAnsi="David" w:cs="David"/>
          <w:sz w:val="24"/>
          <w:szCs w:val="24"/>
          <w:rtl/>
        </w:rPr>
        <w:t xml:space="preserve"> סעיף 26(4) בע"מ 8 לכתב ההגנה.</w:t>
      </w:r>
    </w:p>
    <w:p w:rsidR="00BE0AB3" w:rsidRDefault="00BE0AB3" w:rsidP="00BE0AB3">
      <w:pPr>
        <w:pStyle w:val="af8"/>
        <w:spacing w:line="360" w:lineRule="auto"/>
        <w:ind w:left="1080"/>
        <w:jc w:val="both"/>
        <w:rPr>
          <w:rFonts w:ascii="David" w:hAnsi="David" w:cs="David"/>
          <w:sz w:val="24"/>
          <w:szCs w:val="24"/>
        </w:rPr>
      </w:pPr>
    </w:p>
    <w:p w:rsidR="00BE0AB3" w:rsidRDefault="00BE0AB3" w:rsidP="00BE0AB3">
      <w:pPr>
        <w:pStyle w:val="af8"/>
        <w:numPr>
          <w:ilvl w:val="0"/>
          <w:numId w:val="8"/>
        </w:numPr>
        <w:spacing w:line="360" w:lineRule="auto"/>
        <w:ind w:left="820" w:hanging="425"/>
        <w:jc w:val="both"/>
        <w:rPr>
          <w:rFonts w:ascii="David" w:hAnsi="David" w:cs="David"/>
          <w:sz w:val="24"/>
          <w:szCs w:val="24"/>
        </w:rPr>
      </w:pPr>
      <w:r>
        <w:rPr>
          <w:rFonts w:ascii="David" w:hAnsi="David" w:cs="David"/>
          <w:sz w:val="24"/>
          <w:szCs w:val="24"/>
          <w:rtl/>
        </w:rPr>
        <w:t>ביחס לאותן 152 הפרות שגם הנתבעת זיהתה, גם אם הכחישה – הפנתה הנתבעת ל – 31 מקרים בהם לטעמה לתובעת אין זכות יוצרים. 31 מקרים, אשר פורטו כבר בנספח י"א לכתב ההגנה, אשר לטעמה של הנתבעת הופיעו כבר בספרות קודמת לתוצרי התובעת. להשלמה ייאמר שאותו נספח י"א מתייחס ל-33 מקרים שונים, ואולם הנתבעת מצאה רק 31 מקורות קודמים.</w:t>
      </w:r>
    </w:p>
    <w:p w:rsidR="00BE0AB3" w:rsidRDefault="00BE0AB3" w:rsidP="00BE0AB3">
      <w:pPr>
        <w:pStyle w:val="af8"/>
        <w:rPr>
          <w:rFonts w:ascii="David" w:hAnsi="David" w:cs="David"/>
          <w:sz w:val="24"/>
          <w:szCs w:val="24"/>
        </w:rPr>
      </w:pPr>
    </w:p>
    <w:p w:rsidR="00BE0AB3" w:rsidRDefault="00BE0AB3" w:rsidP="00BE0AB3">
      <w:pPr>
        <w:pStyle w:val="af8"/>
        <w:numPr>
          <w:ilvl w:val="0"/>
          <w:numId w:val="8"/>
        </w:numPr>
        <w:spacing w:line="360" w:lineRule="auto"/>
        <w:ind w:left="820" w:hanging="425"/>
        <w:jc w:val="both"/>
        <w:rPr>
          <w:rFonts w:ascii="David" w:hAnsi="David" w:cs="David"/>
          <w:sz w:val="24"/>
          <w:szCs w:val="24"/>
          <w:rtl/>
        </w:rPr>
      </w:pPr>
      <w:r>
        <w:rPr>
          <w:rFonts w:ascii="David" w:hAnsi="David" w:cs="David"/>
          <w:sz w:val="24"/>
          <w:szCs w:val="24"/>
          <w:rtl/>
        </w:rPr>
        <w:t>המשמעות היא, שגם אם נלך לפי הניתוח המשפטי והמעשי של הנתבעת – הרי לפחות 121 הפרות אליהן מתייחסת התובעת, אינן כאלה שהופיעו במקורות קודמים.</w:t>
      </w:r>
    </w:p>
    <w:p w:rsidR="00BE0AB3" w:rsidRDefault="00BE0AB3" w:rsidP="00BE0AB3">
      <w:pPr>
        <w:pStyle w:val="af8"/>
        <w:rPr>
          <w:rFonts w:ascii="David" w:hAnsi="David" w:cs="David"/>
          <w:sz w:val="24"/>
          <w:szCs w:val="24"/>
        </w:rPr>
      </w:pPr>
    </w:p>
    <w:p w:rsidR="00BE0AB3" w:rsidRDefault="00BE0AB3" w:rsidP="00BE0AB3">
      <w:pPr>
        <w:pStyle w:val="af8"/>
        <w:numPr>
          <w:ilvl w:val="0"/>
          <w:numId w:val="8"/>
        </w:numPr>
        <w:spacing w:line="360" w:lineRule="auto"/>
        <w:ind w:left="820" w:hanging="425"/>
        <w:jc w:val="both"/>
        <w:rPr>
          <w:rFonts w:ascii="David" w:hAnsi="David" w:cs="David"/>
          <w:sz w:val="24"/>
          <w:szCs w:val="24"/>
          <w:rtl/>
        </w:rPr>
      </w:pPr>
      <w:r>
        <w:rPr>
          <w:rFonts w:ascii="David" w:hAnsi="David" w:cs="David"/>
          <w:sz w:val="24"/>
          <w:szCs w:val="24"/>
          <w:rtl/>
        </w:rPr>
        <w:t xml:space="preserve">עיון בדוגמאות הרבות שצירפה התובעת, כבר לכתב התביעה, מלמד שאכן קיימות העתקות מצד הנתבעת. אין מדובר רק בהעתקה של רעיון כזה או אחר – אלא בהעתקת אופן </w:t>
      </w:r>
      <w:r>
        <w:rPr>
          <w:rFonts w:ascii="David" w:hAnsi="David" w:cs="David"/>
          <w:sz w:val="24"/>
          <w:szCs w:val="24"/>
          <w:u w:val="single"/>
          <w:rtl/>
        </w:rPr>
        <w:t>ביטוי הרעיון</w:t>
      </w:r>
      <w:r>
        <w:rPr>
          <w:rFonts w:ascii="David" w:hAnsi="David" w:cs="David"/>
          <w:sz w:val="24"/>
          <w:szCs w:val="24"/>
          <w:rtl/>
        </w:rPr>
        <w:t>. כאשר הנתבעת מעתיקה גם את אופן ביטוי הרעיון, הרי ממילא היא פוגעת בזכויות התובעת</w:t>
      </w:r>
      <w:r w:rsidR="00F326D4">
        <w:rPr>
          <w:rFonts w:ascii="David" w:hAnsi="David" w:cs="David" w:hint="cs"/>
          <w:sz w:val="24"/>
          <w:szCs w:val="24"/>
          <w:rtl/>
        </w:rPr>
        <w:t>.</w:t>
      </w:r>
    </w:p>
    <w:p w:rsidR="00BE0AB3" w:rsidRDefault="00BE0AB3" w:rsidP="00BE0AB3">
      <w:pPr>
        <w:pStyle w:val="af8"/>
        <w:rPr>
          <w:rFonts w:ascii="David" w:hAnsi="David" w:cs="David"/>
          <w:sz w:val="24"/>
          <w:szCs w:val="24"/>
        </w:rPr>
      </w:pPr>
    </w:p>
    <w:p w:rsidR="00BE0AB3" w:rsidRDefault="00BE0AB3" w:rsidP="00BE0AB3">
      <w:pPr>
        <w:pStyle w:val="af8"/>
        <w:numPr>
          <w:ilvl w:val="0"/>
          <w:numId w:val="8"/>
        </w:numPr>
        <w:spacing w:line="360" w:lineRule="auto"/>
        <w:ind w:left="820" w:hanging="425"/>
        <w:jc w:val="both"/>
        <w:rPr>
          <w:rFonts w:ascii="David" w:hAnsi="David" w:cs="David"/>
          <w:sz w:val="24"/>
          <w:szCs w:val="24"/>
          <w:rtl/>
        </w:rPr>
      </w:pPr>
      <w:r>
        <w:rPr>
          <w:rFonts w:ascii="David" w:hAnsi="David" w:cs="David"/>
          <w:sz w:val="24"/>
          <w:szCs w:val="24"/>
          <w:u w:val="single"/>
          <w:rtl/>
        </w:rPr>
        <w:t>הסעדים בהם יש לחייב את הנתבעת בגין הפרת זכויות היוצרים של התובעת</w:t>
      </w:r>
    </w:p>
    <w:p w:rsidR="00BE0AB3" w:rsidRDefault="00BE0AB3" w:rsidP="00BE0AB3">
      <w:pPr>
        <w:pStyle w:val="af8"/>
        <w:numPr>
          <w:ilvl w:val="0"/>
          <w:numId w:val="6"/>
        </w:numPr>
        <w:spacing w:line="360" w:lineRule="auto"/>
        <w:ind w:left="1103" w:hanging="283"/>
        <w:jc w:val="both"/>
        <w:rPr>
          <w:rFonts w:ascii="David" w:hAnsi="David" w:cs="David"/>
          <w:sz w:val="24"/>
          <w:szCs w:val="24"/>
        </w:rPr>
      </w:pPr>
      <w:r>
        <w:rPr>
          <w:rFonts w:ascii="David" w:hAnsi="David" w:cs="David"/>
          <w:sz w:val="24"/>
          <w:szCs w:val="24"/>
          <w:rtl/>
        </w:rPr>
        <w:t xml:space="preserve">יש לחייב את הנתבעת בתשלום פיצוי בגין הפרת זכויותיה של התובעת. </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1103" w:hanging="283"/>
        <w:jc w:val="both"/>
        <w:rPr>
          <w:rFonts w:ascii="David" w:hAnsi="David" w:cs="David"/>
          <w:sz w:val="24"/>
          <w:szCs w:val="24"/>
          <w:rtl/>
        </w:rPr>
      </w:pPr>
      <w:r>
        <w:rPr>
          <w:rFonts w:ascii="David" w:hAnsi="David" w:cs="David"/>
          <w:sz w:val="24"/>
          <w:szCs w:val="24"/>
          <w:rtl/>
        </w:rPr>
        <w:t xml:space="preserve">עם זאת, בנסיבות הענין אין מקום ליתן צווי מניעה גורפים אשר בפועל יפגעו בחופש העיסוק של הנתבעת וימנעו ממנה לעסוק במשלח ידה. אין מדובר בטענה להפרה ממוקדת של פסקה או פרק שהועתק, אלא בטענה שמהותה היא הפרה והעתקה כוללת של תוצרי התובעת. במקרה כזה, מתן סעד של צו מניעה הוא בגדר "תפסת מרובה לא תפסת". התובעת עתרה, למשל, לסעד גורף אשר יחייב את הנתבעת </w:t>
      </w:r>
      <w:r>
        <w:rPr>
          <w:rFonts w:ascii="David" w:hAnsi="David" w:cs="David"/>
          <w:b/>
          <w:bCs/>
          <w:sz w:val="24"/>
          <w:szCs w:val="24"/>
          <w:rtl/>
        </w:rPr>
        <w:t>"להסיר כל חומר אשר הינו בבעלותה של התובעת ו/או תחת מטריית יצירותיה המוגנות"</w:t>
      </w:r>
      <w:r>
        <w:rPr>
          <w:rFonts w:ascii="David" w:hAnsi="David" w:cs="David"/>
          <w:sz w:val="24"/>
          <w:szCs w:val="24"/>
          <w:rtl/>
        </w:rPr>
        <w:t>. במלוא הכבוד, אין מדובר בסעד ספציפי הניתן להגדרה או כזה שניתן לאכיפה. מכאן, גם אין מדובר בסעד אותו יש לקבוע במסגרת פסק דין זה.</w:t>
      </w:r>
    </w:p>
    <w:p w:rsidR="00BE0AB3" w:rsidRDefault="00BE0AB3" w:rsidP="00BE0AB3">
      <w:pPr>
        <w:pStyle w:val="af8"/>
        <w:spacing w:line="360" w:lineRule="auto"/>
        <w:ind w:left="1440"/>
        <w:jc w:val="both"/>
        <w:rPr>
          <w:rFonts w:ascii="David" w:hAnsi="David" w:cs="David"/>
          <w:sz w:val="24"/>
          <w:szCs w:val="24"/>
          <w:rtl/>
        </w:rPr>
      </w:pPr>
    </w:p>
    <w:p w:rsidR="00BE0AB3" w:rsidRDefault="00BE0AB3" w:rsidP="00BE0AB3">
      <w:pPr>
        <w:pStyle w:val="af8"/>
        <w:numPr>
          <w:ilvl w:val="0"/>
          <w:numId w:val="6"/>
        </w:numPr>
        <w:spacing w:line="360" w:lineRule="auto"/>
        <w:ind w:left="1103" w:hanging="283"/>
        <w:jc w:val="both"/>
        <w:rPr>
          <w:rFonts w:ascii="David" w:hAnsi="David" w:cs="David"/>
          <w:sz w:val="24"/>
          <w:szCs w:val="24"/>
          <w:rtl/>
        </w:rPr>
      </w:pPr>
      <w:r>
        <w:rPr>
          <w:rFonts w:ascii="David" w:hAnsi="David" w:cs="David"/>
          <w:sz w:val="24"/>
          <w:szCs w:val="24"/>
          <w:rtl/>
        </w:rPr>
        <w:lastRenderedPageBreak/>
        <w:t>גם אין מקום למנות את ב"כ התובעת "ככונס נכסים על כלל החומרים והמסמכים שברשות הנתבעת ו/או מי מטעמה", או ליתן כל סעד דומה. מתן סעד כזה הוא גורף, כוללני ויפגע באופן בלתי מידתי בחופש העיסוק של הנתבעת.</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1103" w:hanging="283"/>
        <w:jc w:val="both"/>
        <w:rPr>
          <w:rFonts w:ascii="David" w:hAnsi="David" w:cs="David"/>
          <w:sz w:val="24"/>
          <w:szCs w:val="24"/>
          <w:rtl/>
        </w:rPr>
      </w:pPr>
      <w:r>
        <w:rPr>
          <w:rFonts w:ascii="David" w:hAnsi="David" w:cs="David"/>
          <w:sz w:val="24"/>
          <w:szCs w:val="24"/>
          <w:rtl/>
        </w:rPr>
        <w:t xml:space="preserve">דיון ביחס לרכיב התביעה הראשון משלושה, הפרת זכויות היוצרים של התובעת, יובא בסעיפים 6-8 לפסק הדין. </w:t>
      </w:r>
    </w:p>
    <w:p w:rsidR="00BE0AB3" w:rsidRDefault="00BE0AB3" w:rsidP="00BE0AB3">
      <w:pPr>
        <w:pStyle w:val="af8"/>
        <w:spacing w:line="360" w:lineRule="auto"/>
        <w:ind w:left="1080"/>
        <w:jc w:val="both"/>
        <w:rPr>
          <w:rFonts w:ascii="David" w:hAnsi="David" w:cs="David"/>
          <w:sz w:val="24"/>
          <w:szCs w:val="24"/>
          <w:u w:val="single"/>
        </w:rPr>
      </w:pPr>
    </w:p>
    <w:p w:rsidR="00BE0AB3" w:rsidRDefault="00F326D4" w:rsidP="00BE0AB3">
      <w:pPr>
        <w:pStyle w:val="af8"/>
        <w:numPr>
          <w:ilvl w:val="1"/>
          <w:numId w:val="2"/>
        </w:numPr>
        <w:spacing w:line="360" w:lineRule="auto"/>
        <w:ind w:left="395" w:hanging="567"/>
        <w:jc w:val="both"/>
        <w:rPr>
          <w:rFonts w:ascii="David" w:hAnsi="David" w:cs="David"/>
          <w:sz w:val="24"/>
          <w:szCs w:val="24"/>
          <w:u w:val="single"/>
        </w:rPr>
      </w:pPr>
      <w:r>
        <w:rPr>
          <w:rFonts w:ascii="David" w:hAnsi="David" w:cs="David" w:hint="cs"/>
          <w:b/>
          <w:bCs/>
          <w:sz w:val="24"/>
          <w:szCs w:val="24"/>
          <w:u w:val="single"/>
          <w:rtl/>
        </w:rPr>
        <w:t>תוצאת ההליך ב</w:t>
      </w:r>
      <w:r w:rsidR="00BE0AB3" w:rsidRPr="00F326D4">
        <w:rPr>
          <w:rFonts w:ascii="David" w:hAnsi="David" w:cs="David"/>
          <w:b/>
          <w:bCs/>
          <w:sz w:val="24"/>
          <w:szCs w:val="24"/>
          <w:u w:val="single"/>
          <w:rtl/>
        </w:rPr>
        <w:t xml:space="preserve">רכיב </w:t>
      </w:r>
      <w:r>
        <w:rPr>
          <w:rFonts w:ascii="David" w:hAnsi="David" w:cs="David" w:hint="cs"/>
          <w:b/>
          <w:bCs/>
          <w:sz w:val="24"/>
          <w:szCs w:val="24"/>
          <w:u w:val="single"/>
          <w:rtl/>
        </w:rPr>
        <w:t>ה</w:t>
      </w:r>
      <w:r w:rsidR="00BE0AB3" w:rsidRPr="00F326D4">
        <w:rPr>
          <w:rFonts w:ascii="David" w:hAnsi="David" w:cs="David"/>
          <w:b/>
          <w:bCs/>
          <w:sz w:val="24"/>
          <w:szCs w:val="24"/>
          <w:u w:val="single"/>
          <w:rtl/>
        </w:rPr>
        <w:t xml:space="preserve">תביעה </w:t>
      </w:r>
      <w:r>
        <w:rPr>
          <w:rFonts w:ascii="David" w:hAnsi="David" w:cs="David" w:hint="cs"/>
          <w:b/>
          <w:bCs/>
          <w:sz w:val="24"/>
          <w:szCs w:val="24"/>
          <w:u w:val="single"/>
          <w:rtl/>
        </w:rPr>
        <w:t>ה</w:t>
      </w:r>
      <w:r w:rsidR="00BE0AB3" w:rsidRPr="00F326D4">
        <w:rPr>
          <w:rFonts w:ascii="David" w:hAnsi="David" w:cs="David"/>
          <w:b/>
          <w:bCs/>
          <w:sz w:val="24"/>
          <w:szCs w:val="24"/>
          <w:u w:val="single"/>
          <w:rtl/>
        </w:rPr>
        <w:t>שני מתוך שלושה - אין לחייב את הנתבעת בתשלום פיצוי בגין עוולת הוצאת לשון הרע</w:t>
      </w:r>
    </w:p>
    <w:p w:rsidR="00BE0AB3" w:rsidRDefault="00BE0AB3" w:rsidP="00BE0AB3">
      <w:pPr>
        <w:pStyle w:val="af8"/>
        <w:spacing w:line="360" w:lineRule="auto"/>
        <w:ind w:left="395"/>
        <w:jc w:val="both"/>
        <w:rPr>
          <w:rFonts w:ascii="David" w:hAnsi="David" w:cs="David"/>
          <w:sz w:val="24"/>
          <w:szCs w:val="24"/>
        </w:rPr>
      </w:pPr>
      <w:r>
        <w:rPr>
          <w:rFonts w:ascii="David" w:hAnsi="David" w:cs="David"/>
          <w:sz w:val="24"/>
          <w:szCs w:val="24"/>
          <w:rtl/>
        </w:rPr>
        <w:t>בכתב התביעה ייחסה התובעת לנתבעת הוצאת לשון הרע בשל פניותיה לוועדת האתיקה של האוניברסיטה (סעיפים 90-101 לכתב התביעה). פניות אלה מוגנות על פי חוק ואין לראות בהן משום הוצאת לשון הרע. למען הסר ספק ייאמר שגם פרסום באינטרנט אליו התייחסה התובעת (סעיף 22 לכתב התביעה) אינו בגדר עוולת לשון הרע כמשמעה בחוק.</w:t>
      </w:r>
    </w:p>
    <w:p w:rsidR="00BE0AB3" w:rsidRDefault="00BE0AB3" w:rsidP="00BE0AB3">
      <w:pPr>
        <w:pStyle w:val="af8"/>
        <w:spacing w:line="360" w:lineRule="auto"/>
        <w:ind w:left="395"/>
        <w:jc w:val="both"/>
        <w:rPr>
          <w:rFonts w:ascii="David" w:hAnsi="David" w:cs="David"/>
          <w:sz w:val="24"/>
          <w:szCs w:val="24"/>
        </w:rPr>
      </w:pPr>
      <w:r>
        <w:rPr>
          <w:rFonts w:ascii="David" w:hAnsi="David" w:cs="David"/>
          <w:sz w:val="24"/>
          <w:szCs w:val="24"/>
          <w:rtl/>
        </w:rPr>
        <w:t>לאור האמור לעיל, אין לחייב את הנתבעת בתשלום פיצוי בגין עוולת הוצאת לשון הרע. על כך בסעיף 9 להלן.</w:t>
      </w:r>
    </w:p>
    <w:p w:rsidR="00BE0AB3" w:rsidRDefault="00BE0AB3" w:rsidP="00BE0AB3">
      <w:pPr>
        <w:pStyle w:val="af8"/>
        <w:spacing w:line="360" w:lineRule="auto"/>
        <w:ind w:left="1080"/>
        <w:jc w:val="both"/>
        <w:rPr>
          <w:rFonts w:ascii="David" w:hAnsi="David" w:cs="David"/>
          <w:sz w:val="24"/>
          <w:szCs w:val="24"/>
          <w:rtl/>
        </w:rPr>
      </w:pPr>
    </w:p>
    <w:p w:rsidR="00BE0AB3" w:rsidRDefault="00F326D4" w:rsidP="00BE0AB3">
      <w:pPr>
        <w:pStyle w:val="af8"/>
        <w:numPr>
          <w:ilvl w:val="1"/>
          <w:numId w:val="2"/>
        </w:numPr>
        <w:spacing w:line="360" w:lineRule="auto"/>
        <w:ind w:left="395" w:hanging="567"/>
        <w:jc w:val="both"/>
        <w:rPr>
          <w:rFonts w:ascii="David" w:hAnsi="David" w:cs="David"/>
          <w:sz w:val="24"/>
          <w:szCs w:val="24"/>
          <w:u w:val="single"/>
          <w:rtl/>
        </w:rPr>
      </w:pPr>
      <w:r w:rsidRPr="00F326D4">
        <w:rPr>
          <w:rFonts w:ascii="David" w:hAnsi="David" w:cs="David" w:hint="cs"/>
          <w:b/>
          <w:bCs/>
          <w:sz w:val="24"/>
          <w:szCs w:val="24"/>
          <w:u w:val="single"/>
          <w:rtl/>
        </w:rPr>
        <w:t>תוצאת ההליך ב</w:t>
      </w:r>
      <w:r w:rsidR="00BE0AB3" w:rsidRPr="00F326D4">
        <w:rPr>
          <w:rFonts w:ascii="David" w:hAnsi="David" w:cs="David"/>
          <w:b/>
          <w:bCs/>
          <w:sz w:val="24"/>
          <w:szCs w:val="24"/>
          <w:u w:val="single"/>
          <w:rtl/>
        </w:rPr>
        <w:t xml:space="preserve">רכיב </w:t>
      </w:r>
      <w:r w:rsidRPr="00F326D4">
        <w:rPr>
          <w:rFonts w:ascii="David" w:hAnsi="David" w:cs="David" w:hint="cs"/>
          <w:b/>
          <w:bCs/>
          <w:sz w:val="24"/>
          <w:szCs w:val="24"/>
          <w:u w:val="single"/>
          <w:rtl/>
        </w:rPr>
        <w:t>ה</w:t>
      </w:r>
      <w:r w:rsidR="00BE0AB3" w:rsidRPr="00F326D4">
        <w:rPr>
          <w:rFonts w:ascii="David" w:hAnsi="David" w:cs="David"/>
          <w:b/>
          <w:bCs/>
          <w:sz w:val="24"/>
          <w:szCs w:val="24"/>
          <w:u w:val="single"/>
          <w:rtl/>
        </w:rPr>
        <w:t xml:space="preserve">תביעה </w:t>
      </w:r>
      <w:r w:rsidRPr="00F326D4">
        <w:rPr>
          <w:rFonts w:ascii="David" w:hAnsi="David" w:cs="David" w:hint="cs"/>
          <w:b/>
          <w:bCs/>
          <w:sz w:val="24"/>
          <w:szCs w:val="24"/>
          <w:u w:val="single"/>
          <w:rtl/>
        </w:rPr>
        <w:t>ה</w:t>
      </w:r>
      <w:r w:rsidR="00BE0AB3" w:rsidRPr="00F326D4">
        <w:rPr>
          <w:rFonts w:ascii="David" w:hAnsi="David" w:cs="David"/>
          <w:b/>
          <w:bCs/>
          <w:sz w:val="24"/>
          <w:szCs w:val="24"/>
          <w:u w:val="single"/>
          <w:rtl/>
        </w:rPr>
        <w:t>שלישי מתוך שלושה - אין לחייב את הנתבעת בתשלום פיצוי בגין כאב וסבל</w:t>
      </w:r>
    </w:p>
    <w:p w:rsidR="00BE0AB3" w:rsidRDefault="00BE0AB3" w:rsidP="00BE0AB3">
      <w:pPr>
        <w:pStyle w:val="af8"/>
        <w:spacing w:line="360" w:lineRule="auto"/>
        <w:ind w:left="395"/>
        <w:jc w:val="both"/>
        <w:rPr>
          <w:rFonts w:ascii="David" w:hAnsi="David" w:cs="David"/>
          <w:sz w:val="24"/>
          <w:szCs w:val="24"/>
        </w:rPr>
      </w:pPr>
      <w:r>
        <w:rPr>
          <w:rFonts w:ascii="David" w:hAnsi="David" w:cs="David"/>
          <w:sz w:val="24"/>
          <w:szCs w:val="24"/>
          <w:rtl/>
        </w:rPr>
        <w:t xml:space="preserve">אין להקל ראש בטרחה ולצורך הענין אף מפחי הנפש שהתנהלות הנתבעת גרמה לתובעת. עם זאת, משנקבע פיצוי ללא הוכחת נזק בגין ההפרות שונות וכן בנסיבות הענין – אין מקום לחייב את הנתבעת בתשלום פיצוי בגין כאב וסבל. על כך בסעיף 10 להלן. </w:t>
      </w:r>
    </w:p>
    <w:p w:rsidR="00BE0AB3" w:rsidRDefault="00BE0AB3" w:rsidP="00BE0AB3">
      <w:pPr>
        <w:pStyle w:val="af8"/>
        <w:spacing w:line="360" w:lineRule="auto"/>
        <w:jc w:val="both"/>
        <w:rPr>
          <w:rFonts w:ascii="David" w:hAnsi="David" w:cs="David"/>
          <w:b/>
          <w:bCs/>
          <w:sz w:val="24"/>
          <w:szCs w:val="24"/>
          <w:u w:val="single"/>
        </w:rPr>
      </w:pPr>
    </w:p>
    <w:p w:rsidR="00BE0AB3" w:rsidRDefault="00BE0AB3" w:rsidP="00BE0AB3">
      <w:pPr>
        <w:pStyle w:val="af8"/>
        <w:spacing w:line="360" w:lineRule="auto"/>
        <w:ind w:left="-739"/>
        <w:jc w:val="both"/>
        <w:rPr>
          <w:rFonts w:ascii="David" w:hAnsi="David" w:cs="David"/>
          <w:b/>
          <w:bCs/>
          <w:sz w:val="28"/>
          <w:szCs w:val="28"/>
          <w:u w:val="single"/>
        </w:rPr>
      </w:pPr>
      <w:r>
        <w:rPr>
          <w:rFonts w:ascii="David" w:hAnsi="David" w:cs="David"/>
          <w:b/>
          <w:bCs/>
          <w:sz w:val="28"/>
          <w:szCs w:val="28"/>
          <w:u w:val="single"/>
          <w:rtl/>
        </w:rPr>
        <w:t>חלק שני – טענות הצדדים</w:t>
      </w:r>
    </w:p>
    <w:p w:rsidR="00BE0AB3" w:rsidRDefault="00BE0AB3" w:rsidP="00BE0AB3">
      <w:pPr>
        <w:pStyle w:val="af8"/>
        <w:spacing w:line="360" w:lineRule="auto"/>
        <w:ind w:left="1080"/>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t>תמצית טענות התובעת</w:t>
      </w:r>
    </w:p>
    <w:p w:rsidR="00BE0AB3" w:rsidRDefault="00BE0AB3" w:rsidP="00BE0AB3">
      <w:pPr>
        <w:pStyle w:val="af8"/>
        <w:numPr>
          <w:ilvl w:val="1"/>
          <w:numId w:val="2"/>
        </w:numPr>
        <w:spacing w:line="360" w:lineRule="auto"/>
        <w:ind w:left="395" w:hanging="567"/>
        <w:jc w:val="both"/>
        <w:rPr>
          <w:rFonts w:ascii="David" w:hAnsi="David" w:cs="David"/>
          <w:sz w:val="24"/>
          <w:szCs w:val="24"/>
          <w:u w:val="single"/>
        </w:rPr>
      </w:pPr>
      <w:r>
        <w:rPr>
          <w:rFonts w:ascii="David" w:hAnsi="David" w:cs="David"/>
          <w:sz w:val="24"/>
          <w:szCs w:val="24"/>
          <w:rtl/>
        </w:rPr>
        <w:t>התובעת מציינת בתביעתה כי תביעה זו בעיקרה הוגשה בגין מסכת של עוולות מצד הנתבעת , כשעיקרן -הפרה של זכויות יוצרים תוך ביצוע עוולות מסחריות, תיאור מסחרי כוזב, התעשרות שלא כדין ע"פ חוק עשיית עושר ולא במשפט , גזל מוניטין, לשון הרע והוצאת דיבה חמורה ובזדון והפרת הוראות דין נוספות.</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לדבריה, הנתבעת עשתה ועושה שימוש מוכח ביודעין במערכי השיעור, המצגות, מחברות וספרי לימוד, שיטות לימוד, פורמולות ונוסחאות, כלים מדעיים ואקדמיים, תוך העתקות מתוכננות בקפידה ו/או לחילופין שחזור ו/או שכפול שאלות בחינה להן נחשפה ונבחנה בעצמה בהיותה סטודנטית במסגרת קורסי ליבה רבים בהם למדה אצל התובעת במשך שנים.</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התובעת הפנתה בתביעתה אל מקבץ העתקות מדגמיות ממצגות וממערכי שיעור שלה תוך שחזור טעויות כתיב ו/או סופר שנפלו במצגות המקוריות והועתקו לדבריה, אחת לאחת במצגותיה של </w:t>
      </w:r>
      <w:r>
        <w:rPr>
          <w:rFonts w:ascii="David" w:hAnsi="David" w:cs="David"/>
          <w:sz w:val="24"/>
          <w:szCs w:val="24"/>
          <w:rtl/>
        </w:rPr>
        <w:lastRenderedPageBreak/>
        <w:t>הנתבעת תוך שזו מבקשת לנכס לעצמה מצג לכאורי מלאכותי של "זכויות יוצרים" של מה שאינו בבעלותה כלפי צדדים שלישיים. עוד הפנתה בתביעתה לשאלות מבחינות לדוגמא אשר לגישתה הועתקו ו/או שוחזרו באופן דומה לשאלות מקוריות שלה מבחינות עבר.</w:t>
      </w:r>
    </w:p>
    <w:p w:rsidR="00BE0AB3" w:rsidRDefault="00BE0AB3" w:rsidP="00BE0AB3">
      <w:pPr>
        <w:pStyle w:val="af8"/>
        <w:rPr>
          <w:rFonts w:ascii="David" w:hAnsi="David" w:cs="David"/>
          <w:sz w:val="24"/>
          <w:szCs w:val="24"/>
        </w:rPr>
      </w:pPr>
    </w:p>
    <w:p w:rsidR="00BE0AB3" w:rsidRDefault="00BE0AB3" w:rsidP="00BE0AB3">
      <w:pPr>
        <w:pStyle w:val="af8"/>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התובעת טענה שהנתבעת מצאה הזדמנות פז לעשות רווחים שלא כדין על חשבונה, לשים אותה ללעג ולהפוך אותה ל"אימת הסטודנטים" במסגרת קורס אותו בחרה לכנות בשם </w:t>
      </w:r>
      <w:r>
        <w:rPr>
          <w:rFonts w:ascii="David" w:hAnsi="David" w:cs="David"/>
          <w:b/>
          <w:bCs/>
          <w:sz w:val="24"/>
          <w:szCs w:val="24"/>
          <w:rtl/>
        </w:rPr>
        <w:t>"לעבור את שרון"</w:t>
      </w:r>
      <w:r>
        <w:rPr>
          <w:rFonts w:ascii="David" w:hAnsi="David" w:cs="David"/>
          <w:sz w:val="24"/>
          <w:szCs w:val="24"/>
          <w:rtl/>
        </w:rPr>
        <w:t>.</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עוד ציינה בתביעתה כי הנתבעת הגישה כנגדה תלונות סרק לוועדת האתיקה של האוניברסיטה במטרה להשחיר את פניה תוך דרישה לפטרה . לדבריה, במסגרת זו הטיחה הנתבעת האשמות אתיות קשות ביחס לתובעת לפיהן היא כביכול משדלת סטודנטים, נמצאת בניגוד עניינים וכיוצא בזה. כל זאת באופן שיטתי חוזר ונשנה בתפוצה רחבה לרבות מבקר הפנים והממונה עליו. לדבריה "מדובר בבדיות מוחלטות, שקר גס ומוחלט , דברים שלא היו ולא נבראו."</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התובעת  הוסיפה שברשותה פרסומים מהמרשתת בהם עולה בבירור ניסיון להכפישה ולהטיל בה דופי. לטענת התובעת, התברר לה כי הנתבעת מוציאה את דיבתה לרעה בקרב סטודנטים בניסיון לקנות לה "מוניטין" שהוא כביכול טוב יותר מזו של התובעת. הכל תוך ניסיון לתייג ולמתג אותה כ"אימת הסטודנטים" כביכול ובתוך כך לפגוע במזיד בשמה ובליבת עיסוקה. לצורך כך הפנתה התובעת אל פרסום בקבוצת הפייסבוק - " סטודנטים לתזונה כבר לא שותקים" המבקש לגישתה לבזות ולהקניט אותה למטרות רווח ולהציג רשמים מלאכותיים בפני סטודנטים וצדדי ג'. בפרסום נכתב על ידי הנתבעת כך:</w:t>
      </w:r>
    </w:p>
    <w:p w:rsidR="00BE0AB3" w:rsidRDefault="00BE0AB3" w:rsidP="00BE0AB3">
      <w:pPr>
        <w:pStyle w:val="af8"/>
        <w:spacing w:line="360" w:lineRule="auto"/>
        <w:ind w:left="1103"/>
        <w:jc w:val="both"/>
        <w:rPr>
          <w:rFonts w:ascii="David" w:hAnsi="David" w:cs="David"/>
          <w:b/>
          <w:bCs/>
          <w:sz w:val="24"/>
          <w:szCs w:val="24"/>
        </w:rPr>
      </w:pPr>
      <w:r>
        <w:rPr>
          <w:rFonts w:ascii="David" w:hAnsi="David" w:cs="David"/>
          <w:b/>
          <w:bCs/>
          <w:sz w:val="24"/>
          <w:szCs w:val="24"/>
          <w:rtl/>
        </w:rPr>
        <w:t>"ניגשת למבחן הממשלתי? שימי לב שלא יבלבלו אותך...</w:t>
      </w:r>
    </w:p>
    <w:p w:rsidR="00BE0AB3" w:rsidRDefault="00BE0AB3" w:rsidP="00BE0AB3">
      <w:pPr>
        <w:pStyle w:val="af8"/>
        <w:spacing w:line="360" w:lineRule="auto"/>
        <w:ind w:left="1103"/>
        <w:jc w:val="both"/>
        <w:rPr>
          <w:rFonts w:ascii="David" w:hAnsi="David" w:cs="David"/>
          <w:b/>
          <w:bCs/>
          <w:sz w:val="24"/>
          <w:szCs w:val="24"/>
          <w:rtl/>
        </w:rPr>
      </w:pPr>
      <w:r>
        <w:rPr>
          <w:rFonts w:ascii="David" w:hAnsi="David" w:cs="David"/>
          <w:b/>
          <w:bCs/>
          <w:sz w:val="24"/>
          <w:szCs w:val="24"/>
          <w:rtl/>
        </w:rPr>
        <w:t>הקמתי את הקורס שלי ב-2014, עברו בעזרתו יותר מ-600 סטאג'רים בדיוק כמוך את המבחן הממשלתי בתזונה.</w:t>
      </w:r>
    </w:p>
    <w:p w:rsidR="00BE0AB3" w:rsidRDefault="00BE0AB3" w:rsidP="00BE0AB3">
      <w:pPr>
        <w:pStyle w:val="af8"/>
        <w:spacing w:line="360" w:lineRule="auto"/>
        <w:ind w:left="1103"/>
        <w:jc w:val="both"/>
        <w:rPr>
          <w:rFonts w:ascii="David" w:hAnsi="David" w:cs="David"/>
          <w:b/>
          <w:bCs/>
          <w:sz w:val="24"/>
          <w:szCs w:val="24"/>
          <w:rtl/>
        </w:rPr>
      </w:pPr>
      <w:r>
        <w:rPr>
          <w:rFonts w:ascii="David" w:hAnsi="David" w:cs="David"/>
          <w:b/>
          <w:bCs/>
          <w:sz w:val="24"/>
          <w:szCs w:val="24"/>
          <w:rtl/>
        </w:rPr>
        <w:t xml:space="preserve">זה המחזור ה-11 של הקורס </w:t>
      </w:r>
      <w:r>
        <w:rPr>
          <w:rFonts w:ascii="David" w:hAnsi="David" w:cs="David"/>
          <w:b/>
          <w:bCs/>
          <w:sz w:val="24"/>
          <w:szCs w:val="24"/>
        </w:rPr>
        <w:t>DIET STUDY</w:t>
      </w:r>
      <w:r>
        <w:rPr>
          <w:rFonts w:ascii="David" w:hAnsi="David" w:cs="David"/>
          <w:b/>
          <w:bCs/>
          <w:sz w:val="24"/>
          <w:szCs w:val="24"/>
          <w:rtl/>
        </w:rPr>
        <w:t>. אנחנו כבר מכונה משומנת שיודעת איך להכין אותך בדיוק למה שאת צריכה כדי לעבור את המבחן.</w:t>
      </w:r>
    </w:p>
    <w:p w:rsidR="00BE0AB3" w:rsidRDefault="00BE0AB3" w:rsidP="00BE0AB3">
      <w:pPr>
        <w:pStyle w:val="af8"/>
        <w:spacing w:line="360" w:lineRule="auto"/>
        <w:ind w:left="1103"/>
        <w:jc w:val="both"/>
        <w:rPr>
          <w:rFonts w:ascii="David" w:hAnsi="David" w:cs="David"/>
          <w:b/>
          <w:bCs/>
          <w:sz w:val="24"/>
          <w:szCs w:val="24"/>
          <w:u w:val="single"/>
          <w:rtl/>
        </w:rPr>
      </w:pPr>
      <w:r>
        <w:rPr>
          <w:rFonts w:ascii="David" w:hAnsi="David" w:cs="David"/>
          <w:b/>
          <w:bCs/>
          <w:sz w:val="24"/>
          <w:szCs w:val="24"/>
          <w:u w:val="single"/>
          <w:rtl/>
        </w:rPr>
        <w:t xml:space="preserve">כשהקמתי את הקורס, לא היו קורסים אחרים, ברור שכשיש הצלחה יהיו עוד אנשים שינסו לשכפל אותה, זו הבחירה שלך אם את רוצה ללכת על המקור או על ניסיון להידמות אלינו. אם את רוצה ללכת על בטוח, על המקור, בקורס מעולה ומעודכן בדיוק למה שצריך למבחן- </w:t>
      </w:r>
      <w:r>
        <w:rPr>
          <w:rFonts w:ascii="David" w:hAnsi="David" w:cs="David"/>
          <w:b/>
          <w:bCs/>
          <w:sz w:val="24"/>
          <w:szCs w:val="24"/>
          <w:rtl/>
        </w:rPr>
        <w:t>את מוזמנת לשוחח איתנו לפני שהרישום המוקדם מסתיים סופית ב-31.5."</w:t>
      </w:r>
    </w:p>
    <w:p w:rsidR="00BE0AB3" w:rsidRDefault="00BE0AB3" w:rsidP="00BE0AB3">
      <w:pPr>
        <w:pStyle w:val="af8"/>
        <w:spacing w:line="360" w:lineRule="auto"/>
        <w:ind w:left="1080"/>
        <w:jc w:val="both"/>
        <w:rPr>
          <w:rFonts w:ascii="David" w:hAnsi="David" w:cs="David"/>
          <w:b/>
          <w:bCs/>
          <w:sz w:val="24"/>
          <w:szCs w:val="24"/>
          <w:u w:val="single"/>
          <w:rtl/>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עוד ציינה התובעת כי הוצאת דיבתה בפני סגל האוניברסיטה והסטודנטים בוצעה בכוונה במזיד לפגוע על דרך הגשת תלונת סרק אל ועדת האתיקה. התובעת הפנתה אל מכתב שנשלח ע"י הנתבעת אל משרד מבקר הפנים אונ' אריאל בשומרון מיום 27.5.2019 נושא כותרת "הפרת כללי האתיקה ע"י מרצה בכירה בחוג התזונה באונ' אריאל בשומרון" ובו שורה של תלונות . עוד הפנתה אל מכתב שנשלח ע"י הנתבעת אל עו"ד יהודה דרוסניבר מבקר אוניברסיטת אריאל בשומרון , נושא כותרת "פרשת שרון גבריאל" ובו גם כן תלונות כנגד התנהלות התובעת.  </w:t>
      </w:r>
    </w:p>
    <w:p w:rsidR="00BE0AB3" w:rsidRDefault="00BE0AB3" w:rsidP="00F326D4">
      <w:pPr>
        <w:spacing w:line="360" w:lineRule="auto"/>
        <w:ind w:left="395"/>
        <w:jc w:val="both"/>
        <w:rPr>
          <w:rFonts w:ascii="David" w:hAnsi="David"/>
        </w:rPr>
      </w:pPr>
      <w:r>
        <w:rPr>
          <w:rFonts w:ascii="David" w:hAnsi="David"/>
          <w:rtl/>
        </w:rPr>
        <w:lastRenderedPageBreak/>
        <w:t>התובעת טוענת שהאשמות הנתבעת והגשת תלונות כוזבות ביודעין הם פרסומים שקריים וכי הדברים שפורסמו פורסמו מתוך כוונות לפגוע בה כמשמעותם בסעיפים 6 ו-7(א) לחוק איסור לשון הרע. לפיכך עתרה התובעת לחייב את הנתבעת בסכום הפיצוי הסטטוטורי, ללא הוכחת נזק, בנסיבות של כוונה במזיד לפגוע בסך של עד 140,000 ₪. במסגרת דרישת הסעדים האופרטיביים צמצמה התובעת דרישתה לסך של 100,000 ₪ בלבד.</w:t>
      </w:r>
    </w:p>
    <w:p w:rsidR="00BE0AB3" w:rsidRDefault="00BE0AB3" w:rsidP="00BE0AB3">
      <w:pPr>
        <w:pStyle w:val="af8"/>
        <w:spacing w:line="360" w:lineRule="auto"/>
        <w:ind w:left="395"/>
        <w:jc w:val="both"/>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התובעת הדגישה כי הנתבעת במעשיה, הפרה זכויות יוצרים כשהיא מבצעת העתקות כמעט מושלמות מבלי לקבל את הסכמתה ומבלי ליתן לה קרדיט כמי שיצרה והגתה את המסמכים המדוברים. עוד טענה התובעת שהנתבעת עושה עושר ולא במשפט על חשבונה.</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לטענתה, הנתבעת מפיצה 'שקר מחמיא לעצמה' לצורך יצירת יתרון לא הוגן תוך שעושה שימוש בכותרת הקורס "לעבור את שרון". משכך סבורה התובעת כי במעשיה אלו מעוולת הנתבעת בעוולת תיאור מסחרי כוזב כמשמעותו בסעיף 2 לחוק עוולות מסחריות, התשנ"ט-1999.</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עוד טוענת התובעת כי פעולות הנתבעת מהוות גזל מוניטין השייך לה. לדבריה, הנתבעת עשתה ועושה שימוש מודע במאפייני עסקה של התובעת לרבות שמה, חומריה, מצגותיה שאלותיה וכו' על מנת להיבנות באופן פסול מהצלחתה, רכושה, המוניטין והפרסום שרכשה משך עבודתה רבת השנים וכי הנתבעת מבקשת לגזול מוניטין זה ולנכסו לעצמה. </w:t>
      </w:r>
    </w:p>
    <w:p w:rsidR="00BE0AB3" w:rsidRDefault="00BE0AB3" w:rsidP="00BE0AB3">
      <w:pPr>
        <w:pStyle w:val="af8"/>
        <w:rPr>
          <w:rFonts w:ascii="David" w:hAnsi="David" w:cs="David"/>
          <w:sz w:val="24"/>
          <w:szCs w:val="24"/>
        </w:rPr>
      </w:pPr>
    </w:p>
    <w:p w:rsidR="00BE0AB3" w:rsidRDefault="00BE0AB3" w:rsidP="00F326D4">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התובעת מוסיפה כי הנתבעת עושה שימוש בסודות מסחריים שלה, בין היתר במידע ובידע שגנבה , בתוכניות הלימוד, ההרצאות, המצגות, מערכי השיעור, השאלות שהגתה אשר פותחו על ידה ועולים כדי סוד מסחרי כהגדרתו בסעיף 5 ל</w:t>
      </w:r>
      <w:r w:rsidRPr="00F326D4">
        <w:rPr>
          <w:rFonts w:ascii="David" w:hAnsi="David" w:cs="David"/>
          <w:sz w:val="24"/>
          <w:szCs w:val="24"/>
          <w:u w:val="single"/>
          <w:rtl/>
        </w:rPr>
        <w:t>חוק עוולות מסחריות</w:t>
      </w:r>
      <w:r>
        <w:rPr>
          <w:rFonts w:ascii="David" w:hAnsi="David" w:cs="David"/>
          <w:sz w:val="24"/>
          <w:szCs w:val="24"/>
          <w:rtl/>
        </w:rPr>
        <w:t>, התשנ"ט-1999. זאת ועוד טענה כי הנתבעת גונבת את הקניין הרוחני שלה שהינו פרי יצירות מקוריות אותם הגתה. עוד טענה כי מעשים אלו גורמים הכבדה בלתי הפיכה וכי הנתבעת מכבידה על גישת הלקוחות אל התובעת בעוד שבפועל מדובר ביצירות שהן חיקוי וזיוף של מערכי התובעת ובעשותה כך סבורה התובעת כי הנתבעת מעוולת בהתערבות בלתי הוגנת כמשמעות המושג בסעיף 3 ל</w:t>
      </w:r>
      <w:r w:rsidRPr="00F326D4">
        <w:rPr>
          <w:rFonts w:ascii="David" w:hAnsi="David" w:cs="David"/>
          <w:sz w:val="24"/>
          <w:szCs w:val="24"/>
          <w:u w:val="single"/>
          <w:rtl/>
        </w:rPr>
        <w:t>חוק עוולות מסחריות</w:t>
      </w:r>
      <w:r>
        <w:rPr>
          <w:rFonts w:ascii="David" w:hAnsi="David" w:cs="David"/>
          <w:sz w:val="24"/>
          <w:szCs w:val="24"/>
          <w:rtl/>
        </w:rPr>
        <w:t>, התשנ"ט-1999.</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התובעת הוסיפה וטענה כי מעשי הנתבעת מהווים גם פגיעה בפרטיותה במובן האזרחי ו/או הפלילי כמשמעות הדבר בחוק הגנת הפרטיות. לטענתה, הנתבעת לשם תועלתה הפרטית משתמשת ו/או מוכרת ו/או מפיצה ו/או משווקת את שירותיה ו/או מוצריה על יסוד שמה של התובעת "לעבור את שרון" שלא בהסכמתה ו/או בידיעתה על מנת להיבנות שלא כדין מהצלחתה והמוניטין שצברה.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התובעת עתרה לפיצוי כספי, כמפורט בסעיף 1.1 לעיל וכן לחייב את הנתבעת בצווים הבאים:</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להסיר כל חומר אשר הינו בבעלותה של התובעת ו/או תחת מטריית יצירותיה המוגנות, כמשמעות הדבר בחוק, בכל פלטפורמה נלמדת שהיא, לרבות קורסי לימוד פרונטליים ו/או דיגיטליים ו/או מקוונים, מערכי שיעור, מצגות, ספרי ומחברות לימוד, נוסחאות, דוגמאות, שאלות מבחינות וכיוצ"ב;</w:t>
      </w:r>
    </w:p>
    <w:p w:rsidR="00BE0AB3" w:rsidRDefault="00BE0AB3" w:rsidP="00BE0AB3">
      <w:pPr>
        <w:pStyle w:val="af8"/>
        <w:spacing w:line="360" w:lineRule="auto"/>
        <w:ind w:left="1080"/>
        <w:jc w:val="both"/>
        <w:rPr>
          <w:rFonts w:ascii="David" w:hAnsi="David" w:cs="David"/>
          <w:sz w:val="24"/>
          <w:szCs w:val="24"/>
          <w:rtl/>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להימנע מהעתקה ו/או שימוש ו/או הפצה ו/או מכירה ו/או שיווק חומרי הלימוד, לרבות חוברות ושיטות למידה, כלים ועזרים, מערכי שיעור, דוגמאות, שאלות בחינה וכל כיוצ"ב המזוהים או משויכים לתובעת, בכלל זאת מרחבי המרשתת (אינטרנט) את עמוד/י הפייסבוק ו/או אתר/י האינטרנט ו/או כל פלטפורמה שיווקית ו/או אינטרנטית אחרת, המנוהלים ע"י הנתבעת ו/או צדדים שלישיים מטעמה ו/או כיוצ"ב;</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 xml:space="preserve">לפעול לאלתר לשינוי תכנים המקצועיים של הקורס/ים באופן שלא יאפשר מעתה ועד בכלל זהות ו/או דימיון ו/או הטעיה, במישרין ו/או בעקיפין, לתובעת, שמה ומעמדה בקרב קהל הסטודנטים, הסגל האקדמי והניהולי של אוניברסיטת אריאל ו/או בכלל; </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להימנע מלעשות שימוש בכל אופן אחר, בין היתר שמות, בסימנים ובסמלים השייכים לתובעת, תוך פגיעה במוניטין ו/או בזכויות היוצרים ו/או זכות קניין וקניין רוחני , תוך שימוש בתיאור מסחרי כוזב ו/או הפרת חוק עוולות מסחריות, התעשרות שלא במשפט וכל כיוצ"ב.</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ליתן סעד הצהרתי לפיו היא הבעלים החוקי של המסמכים ו/או החומרים בהם עושה שימוש הנתבעת בקורסים אותם מעבירה כחלק ממרתון ההכנה לקורסים ו/או הבחינות וכל כיוצ"ב הנלמדים, המשויכים והמזוהים עם התובעת.</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להורות לנתבעת להימנע מכל ניסיון מפורש ו/או נרמז בכל פלטפורמה שהיא להכפיש ולפגוע בשמה תוך הוצאת דיבה.</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ליתן צו גילוי מסמכים של כלל המסמכים הנוגעים לתכנים המקצועיים המועברים על ידי הנתבעת, כפי המצוי ברשות ו/או בחזקת הנתבעת ו/או מי מטעמה, לרבות צדדים שלישיים, כל זאת למן תחילת מועד העברת הקורסים וכלה ליום הגשת כתב התביעה. בעניין זה ביקשה להורות על תיאום מועד לעיון וצילום כלל החומרים בהעתק ברור וקריא.</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למנות את ב"כ התובעת ככונס נכסים על כלל החומרים והמסמכים שברשות הנתבעת ו/או מי מטעמה וליתן הנחיות וסמכויות מתאימות לשם הבטחת השמדתם ולחילופין איסופם , ריכוזם ותיעודם בידי ב"כ התובעת. בנוסף, לחייב את הנתבעת במסירת דו"ח מאומת בתצהיר ביחס לכמות הכוללת של המסמכים שהופצו ו/או נמכרו ו/או שווקו ו/או כל שימוש אחר שנעשה בהם למטרות רווח, לרבות דו"ח כספי ידי רו"ח, ביחס לכמות הכוללת של העותקים של החומרים שנמכרו או שווקו על ידי הנתבעת או מי מטעמה ולתמורה שנתקבלה או שעתידה להתקבל בגין המכירות כאמור, לרבות כל ההכנסות והרווחים שנצברו להם מהדפסה, הוצאה לאור, מכירה, הפצה, ושווק של חומריה.</w:t>
      </w:r>
    </w:p>
    <w:p w:rsidR="00BE0AB3" w:rsidRDefault="00BE0AB3" w:rsidP="00BE0AB3">
      <w:pPr>
        <w:pStyle w:val="af8"/>
        <w:rPr>
          <w:rFonts w:ascii="David" w:hAnsi="David" w:cs="David"/>
          <w:sz w:val="24"/>
          <w:szCs w:val="24"/>
        </w:rPr>
      </w:pPr>
    </w:p>
    <w:p w:rsidR="00BE0AB3" w:rsidRDefault="00BE0AB3" w:rsidP="00BE0AB3">
      <w:pPr>
        <w:pStyle w:val="af8"/>
        <w:numPr>
          <w:ilvl w:val="0"/>
          <w:numId w:val="10"/>
        </w:numPr>
        <w:spacing w:line="360" w:lineRule="auto"/>
        <w:jc w:val="both"/>
        <w:rPr>
          <w:rFonts w:ascii="David" w:hAnsi="David" w:cs="David"/>
          <w:sz w:val="24"/>
          <w:szCs w:val="24"/>
          <w:rtl/>
        </w:rPr>
      </w:pPr>
      <w:r>
        <w:rPr>
          <w:rFonts w:ascii="David" w:hAnsi="David" w:cs="David"/>
          <w:sz w:val="24"/>
          <w:szCs w:val="24"/>
          <w:rtl/>
        </w:rPr>
        <w:t xml:space="preserve">ליתן כל סעד אחר להבטחת זכויותיה ולשם עשיית צדק כפי שימצא בית המשפט לנכון בנסיבות העניין. </w:t>
      </w:r>
    </w:p>
    <w:p w:rsidR="00BE0AB3" w:rsidRDefault="00BE0AB3" w:rsidP="00BE0AB3">
      <w:pPr>
        <w:pStyle w:val="af8"/>
        <w:rPr>
          <w:rFonts w:ascii="David" w:hAnsi="David" w:cs="David"/>
          <w:sz w:val="24"/>
          <w:szCs w:val="24"/>
        </w:rPr>
      </w:pPr>
    </w:p>
    <w:p w:rsidR="00BE0AB3" w:rsidRDefault="00BE0AB3" w:rsidP="00BE0AB3">
      <w:pPr>
        <w:pStyle w:val="af8"/>
        <w:numPr>
          <w:ilvl w:val="0"/>
          <w:numId w:val="2"/>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תמצית טענות הנתבעת</w:t>
      </w: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הנתבעת ציינה שהיא והתובעת הן מתחרות מסחריות המקיימות קורס הכנה לבחינות הרישוי הממשלתיות בתזונה. הנתבעת טענה כי עושה זאת שנים ארוכות ואילו התובעת אך החלה את דרכה בתחום. לטענת הנתבעת, משלא הצליחה התובעת להתמודד עם שמה הטוב של הנתבעת בקורס נאלצה לפנות לכלים שאינם מסחריים ולתחרות שאינה הוגנת על מנת לפגוע בה. </w:t>
      </w:r>
    </w:p>
    <w:p w:rsidR="00BE0AB3" w:rsidRDefault="00BE0AB3" w:rsidP="00BE0AB3">
      <w:pPr>
        <w:pStyle w:val="af8"/>
        <w:spacing w:line="360" w:lineRule="auto"/>
        <w:ind w:left="1360"/>
        <w:jc w:val="both"/>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b/>
          <w:bCs/>
          <w:sz w:val="24"/>
          <w:szCs w:val="24"/>
          <w:u w:val="single"/>
          <w:rtl/>
        </w:rPr>
      </w:pPr>
      <w:r>
        <w:rPr>
          <w:rFonts w:ascii="David" w:hAnsi="David" w:cs="David"/>
          <w:b/>
          <w:bCs/>
          <w:sz w:val="24"/>
          <w:szCs w:val="24"/>
          <w:rtl/>
        </w:rPr>
        <w:t xml:space="preserve"> </w:t>
      </w:r>
      <w:r>
        <w:rPr>
          <w:rFonts w:ascii="David" w:hAnsi="David" w:cs="David"/>
          <w:sz w:val="24"/>
          <w:szCs w:val="24"/>
          <w:rtl/>
        </w:rPr>
        <w:t xml:space="preserve">הנתבעת הוסיפה כי הקורס (הכנה לבחינות הרישוי הממשלתיות בתזונה) והבחינות עצמן – הם בהיקף רחב יותר מהיקף הקורס לדיאטטיקה של התובעת. עוד ציינה הנתבעת שמעבר לנושאים אלו היא מלמדת במסגרת קורס הכנה לבחינות הרישוי נושאים רבים אשר אינם נלמדים במסגרת הקורס לדיאטטיקה ותוכנם משתנה מעת לעת לפי הנדרש. </w:t>
      </w:r>
    </w:p>
    <w:p w:rsidR="00BE0AB3" w:rsidRDefault="00BE0AB3" w:rsidP="00BE0AB3">
      <w:pPr>
        <w:pStyle w:val="af8"/>
        <w:spacing w:line="360" w:lineRule="auto"/>
        <w:ind w:left="1360"/>
        <w:jc w:val="both"/>
        <w:rPr>
          <w:rFonts w:ascii="David" w:hAnsi="David" w:cs="David"/>
          <w:b/>
          <w:bCs/>
          <w:sz w:val="24"/>
          <w:szCs w:val="24"/>
          <w:u w:val="single"/>
        </w:rPr>
      </w:pPr>
    </w:p>
    <w:p w:rsidR="00BE0AB3" w:rsidRDefault="00BE0AB3" w:rsidP="00BE0AB3">
      <w:pPr>
        <w:pStyle w:val="af8"/>
        <w:numPr>
          <w:ilvl w:val="1"/>
          <w:numId w:val="2"/>
        </w:numPr>
        <w:spacing w:line="360" w:lineRule="auto"/>
        <w:ind w:left="395" w:hanging="567"/>
        <w:jc w:val="both"/>
        <w:rPr>
          <w:rFonts w:ascii="David" w:hAnsi="David" w:cs="David"/>
          <w:b/>
          <w:bCs/>
          <w:sz w:val="24"/>
          <w:szCs w:val="24"/>
          <w:u w:val="single"/>
        </w:rPr>
      </w:pPr>
      <w:r>
        <w:rPr>
          <w:rFonts w:ascii="David" w:hAnsi="David" w:cs="David"/>
          <w:sz w:val="24"/>
          <w:szCs w:val="24"/>
          <w:rtl/>
        </w:rPr>
        <w:t>הנתבעת טענה שתלמידי התובעת מתקשים בהבנת הסבריה. כיוון שכך,  בשנת 2016 ובעקבות פניות שבוצעו אליה מאת חלק מתלמידיה של התובעת היא העבירה מפגש לימודי חד פעמי. המפגש היה בן מספר שעות למספר תלמידים קטן. המפגש נועד לסייע למספר תלמידים שלא הבינו את חומר הלימוד בכיתה לעבור בהצלחה את הקורס אותו ניהלה התובעת. הנתבעת הדגיש שהיה</w:t>
      </w:r>
      <w:r>
        <w:rPr>
          <w:rFonts w:ascii="David" w:hAnsi="David" w:cs="David"/>
          <w:b/>
          <w:bCs/>
          <w:sz w:val="24"/>
          <w:szCs w:val="24"/>
          <w:rtl/>
        </w:rPr>
        <w:t xml:space="preserve"> </w:t>
      </w:r>
      <w:r>
        <w:rPr>
          <w:rFonts w:ascii="David" w:hAnsi="David" w:cs="David"/>
          <w:sz w:val="24"/>
          <w:szCs w:val="24"/>
          <w:rtl/>
        </w:rPr>
        <w:t>מדובר במפגש חד פעמי, שיעור פרטי, בקורס בדיאטטיקה ותו לא. לדבריה, עיקר המפגש הוקדש למתן דגש על ההסברים שלא הובהרו בצורה טובה דיה בידי התובעת.</w:t>
      </w:r>
    </w:p>
    <w:p w:rsidR="00BE0AB3" w:rsidRDefault="00BE0AB3" w:rsidP="00BE0AB3">
      <w:pPr>
        <w:pStyle w:val="af8"/>
        <w:rPr>
          <w:rFonts w:ascii="David" w:hAnsi="David" w:cs="David"/>
          <w:b/>
          <w:bCs/>
          <w:sz w:val="24"/>
          <w:szCs w:val="24"/>
          <w:u w:val="single"/>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הנתבעת ציינה כי, אין כל קשר בין אותו מפגש שיעורים פרטיים לבין הקורס ללימודי הכנה לבחינות הממשלתיות אותו מעבירה לתלמידיה החל משנת 2014 ולדבריה, אלו שני נושאים נפרדים שאינם קשורים.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לטענת הנתבעת, התובעת החלה להעביר קורס הכנה לבחינות הממשלתיות ללימודי הסמכה בתזונה רק בסוף שנת 2018. ארבע שנים לאחר שהנתבעת החלה להעביר את הקורס מטעמה. לטענת הנתבעת, ככל שמישהי העתיקה את תכני הקורס מחברתה הרי  שלגישתה-סביר יותר להניח שהתובעת היא זו שהעתיקה את תכניה.</w:t>
      </w:r>
    </w:p>
    <w:p w:rsidR="00BE0AB3" w:rsidRDefault="00BE0AB3" w:rsidP="00BE0AB3">
      <w:pPr>
        <w:pStyle w:val="af8"/>
        <w:spacing w:line="360" w:lineRule="auto"/>
        <w:ind w:left="1360"/>
        <w:jc w:val="both"/>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הנתבעת התייחסה לכך שבכתב התביעה נטען להפרות במערכי שיעור, מצגות, מחברות, ספרי לימוד, שיטות לימוד, פורמולות, נוסחאות, כלים מדעיים וכלים אקדמיים. לדבריה, למרות רשימה זו בפועל הרי נספחים ב ו-ג לכתב התביעה התייחסו לשאלות והגדרות מושגים שונים ולא מעבר לכך. לטענת הנתבעת מדובר במספר זעום ו"בטל בשישים" של יצירות לעומת מכלול היצירות בהן מדובר כך שלגישתה לא מדובר בהפרת היצירה או חלק מהותי ממנה. </w:t>
      </w:r>
    </w:p>
    <w:p w:rsidR="00BE0AB3" w:rsidRDefault="00BE0AB3" w:rsidP="00BE0AB3">
      <w:pPr>
        <w:pStyle w:val="af8"/>
        <w:rPr>
          <w:rFonts w:ascii="David" w:hAnsi="David" w:cs="David"/>
          <w:sz w:val="24"/>
          <w:szCs w:val="24"/>
        </w:rPr>
      </w:pPr>
    </w:p>
    <w:p w:rsidR="00D86410" w:rsidRDefault="00D86410" w:rsidP="00D86410">
      <w:pPr>
        <w:pStyle w:val="af8"/>
        <w:numPr>
          <w:ilvl w:val="1"/>
          <w:numId w:val="2"/>
        </w:numPr>
        <w:spacing w:line="360" w:lineRule="auto"/>
        <w:ind w:left="395" w:hanging="567"/>
        <w:jc w:val="both"/>
        <w:rPr>
          <w:rFonts w:ascii="David" w:hAnsi="David" w:cs="David"/>
          <w:sz w:val="24"/>
          <w:szCs w:val="24"/>
        </w:rPr>
      </w:pPr>
      <w:r w:rsidRPr="00D86410">
        <w:rPr>
          <w:rFonts w:ascii="David" w:hAnsi="David" w:cs="David"/>
          <w:sz w:val="24"/>
          <w:szCs w:val="24"/>
          <w:rtl/>
        </w:rPr>
        <w:t>עוד טענה הנתבעת כי</w:t>
      </w:r>
      <w:r w:rsidR="00BE0AB3" w:rsidRPr="00D86410">
        <w:rPr>
          <w:rFonts w:ascii="David" w:hAnsi="David" w:cs="David"/>
          <w:sz w:val="24"/>
          <w:szCs w:val="24"/>
          <w:rtl/>
        </w:rPr>
        <w:t xml:space="preserve"> מתוך אותן "410 קוביות" אליהן התייחסה התובעת, הרי סומנו הפרות רק ב – 152 מהן. </w:t>
      </w:r>
    </w:p>
    <w:p w:rsidR="00D86410" w:rsidRPr="00D86410" w:rsidRDefault="00D86410" w:rsidP="00D86410">
      <w:pPr>
        <w:pStyle w:val="af8"/>
        <w:rPr>
          <w:rFonts w:ascii="David" w:hAnsi="David" w:cs="David"/>
          <w:sz w:val="24"/>
          <w:szCs w:val="24"/>
          <w:rtl/>
        </w:rPr>
      </w:pPr>
    </w:p>
    <w:p w:rsidR="00BE0AB3" w:rsidRPr="00D86410" w:rsidRDefault="00BE0AB3" w:rsidP="00D86410">
      <w:pPr>
        <w:pStyle w:val="af8"/>
        <w:numPr>
          <w:ilvl w:val="1"/>
          <w:numId w:val="2"/>
        </w:numPr>
        <w:spacing w:line="360" w:lineRule="auto"/>
        <w:ind w:left="395" w:hanging="567"/>
        <w:jc w:val="both"/>
        <w:rPr>
          <w:rFonts w:ascii="David" w:hAnsi="David" w:cs="David"/>
          <w:sz w:val="24"/>
          <w:szCs w:val="24"/>
          <w:rtl/>
        </w:rPr>
      </w:pPr>
      <w:r w:rsidRPr="00D86410">
        <w:rPr>
          <w:rFonts w:ascii="David" w:hAnsi="David" w:cs="David"/>
          <w:sz w:val="24"/>
          <w:szCs w:val="24"/>
          <w:rtl/>
        </w:rPr>
        <w:lastRenderedPageBreak/>
        <w:t xml:space="preserve">הנתבעת </w:t>
      </w:r>
      <w:r w:rsidR="00D86410" w:rsidRPr="00D86410">
        <w:rPr>
          <w:rFonts w:ascii="David" w:hAnsi="David" w:cs="David" w:hint="cs"/>
          <w:sz w:val="24"/>
          <w:szCs w:val="24"/>
          <w:rtl/>
        </w:rPr>
        <w:t>הוסיפה ו</w:t>
      </w:r>
      <w:r w:rsidRPr="00D86410">
        <w:rPr>
          <w:rFonts w:ascii="David" w:hAnsi="David" w:cs="David"/>
          <w:sz w:val="24"/>
          <w:szCs w:val="24"/>
          <w:rtl/>
        </w:rPr>
        <w:t xml:space="preserve">הדגישה כי לא בוצעה על ידה כל הפרת זכות יוצרים, לא עוולה מסחרית, לא תיאור מסחרי כוזב, לא התעשרות שלא כדין, לא גזל מוניטין, לא לשון הרע והוצאת דיבה ולא הופרו כל הוראות דין נוספות.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לדברי הנתבעת, היא אינה עושה שימוש לא במערכי שיעור, לא במצגות, לא במחברות ובספרי לימוד, לא בשיטת לימוד, לא בפורמולות, לא בנוסחאות, לא בכלים מדעיים ולא בכלים אקדמיים המהווים יצירות מוגנות השייכות לתובעת. </w:t>
      </w:r>
    </w:p>
    <w:p w:rsidR="00BE0AB3" w:rsidRDefault="00BE0AB3" w:rsidP="00BE0AB3">
      <w:pPr>
        <w:pStyle w:val="af8"/>
        <w:spacing w:line="360" w:lineRule="auto"/>
        <w:ind w:left="1360"/>
        <w:jc w:val="both"/>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הנתבעת טענה שאינה מתכוונת להעתיק וכן לא העתיקה כל יצירה מוגנת השייכת לתובעת וכי ככל שתפנה אותה התובעת ליצירה ספציפית שהיא עושה בה שימוש בפועל הי מתחייבת למחקה מיד . לדבריה, התחייבותה זו מופנית אך ורק ביחס ליצירות מוגנות ולא לכל רכיב שהינו עובדתי, תיאורי, הכרחי,  שלא נוצר על ידי התובעת או אינו מוגן בדרך חוקית אחרת וככל שבתכני התובעת היו רכיבים עובדתיים , בהחלט ייתכן שהם מצאו דרכם במקום כזה או אחר לתכניה כחלק זניח וקטן שאינו מוגן על פי דין.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הנתבעת סבורה כי, הפניה לתכנים אשר "בבעלותה של התובעת" לאחרים ה"מזוהים או משויכים לתובעת" או לכאלו שיש בהם "זהות ו/או דמיון ו/או הטעיה במישרין ו/או בעקיפין לתובעת , שמה ומעמדה" היא הפניה שכוונתה להטעות לטשטש את העדר העילה, שכן לטענתה אין בכתב התביעה כל עילה של ממש ו"זיהוי עם התובעת" אינה עילה קניינית או משפטית.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עוד נטען כי  גם אם נניח שתוכנן של ה"קוביות" אליהן הפנתה התובעת הועתק הרי שאלו מונחים ומושגים מקצועיים. תיאורים ותהליכים פיזיולוגיים וכן עובדות ונתונים ותיאוריות ידועות הנלמדות בתחום מדעי התזונה. תיאורים אשר מבחן הרישוי וההסמכה נסוב אודותם ולטענתה כל אלו הם דברים אשר אינם מוגנים בזכויות יוצרים.</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הנתבעת הכחישה כי עוולה בלשון הרע כנגד התובעת. לדבריה, קמה לה חובה מוסרית לדווח על הפרות אתיקה שהובאו לידיעתה. עוד הוסיפה הנתבעת שדבריה הם בגדר הבעת דעה על תפקודה של התובעת בתפקידה הציבורי כמרצה באוניברסיטה ציבורית. הפרסום הנטען היה במסגרת הגשת תלונה שבעניין שבו הנמען הוא הממונה על התובעת באוניברסיטה והדברים נאמרו במטרה שיבדקו. </w:t>
      </w:r>
    </w:p>
    <w:p w:rsidR="00BE0AB3" w:rsidRDefault="00BE0AB3" w:rsidP="00BE0AB3">
      <w:pPr>
        <w:pStyle w:val="af8"/>
        <w:rPr>
          <w:rFonts w:ascii="David" w:hAnsi="David" w:cs="David"/>
          <w:sz w:val="24"/>
          <w:szCs w:val="24"/>
        </w:rPr>
      </w:pPr>
    </w:p>
    <w:p w:rsidR="00BE0AB3" w:rsidRDefault="00BE0AB3" w:rsidP="00BE0AB3">
      <w:pPr>
        <w:pStyle w:val="af8"/>
        <w:spacing w:line="360" w:lineRule="auto"/>
        <w:ind w:left="-172"/>
        <w:jc w:val="both"/>
        <w:rPr>
          <w:rFonts w:ascii="David" w:hAnsi="David" w:cs="David"/>
          <w:b/>
          <w:bCs/>
          <w:sz w:val="24"/>
          <w:szCs w:val="24"/>
          <w:rtl/>
        </w:rPr>
      </w:pPr>
      <w:r>
        <w:rPr>
          <w:rFonts w:ascii="David" w:hAnsi="David" w:cs="David"/>
          <w:b/>
          <w:bCs/>
          <w:sz w:val="24"/>
          <w:szCs w:val="24"/>
          <w:rtl/>
        </w:rPr>
        <w:t>הערת מעבר-</w:t>
      </w:r>
      <w:r>
        <w:rPr>
          <w:rFonts w:ascii="David" w:hAnsi="David" w:cs="David"/>
          <w:sz w:val="24"/>
          <w:szCs w:val="24"/>
          <w:rtl/>
        </w:rPr>
        <w:t xml:space="preserve"> </w:t>
      </w:r>
      <w:r>
        <w:rPr>
          <w:rFonts w:ascii="David" w:hAnsi="David" w:cs="David"/>
          <w:b/>
          <w:bCs/>
          <w:sz w:val="24"/>
          <w:szCs w:val="24"/>
          <w:shd w:val="clear" w:color="auto" w:fill="FFFFFF"/>
          <w:rtl/>
        </w:rPr>
        <w:t>אין באמור כדי להביא את מלוא טענות הצדדים, אך די בכך כדי להציב המסד להמשך פסק הדין</w:t>
      </w:r>
      <w:r>
        <w:rPr>
          <w:rFonts w:ascii="David" w:hAnsi="David" w:cs="David"/>
          <w:b/>
          <w:bCs/>
          <w:sz w:val="24"/>
          <w:szCs w:val="24"/>
          <w:rtl/>
        </w:rPr>
        <w:t>.</w:t>
      </w:r>
    </w:p>
    <w:p w:rsidR="00D86410" w:rsidRDefault="00D86410" w:rsidP="00BE0AB3">
      <w:pPr>
        <w:pStyle w:val="af8"/>
        <w:spacing w:line="360" w:lineRule="auto"/>
        <w:jc w:val="both"/>
        <w:rPr>
          <w:rFonts w:ascii="David" w:hAnsi="David" w:cs="David"/>
          <w:b/>
          <w:bCs/>
          <w:sz w:val="24"/>
          <w:szCs w:val="24"/>
          <w:u w:val="single"/>
          <w:rtl/>
        </w:rPr>
      </w:pPr>
    </w:p>
    <w:p w:rsidR="00D86410" w:rsidRDefault="00D86410" w:rsidP="00BE0AB3">
      <w:pPr>
        <w:pStyle w:val="af8"/>
        <w:spacing w:line="360" w:lineRule="auto"/>
        <w:jc w:val="both"/>
        <w:rPr>
          <w:rFonts w:ascii="David" w:hAnsi="David" w:cs="David"/>
          <w:b/>
          <w:bCs/>
          <w:sz w:val="24"/>
          <w:szCs w:val="24"/>
          <w:u w:val="single"/>
          <w:rtl/>
        </w:rPr>
      </w:pPr>
    </w:p>
    <w:p w:rsidR="00D86410" w:rsidRDefault="00D86410" w:rsidP="00BE0AB3">
      <w:pPr>
        <w:pStyle w:val="af8"/>
        <w:spacing w:line="360" w:lineRule="auto"/>
        <w:jc w:val="both"/>
        <w:rPr>
          <w:rFonts w:ascii="David" w:hAnsi="David" w:cs="David"/>
          <w:b/>
          <w:bCs/>
          <w:sz w:val="24"/>
          <w:szCs w:val="24"/>
          <w:u w:val="single"/>
          <w:rtl/>
        </w:rPr>
      </w:pPr>
    </w:p>
    <w:p w:rsidR="00D86410" w:rsidRDefault="00D86410" w:rsidP="00BE0AB3">
      <w:pPr>
        <w:pStyle w:val="af8"/>
        <w:spacing w:line="360" w:lineRule="auto"/>
        <w:jc w:val="both"/>
        <w:rPr>
          <w:rFonts w:ascii="David" w:hAnsi="David" w:cs="David"/>
          <w:b/>
          <w:bCs/>
          <w:sz w:val="24"/>
          <w:szCs w:val="24"/>
          <w:u w:val="single"/>
          <w:rtl/>
        </w:rPr>
      </w:pPr>
    </w:p>
    <w:p w:rsidR="00BE0AB3" w:rsidRDefault="00BE0AB3" w:rsidP="00BE0AB3">
      <w:pPr>
        <w:pStyle w:val="af8"/>
        <w:spacing w:line="360" w:lineRule="auto"/>
        <w:ind w:left="-739"/>
        <w:jc w:val="both"/>
        <w:rPr>
          <w:rFonts w:ascii="David" w:hAnsi="David" w:cs="David"/>
          <w:b/>
          <w:bCs/>
          <w:sz w:val="28"/>
          <w:szCs w:val="28"/>
          <w:u w:val="single"/>
        </w:rPr>
      </w:pPr>
      <w:r>
        <w:rPr>
          <w:rFonts w:ascii="David" w:hAnsi="David" w:cs="David"/>
          <w:b/>
          <w:bCs/>
          <w:sz w:val="28"/>
          <w:szCs w:val="28"/>
          <w:u w:val="single"/>
          <w:rtl/>
        </w:rPr>
        <w:lastRenderedPageBreak/>
        <w:t>חלק שלישי, דיון והכרעה ברכיב התביעה הראשון משלושה - טענת התובעת להפרת זכות יוצרים (תביעת הסך של 300,000 ₪ וכן מתן צווים)</w:t>
      </w:r>
    </w:p>
    <w:p w:rsidR="00BE0AB3" w:rsidRDefault="00BE0AB3" w:rsidP="00BE0AB3">
      <w:pPr>
        <w:pStyle w:val="af8"/>
        <w:spacing w:line="360" w:lineRule="auto"/>
        <w:ind w:left="-172"/>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מסגרת הדיון והערות בטרם התייחסות להפרות כפי שהוכחו</w:t>
      </w: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לעיתים די בהצגת העובדות, על מנת שהמסקנה המשפטית תעלה ותצמח מתוכן. כזה הוא המקרה שלפנינו. סקירת דוגמאות מייצגות מתוך עשרות ומאות ההפניות של התובעת מביאה למסקנה חד משמעית לפיה הנתבעת אכן העתיקה ועשתה שימוש בתוצרים של התובעת.</w:t>
      </w:r>
    </w:p>
    <w:p w:rsidR="00BE0AB3" w:rsidRDefault="00BE0AB3" w:rsidP="00BE0AB3">
      <w:pPr>
        <w:pStyle w:val="af8"/>
        <w:spacing w:line="360" w:lineRule="auto"/>
        <w:ind w:left="395"/>
        <w:jc w:val="both"/>
        <w:rPr>
          <w:rFonts w:ascii="David" w:hAnsi="David" w:cs="David"/>
          <w:sz w:val="24"/>
          <w:szCs w:val="24"/>
        </w:rPr>
      </w:pPr>
    </w:p>
    <w:p w:rsidR="00BE0AB3" w:rsidRDefault="00BE0AB3" w:rsidP="00BE0AB3">
      <w:pPr>
        <w:pStyle w:val="af8"/>
        <w:numPr>
          <w:ilvl w:val="1"/>
          <w:numId w:val="2"/>
        </w:numPr>
        <w:spacing w:line="360" w:lineRule="auto"/>
        <w:ind w:left="395" w:hanging="567"/>
        <w:jc w:val="both"/>
      </w:pPr>
      <w:r>
        <w:rPr>
          <w:rFonts w:ascii="David" w:hAnsi="David" w:cs="David"/>
          <w:sz w:val="24"/>
          <w:szCs w:val="24"/>
          <w:rtl/>
        </w:rPr>
        <w:t>יש טעם לפגם בעובדה שהנתבעת השתמשה, פעם אחר פעם, בניסוחים דומים ואף זהים לניסוחי התובעת. בביטויים הזהים יש לא רק בגדר העתקת רעיון, אלא יש משום הפרת זכות יוצרים. ככל שהיה מדובר בהעתקת רעיון כזה או אחר, הרי ממילא לא ניתן היה לטעון לזכות מוגנת כלשהי. ור' לענין זה סעיף 15(1) ל</w:t>
      </w:r>
      <w:r>
        <w:rPr>
          <w:rFonts w:ascii="David" w:hAnsi="David" w:cs="David"/>
          <w:sz w:val="24"/>
          <w:szCs w:val="24"/>
          <w:u w:val="single"/>
          <w:rtl/>
        </w:rPr>
        <w:t>חוק זכות יוצרים</w:t>
      </w:r>
      <w:r>
        <w:rPr>
          <w:rFonts w:ascii="David" w:hAnsi="David" w:cs="David"/>
          <w:sz w:val="24"/>
          <w:szCs w:val="24"/>
          <w:rtl/>
        </w:rPr>
        <w:t>, תשס"ח – 2007 הקובע כך</w:t>
      </w:r>
      <w:r>
        <w:rPr>
          <w:rtl/>
        </w:rPr>
        <w:t>:</w:t>
      </w:r>
    </w:p>
    <w:p w:rsidR="00BE0AB3" w:rsidRDefault="00BE0AB3" w:rsidP="00BE0AB3">
      <w:pPr>
        <w:pStyle w:val="listparagraph"/>
        <w:spacing w:line="360" w:lineRule="auto"/>
        <w:ind w:left="2160"/>
        <w:jc w:val="both"/>
      </w:pPr>
      <w:r>
        <w:rPr>
          <w:rFonts w:ascii="David" w:hAnsi="David" w:cs="David"/>
          <w:b/>
          <w:bCs/>
          <w:sz w:val="24"/>
          <w:szCs w:val="24"/>
          <w:rtl/>
        </w:rPr>
        <w:t>"זכות יוצרים ביצירה כאמור בסעיף 4 לא תחול על כל אחד מאלה, ואולם על דרך ביטוים תחול זכות היוצרים:</w:t>
      </w:r>
    </w:p>
    <w:p w:rsidR="00BE0AB3" w:rsidRDefault="00BE0AB3" w:rsidP="00BE0AB3">
      <w:pPr>
        <w:pStyle w:val="listparagraph"/>
        <w:spacing w:line="360" w:lineRule="auto"/>
        <w:ind w:left="2520" w:hanging="360"/>
        <w:jc w:val="both"/>
        <w:rPr>
          <w:rtl/>
        </w:rPr>
      </w:pPr>
      <w:r>
        <w:rPr>
          <w:rFonts w:ascii="David" w:hAnsi="David" w:cs="David"/>
          <w:b/>
          <w:bCs/>
          <w:sz w:val="24"/>
          <w:szCs w:val="24"/>
          <w:rtl/>
        </w:rPr>
        <w:t>(1)</w:t>
      </w:r>
      <w:r>
        <w:rPr>
          <w:rFonts w:ascii="Times New Roman" w:hAnsi="Times New Roman" w:cs="Times New Roman"/>
          <w:b/>
          <w:bCs/>
          <w:sz w:val="14"/>
          <w:szCs w:val="14"/>
          <w:rtl/>
        </w:rPr>
        <w:t xml:space="preserve">   </w:t>
      </w:r>
      <w:r>
        <w:rPr>
          <w:rFonts w:ascii="David" w:hAnsi="David" w:cs="David"/>
          <w:b/>
          <w:bCs/>
          <w:sz w:val="24"/>
          <w:szCs w:val="24"/>
          <w:rtl/>
        </w:rPr>
        <w:t>רעיון;</w:t>
      </w:r>
    </w:p>
    <w:p w:rsidR="00BE0AB3" w:rsidRDefault="00BE0AB3" w:rsidP="00BE0AB3">
      <w:pPr>
        <w:pStyle w:val="listparagraph"/>
        <w:spacing w:line="360" w:lineRule="auto"/>
        <w:ind w:left="2520"/>
        <w:jc w:val="both"/>
        <w:rPr>
          <w:rtl/>
        </w:rPr>
      </w:pPr>
      <w:r>
        <w:rPr>
          <w:rFonts w:ascii="David" w:hAnsi="David" w:cs="David"/>
          <w:b/>
          <w:bCs/>
          <w:sz w:val="24"/>
          <w:szCs w:val="24"/>
          <w:rtl/>
        </w:rPr>
        <w:t xml:space="preserve">..." </w:t>
      </w:r>
    </w:p>
    <w:p w:rsidR="00BE0AB3" w:rsidRDefault="00BE0AB3" w:rsidP="00BE0AB3">
      <w:pPr>
        <w:pStyle w:val="listparagraph"/>
        <w:spacing w:line="360" w:lineRule="auto"/>
        <w:ind w:left="395"/>
        <w:jc w:val="both"/>
        <w:rPr>
          <w:rtl/>
        </w:rPr>
      </w:pPr>
      <w:r>
        <w:rPr>
          <w:rFonts w:ascii="David" w:hAnsi="David" w:cs="David"/>
          <w:sz w:val="24"/>
          <w:szCs w:val="24"/>
          <w:rtl/>
        </w:rPr>
        <w:t xml:space="preserve">ואולם בהחלט קיימת הגנה על </w:t>
      </w:r>
      <w:r>
        <w:rPr>
          <w:rFonts w:ascii="David" w:hAnsi="David" w:cs="David"/>
          <w:sz w:val="24"/>
          <w:szCs w:val="24"/>
          <w:u w:val="single"/>
          <w:rtl/>
        </w:rPr>
        <w:t>"ביטויו של  רעיון"</w:t>
      </w:r>
      <w:r>
        <w:rPr>
          <w:rFonts w:ascii="David" w:hAnsi="David" w:cs="David"/>
          <w:sz w:val="24"/>
          <w:szCs w:val="24"/>
          <w:rtl/>
        </w:rPr>
        <w:t xml:space="preserve">, וזאת להבדיל מהגנה על הרעיון עצמו. לענין זה ר' דברי המלומד טוני גרינמן במאמרו – </w:t>
      </w:r>
      <w:r>
        <w:rPr>
          <w:rFonts w:ascii="David" w:hAnsi="David" w:cs="David"/>
          <w:sz w:val="24"/>
          <w:szCs w:val="24"/>
          <w:u w:val="single"/>
          <w:rtl/>
        </w:rPr>
        <w:t>"הבחנה בין רעיון לבין ביטוי ובחינה של שאלת ההפרה בדיני זכויות יוצרים"</w:t>
      </w:r>
      <w:r>
        <w:rPr>
          <w:rFonts w:ascii="David" w:hAnsi="David" w:cs="David"/>
          <w:sz w:val="24"/>
          <w:szCs w:val="24"/>
          <w:rtl/>
        </w:rPr>
        <w:t xml:space="preserve"> </w:t>
      </w:r>
      <w:r>
        <w:rPr>
          <w:rStyle w:val="charchar20"/>
          <w:rFonts w:ascii="David" w:hAnsi="David" w:cs="David"/>
          <w:b w:val="0"/>
          <w:bCs w:val="0"/>
          <w:sz w:val="24"/>
          <w:szCs w:val="24"/>
          <w:rtl/>
        </w:rPr>
        <w:t>ספר</w:t>
      </w:r>
      <w:r>
        <w:rPr>
          <w:rFonts w:ascii="David" w:hAnsi="David" w:cs="David"/>
          <w:sz w:val="24"/>
          <w:szCs w:val="24"/>
          <w:rtl/>
        </w:rPr>
        <w:t xml:space="preserve"> שלמה לוין 625 (אשר גרוניס, אליעזר ריבלין ומיכאיל קרייני עורכים, 2013, בע"מ 628)</w:t>
      </w:r>
      <w:r>
        <w:rPr>
          <w:rFonts w:cs="FrankRuehl"/>
          <w:sz w:val="28"/>
          <w:szCs w:val="28"/>
          <w:rtl/>
        </w:rPr>
        <w:t xml:space="preserve"> </w:t>
      </w:r>
      <w:r>
        <w:rPr>
          <w:rFonts w:ascii="David" w:hAnsi="David" w:cs="David"/>
          <w:sz w:val="24"/>
          <w:szCs w:val="24"/>
          <w:rtl/>
        </w:rPr>
        <w:t xml:space="preserve">שם נסקרה פסיקת בתי המשפט הן בישראל והן בארה"ב והובעה הדעה לפיה </w:t>
      </w:r>
      <w:r>
        <w:rPr>
          <w:rFonts w:ascii="David" w:hAnsi="David" w:cs="David"/>
          <w:b/>
          <w:bCs/>
          <w:sz w:val="24"/>
          <w:szCs w:val="24"/>
          <w:rtl/>
        </w:rPr>
        <w:t>"רעיונות הם 'חופשיים כאוויר'. על פי דיני זכויות יוצרים הם ניתנים להעתקה, לעיבוד ולשימוש בלתי מוגבל על ידי אחרים"</w:t>
      </w:r>
      <w:r>
        <w:rPr>
          <w:rFonts w:ascii="David" w:hAnsi="David" w:cs="David"/>
          <w:sz w:val="24"/>
          <w:szCs w:val="24"/>
          <w:rtl/>
        </w:rPr>
        <w:t>. ניתן להפנות גם אל ע"א 7517/17, ‏</w:t>
      </w:r>
      <w:r>
        <w:rPr>
          <w:rFonts w:ascii="David" w:hAnsi="David" w:cs="David"/>
          <w:sz w:val="24"/>
          <w:szCs w:val="24"/>
          <w:u w:val="single"/>
          <w:rtl/>
        </w:rPr>
        <w:t>רון גואטה נ' הלל מיטלפונקט</w:t>
      </w:r>
      <w:r>
        <w:rPr>
          <w:rFonts w:ascii="David" w:hAnsi="David" w:cs="David"/>
          <w:sz w:val="24"/>
          <w:szCs w:val="24"/>
          <w:rtl/>
        </w:rPr>
        <w:t xml:space="preserve">  (מיום 11/11/2018, הש' נ' הנדל, השופטת ד' ברק-ארז, הש' ג' קרא) </w:t>
      </w:r>
      <w:r>
        <w:rPr>
          <w:rFonts w:ascii="David" w:hAnsi="David" w:cs="David"/>
          <w:color w:val="000000"/>
          <w:sz w:val="24"/>
          <w:szCs w:val="24"/>
          <w:rtl/>
        </w:rPr>
        <w:t xml:space="preserve">וכן אל תא (ת"א) 52488-09-14, </w:t>
      </w:r>
      <w:r>
        <w:rPr>
          <w:rFonts w:ascii="David" w:hAnsi="David" w:cs="David"/>
          <w:color w:val="000000"/>
          <w:sz w:val="24"/>
          <w:szCs w:val="24"/>
          <w:u w:val="single"/>
          <w:rtl/>
        </w:rPr>
        <w:t>ד"ר רוני ספיר-קורין נ' פרופ' ברוך ברנר</w:t>
      </w:r>
      <w:r>
        <w:rPr>
          <w:rFonts w:ascii="David" w:hAnsi="David" w:cs="David"/>
          <w:sz w:val="24"/>
          <w:szCs w:val="24"/>
          <w:rtl/>
        </w:rPr>
        <w:t xml:space="preserve">  (מיום 26/3/2020, השופטת ת' אברהמי).</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אין גם מקום לקבל את טענת הנתבעת ממנה עולה ההעתקות הברורות הן בגדר הצגת מונחים גנריים ומקצועיים. אין לקבל טענות אלה, בשל שלושה:</w:t>
      </w:r>
    </w:p>
    <w:p w:rsidR="00BE0AB3" w:rsidRDefault="00BE0AB3" w:rsidP="00BE0AB3">
      <w:pPr>
        <w:pStyle w:val="af8"/>
        <w:spacing w:line="360" w:lineRule="auto"/>
        <w:ind w:left="395"/>
        <w:jc w:val="both"/>
        <w:rPr>
          <w:rFonts w:ascii="David" w:hAnsi="David" w:cs="David"/>
          <w:sz w:val="24"/>
          <w:szCs w:val="24"/>
        </w:rPr>
      </w:pPr>
    </w:p>
    <w:p w:rsidR="00BE0AB3" w:rsidRDefault="00BE0AB3" w:rsidP="00BE0AB3">
      <w:pPr>
        <w:pStyle w:val="af8"/>
        <w:numPr>
          <w:ilvl w:val="0"/>
          <w:numId w:val="6"/>
        </w:numPr>
        <w:spacing w:line="360" w:lineRule="auto"/>
        <w:ind w:left="820" w:hanging="284"/>
        <w:jc w:val="both"/>
        <w:rPr>
          <w:rFonts w:ascii="David" w:hAnsi="David" w:cs="David"/>
          <w:sz w:val="24"/>
          <w:szCs w:val="24"/>
        </w:rPr>
      </w:pPr>
      <w:r>
        <w:rPr>
          <w:rFonts w:ascii="David" w:hAnsi="David" w:cs="David"/>
          <w:b/>
          <w:bCs/>
          <w:sz w:val="24"/>
          <w:szCs w:val="24"/>
          <w:u w:val="single"/>
          <w:rtl/>
        </w:rPr>
        <w:t>ראשית</w:t>
      </w:r>
      <w:r>
        <w:rPr>
          <w:rFonts w:ascii="David" w:hAnsi="David" w:cs="David"/>
          <w:sz w:val="24"/>
          <w:szCs w:val="24"/>
          <w:rtl/>
        </w:rPr>
        <w:t>, המינון הגבוה של ניסוחים זהים והיקפם הנרחב אינו תומך בגרסה לפיה מדובר אך ורק בציטוט או מתן שם למושג מקצועי. ציטוט ומתן שם גנרי, אשר יופיע בכל ספרות מקצועית.</w:t>
      </w:r>
    </w:p>
    <w:p w:rsidR="00BE0AB3" w:rsidRDefault="00BE0AB3" w:rsidP="00BE0AB3">
      <w:pPr>
        <w:pStyle w:val="af8"/>
        <w:spacing w:line="360" w:lineRule="auto"/>
        <w:ind w:left="820"/>
        <w:jc w:val="both"/>
        <w:rPr>
          <w:rFonts w:ascii="David" w:hAnsi="David" w:cs="David"/>
          <w:sz w:val="24"/>
          <w:szCs w:val="24"/>
        </w:rPr>
      </w:pPr>
    </w:p>
    <w:p w:rsidR="00BE0AB3" w:rsidRDefault="00BE0AB3" w:rsidP="00BE0AB3">
      <w:pPr>
        <w:pStyle w:val="af8"/>
        <w:numPr>
          <w:ilvl w:val="0"/>
          <w:numId w:val="6"/>
        </w:numPr>
        <w:spacing w:line="360" w:lineRule="auto"/>
        <w:ind w:left="820" w:hanging="284"/>
        <w:jc w:val="both"/>
        <w:rPr>
          <w:rFonts w:ascii="David" w:hAnsi="David" w:cs="David"/>
          <w:sz w:val="24"/>
          <w:szCs w:val="24"/>
        </w:rPr>
      </w:pPr>
      <w:r>
        <w:rPr>
          <w:rFonts w:ascii="David" w:hAnsi="David" w:cs="David"/>
          <w:b/>
          <w:bCs/>
          <w:sz w:val="24"/>
          <w:szCs w:val="24"/>
          <w:u w:val="single"/>
          <w:rtl/>
        </w:rPr>
        <w:lastRenderedPageBreak/>
        <w:t>שנית</w:t>
      </w:r>
      <w:r>
        <w:rPr>
          <w:rFonts w:ascii="David" w:hAnsi="David" w:cs="David"/>
          <w:sz w:val="24"/>
          <w:szCs w:val="24"/>
          <w:rtl/>
        </w:rPr>
        <w:t>,  פועלה של הנתבעת שומט את הקרקע תחת טענותיה. ואסביר. הוכח שהנתבעת דאגה להחתים את הסטודנטים על התחייבות לפיה לא יעבירו תוצרים מהקורס אותו היא מעבירה לצדדים שלישיים. הנתבעת אף דאגה לכלול באותה התחייבות "קנס כספי" בסך של 100,000 ₪, ככל שתופר ההתחייבות. פעולה זו מלמדת שהנתבעת ידעה היטב שתוצרי הקורס אותו היא מעבירה אינם בגדר מוצר גנרי מקצועי – אלא פרי השקעה ויצירתיות המוגנת בזכות יוצרים. מכאן, גם תוצרי העבודה של התובעת, שהועתקו על ידי הנתבעת, אינם בגדר מוצר גנרי מקצועי – אלא פרי השקעה ויצירתיות המוגנת בזכות יוצרים.</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820" w:hanging="284"/>
        <w:jc w:val="both"/>
        <w:rPr>
          <w:rFonts w:ascii="David" w:hAnsi="David" w:cs="David"/>
          <w:sz w:val="24"/>
          <w:szCs w:val="24"/>
          <w:rtl/>
        </w:rPr>
      </w:pPr>
      <w:r>
        <w:rPr>
          <w:rFonts w:ascii="David" w:hAnsi="David" w:cs="David"/>
          <w:b/>
          <w:bCs/>
          <w:sz w:val="24"/>
          <w:szCs w:val="24"/>
          <w:u w:val="single"/>
          <w:rtl/>
        </w:rPr>
        <w:t>שלישית</w:t>
      </w:r>
      <w:r>
        <w:rPr>
          <w:rFonts w:ascii="David" w:hAnsi="David" w:cs="David"/>
          <w:sz w:val="24"/>
          <w:szCs w:val="24"/>
          <w:rtl/>
        </w:rPr>
        <w:t xml:space="preserve">, הנתבעת העלתה אפשרות, שמא מדובר בציטוט והעתקה של שאלות מבחן ממשלתי. שאלות שלטעמה חופשיות מהגנת זכויות יוצרים. ואולם אפשרות זו נותרה ללא כל הוכחה. טענה בעלמא שכלל לא נוצק לה תוכן כלשהו על ידי הנתבעת. </w:t>
      </w:r>
    </w:p>
    <w:p w:rsidR="00BE0AB3" w:rsidRDefault="00BE0AB3" w:rsidP="00BE0AB3">
      <w:pPr>
        <w:pStyle w:val="af8"/>
        <w:spacing w:line="360" w:lineRule="auto"/>
        <w:ind w:left="-172"/>
        <w:jc w:val="both"/>
        <w:rPr>
          <w:rFonts w:ascii="David" w:hAnsi="David" w:cs="David"/>
          <w:sz w:val="24"/>
          <w:szCs w:val="24"/>
          <w:u w:val="single"/>
          <w:rtl/>
        </w:rPr>
      </w:pP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התובעת הציגה סדרה ארוכה של העתקות, כאשר דוגמאות ממנה יובאו להלן. התובעת הוכיחה שתכניה קודמים לתוצרי הנתבעת, התובעת ענתה לדרישת הקיבוע והמקוריות של תוצריה ובכך הניחה הבסיס לתביעה בגין הפרת זכויותיה. להרחבה ביחס לדרישת הקיבוע והמקוריות ר' למשל ע"א 8742/15, </w:t>
      </w:r>
      <w:r>
        <w:rPr>
          <w:rFonts w:ascii="David" w:hAnsi="David" w:cs="David"/>
          <w:sz w:val="24"/>
          <w:szCs w:val="24"/>
          <w:u w:val="single"/>
          <w:rtl/>
        </w:rPr>
        <w:t>אסטרולוג הוצאה לאור בע"מ נ' שרון רון (שטיבלמן)</w:t>
      </w:r>
      <w:r>
        <w:rPr>
          <w:rFonts w:ascii="David" w:hAnsi="David" w:cs="David"/>
          <w:sz w:val="24"/>
          <w:szCs w:val="24"/>
          <w:rtl/>
        </w:rPr>
        <w:t xml:space="preserve"> (מיום 3/12/2017, הש' א' שהם, מ' מזוז, י' אלרון) וכן לפני כן </w:t>
      </w:r>
      <w:bookmarkStart w:id="1" w:name="Text1"/>
      <w:r>
        <w:rPr>
          <w:rFonts w:ascii="David" w:hAnsi="David" w:cs="David"/>
          <w:sz w:val="24"/>
          <w:szCs w:val="24"/>
          <w:rtl/>
        </w:rPr>
        <w:t xml:space="preserve">ע"א 7996/11, </w:t>
      </w:r>
      <w:r>
        <w:rPr>
          <w:rFonts w:ascii="David" w:hAnsi="David" w:cs="David"/>
          <w:sz w:val="24"/>
          <w:szCs w:val="24"/>
          <w:u w:val="single"/>
          <w:rtl/>
        </w:rPr>
        <w:t>סייפקום בע"מ נ' עופר רביב</w:t>
      </w:r>
      <w:bookmarkEnd w:id="1"/>
      <w:r>
        <w:rPr>
          <w:rFonts w:ascii="David" w:hAnsi="David" w:cs="David"/>
          <w:sz w:val="24"/>
          <w:szCs w:val="24"/>
          <w:rtl/>
        </w:rPr>
        <w:t xml:space="preserve"> (מיום 18/11/2013, הש' א' רובינשטיין, י' דנציגר, צ' זילברטל).</w:t>
      </w:r>
    </w:p>
    <w:p w:rsidR="00BE0AB3" w:rsidRDefault="00BE0AB3" w:rsidP="00BE0AB3">
      <w:pPr>
        <w:pStyle w:val="af8"/>
        <w:spacing w:line="360" w:lineRule="auto"/>
        <w:ind w:left="-172"/>
        <w:jc w:val="both"/>
        <w:rPr>
          <w:rFonts w:ascii="David" w:hAnsi="David" w:cs="David"/>
          <w:sz w:val="24"/>
          <w:szCs w:val="24"/>
        </w:rPr>
      </w:pPr>
    </w:p>
    <w:p w:rsidR="00BE0AB3" w:rsidRDefault="00BE0AB3" w:rsidP="00D86410">
      <w:pPr>
        <w:pStyle w:val="af8"/>
        <w:spacing w:line="360" w:lineRule="auto"/>
        <w:ind w:left="395"/>
        <w:jc w:val="both"/>
        <w:rPr>
          <w:rFonts w:ascii="David" w:hAnsi="David" w:cs="David"/>
          <w:sz w:val="24"/>
          <w:szCs w:val="24"/>
          <w:rtl/>
        </w:rPr>
      </w:pPr>
      <w:r>
        <w:rPr>
          <w:rFonts w:ascii="David" w:hAnsi="David" w:cs="David"/>
          <w:sz w:val="24"/>
          <w:szCs w:val="24"/>
          <w:rtl/>
        </w:rPr>
        <w:t xml:space="preserve">את ההוכחה למקוריות ולזכות היוצרים של התובעת סיפקה גם עדותה של פרופ' אולגה רז מטעמה. אך את עיקר ההוכחה סיפקה דווקא הנתבעת בבדיקות שערכה. הנתבעת סרקה במסרקות ברזל מקצועיות את תוצריה של התובעת, תוך שהיא מנסה למצוא ולהוכיח שאין מדובר בתוצרים מקוריים. תוצאות הבדיקה של הנתבעת העלו שלושים ואחד תוצרים אשר לטעמה מופיעים כבר בספרות מקצועית או במקורות מוקדמים. תוצאות הבדיקה המקצועית של הנתבעת צורפו כנספח י"א לראיותיה ומלמדים על עבודה מקצועית של איתור והשוואת מקורות מקצועיים. </w:t>
      </w:r>
      <w:r>
        <w:rPr>
          <w:rFonts w:ascii="David" w:hAnsi="David" w:cs="David"/>
          <w:sz w:val="24"/>
          <w:szCs w:val="24"/>
          <w:u w:val="single"/>
          <w:rtl/>
        </w:rPr>
        <w:t>ואולם</w:t>
      </w:r>
      <w:r>
        <w:rPr>
          <w:rFonts w:ascii="David" w:hAnsi="David" w:cs="David"/>
          <w:sz w:val="24"/>
          <w:szCs w:val="24"/>
          <w:rtl/>
        </w:rPr>
        <w:t xml:space="preserve">, תוצאות הסקירה המקצועית גם מלמדת על מקוריות תוצרי התובעת. ודוק, אפילו נקבל את עבודת הסקירה של הנתבעת כחוות דעת מומחה עצמאית ונייטרלית – הרי עדיין נותרנו עם היקף נרחב של העתקות לא מוסברות מצידה של הנתבעת. </w:t>
      </w:r>
      <w:r>
        <w:rPr>
          <w:rFonts w:ascii="David" w:hAnsi="David" w:cs="David"/>
          <w:sz w:val="24"/>
          <w:szCs w:val="24"/>
          <w:u w:val="single"/>
          <w:rtl/>
        </w:rPr>
        <w:t>ושוב יודגש</w:t>
      </w:r>
      <w:r>
        <w:rPr>
          <w:rFonts w:ascii="David" w:hAnsi="David" w:cs="David"/>
          <w:sz w:val="24"/>
          <w:szCs w:val="24"/>
          <w:rtl/>
        </w:rPr>
        <w:t xml:space="preserve"> – אפילו נקבל את תיאורה המקצועי של הנתבעת לפיה כתב התביעה כולל רק 152 הפרות נטענות, ואפילו נפחית מאותן הפרות – 31 תוצרים שאינם מקוריים לטענת הנתבעת – עדיין נישאר עם 121 (= 31– 152) הפרות והעתקות ללא כל הסבר.  </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D86410">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התובעת הציגה שורה ארוכה של דוגמאות במסגרת כתב התביעה. לדברי התובעת, מדובר בדוגמאות שהוצאו מתוך חוברות שהפיקה הנתבעת. במהלך הדיון אף הוצגו חוברות אלה. הנתבעת מצידה טענה שלא הוכח כל קשר בינה לבין החוברות. לטענתה כפי שחזרה עליה בסיכומיה (סעיף 55) </w:t>
      </w:r>
      <w:r w:rsidR="00D86410">
        <w:rPr>
          <w:rFonts w:ascii="David" w:hAnsi="David" w:cs="David" w:hint="cs"/>
          <w:sz w:val="24"/>
          <w:szCs w:val="24"/>
          <w:rtl/>
        </w:rPr>
        <w:t xml:space="preserve">- </w:t>
      </w:r>
      <w:r w:rsidRPr="00D86410">
        <w:rPr>
          <w:rFonts w:ascii="David" w:hAnsi="David" w:cs="David"/>
          <w:b/>
          <w:bCs/>
          <w:sz w:val="24"/>
          <w:szCs w:val="24"/>
          <w:rtl/>
        </w:rPr>
        <w:t>"מאן דהוא הקליד את הלוגו של ורד על החוברות. בטכנולוגיה הנוכחית אין קל מזה ואין זו ראיה"</w:t>
      </w:r>
      <w:r>
        <w:rPr>
          <w:rFonts w:ascii="David" w:hAnsi="David" w:cs="David"/>
          <w:sz w:val="24"/>
          <w:szCs w:val="24"/>
          <w:rtl/>
        </w:rPr>
        <w:t>.</w:t>
      </w:r>
    </w:p>
    <w:p w:rsidR="00BE0AB3" w:rsidRDefault="00BE0AB3" w:rsidP="00BE0AB3">
      <w:pPr>
        <w:pStyle w:val="af8"/>
        <w:spacing w:line="360" w:lineRule="auto"/>
        <w:ind w:left="395"/>
        <w:jc w:val="both"/>
        <w:rPr>
          <w:rFonts w:ascii="David" w:hAnsi="David" w:cs="David"/>
          <w:sz w:val="24"/>
          <w:szCs w:val="24"/>
        </w:rPr>
      </w:pP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lastRenderedPageBreak/>
        <w:t xml:space="preserve">אין לקבל טענה זו של הנתבעת. טענה שנותרה, אף היא, כאמירה בעלמא. נכון הוא שברגיל כאשר מועלית טענת זיוף, הרי על בעל הדין כנגדו מועלית הטענה להוכיח שאכן לא זייף. מכאן, נכון הוא שברגיל היה על התובעת דווקא להוכיח שלא זייפה את החוברות ומכלול הראיות שהובאו. בנסיבות הענין אני קובע שאין זה סביר שהתובעת תצא למלחמת ראיות בדויה בה תדאג להדפיס, להפיק ולצטט חוברות על גבי חוברות ובהן תוצרים מועתקים מתוצריה. חוברות הנושאות את הלוגו של הנתבעת. אדרבא, לו רצתה הנתבעת יכולה היתה להציג את החוברות ה"אמיתיות" כפי שהפיצה היא בין הסטודנטים. כך לא נעשה.   </w:t>
      </w:r>
    </w:p>
    <w:p w:rsidR="00BE0AB3" w:rsidRDefault="00BE0AB3" w:rsidP="00BE0AB3">
      <w:pPr>
        <w:pStyle w:val="af8"/>
        <w:spacing w:line="360" w:lineRule="auto"/>
        <w:ind w:left="-456"/>
        <w:jc w:val="both"/>
        <w:rPr>
          <w:rFonts w:ascii="David" w:hAnsi="David" w:cs="David"/>
          <w:b/>
          <w:bCs/>
          <w:sz w:val="24"/>
          <w:szCs w:val="24"/>
          <w:rtl/>
        </w:rPr>
      </w:pPr>
    </w:p>
    <w:p w:rsidR="00D86410" w:rsidRDefault="00D86410" w:rsidP="00BE0AB3">
      <w:pPr>
        <w:pStyle w:val="af8"/>
        <w:spacing w:line="360" w:lineRule="auto"/>
        <w:ind w:left="-456"/>
        <w:jc w:val="both"/>
        <w:rPr>
          <w:rFonts w:ascii="David" w:hAnsi="David" w:cs="David"/>
          <w:b/>
          <w:bCs/>
          <w:sz w:val="24"/>
          <w:szCs w:val="24"/>
          <w:rtl/>
        </w:rPr>
      </w:pPr>
    </w:p>
    <w:p w:rsidR="00BE0AB3" w:rsidRDefault="00BE0AB3" w:rsidP="00BE0AB3">
      <w:pPr>
        <w:pStyle w:val="af8"/>
        <w:spacing w:line="360" w:lineRule="auto"/>
        <w:ind w:left="-456"/>
        <w:jc w:val="both"/>
        <w:rPr>
          <w:rFonts w:ascii="David" w:hAnsi="David" w:cs="David"/>
          <w:b/>
          <w:bCs/>
          <w:sz w:val="24"/>
          <w:szCs w:val="24"/>
          <w:rtl/>
        </w:rPr>
      </w:pPr>
      <w:r>
        <w:rPr>
          <w:rFonts w:ascii="David" w:hAnsi="David" w:cs="David"/>
          <w:b/>
          <w:bCs/>
          <w:sz w:val="24"/>
          <w:szCs w:val="24"/>
          <w:rtl/>
        </w:rPr>
        <w:t xml:space="preserve">הערת מעבר – בפסקאות הבאות תובא התייחסות להעתקות תוצרי התובעת. העתקות העולות בבירור מדוגמאות שונות שיובאו. לצורך כך, לא אתייחס לכלל 152 ההפרות שמנתה </w:t>
      </w:r>
      <w:r>
        <w:rPr>
          <w:rFonts w:ascii="David" w:hAnsi="David" w:cs="David"/>
          <w:b/>
          <w:bCs/>
          <w:sz w:val="24"/>
          <w:szCs w:val="24"/>
          <w:u w:val="single"/>
          <w:rtl/>
        </w:rPr>
        <w:t>הנתבעת</w:t>
      </w:r>
      <w:r>
        <w:rPr>
          <w:rFonts w:ascii="David" w:hAnsi="David" w:cs="David"/>
          <w:b/>
          <w:bCs/>
          <w:sz w:val="24"/>
          <w:szCs w:val="24"/>
          <w:rtl/>
        </w:rPr>
        <w:t xml:space="preserve"> בכתב ההגנה. די יהיה בדוגמאות הרבות שיובאו על מנת ללמד על היקפה הנרחב של ההעתקה. כך בכלל וכך בעיקר כאשר לנתבעת "הסברים" רק ביחס לשלושים ואחת העתקות, בהם מנסה הנתבעת להיבנות בטענה שעיקרה הוא "המעתיק ממעתיק פטור".</w:t>
      </w:r>
    </w:p>
    <w:p w:rsidR="00D86410" w:rsidRDefault="00D86410" w:rsidP="00BE0AB3">
      <w:pPr>
        <w:pStyle w:val="af8"/>
        <w:spacing w:line="360" w:lineRule="auto"/>
        <w:ind w:left="-172"/>
        <w:jc w:val="both"/>
        <w:rPr>
          <w:rFonts w:ascii="David" w:hAnsi="David" w:cs="David"/>
          <w:sz w:val="24"/>
          <w:szCs w:val="24"/>
          <w:rtl/>
        </w:rPr>
      </w:pPr>
    </w:p>
    <w:p w:rsidR="00D86410" w:rsidRDefault="00D86410" w:rsidP="00BE0AB3">
      <w:pPr>
        <w:pStyle w:val="af8"/>
        <w:spacing w:line="360" w:lineRule="auto"/>
        <w:ind w:left="-172"/>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sz w:val="24"/>
          <w:szCs w:val="24"/>
        </w:rPr>
      </w:pPr>
      <w:r>
        <w:rPr>
          <w:rFonts w:ascii="David" w:hAnsi="David" w:cs="David"/>
          <w:b/>
          <w:bCs/>
          <w:sz w:val="28"/>
          <w:szCs w:val="28"/>
          <w:u w:val="single"/>
          <w:rtl/>
        </w:rPr>
        <w:t>דוגמאות למקרים בהם ניכרת ההעתקה באופן מובהק</w:t>
      </w:r>
    </w:p>
    <w:p w:rsidR="00BE0AB3" w:rsidRDefault="00BE0AB3" w:rsidP="00BE0AB3">
      <w:pPr>
        <w:pStyle w:val="af8"/>
        <w:numPr>
          <w:ilvl w:val="0"/>
          <w:numId w:val="6"/>
        </w:numPr>
        <w:spacing w:line="360" w:lineRule="auto"/>
        <w:ind w:left="253" w:hanging="425"/>
        <w:jc w:val="both"/>
        <w:rPr>
          <w:rFonts w:ascii="David" w:hAnsi="David" w:cs="David"/>
          <w:sz w:val="24"/>
          <w:szCs w:val="24"/>
        </w:rPr>
      </w:pPr>
      <w:r>
        <w:rPr>
          <w:rFonts w:ascii="David" w:hAnsi="David" w:cs="David"/>
          <w:sz w:val="24"/>
          <w:szCs w:val="24"/>
          <w:rtl/>
        </w:rPr>
        <w:t xml:space="preserve">התובעת הציגה דוגמא לשקף מתוך מצגת שהכינה, אל מול מערך שיעור שהכינה הנתבעת. ניתן לראות בבירור ששני הקבצים – הן השקף של התובעת והן מערך השיעור של הנתבעת, כוללים תכנים </w:t>
      </w:r>
      <w:r>
        <w:rPr>
          <w:rFonts w:ascii="David" w:hAnsi="David" w:cs="David"/>
          <w:sz w:val="24"/>
          <w:szCs w:val="24"/>
          <w:u w:val="single"/>
          <w:rtl/>
        </w:rPr>
        <w:t>זהים</w:t>
      </w:r>
      <w:r>
        <w:rPr>
          <w:rFonts w:ascii="David" w:hAnsi="David" w:cs="David"/>
          <w:sz w:val="24"/>
          <w:szCs w:val="24"/>
          <w:rtl/>
        </w:rPr>
        <w:t xml:space="preserve"> המובאים במילים </w:t>
      </w:r>
      <w:r>
        <w:rPr>
          <w:rFonts w:ascii="David" w:hAnsi="David" w:cs="David"/>
          <w:sz w:val="24"/>
          <w:szCs w:val="24"/>
          <w:u w:val="single"/>
          <w:rtl/>
        </w:rPr>
        <w:t>זהות</w:t>
      </w:r>
      <w:r>
        <w:rPr>
          <w:rFonts w:ascii="David" w:hAnsi="David" w:cs="David"/>
          <w:sz w:val="24"/>
          <w:szCs w:val="24"/>
          <w:rtl/>
        </w:rPr>
        <w:t>. כלומר – לא רק הרעיון זהה, אלא גם דרך הביטוי זהה. בדפים הבאים יובאו עשרים ושלושה מקבצי דוגמאות של העתקות מהתובעת. רובם הניכר של עשרים ושלושה המקבצים כוללים, בכל מקבץ, מספר העתקות – כך שמספר ההעתקות גדול פי כמה ממספר הדוגמאות שיובאו.</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BE0AB3">
      <w:pPr>
        <w:pStyle w:val="af8"/>
        <w:numPr>
          <w:ilvl w:val="0"/>
          <w:numId w:val="6"/>
        </w:numPr>
        <w:spacing w:line="360" w:lineRule="auto"/>
        <w:ind w:left="253" w:hanging="425"/>
        <w:jc w:val="both"/>
        <w:rPr>
          <w:rFonts w:ascii="David" w:hAnsi="David" w:cs="David"/>
          <w:sz w:val="24"/>
          <w:szCs w:val="24"/>
          <w:rtl/>
        </w:rPr>
      </w:pPr>
      <w:r>
        <w:rPr>
          <w:rFonts w:ascii="David" w:hAnsi="David" w:cs="David"/>
          <w:sz w:val="24"/>
          <w:szCs w:val="24"/>
          <w:rtl/>
        </w:rPr>
        <w:t xml:space="preserve">אדגיש שכל אחת מהדוגמאות שיובאו להלן, הן </w:t>
      </w:r>
      <w:r>
        <w:rPr>
          <w:rFonts w:ascii="David" w:hAnsi="David" w:cs="David"/>
          <w:sz w:val="24"/>
          <w:szCs w:val="24"/>
          <w:u w:val="single"/>
          <w:rtl/>
        </w:rPr>
        <w:t>מתוך נספחי כתב התביעה</w:t>
      </w:r>
      <w:r>
        <w:rPr>
          <w:rFonts w:ascii="David" w:hAnsi="David" w:cs="David"/>
          <w:sz w:val="24"/>
          <w:szCs w:val="24"/>
          <w:rtl/>
        </w:rPr>
        <w:t xml:space="preserve">. אין מדובר בדוגמאות המתייחסות לראיות נוספות שהוגשו על ידי הנתבעת לאחר הגשת התביעה. מכאן, </w:t>
      </w:r>
      <w:r>
        <w:rPr>
          <w:rFonts w:ascii="David" w:hAnsi="David" w:cs="David"/>
          <w:sz w:val="24"/>
          <w:szCs w:val="24"/>
          <w:u w:val="single"/>
          <w:rtl/>
        </w:rPr>
        <w:t>אין</w:t>
      </w:r>
      <w:r>
        <w:rPr>
          <w:rFonts w:ascii="David" w:hAnsi="David" w:cs="David"/>
          <w:sz w:val="24"/>
          <w:szCs w:val="24"/>
          <w:rtl/>
        </w:rPr>
        <w:t xml:space="preserve"> מדובר בראיות חדשות או בהרחבת חזית – אלא בראיות מולן התגוננה הנתבעת במסגרת כתב ההגנה. אשר על כן גם אין צורך להתייחס לטענות הרבות שהעלתה הנתבעת כנגד הראיות החדשות שצורפו בעקבות ההחלטה ברע"א 50104-04-21, </w:t>
      </w:r>
      <w:r>
        <w:rPr>
          <w:rFonts w:ascii="David" w:hAnsi="David" w:cs="David"/>
          <w:sz w:val="24"/>
          <w:szCs w:val="24"/>
          <w:u w:val="single"/>
          <w:rtl/>
        </w:rPr>
        <w:t>גבריאל נגד סנדיק אשד</w:t>
      </w:r>
      <w:r>
        <w:rPr>
          <w:rFonts w:ascii="David" w:hAnsi="David" w:cs="David"/>
          <w:sz w:val="24"/>
          <w:szCs w:val="24"/>
          <w:rtl/>
        </w:rPr>
        <w:t xml:space="preserve"> (מיום 12/5/2021, סג' הנ' השופטת א' כהן) הנזכרת בסעיף 1.6 לעיל. </w:t>
      </w:r>
    </w:p>
    <w:p w:rsidR="00D86410" w:rsidRDefault="00D86410" w:rsidP="00D86410">
      <w:pPr>
        <w:pStyle w:val="af8"/>
        <w:spacing w:line="360" w:lineRule="auto"/>
        <w:ind w:left="678" w:right="-709"/>
        <w:jc w:val="both"/>
        <w:rPr>
          <w:rFonts w:ascii="David" w:hAnsi="David" w:cs="David"/>
          <w:sz w:val="24"/>
          <w:szCs w:val="24"/>
          <w:rtl/>
        </w:rPr>
      </w:pPr>
    </w:p>
    <w:p w:rsidR="00D86410" w:rsidRDefault="00D86410" w:rsidP="00D86410">
      <w:pPr>
        <w:pStyle w:val="af8"/>
        <w:spacing w:line="360" w:lineRule="auto"/>
        <w:ind w:left="678" w:right="-709"/>
        <w:jc w:val="both"/>
        <w:rPr>
          <w:rFonts w:ascii="David" w:hAnsi="David" w:cs="David"/>
          <w:sz w:val="24"/>
          <w:szCs w:val="24"/>
          <w:rtl/>
        </w:rPr>
      </w:pPr>
    </w:p>
    <w:p w:rsidR="00D86410" w:rsidRDefault="00D86410" w:rsidP="00D86410">
      <w:pPr>
        <w:pStyle w:val="af8"/>
        <w:spacing w:line="360" w:lineRule="auto"/>
        <w:ind w:left="678" w:right="-709"/>
        <w:jc w:val="both"/>
        <w:rPr>
          <w:rFonts w:ascii="David" w:hAnsi="David" w:cs="David"/>
          <w:sz w:val="24"/>
          <w:szCs w:val="24"/>
          <w:rtl/>
        </w:rPr>
      </w:pPr>
    </w:p>
    <w:p w:rsidR="00D86410" w:rsidRDefault="00D86410" w:rsidP="00D86410">
      <w:pPr>
        <w:pStyle w:val="af8"/>
        <w:spacing w:line="360" w:lineRule="auto"/>
        <w:ind w:left="678" w:right="-709"/>
        <w:jc w:val="both"/>
        <w:rPr>
          <w:rFonts w:ascii="David" w:hAnsi="David" w:cs="David"/>
          <w:sz w:val="24"/>
          <w:szCs w:val="24"/>
          <w:rtl/>
        </w:rPr>
      </w:pPr>
    </w:p>
    <w:p w:rsidR="00D86410" w:rsidRDefault="00D86410" w:rsidP="00D86410">
      <w:pPr>
        <w:pStyle w:val="af8"/>
        <w:spacing w:line="360" w:lineRule="auto"/>
        <w:ind w:left="678" w:right="-709"/>
        <w:jc w:val="both"/>
        <w:rPr>
          <w:rFonts w:ascii="David" w:hAnsi="David" w:cs="David"/>
          <w:sz w:val="24"/>
          <w:szCs w:val="24"/>
          <w:rtl/>
        </w:rPr>
      </w:pPr>
    </w:p>
    <w:p w:rsidR="00D86410" w:rsidRDefault="00D86410" w:rsidP="00D86410">
      <w:pPr>
        <w:pStyle w:val="af8"/>
        <w:spacing w:line="360" w:lineRule="auto"/>
        <w:ind w:left="678" w:right="-709"/>
        <w:jc w:val="both"/>
        <w:rPr>
          <w:rFonts w:ascii="David" w:hAnsi="David" w:cs="David"/>
          <w:sz w:val="24"/>
          <w:szCs w:val="24"/>
          <w:rtl/>
        </w:rPr>
      </w:pPr>
    </w:p>
    <w:p w:rsidR="00D86410" w:rsidRPr="00D86410" w:rsidRDefault="00D86410" w:rsidP="00D86410">
      <w:pPr>
        <w:pStyle w:val="af8"/>
        <w:spacing w:line="360" w:lineRule="auto"/>
        <w:ind w:left="678" w:right="-709"/>
        <w:jc w:val="both"/>
        <w:rPr>
          <w:rFonts w:ascii="David" w:hAnsi="David" w:cs="David"/>
          <w:sz w:val="24"/>
          <w:szCs w:val="24"/>
        </w:rPr>
      </w:pPr>
    </w:p>
    <w:p w:rsidR="00BE0AB3" w:rsidRDefault="00BE0AB3" w:rsidP="00D8641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lastRenderedPageBreak/>
        <w:t>דוגמא ראשונה מתוך עשרים ושלוש להעתקה מתוך מצגת של התובעת (ההעתקות מודגשות בקו תחתי)</w:t>
      </w:r>
    </w:p>
    <w:tbl>
      <w:tblPr>
        <w:tblStyle w:val="ac"/>
        <w:bidiVisual/>
        <w:tblW w:w="8922" w:type="dxa"/>
        <w:tblInd w:w="671" w:type="dxa"/>
        <w:tblLook w:val="04A0" w:firstRow="1" w:lastRow="0" w:firstColumn="1" w:lastColumn="0" w:noHBand="0" w:noVBand="1"/>
      </w:tblPr>
      <w:tblGrid>
        <w:gridCol w:w="4397"/>
        <w:gridCol w:w="4525"/>
      </w:tblGrid>
      <w:tr w:rsidR="00BE0AB3" w:rsidTr="001A7E00">
        <w:trPr>
          <w:trHeight w:val="793"/>
        </w:trPr>
        <w:tc>
          <w:tcPr>
            <w:tcW w:w="439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2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1A7E00">
        <w:trPr>
          <w:trHeight w:val="2240"/>
        </w:trPr>
        <w:tc>
          <w:tcPr>
            <w:tcW w:w="439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38"/>
              <w:jc w:val="both"/>
              <w:rPr>
                <w:rFonts w:ascii="David" w:hAnsi="David" w:cs="David"/>
                <w:b/>
                <w:bCs/>
                <w:sz w:val="24"/>
                <w:szCs w:val="24"/>
                <w:rtl/>
              </w:rPr>
            </w:pPr>
            <w:r>
              <w:rPr>
                <w:rFonts w:ascii="David" w:hAnsi="David" w:cs="David"/>
                <w:b/>
                <w:bCs/>
                <w:sz w:val="24"/>
                <w:szCs w:val="24"/>
                <w:rtl/>
              </w:rPr>
              <w:t>מרכיבי ההוצאה האנרגתית</w:t>
            </w:r>
          </w:p>
          <w:p w:rsidR="00BE0AB3" w:rsidRDefault="00BE0AB3">
            <w:pPr>
              <w:pStyle w:val="af8"/>
              <w:spacing w:after="0" w:line="240" w:lineRule="auto"/>
              <w:ind w:left="38"/>
              <w:jc w:val="both"/>
              <w:rPr>
                <w:rFonts w:ascii="David" w:hAnsi="David" w:cs="David"/>
                <w:b/>
                <w:bCs/>
                <w:sz w:val="24"/>
                <w:szCs w:val="24"/>
                <w:rtl/>
              </w:rPr>
            </w:pPr>
          </w:p>
          <w:p w:rsidR="00BE0AB3" w:rsidRDefault="00BE0AB3">
            <w:pPr>
              <w:pStyle w:val="af8"/>
              <w:spacing w:after="0" w:line="240" w:lineRule="auto"/>
              <w:ind w:left="38"/>
              <w:jc w:val="both"/>
              <w:rPr>
                <w:rFonts w:ascii="David" w:hAnsi="David" w:cs="David"/>
                <w:b/>
                <w:bCs/>
                <w:sz w:val="24"/>
                <w:szCs w:val="24"/>
                <w:rtl/>
              </w:rPr>
            </w:pPr>
            <w:r>
              <w:rPr>
                <w:rFonts w:ascii="David" w:hAnsi="David" w:cs="David"/>
                <w:b/>
                <w:bCs/>
                <w:sz w:val="24"/>
                <w:szCs w:val="24"/>
                <w:rtl/>
              </w:rPr>
              <w:t xml:space="preserve">2. </w:t>
            </w:r>
            <w:r>
              <w:rPr>
                <w:rFonts w:ascii="David" w:hAnsi="David" w:cs="David"/>
                <w:b/>
                <w:bCs/>
                <w:sz w:val="24"/>
                <w:szCs w:val="24"/>
                <w:u w:val="single"/>
                <w:rtl/>
              </w:rPr>
              <w:t>הוצאה מטבולית במנוחה</w:t>
            </w:r>
            <w:r>
              <w:rPr>
                <w:rFonts w:ascii="David" w:hAnsi="David" w:cs="David"/>
                <w:b/>
                <w:bCs/>
                <w:sz w:val="24"/>
                <w:szCs w:val="24"/>
                <w:rtl/>
              </w:rPr>
              <w:t>-</w:t>
            </w:r>
            <w:r>
              <w:rPr>
                <w:rFonts w:ascii="David" w:hAnsi="David" w:cs="David"/>
                <w:b/>
                <w:bCs/>
                <w:sz w:val="24"/>
                <w:szCs w:val="24"/>
                <w:u w:val="single"/>
                <w:rtl/>
              </w:rPr>
              <w:t xml:space="preserve"> </w:t>
            </w:r>
            <w:r>
              <w:rPr>
                <w:rFonts w:ascii="David" w:hAnsi="David" w:cs="David"/>
                <w:b/>
                <w:bCs/>
                <w:sz w:val="24"/>
                <w:szCs w:val="24"/>
                <w:u w:val="single"/>
              </w:rPr>
              <w:t>Restung metabolic rate-RMR</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 xml:space="preserve">כאשר אחד מהתנאים במדידת </w:t>
            </w:r>
            <w:r>
              <w:rPr>
                <w:rFonts w:ascii="David" w:hAnsi="David" w:cs="David"/>
                <w:sz w:val="24"/>
                <w:szCs w:val="24"/>
                <w:u w:val="single"/>
              </w:rPr>
              <w:t>BMR</w:t>
            </w:r>
            <w:r>
              <w:rPr>
                <w:rFonts w:ascii="David" w:hAnsi="David" w:cs="David"/>
                <w:sz w:val="24"/>
                <w:szCs w:val="24"/>
                <w:u w:val="single"/>
                <w:rtl/>
              </w:rPr>
              <w:t xml:space="preserve"> אינו מתקיים (למשל שעת המדידה) נוהגים להתייחס לערך הנמדד כאל </w:t>
            </w:r>
            <w:r>
              <w:rPr>
                <w:rFonts w:ascii="David" w:hAnsi="David" w:cs="David"/>
                <w:sz w:val="24"/>
                <w:szCs w:val="24"/>
                <w:u w:val="single"/>
              </w:rPr>
              <w:t>RMR</w:t>
            </w:r>
            <w:r>
              <w:rPr>
                <w:rFonts w:ascii="David" w:hAnsi="David" w:cs="David"/>
                <w:sz w:val="24"/>
                <w:szCs w:val="24"/>
                <w:u w:val="single"/>
                <w:rtl/>
              </w:rPr>
              <w:t>- כלומר הוצאה אנרגתית במנוחה.</w:t>
            </w:r>
          </w:p>
          <w:p w:rsidR="00BE0AB3" w:rsidRDefault="00BE0AB3">
            <w:pPr>
              <w:pStyle w:val="af8"/>
              <w:spacing w:after="0" w:line="240" w:lineRule="auto"/>
              <w:ind w:left="38"/>
              <w:jc w:val="both"/>
              <w:rPr>
                <w:rFonts w:ascii="David" w:hAnsi="David" w:cs="David"/>
                <w:sz w:val="24"/>
                <w:szCs w:val="24"/>
              </w:rPr>
            </w:pPr>
          </w:p>
          <w:p w:rsidR="00BE0AB3" w:rsidRDefault="00BE0AB3">
            <w:pPr>
              <w:pStyle w:val="af8"/>
              <w:numPr>
                <w:ilvl w:val="0"/>
                <w:numId w:val="14"/>
              </w:numPr>
              <w:spacing w:after="0" w:line="240" w:lineRule="auto"/>
              <w:ind w:left="180" w:hanging="142"/>
              <w:jc w:val="both"/>
              <w:rPr>
                <w:rFonts w:ascii="David" w:hAnsi="David" w:cs="David"/>
                <w:b/>
                <w:bCs/>
                <w:sz w:val="24"/>
                <w:szCs w:val="24"/>
                <w:u w:val="single"/>
              </w:rPr>
            </w:pPr>
            <w:r>
              <w:rPr>
                <w:rFonts w:ascii="David" w:hAnsi="David" w:cs="David"/>
                <w:sz w:val="24"/>
                <w:szCs w:val="24"/>
                <w:u w:val="single"/>
              </w:rPr>
              <w:t>RMR</w:t>
            </w:r>
            <w:r>
              <w:rPr>
                <w:rFonts w:ascii="David" w:hAnsi="David" w:cs="David"/>
                <w:sz w:val="24"/>
                <w:szCs w:val="24"/>
                <w:u w:val="single"/>
                <w:rtl/>
              </w:rPr>
              <w:t xml:space="preserve"> גבוה מה- </w:t>
            </w:r>
            <w:r>
              <w:rPr>
                <w:rFonts w:ascii="David" w:hAnsi="David" w:cs="David"/>
                <w:sz w:val="24"/>
                <w:szCs w:val="24"/>
                <w:u w:val="single"/>
              </w:rPr>
              <w:t>BMR</w:t>
            </w:r>
            <w:r>
              <w:rPr>
                <w:rFonts w:ascii="David" w:hAnsi="David" w:cs="David"/>
                <w:sz w:val="24"/>
                <w:szCs w:val="24"/>
                <w:u w:val="single"/>
                <w:rtl/>
              </w:rPr>
              <w:t xml:space="preserve"> ב- 10-20% (קק"ל/ק"ג/שעה)</w:t>
            </w:r>
          </w:p>
          <w:p w:rsidR="00BE0AB3" w:rsidRDefault="00BE0AB3">
            <w:pPr>
              <w:pStyle w:val="af8"/>
              <w:spacing w:after="0" w:line="360" w:lineRule="auto"/>
              <w:ind w:left="339"/>
              <w:jc w:val="both"/>
              <w:rPr>
                <w:rFonts w:ascii="David" w:hAnsi="David" w:cs="David"/>
                <w:sz w:val="24"/>
                <w:szCs w:val="24"/>
              </w:rPr>
            </w:pPr>
          </w:p>
        </w:tc>
        <w:tc>
          <w:tcPr>
            <w:tcW w:w="452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sz w:val="24"/>
                <w:szCs w:val="24"/>
                <w:rtl/>
              </w:rPr>
            </w:pPr>
          </w:p>
          <w:p w:rsidR="00BE0AB3" w:rsidRDefault="00BE0AB3">
            <w:pPr>
              <w:pStyle w:val="af8"/>
              <w:spacing w:after="0" w:line="360" w:lineRule="auto"/>
              <w:ind w:left="174"/>
              <w:jc w:val="both"/>
              <w:rPr>
                <w:rFonts w:ascii="David" w:hAnsi="David" w:cs="David"/>
                <w:b/>
                <w:bCs/>
                <w:sz w:val="24"/>
                <w:szCs w:val="24"/>
                <w:rtl/>
              </w:rPr>
            </w:pPr>
            <w:r>
              <w:rPr>
                <w:rFonts w:ascii="David" w:hAnsi="David" w:cs="David"/>
                <w:b/>
                <w:bCs/>
                <w:sz w:val="24"/>
                <w:szCs w:val="24"/>
                <w:rtl/>
              </w:rPr>
              <w:t xml:space="preserve">1. </w:t>
            </w:r>
            <w:r>
              <w:rPr>
                <w:rFonts w:ascii="David" w:hAnsi="David" w:cs="David"/>
                <w:b/>
                <w:bCs/>
                <w:sz w:val="24"/>
                <w:szCs w:val="24"/>
                <w:u w:val="single"/>
                <w:rtl/>
              </w:rPr>
              <w:t>הוצאה מטבולית במנוחה</w:t>
            </w:r>
            <w:r>
              <w:rPr>
                <w:rFonts w:ascii="David" w:hAnsi="David" w:cs="David"/>
                <w:b/>
                <w:bCs/>
                <w:sz w:val="24"/>
                <w:szCs w:val="24"/>
                <w:rtl/>
              </w:rPr>
              <w:t>-</w:t>
            </w:r>
            <w:r>
              <w:rPr>
                <w:rFonts w:ascii="David" w:hAnsi="David" w:cs="David"/>
                <w:b/>
                <w:bCs/>
                <w:sz w:val="24"/>
                <w:szCs w:val="24"/>
                <w:u w:val="single"/>
                <w:rtl/>
              </w:rPr>
              <w:t xml:space="preserve"> </w:t>
            </w:r>
            <w:r>
              <w:rPr>
                <w:rFonts w:ascii="David" w:hAnsi="David" w:cs="David"/>
                <w:b/>
                <w:bCs/>
                <w:sz w:val="24"/>
                <w:szCs w:val="24"/>
                <w:u w:val="single"/>
              </w:rPr>
              <w:t>RMR Resting metabolic rate</w:t>
            </w:r>
          </w:p>
          <w:p w:rsidR="00BE0AB3" w:rsidRDefault="00BE0AB3">
            <w:pPr>
              <w:pStyle w:val="af8"/>
              <w:numPr>
                <w:ilvl w:val="0"/>
                <w:numId w:val="16"/>
              </w:numPr>
              <w:spacing w:after="0" w:line="360" w:lineRule="auto"/>
              <w:ind w:left="458" w:hanging="284"/>
              <w:jc w:val="both"/>
              <w:rPr>
                <w:rFonts w:ascii="David" w:hAnsi="David" w:cs="David"/>
                <w:sz w:val="24"/>
                <w:szCs w:val="24"/>
                <w:u w:val="single"/>
              </w:rPr>
            </w:pPr>
            <w:r>
              <w:rPr>
                <w:rFonts w:ascii="David" w:hAnsi="David" w:cs="David"/>
                <w:sz w:val="24"/>
                <w:szCs w:val="24"/>
                <w:u w:val="single"/>
                <w:rtl/>
              </w:rPr>
              <w:t xml:space="preserve">כאשר אחד מהתנאים במדידת </w:t>
            </w:r>
            <w:r>
              <w:rPr>
                <w:rFonts w:ascii="David" w:hAnsi="David" w:cs="David"/>
                <w:sz w:val="24"/>
                <w:szCs w:val="24"/>
                <w:u w:val="single"/>
              </w:rPr>
              <w:t>BMR</w:t>
            </w:r>
            <w:r>
              <w:rPr>
                <w:rFonts w:ascii="David" w:hAnsi="David" w:cs="David"/>
                <w:sz w:val="24"/>
                <w:szCs w:val="24"/>
                <w:u w:val="single"/>
                <w:rtl/>
              </w:rPr>
              <w:t xml:space="preserve"> אינו מתקיים (למשל שעת המדידה) נוהגים להתייחס לערך הנמדד כאל </w:t>
            </w:r>
            <w:r>
              <w:rPr>
                <w:rFonts w:ascii="David" w:hAnsi="David" w:cs="David"/>
                <w:sz w:val="24"/>
                <w:szCs w:val="24"/>
                <w:u w:val="single"/>
              </w:rPr>
              <w:t>RMR-</w:t>
            </w:r>
            <w:r>
              <w:rPr>
                <w:rFonts w:ascii="David" w:hAnsi="David" w:cs="David"/>
                <w:sz w:val="24"/>
                <w:szCs w:val="24"/>
                <w:u w:val="single"/>
                <w:rtl/>
              </w:rPr>
              <w:t xml:space="preserve"> כלומר הוצאה אנרגטית במנוחה.</w:t>
            </w:r>
          </w:p>
          <w:p w:rsidR="00BE0AB3" w:rsidRDefault="00BE0AB3">
            <w:pPr>
              <w:pStyle w:val="af8"/>
              <w:spacing w:after="0" w:line="360" w:lineRule="auto"/>
              <w:ind w:left="458" w:hanging="284"/>
              <w:jc w:val="both"/>
              <w:rPr>
                <w:rFonts w:ascii="David" w:hAnsi="David" w:cs="David"/>
                <w:sz w:val="24"/>
                <w:szCs w:val="24"/>
                <w:u w:val="single"/>
              </w:rPr>
            </w:pPr>
            <w:r>
              <w:rPr>
                <w:rFonts w:ascii="David" w:hAnsi="David" w:cs="David"/>
                <w:sz w:val="24"/>
                <w:szCs w:val="24"/>
                <w:u w:val="single"/>
              </w:rPr>
              <w:t>RMR</w:t>
            </w:r>
            <w:r>
              <w:rPr>
                <w:rFonts w:ascii="David" w:hAnsi="David" w:cs="David"/>
                <w:sz w:val="24"/>
                <w:szCs w:val="24"/>
                <w:u w:val="single"/>
                <w:rtl/>
              </w:rPr>
              <w:t xml:space="preserve"> גבוה מה-</w:t>
            </w:r>
            <w:r>
              <w:rPr>
                <w:rFonts w:ascii="David" w:hAnsi="David" w:cs="David"/>
                <w:sz w:val="24"/>
                <w:szCs w:val="24"/>
                <w:u w:val="single"/>
              </w:rPr>
              <w:t xml:space="preserve">BMR </w:t>
            </w:r>
            <w:r>
              <w:rPr>
                <w:rFonts w:ascii="David" w:hAnsi="David" w:cs="David"/>
                <w:sz w:val="24"/>
                <w:szCs w:val="24"/>
                <w:u w:val="single"/>
                <w:rtl/>
              </w:rPr>
              <w:t xml:space="preserve"> ב-10-20% (קק"ל/ק"ג/שעה).</w:t>
            </w:r>
          </w:p>
        </w:tc>
      </w:tr>
    </w:tbl>
    <w:p w:rsidR="001A7E00" w:rsidRPr="001A7E00" w:rsidRDefault="001A7E00" w:rsidP="001A7E00">
      <w:pPr>
        <w:pStyle w:val="af8"/>
        <w:spacing w:line="360" w:lineRule="auto"/>
        <w:ind w:left="678" w:right="-709"/>
        <w:jc w:val="both"/>
        <w:rPr>
          <w:rFonts w:ascii="David" w:hAnsi="David" w:cs="David"/>
          <w:sz w:val="24"/>
          <w:szCs w:val="24"/>
        </w:rPr>
      </w:pPr>
    </w:p>
    <w:p w:rsidR="00BE0AB3" w:rsidRDefault="00BE0AB3" w:rsidP="001A7E0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שנייה מתוך עשרים ושלוש להעתקה מתוך מצגת של התובעת (ההעתקות מודגשות בקו תחתי)</w:t>
      </w:r>
    </w:p>
    <w:tbl>
      <w:tblPr>
        <w:tblStyle w:val="ac"/>
        <w:bidiVisual/>
        <w:tblW w:w="8922" w:type="dxa"/>
        <w:tblInd w:w="671" w:type="dxa"/>
        <w:tblLook w:val="04A0" w:firstRow="1" w:lastRow="0" w:firstColumn="1" w:lastColumn="0" w:noHBand="0" w:noVBand="1"/>
      </w:tblPr>
      <w:tblGrid>
        <w:gridCol w:w="4397"/>
        <w:gridCol w:w="4525"/>
      </w:tblGrid>
      <w:tr w:rsidR="00BE0AB3" w:rsidTr="001A7E00">
        <w:trPr>
          <w:trHeight w:val="793"/>
        </w:trPr>
        <w:tc>
          <w:tcPr>
            <w:tcW w:w="439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2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1A7E00">
        <w:trPr>
          <w:trHeight w:val="3911"/>
        </w:trPr>
        <w:tc>
          <w:tcPr>
            <w:tcW w:w="439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180"/>
              <w:jc w:val="both"/>
              <w:rPr>
                <w:rFonts w:ascii="David" w:hAnsi="David" w:cs="David"/>
                <w:b/>
                <w:bCs/>
                <w:sz w:val="24"/>
                <w:szCs w:val="24"/>
                <w:rtl/>
              </w:rPr>
            </w:pPr>
            <w:r>
              <w:rPr>
                <w:rFonts w:ascii="David" w:hAnsi="David" w:cs="David"/>
                <w:b/>
                <w:bCs/>
                <w:sz w:val="24"/>
                <w:szCs w:val="24"/>
                <w:rtl/>
              </w:rPr>
              <w:t>מרכיבי ההוצאה האנרגתית</w:t>
            </w:r>
          </w:p>
          <w:p w:rsidR="00BE0AB3" w:rsidRDefault="00BE0AB3">
            <w:pPr>
              <w:pStyle w:val="af8"/>
              <w:numPr>
                <w:ilvl w:val="0"/>
                <w:numId w:val="14"/>
              </w:numPr>
              <w:spacing w:after="0" w:line="240" w:lineRule="auto"/>
              <w:ind w:left="180" w:hanging="142"/>
              <w:jc w:val="both"/>
              <w:rPr>
                <w:rFonts w:ascii="David" w:hAnsi="David" w:cs="David"/>
                <w:sz w:val="24"/>
                <w:szCs w:val="24"/>
                <w:rtl/>
              </w:rPr>
            </w:pPr>
            <w:r>
              <w:rPr>
                <w:rFonts w:ascii="David" w:hAnsi="David" w:cs="David"/>
                <w:sz w:val="24"/>
                <w:szCs w:val="24"/>
                <w:u w:val="single"/>
              </w:rPr>
              <w:t>Obligato</w:t>
            </w:r>
            <w:r>
              <w:rPr>
                <w:rFonts w:ascii="David" w:hAnsi="David" w:cs="David"/>
                <w:sz w:val="24"/>
                <w:szCs w:val="24"/>
              </w:rPr>
              <w:t>ry</w:t>
            </w:r>
            <w:r>
              <w:rPr>
                <w:rFonts w:ascii="David" w:hAnsi="David" w:cs="David"/>
                <w:b/>
                <w:bCs/>
                <w:sz w:val="24"/>
                <w:szCs w:val="24"/>
              </w:rPr>
              <w:t xml:space="preserve"> </w:t>
            </w:r>
            <w:r>
              <w:rPr>
                <w:rFonts w:ascii="David" w:hAnsi="David" w:cs="David"/>
                <w:sz w:val="24"/>
                <w:szCs w:val="24"/>
              </w:rPr>
              <w:t>thermogensis</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הוצאה קבועה. מתייחסת להוצאה האנרגתית הנחוצה לעיכול, ספיגה ולמטבוליזם של רכיבי תזונה (סינטזה, אגירה)</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Pr>
              <w:t>Adaptive thermogensis</w:t>
            </w:r>
          </w:p>
          <w:p w:rsidR="00BE0AB3" w:rsidRDefault="00BE0AB3">
            <w:pPr>
              <w:pStyle w:val="af8"/>
              <w:numPr>
                <w:ilvl w:val="0"/>
                <w:numId w:val="14"/>
              </w:numPr>
              <w:spacing w:after="0" w:line="240" w:lineRule="auto"/>
              <w:ind w:left="180" w:hanging="142"/>
              <w:jc w:val="both"/>
              <w:rPr>
                <w:rFonts w:ascii="David" w:hAnsi="David" w:cs="David"/>
                <w:sz w:val="24"/>
                <w:szCs w:val="24"/>
                <w:u w:val="single"/>
                <w:rtl/>
              </w:rPr>
            </w:pPr>
            <w:r>
              <w:rPr>
                <w:rFonts w:ascii="David" w:hAnsi="David" w:cs="David"/>
                <w:sz w:val="24"/>
                <w:szCs w:val="24"/>
                <w:u w:val="single"/>
                <w:rtl/>
              </w:rPr>
              <w:t xml:space="preserve">כפי הנראה בעל תפקיד של וויסות כמות האנרגיה הנאצרת בגוף ( בצורת פחמימות, שומנים וחלבונים) או נפלטת ממנו בצורת חום. </w:t>
            </w:r>
          </w:p>
          <w:p w:rsidR="00BE0AB3" w:rsidRDefault="00BE0AB3">
            <w:pPr>
              <w:pStyle w:val="af8"/>
              <w:spacing w:after="0" w:line="240" w:lineRule="auto"/>
              <w:ind w:left="605"/>
              <w:jc w:val="both"/>
              <w:rPr>
                <w:rFonts w:ascii="David" w:hAnsi="David" w:cs="David"/>
                <w:sz w:val="24"/>
                <w:szCs w:val="24"/>
                <w:rtl/>
              </w:rPr>
            </w:pPr>
          </w:p>
        </w:tc>
        <w:tc>
          <w:tcPr>
            <w:tcW w:w="452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33"/>
              <w:jc w:val="both"/>
              <w:rPr>
                <w:rFonts w:ascii="David" w:hAnsi="David" w:cs="David"/>
                <w:sz w:val="24"/>
                <w:szCs w:val="24"/>
                <w:rtl/>
              </w:rPr>
            </w:pPr>
            <w:r>
              <w:rPr>
                <w:rFonts w:ascii="David" w:hAnsi="David" w:cs="David"/>
                <w:sz w:val="24"/>
                <w:szCs w:val="24"/>
              </w:rPr>
              <w:t>TEF</w:t>
            </w:r>
            <w:r>
              <w:rPr>
                <w:rFonts w:ascii="David" w:hAnsi="David" w:cs="David"/>
                <w:sz w:val="24"/>
                <w:szCs w:val="24"/>
                <w:rtl/>
              </w:rPr>
              <w:t xml:space="preserve"> נחלק לשניים:</w:t>
            </w:r>
          </w:p>
          <w:p w:rsidR="00BE0AB3" w:rsidRDefault="00BE0AB3">
            <w:pPr>
              <w:pStyle w:val="af8"/>
              <w:numPr>
                <w:ilvl w:val="0"/>
                <w:numId w:val="18"/>
              </w:numPr>
              <w:spacing w:after="0" w:line="360" w:lineRule="auto"/>
              <w:jc w:val="both"/>
              <w:rPr>
                <w:rFonts w:ascii="David" w:hAnsi="David" w:cs="David"/>
                <w:sz w:val="24"/>
                <w:szCs w:val="24"/>
                <w:rtl/>
              </w:rPr>
            </w:pPr>
            <w:r>
              <w:rPr>
                <w:rFonts w:ascii="David" w:hAnsi="David" w:cs="David"/>
                <w:sz w:val="24"/>
                <w:szCs w:val="24"/>
                <w:rtl/>
              </w:rPr>
              <w:t>הכרחי (</w:t>
            </w:r>
            <w:r>
              <w:rPr>
                <w:rFonts w:ascii="David" w:hAnsi="David" w:cs="David"/>
                <w:sz w:val="24"/>
                <w:szCs w:val="24"/>
              </w:rPr>
              <w:t>(obligatory</w:t>
            </w:r>
            <w:r>
              <w:rPr>
                <w:rFonts w:ascii="David" w:hAnsi="David" w:cs="David"/>
                <w:sz w:val="24"/>
                <w:szCs w:val="24"/>
                <w:rtl/>
              </w:rPr>
              <w:t>-</w:t>
            </w:r>
            <w:r>
              <w:rPr>
                <w:rFonts w:ascii="David" w:hAnsi="David" w:cs="David"/>
                <w:sz w:val="24"/>
                <w:szCs w:val="24"/>
              </w:rPr>
              <w:t xml:space="preserve"> </w:t>
            </w:r>
            <w:r>
              <w:rPr>
                <w:rFonts w:ascii="David" w:hAnsi="David" w:cs="David"/>
                <w:b/>
                <w:bCs/>
                <w:sz w:val="24"/>
                <w:szCs w:val="24"/>
                <w:u w:val="single"/>
              </w:rPr>
              <w:t>thermogenesis</w:t>
            </w:r>
            <w:r>
              <w:rPr>
                <w:rFonts w:ascii="David" w:hAnsi="David" w:cs="David"/>
                <w:sz w:val="24"/>
                <w:szCs w:val="24"/>
                <w:rtl/>
              </w:rPr>
              <w:t xml:space="preserve"> </w:t>
            </w:r>
            <w:r>
              <w:rPr>
                <w:rFonts w:ascii="David" w:hAnsi="David" w:cs="David"/>
                <w:sz w:val="24"/>
                <w:szCs w:val="24"/>
              </w:rPr>
              <w:t xml:space="preserve">  </w:t>
            </w:r>
            <w:r>
              <w:rPr>
                <w:rFonts w:ascii="David" w:hAnsi="David" w:cs="David"/>
                <w:b/>
                <w:bCs/>
                <w:sz w:val="24"/>
                <w:szCs w:val="24"/>
                <w:u w:val="single"/>
              </w:rPr>
              <w:t>Obligatory</w:t>
            </w:r>
            <w:r>
              <w:rPr>
                <w:rFonts w:ascii="David" w:hAnsi="David" w:cs="David"/>
                <w:sz w:val="24"/>
                <w:szCs w:val="24"/>
                <w:rtl/>
              </w:rPr>
              <w:t>-</w:t>
            </w:r>
            <w:r>
              <w:rPr>
                <w:rFonts w:ascii="David" w:hAnsi="David" w:cs="David"/>
                <w:sz w:val="24"/>
                <w:szCs w:val="24"/>
                <w:u w:val="single"/>
                <w:rtl/>
              </w:rPr>
              <w:t>הוצאה קבועה מתייחסת להוצאה האנרגטית הנחוצה לעיכול, ספיגה ולמטבוליזם של רכיבי תזונה (סינטזה, אגירה).</w:t>
            </w:r>
          </w:p>
          <w:p w:rsidR="00BE0AB3" w:rsidRDefault="00BE0AB3">
            <w:pPr>
              <w:pStyle w:val="af8"/>
              <w:numPr>
                <w:ilvl w:val="0"/>
                <w:numId w:val="18"/>
              </w:numPr>
              <w:spacing w:after="0" w:line="360" w:lineRule="auto"/>
              <w:jc w:val="both"/>
              <w:rPr>
                <w:rFonts w:ascii="David" w:hAnsi="David" w:cs="David"/>
                <w:sz w:val="24"/>
                <w:szCs w:val="24"/>
                <w:rtl/>
              </w:rPr>
            </w:pPr>
            <w:r>
              <w:rPr>
                <w:rFonts w:ascii="David" w:hAnsi="David" w:cs="David"/>
                <w:sz w:val="24"/>
                <w:szCs w:val="24"/>
                <w:rtl/>
              </w:rPr>
              <w:t>הסתגלותי (</w:t>
            </w:r>
            <w:r>
              <w:rPr>
                <w:rFonts w:ascii="David" w:hAnsi="David" w:cs="David"/>
                <w:sz w:val="24"/>
                <w:szCs w:val="24"/>
              </w:rPr>
              <w:t>adaptive</w:t>
            </w:r>
            <w:r>
              <w:rPr>
                <w:rFonts w:ascii="David" w:hAnsi="David" w:cs="David"/>
                <w:sz w:val="24"/>
                <w:szCs w:val="24"/>
                <w:rtl/>
              </w:rPr>
              <w:t xml:space="preserve">) – </w:t>
            </w:r>
            <w:r>
              <w:rPr>
                <w:rFonts w:ascii="David" w:hAnsi="David" w:cs="David"/>
                <w:b/>
                <w:bCs/>
                <w:sz w:val="24"/>
                <w:szCs w:val="24"/>
                <w:u w:val="single"/>
              </w:rPr>
              <w:t>Adaptive</w:t>
            </w:r>
            <w:r>
              <w:rPr>
                <w:rFonts w:ascii="David" w:hAnsi="David" w:cs="David"/>
                <w:sz w:val="24"/>
                <w:szCs w:val="24"/>
                <w:u w:val="single"/>
              </w:rPr>
              <w:t xml:space="preserve"> </w:t>
            </w:r>
            <w:r>
              <w:rPr>
                <w:rFonts w:ascii="David" w:hAnsi="David" w:cs="David"/>
                <w:b/>
                <w:bCs/>
                <w:sz w:val="24"/>
                <w:szCs w:val="24"/>
                <w:u w:val="single"/>
              </w:rPr>
              <w:t>thermogenesis</w:t>
            </w:r>
            <w:r>
              <w:rPr>
                <w:rFonts w:ascii="David" w:hAnsi="David" w:cs="David"/>
                <w:sz w:val="24"/>
                <w:szCs w:val="24"/>
                <w:u w:val="single"/>
                <w:rtl/>
              </w:rPr>
              <w:t xml:space="preserve"> </w:t>
            </w:r>
            <w:r>
              <w:rPr>
                <w:rFonts w:ascii="David" w:hAnsi="David" w:cs="David"/>
                <w:sz w:val="24"/>
                <w:szCs w:val="24"/>
              </w:rPr>
              <w:t xml:space="preserve">   </w:t>
            </w:r>
            <w:r>
              <w:rPr>
                <w:rFonts w:ascii="David" w:hAnsi="David" w:cs="David"/>
                <w:sz w:val="24"/>
                <w:szCs w:val="24"/>
                <w:rtl/>
              </w:rPr>
              <w:t xml:space="preserve">- </w:t>
            </w:r>
            <w:r>
              <w:rPr>
                <w:rFonts w:ascii="David" w:hAnsi="David" w:cs="David"/>
                <w:sz w:val="24"/>
                <w:szCs w:val="24"/>
                <w:u w:val="single"/>
                <w:rtl/>
              </w:rPr>
              <w:t>כפי הנראה בעל תפקיד של וויסות כמות האנרגיה הנאצרת בגוף (בצורת פחמימות, שומנים וחלבונים) או נפלטת ממנו בצורת חום.</w:t>
            </w:r>
          </w:p>
        </w:tc>
      </w:tr>
    </w:tbl>
    <w:p w:rsidR="001A7E00" w:rsidRDefault="001A7E00" w:rsidP="00BE0AB3">
      <w:pPr>
        <w:pStyle w:val="af8"/>
        <w:spacing w:line="360" w:lineRule="auto"/>
        <w:ind w:left="1440"/>
        <w:jc w:val="both"/>
        <w:rPr>
          <w:rtl/>
        </w:rPr>
      </w:pPr>
    </w:p>
    <w:p w:rsidR="00BE0AB3" w:rsidRDefault="00BE0AB3" w:rsidP="001A7E0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שלישית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1A7E00">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1A7E00">
        <w:trPr>
          <w:trHeight w:val="3446"/>
        </w:trPr>
        <w:tc>
          <w:tcPr>
            <w:tcW w:w="4247"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pStyle w:val="af8"/>
              <w:spacing w:after="0" w:line="240" w:lineRule="auto"/>
              <w:ind w:left="38"/>
              <w:jc w:val="both"/>
              <w:rPr>
                <w:rFonts w:ascii="David" w:hAnsi="David" w:cs="David"/>
                <w:b/>
                <w:bCs/>
                <w:sz w:val="24"/>
                <w:szCs w:val="24"/>
                <w:rtl/>
              </w:rPr>
            </w:pPr>
            <w:r>
              <w:rPr>
                <w:rFonts w:ascii="David" w:hAnsi="David" w:cs="David"/>
                <w:b/>
                <w:bCs/>
                <w:sz w:val="24"/>
                <w:szCs w:val="24"/>
                <w:rtl/>
              </w:rPr>
              <w:t>שיטות למדידה של ההוצאה האנרגתית</w:t>
            </w:r>
          </w:p>
          <w:p w:rsidR="00BE0AB3" w:rsidRDefault="00BE0AB3">
            <w:pPr>
              <w:pStyle w:val="af8"/>
              <w:numPr>
                <w:ilvl w:val="0"/>
                <w:numId w:val="14"/>
              </w:numPr>
              <w:spacing w:after="0" w:line="240" w:lineRule="auto"/>
              <w:ind w:left="180" w:hanging="142"/>
              <w:jc w:val="both"/>
              <w:rPr>
                <w:rtl/>
              </w:rPr>
            </w:pPr>
            <w:r>
              <w:rPr>
                <w:rFonts w:ascii="David" w:hAnsi="David" w:cs="David"/>
                <w:sz w:val="24"/>
                <w:szCs w:val="24"/>
                <w:u w:val="single"/>
                <w:rtl/>
              </w:rPr>
              <w:t>כלל התהליכים</w:t>
            </w:r>
            <w:r>
              <w:rPr>
                <w:rFonts w:ascii="David" w:hAnsi="David" w:cs="David"/>
                <w:sz w:val="24"/>
                <w:szCs w:val="24"/>
                <w:rtl/>
              </w:rPr>
              <w:t xml:space="preserve"> האנרגטיים </w:t>
            </w:r>
            <w:r>
              <w:rPr>
                <w:rFonts w:ascii="David" w:hAnsi="David" w:cs="David"/>
                <w:sz w:val="24"/>
                <w:szCs w:val="24"/>
                <w:u w:val="single"/>
                <w:rtl/>
              </w:rPr>
              <w:t>בגוף מתרחשים תוך המרות של האנרגיה הכימית הנצרכת מהמזון לצורות אנרגיה שונות המשמשות את הגוף לקיומו ותפקודו</w:t>
            </w:r>
            <w:r>
              <w:rPr>
                <w:rFonts w:ascii="David" w:hAnsi="David" w:cs="David"/>
                <w:sz w:val="24"/>
                <w:szCs w:val="24"/>
                <w:rtl/>
              </w:rPr>
              <w:t>.</w:t>
            </w:r>
          </w:p>
          <w:p w:rsidR="00BE0AB3" w:rsidRDefault="00BE0AB3">
            <w:pPr>
              <w:pStyle w:val="af8"/>
              <w:numPr>
                <w:ilvl w:val="0"/>
                <w:numId w:val="14"/>
              </w:numPr>
              <w:spacing w:after="0" w:line="240" w:lineRule="auto"/>
              <w:ind w:left="180" w:hanging="142"/>
              <w:jc w:val="both"/>
              <w:rPr>
                <w:u w:val="single"/>
              </w:rPr>
            </w:pPr>
            <w:r>
              <w:rPr>
                <w:rFonts w:ascii="David" w:hAnsi="David" w:cs="David"/>
                <w:sz w:val="24"/>
                <w:szCs w:val="24"/>
                <w:u w:val="single"/>
                <w:rtl/>
              </w:rPr>
              <w:t xml:space="preserve">רק כ-40% מהאנרגיה המופקת במטבוליזם הפחמימות, השומנים והחלבונים מנוצלת ישירות ליצירת </w:t>
            </w:r>
            <w:r>
              <w:rPr>
                <w:rFonts w:ascii="David" w:hAnsi="David" w:cs="David"/>
                <w:sz w:val="24"/>
                <w:szCs w:val="24"/>
                <w:u w:val="single"/>
              </w:rPr>
              <w:t>APT</w:t>
            </w:r>
            <w:r>
              <w:rPr>
                <w:rFonts w:ascii="David" w:hAnsi="David" w:cs="David"/>
                <w:sz w:val="24"/>
                <w:szCs w:val="24"/>
                <w:u w:val="single"/>
                <w:rtl/>
              </w:rPr>
              <w:t>.</w:t>
            </w:r>
          </w:p>
          <w:p w:rsidR="00BE0AB3" w:rsidRDefault="00BE0AB3">
            <w:pPr>
              <w:pStyle w:val="af8"/>
              <w:numPr>
                <w:ilvl w:val="0"/>
                <w:numId w:val="14"/>
              </w:numPr>
              <w:spacing w:after="0" w:line="240" w:lineRule="auto"/>
              <w:ind w:left="180" w:hanging="142"/>
              <w:jc w:val="both"/>
            </w:pPr>
            <w:r>
              <w:rPr>
                <w:rFonts w:ascii="David" w:hAnsi="David" w:cs="David"/>
                <w:sz w:val="24"/>
                <w:szCs w:val="24"/>
                <w:u w:val="single"/>
                <w:rtl/>
              </w:rPr>
              <w:t>שאר ה 60% משוחררים בצורת חום</w:t>
            </w:r>
            <w:r>
              <w:rPr>
                <w:rFonts w:ascii="David" w:hAnsi="David" w:cs="David"/>
                <w:sz w:val="24"/>
                <w:szCs w:val="24"/>
                <w:rtl/>
              </w:rPr>
              <w:t>.</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rtl/>
              </w:rPr>
              <w:t>הדרך המדויקת ביותר לאמוד את שיעור וכמות האנרגיה המיוצרת בגוף היא על ידי מדידת כמות וקצב ייצור החום בגוף. שיטה זו נקראת קלורימטריה ישירה.</w:t>
            </w:r>
          </w:p>
          <w:p w:rsidR="00BE0AB3" w:rsidRDefault="00BE0AB3">
            <w:pPr>
              <w:pStyle w:val="af8"/>
              <w:spacing w:after="0" w:line="240" w:lineRule="auto"/>
              <w:ind w:left="605"/>
              <w:jc w:val="both"/>
              <w:rPr>
                <w:rFonts w:ascii="David" w:hAnsi="David" w:cs="David"/>
                <w:sz w:val="24"/>
                <w:szCs w:val="24"/>
                <w:rtl/>
              </w:rPr>
            </w:pP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jc w:val="both"/>
              <w:rPr>
                <w:rFonts w:ascii="David" w:hAnsi="David" w:cs="David"/>
                <w:sz w:val="24"/>
                <w:szCs w:val="24"/>
                <w:rtl/>
              </w:rPr>
            </w:pPr>
          </w:p>
          <w:p w:rsidR="00BE0AB3" w:rsidRDefault="00BE0AB3">
            <w:pPr>
              <w:pStyle w:val="af8"/>
              <w:numPr>
                <w:ilvl w:val="0"/>
                <w:numId w:val="20"/>
              </w:numPr>
              <w:spacing w:after="0" w:line="360" w:lineRule="auto"/>
              <w:ind w:left="316" w:hanging="142"/>
              <w:jc w:val="both"/>
              <w:rPr>
                <w:rFonts w:ascii="David" w:hAnsi="David" w:cs="David"/>
                <w:sz w:val="24"/>
                <w:szCs w:val="24"/>
              </w:rPr>
            </w:pPr>
            <w:r>
              <w:rPr>
                <w:rFonts w:ascii="David" w:hAnsi="David" w:cs="David"/>
                <w:sz w:val="24"/>
                <w:szCs w:val="24"/>
                <w:u w:val="single"/>
                <w:rtl/>
              </w:rPr>
              <w:t>כלל התהליכים</w:t>
            </w:r>
            <w:r>
              <w:rPr>
                <w:rFonts w:ascii="David" w:hAnsi="David" w:cs="David"/>
                <w:sz w:val="24"/>
                <w:szCs w:val="24"/>
                <w:rtl/>
              </w:rPr>
              <w:t xml:space="preserve"> </w:t>
            </w:r>
            <w:r>
              <w:rPr>
                <w:rFonts w:ascii="David" w:hAnsi="David" w:cs="David"/>
                <w:sz w:val="24"/>
                <w:szCs w:val="24"/>
                <w:u w:val="single"/>
                <w:rtl/>
              </w:rPr>
              <w:t>בגוף מתרחשים תוך המרות של האנרגיה הכימית הנצרכת מהמזון לצורות אנרגיה שונות המשמשות את הגוף לקיום ותפקודו.</w:t>
            </w:r>
          </w:p>
          <w:p w:rsidR="00BE0AB3" w:rsidRDefault="00BE0AB3">
            <w:pPr>
              <w:pStyle w:val="af8"/>
              <w:numPr>
                <w:ilvl w:val="0"/>
                <w:numId w:val="20"/>
              </w:numPr>
              <w:spacing w:after="0" w:line="360" w:lineRule="auto"/>
              <w:ind w:left="316" w:hanging="142"/>
              <w:jc w:val="both"/>
              <w:rPr>
                <w:rFonts w:ascii="David" w:hAnsi="David" w:cs="David"/>
                <w:sz w:val="24"/>
                <w:szCs w:val="24"/>
                <w:u w:val="single"/>
                <w:rtl/>
              </w:rPr>
            </w:pPr>
            <w:r>
              <w:rPr>
                <w:rFonts w:ascii="David" w:hAnsi="David" w:cs="David"/>
                <w:sz w:val="24"/>
                <w:szCs w:val="24"/>
                <w:u w:val="single"/>
                <w:rtl/>
              </w:rPr>
              <w:t xml:space="preserve">רק כ-40% מהאנרגיה המופקת מטבוליזם הפחמימות, השומנים והחלבונים מנוצלת ישירות ליצירת </w:t>
            </w:r>
            <w:r>
              <w:rPr>
                <w:rFonts w:ascii="David" w:hAnsi="David" w:cs="David"/>
                <w:sz w:val="24"/>
                <w:szCs w:val="24"/>
                <w:u w:val="single"/>
              </w:rPr>
              <w:t>ATP</w:t>
            </w:r>
            <w:r>
              <w:rPr>
                <w:rFonts w:ascii="David" w:hAnsi="David" w:cs="David"/>
                <w:sz w:val="24"/>
                <w:szCs w:val="24"/>
                <w:u w:val="single"/>
                <w:rtl/>
              </w:rPr>
              <w:t>.</w:t>
            </w:r>
          </w:p>
          <w:p w:rsidR="00BE0AB3" w:rsidRDefault="00BE0AB3">
            <w:pPr>
              <w:pStyle w:val="af8"/>
              <w:numPr>
                <w:ilvl w:val="0"/>
                <w:numId w:val="20"/>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שאר ה-60% משוחררים בצורת חום.</w:t>
            </w:r>
          </w:p>
        </w:tc>
      </w:tr>
    </w:tbl>
    <w:p w:rsidR="00BE0AB3" w:rsidRDefault="00BE0AB3" w:rsidP="00BE0AB3">
      <w:pPr>
        <w:pStyle w:val="af8"/>
        <w:spacing w:line="360" w:lineRule="auto"/>
        <w:ind w:left="1440"/>
        <w:jc w:val="both"/>
        <w:rPr>
          <w:rtl/>
        </w:rPr>
      </w:pPr>
    </w:p>
    <w:p w:rsidR="00BE0AB3" w:rsidRDefault="00BE0AB3" w:rsidP="001A7E0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רביעית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1A7E00">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1A7E00">
        <w:trPr>
          <w:trHeight w:val="1266"/>
        </w:trPr>
        <w:tc>
          <w:tcPr>
            <w:tcW w:w="4247"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ind w:left="38"/>
              <w:jc w:val="both"/>
              <w:rPr>
                <w:rFonts w:ascii="David" w:hAnsi="David"/>
                <w:b/>
                <w:bCs/>
                <w:rtl/>
              </w:rPr>
            </w:pPr>
            <w:r>
              <w:rPr>
                <w:rFonts w:ascii="David" w:hAnsi="David"/>
                <w:b/>
                <w:bCs/>
                <w:rtl/>
              </w:rPr>
              <w:t>שיטות למדידה של ההוצאה האנרגתית</w:t>
            </w:r>
          </w:p>
          <w:p w:rsidR="00BE0AB3" w:rsidRDefault="00BE0AB3">
            <w:pPr>
              <w:pStyle w:val="af8"/>
              <w:numPr>
                <w:ilvl w:val="0"/>
                <w:numId w:val="14"/>
              </w:numPr>
              <w:spacing w:after="0" w:line="240" w:lineRule="auto"/>
              <w:ind w:left="180" w:hanging="142"/>
              <w:jc w:val="both"/>
              <w:rPr>
                <w:rFonts w:ascii="David" w:hAnsi="David" w:cs="David"/>
                <w:sz w:val="24"/>
                <w:szCs w:val="24"/>
                <w:u w:val="single"/>
                <w:rtl/>
              </w:rPr>
            </w:pPr>
            <w:r>
              <w:rPr>
                <w:rFonts w:ascii="David" w:hAnsi="David" w:cs="David"/>
                <w:sz w:val="24"/>
                <w:szCs w:val="24"/>
                <w:u w:val="single"/>
                <w:rtl/>
              </w:rPr>
              <w:t>לפני הבדיקה בקלורימטריה עקיפה יש להימנע מ:</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tl/>
              </w:rPr>
              <w:t>קפאין</w:t>
            </w:r>
            <w:r>
              <w:rPr>
                <w:rFonts w:ascii="David" w:hAnsi="David" w:cs="David"/>
                <w:sz w:val="24"/>
                <w:szCs w:val="24"/>
                <w:rtl/>
              </w:rPr>
              <w:t xml:space="preserve"> ( לפחות 4 </w:t>
            </w:r>
            <w:r>
              <w:rPr>
                <w:rFonts w:ascii="David" w:hAnsi="David" w:cs="David"/>
                <w:sz w:val="24"/>
                <w:szCs w:val="24"/>
                <w:u w:val="single"/>
                <w:rtl/>
              </w:rPr>
              <w:t>שעות לפני הבדיקה</w:t>
            </w:r>
            <w:r>
              <w:rPr>
                <w:rFonts w:ascii="David" w:hAnsi="David" w:cs="David"/>
                <w:sz w:val="24"/>
                <w:szCs w:val="24"/>
                <w:rtl/>
              </w:rPr>
              <w:t>)</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ניקוטין ואלכוהול (לפחות</w:t>
            </w:r>
            <w:r>
              <w:rPr>
                <w:rFonts w:ascii="David" w:hAnsi="David" w:cs="David"/>
                <w:sz w:val="24"/>
                <w:szCs w:val="24"/>
                <w:rtl/>
              </w:rPr>
              <w:t xml:space="preserve"> 2 שעות </w:t>
            </w:r>
            <w:r>
              <w:rPr>
                <w:rFonts w:ascii="David" w:hAnsi="David" w:cs="David"/>
                <w:sz w:val="24"/>
                <w:szCs w:val="24"/>
                <w:u w:val="single"/>
                <w:rtl/>
              </w:rPr>
              <w:t>לפני הבדיקה)</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tl/>
              </w:rPr>
              <w:t>אכילה</w:t>
            </w:r>
            <w:r>
              <w:rPr>
                <w:rFonts w:ascii="David" w:hAnsi="David" w:cs="David"/>
                <w:sz w:val="24"/>
                <w:szCs w:val="24"/>
                <w:rtl/>
              </w:rPr>
              <w:t xml:space="preserve"> ( </w:t>
            </w:r>
            <w:r>
              <w:rPr>
                <w:rFonts w:ascii="David" w:hAnsi="David" w:cs="David"/>
                <w:sz w:val="24"/>
                <w:szCs w:val="24"/>
                <w:u w:val="single"/>
                <w:rtl/>
              </w:rPr>
              <w:t>לפחות 5 שעות לפני הבדיקה)</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פעילות גופנית מתונה ( לפחות 2 שעות לפני הבדיקה)</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פעילות גופנית עצימה ( לפחות 14 שעות לפני הבדיקה)</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ביום הבדיקה יש לנוח 10-20 דקות לפני ביצועה.</w:t>
            </w:r>
          </w:p>
          <w:p w:rsidR="00BE0AB3" w:rsidRDefault="00BE0AB3">
            <w:pPr>
              <w:pStyle w:val="af8"/>
              <w:spacing w:after="0" w:line="240" w:lineRule="auto"/>
              <w:ind w:left="180"/>
              <w:jc w:val="both"/>
              <w:rPr>
                <w:rFonts w:ascii="David" w:hAnsi="David" w:cs="David"/>
                <w:sz w:val="24"/>
                <w:szCs w:val="24"/>
              </w:rPr>
            </w:pPr>
          </w:p>
        </w:tc>
        <w:tc>
          <w:tcPr>
            <w:tcW w:w="4533" w:type="dxa"/>
            <w:tcBorders>
              <w:top w:val="single" w:sz="4" w:space="0" w:color="auto"/>
              <w:left w:val="single" w:sz="4" w:space="0" w:color="auto"/>
              <w:bottom w:val="single" w:sz="4" w:space="0" w:color="auto"/>
              <w:right w:val="single" w:sz="4" w:space="0" w:color="auto"/>
            </w:tcBorders>
            <w:hideMark/>
          </w:tcPr>
          <w:p w:rsidR="00BE0AB3" w:rsidRDefault="00BE0AB3">
            <w:pPr>
              <w:spacing w:line="360" w:lineRule="auto"/>
              <w:ind w:left="33"/>
              <w:jc w:val="both"/>
              <w:rPr>
                <w:rFonts w:ascii="David" w:hAnsi="David"/>
                <w:b/>
                <w:bCs/>
                <w:u w:val="single"/>
                <w:rtl/>
              </w:rPr>
            </w:pPr>
            <w:r>
              <w:rPr>
                <w:rFonts w:ascii="David" w:hAnsi="David"/>
                <w:b/>
                <w:bCs/>
                <w:u w:val="single"/>
                <w:rtl/>
              </w:rPr>
              <w:t>לפני בדיקה בקלורימטריה עקיפה יש להימנע מ:</w:t>
            </w:r>
          </w:p>
          <w:p w:rsidR="00BE0AB3" w:rsidRDefault="00BE0AB3">
            <w:pPr>
              <w:pStyle w:val="af8"/>
              <w:numPr>
                <w:ilvl w:val="0"/>
                <w:numId w:val="20"/>
              </w:numPr>
              <w:spacing w:after="0" w:line="360" w:lineRule="auto"/>
              <w:ind w:left="316" w:hanging="142"/>
              <w:jc w:val="both"/>
              <w:rPr>
                <w:rFonts w:ascii="David" w:hAnsi="David" w:cs="David"/>
                <w:sz w:val="24"/>
                <w:szCs w:val="24"/>
                <w:rtl/>
              </w:rPr>
            </w:pPr>
            <w:r>
              <w:rPr>
                <w:rFonts w:ascii="David" w:hAnsi="David" w:cs="David"/>
                <w:sz w:val="24"/>
                <w:szCs w:val="24"/>
                <w:u w:val="single"/>
                <w:rtl/>
              </w:rPr>
              <w:t>קפאין</w:t>
            </w:r>
            <w:r>
              <w:rPr>
                <w:rFonts w:ascii="David" w:hAnsi="David" w:cs="David"/>
                <w:sz w:val="24"/>
                <w:szCs w:val="24"/>
                <w:rtl/>
              </w:rPr>
              <w:t xml:space="preserve"> (כמה </w:t>
            </w:r>
            <w:r>
              <w:rPr>
                <w:rFonts w:ascii="David" w:hAnsi="David" w:cs="David"/>
                <w:sz w:val="24"/>
                <w:szCs w:val="24"/>
                <w:u w:val="single"/>
                <w:rtl/>
              </w:rPr>
              <w:t>שעות לפני הבדיקה</w:t>
            </w:r>
            <w:r>
              <w:rPr>
                <w:rFonts w:ascii="David" w:hAnsi="David" w:cs="David"/>
                <w:sz w:val="24"/>
                <w:szCs w:val="24"/>
                <w:rtl/>
              </w:rPr>
              <w:t>)</w:t>
            </w:r>
          </w:p>
          <w:p w:rsidR="00BE0AB3" w:rsidRDefault="00BE0AB3">
            <w:pPr>
              <w:pStyle w:val="af8"/>
              <w:numPr>
                <w:ilvl w:val="0"/>
                <w:numId w:val="20"/>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 xml:space="preserve">ניקוטין ואלכוהול (לפחות </w:t>
            </w:r>
            <w:r>
              <w:rPr>
                <w:rFonts w:ascii="David" w:hAnsi="David" w:cs="David"/>
                <w:sz w:val="24"/>
                <w:szCs w:val="24"/>
                <w:rtl/>
              </w:rPr>
              <w:t>שעתיים</w:t>
            </w:r>
            <w:r>
              <w:rPr>
                <w:rFonts w:ascii="David" w:hAnsi="David" w:cs="David"/>
                <w:sz w:val="24"/>
                <w:szCs w:val="24"/>
                <w:u w:val="single"/>
                <w:rtl/>
              </w:rPr>
              <w:t xml:space="preserve"> לפני הבדיקה)</w:t>
            </w:r>
          </w:p>
          <w:p w:rsidR="00BE0AB3" w:rsidRDefault="00BE0AB3">
            <w:pPr>
              <w:pStyle w:val="af8"/>
              <w:numPr>
                <w:ilvl w:val="0"/>
                <w:numId w:val="20"/>
              </w:numPr>
              <w:spacing w:after="0" w:line="360" w:lineRule="auto"/>
              <w:ind w:left="316" w:hanging="142"/>
              <w:jc w:val="both"/>
              <w:rPr>
                <w:rFonts w:ascii="David" w:hAnsi="David" w:cs="David"/>
                <w:sz w:val="24"/>
                <w:szCs w:val="24"/>
              </w:rPr>
            </w:pPr>
            <w:r>
              <w:rPr>
                <w:rFonts w:ascii="David" w:hAnsi="David" w:cs="David"/>
                <w:sz w:val="24"/>
                <w:szCs w:val="24"/>
                <w:u w:val="single"/>
                <w:rtl/>
              </w:rPr>
              <w:t>אכילה</w:t>
            </w:r>
            <w:r>
              <w:rPr>
                <w:rFonts w:ascii="David" w:hAnsi="David" w:cs="David"/>
                <w:sz w:val="24"/>
                <w:szCs w:val="24"/>
                <w:rtl/>
              </w:rPr>
              <w:t xml:space="preserve"> </w:t>
            </w:r>
            <w:r>
              <w:rPr>
                <w:rFonts w:ascii="David" w:hAnsi="David" w:cs="David"/>
                <w:sz w:val="24"/>
                <w:szCs w:val="24"/>
                <w:u w:val="single"/>
                <w:rtl/>
              </w:rPr>
              <w:t>( לפחות 5 שעות לפני הבדיקה)</w:t>
            </w:r>
          </w:p>
          <w:p w:rsidR="00BE0AB3" w:rsidRDefault="00BE0AB3">
            <w:pPr>
              <w:pStyle w:val="af8"/>
              <w:numPr>
                <w:ilvl w:val="0"/>
                <w:numId w:val="20"/>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פעילות גופנית מתונה ( לפחות 2 שעות לפני הבדיקה)</w:t>
            </w:r>
          </w:p>
          <w:p w:rsidR="00BE0AB3" w:rsidRDefault="00BE0AB3">
            <w:pPr>
              <w:pStyle w:val="af8"/>
              <w:numPr>
                <w:ilvl w:val="0"/>
                <w:numId w:val="20"/>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פעילות גופנית עצימה ( לפחות 14 שעות לפני הבדיקה)</w:t>
            </w:r>
          </w:p>
          <w:p w:rsidR="00BE0AB3" w:rsidRDefault="00BE0AB3">
            <w:pPr>
              <w:pStyle w:val="af8"/>
              <w:numPr>
                <w:ilvl w:val="0"/>
                <w:numId w:val="20"/>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ביום הבדיקה יש לנות 10-20 דקות לפני ביצועה</w:t>
            </w:r>
          </w:p>
        </w:tc>
      </w:tr>
    </w:tbl>
    <w:p w:rsidR="00BE0AB3" w:rsidRDefault="00BE0AB3" w:rsidP="00BE0AB3">
      <w:pPr>
        <w:pStyle w:val="af8"/>
        <w:spacing w:line="360" w:lineRule="auto"/>
        <w:ind w:left="1440"/>
        <w:jc w:val="both"/>
        <w:rPr>
          <w:rtl/>
        </w:rPr>
      </w:pPr>
    </w:p>
    <w:p w:rsidR="00BE0AB3" w:rsidRDefault="00BE0AB3" w:rsidP="001A7E0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חמישית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1A7E00">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1A7E00">
        <w:trPr>
          <w:trHeight w:val="2891"/>
        </w:trPr>
        <w:tc>
          <w:tcPr>
            <w:tcW w:w="4247"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ind w:left="180" w:hanging="180"/>
              <w:jc w:val="both"/>
              <w:rPr>
                <w:rFonts w:ascii="David" w:hAnsi="David"/>
                <w:b/>
                <w:bCs/>
                <w:rtl/>
              </w:rPr>
            </w:pPr>
            <w:r>
              <w:rPr>
                <w:rFonts w:ascii="David" w:hAnsi="David"/>
                <w:b/>
                <w:bCs/>
                <w:rtl/>
              </w:rPr>
              <w:t>הערכת דרישות תזונתיות</w:t>
            </w:r>
          </w:p>
          <w:p w:rsidR="00BE0AB3" w:rsidRDefault="00BE0AB3">
            <w:pPr>
              <w:pStyle w:val="af8"/>
              <w:numPr>
                <w:ilvl w:val="0"/>
                <w:numId w:val="14"/>
              </w:numPr>
              <w:spacing w:after="0" w:line="240" w:lineRule="auto"/>
              <w:ind w:left="180" w:hanging="180"/>
              <w:jc w:val="both"/>
              <w:rPr>
                <w:rFonts w:ascii="David" w:hAnsi="David" w:cs="David"/>
                <w:sz w:val="24"/>
                <w:szCs w:val="24"/>
                <w:rtl/>
              </w:rPr>
            </w:pPr>
            <w:r>
              <w:rPr>
                <w:rFonts w:ascii="David" w:hAnsi="David" w:cs="David"/>
                <w:sz w:val="24"/>
                <w:szCs w:val="24"/>
                <w:rtl/>
              </w:rPr>
              <w:t xml:space="preserve">מדידת </w:t>
            </w:r>
            <w:r>
              <w:rPr>
                <w:rFonts w:ascii="David" w:hAnsi="David" w:cs="David"/>
                <w:sz w:val="24"/>
                <w:szCs w:val="24"/>
                <w:u w:val="single"/>
                <w:rtl/>
              </w:rPr>
              <w:t>צריכה אנרגתית</w:t>
            </w:r>
            <w:r>
              <w:rPr>
                <w:rFonts w:ascii="David" w:hAnsi="David" w:cs="David"/>
                <w:sz w:val="24"/>
                <w:szCs w:val="24"/>
                <w:rtl/>
              </w:rPr>
              <w:t>:</w:t>
            </w:r>
          </w:p>
          <w:p w:rsidR="00BE0AB3" w:rsidRDefault="00BE0AB3">
            <w:pPr>
              <w:pStyle w:val="af8"/>
              <w:numPr>
                <w:ilvl w:val="0"/>
                <w:numId w:val="14"/>
              </w:numPr>
              <w:spacing w:after="0" w:line="240" w:lineRule="auto"/>
              <w:ind w:left="180" w:hanging="180"/>
              <w:jc w:val="both"/>
              <w:rPr>
                <w:rFonts w:ascii="David" w:hAnsi="David" w:cs="David"/>
                <w:sz w:val="24"/>
                <w:szCs w:val="24"/>
              </w:rPr>
            </w:pPr>
            <w:r>
              <w:rPr>
                <w:rFonts w:ascii="David" w:hAnsi="David" w:cs="David"/>
                <w:sz w:val="24"/>
                <w:szCs w:val="24"/>
                <w:u w:val="single"/>
                <w:rtl/>
              </w:rPr>
              <w:t>מבוססת על שאלן צריכת מזון (למשל שאלון 24 שעות) בקרב אנשים השומרים על משקל</w:t>
            </w:r>
            <w:r>
              <w:rPr>
                <w:rFonts w:ascii="David" w:hAnsi="David" w:cs="David"/>
                <w:sz w:val="24"/>
                <w:szCs w:val="24"/>
                <w:rtl/>
              </w:rPr>
              <w:t xml:space="preserve"> יציב.</w:t>
            </w:r>
          </w:p>
          <w:p w:rsidR="00BE0AB3" w:rsidRDefault="00BE0AB3">
            <w:pPr>
              <w:pStyle w:val="af8"/>
              <w:numPr>
                <w:ilvl w:val="0"/>
                <w:numId w:val="14"/>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כיום ידוע ששיטה זו אינה מדוייקת ומכילה הטיות (תת צריכה של מזון)</w:t>
            </w:r>
          </w:p>
          <w:p w:rsidR="00BE0AB3" w:rsidRDefault="00BE0AB3">
            <w:pPr>
              <w:pStyle w:val="af8"/>
              <w:numPr>
                <w:ilvl w:val="0"/>
                <w:numId w:val="14"/>
              </w:numPr>
              <w:spacing w:after="0" w:line="240" w:lineRule="auto"/>
              <w:ind w:left="180" w:hanging="180"/>
              <w:jc w:val="both"/>
              <w:rPr>
                <w:rFonts w:ascii="David" w:hAnsi="David" w:cs="David"/>
                <w:sz w:val="24"/>
                <w:szCs w:val="24"/>
              </w:rPr>
            </w:pPr>
            <w:r>
              <w:rPr>
                <w:rFonts w:ascii="David" w:hAnsi="David" w:cs="David"/>
                <w:sz w:val="24"/>
                <w:szCs w:val="24"/>
                <w:u w:val="single"/>
                <w:rtl/>
              </w:rPr>
              <w:t>שיעור האנשים שמדווחים בצורה לקויה-</w:t>
            </w:r>
            <w:r>
              <w:rPr>
                <w:rFonts w:ascii="David" w:hAnsi="David" w:cs="David"/>
                <w:sz w:val="24"/>
                <w:szCs w:val="24"/>
                <w:rtl/>
              </w:rPr>
              <w:t xml:space="preserve"> 10%-45% </w:t>
            </w:r>
            <w:r>
              <w:rPr>
                <w:rFonts w:ascii="David" w:hAnsi="David" w:cs="David"/>
                <w:sz w:val="24"/>
                <w:szCs w:val="24"/>
                <w:u w:val="single"/>
                <w:rtl/>
              </w:rPr>
              <w:t>תלוי בגיל, מגדר, הרכב</w:t>
            </w:r>
            <w:r>
              <w:rPr>
                <w:rFonts w:ascii="David" w:hAnsi="David" w:cs="David"/>
                <w:sz w:val="24"/>
                <w:szCs w:val="24"/>
                <w:rtl/>
              </w:rPr>
              <w:t xml:space="preserve"> הגוף.</w:t>
            </w:r>
          </w:p>
          <w:p w:rsidR="00BE0AB3" w:rsidRPr="001A7E00" w:rsidRDefault="00BE0AB3" w:rsidP="001A7E00">
            <w:pPr>
              <w:pStyle w:val="af8"/>
              <w:numPr>
                <w:ilvl w:val="0"/>
                <w:numId w:val="14"/>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שיטה פחות מקובלת כיום.</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numPr>
                <w:ilvl w:val="0"/>
                <w:numId w:val="14"/>
              </w:numPr>
              <w:spacing w:after="0" w:line="240" w:lineRule="auto"/>
              <w:ind w:left="180" w:hanging="180"/>
              <w:jc w:val="both"/>
              <w:rPr>
                <w:rFonts w:ascii="David" w:hAnsi="David" w:cs="David"/>
                <w:sz w:val="24"/>
                <w:szCs w:val="24"/>
                <w:u w:val="single"/>
                <w:rtl/>
              </w:rPr>
            </w:pPr>
            <w:r>
              <w:rPr>
                <w:rFonts w:ascii="David" w:hAnsi="David" w:cs="David"/>
                <w:sz w:val="24"/>
                <w:szCs w:val="24"/>
                <w:rtl/>
              </w:rPr>
              <w:t>(</w:t>
            </w:r>
            <w:r>
              <w:rPr>
                <w:rFonts w:ascii="David" w:hAnsi="David" w:cs="David"/>
                <w:b/>
                <w:bCs/>
                <w:sz w:val="24"/>
                <w:szCs w:val="24"/>
                <w:rtl/>
              </w:rPr>
              <w:t xml:space="preserve">לא ברור) </w:t>
            </w:r>
            <w:r>
              <w:rPr>
                <w:rFonts w:ascii="David" w:hAnsi="David" w:cs="David"/>
                <w:b/>
                <w:bCs/>
                <w:sz w:val="24"/>
                <w:szCs w:val="24"/>
                <w:u w:val="single"/>
                <w:rtl/>
              </w:rPr>
              <w:t>צריכה אנרגטית</w:t>
            </w:r>
            <w:r>
              <w:rPr>
                <w:rFonts w:ascii="David" w:hAnsi="David" w:cs="David"/>
                <w:sz w:val="24"/>
                <w:szCs w:val="24"/>
                <w:rtl/>
              </w:rPr>
              <w:t>-</w:t>
            </w:r>
            <w:r>
              <w:rPr>
                <w:rFonts w:ascii="David" w:hAnsi="David" w:cs="David"/>
                <w:sz w:val="24"/>
                <w:szCs w:val="24"/>
                <w:u w:val="single"/>
                <w:rtl/>
              </w:rPr>
              <w:t xml:space="preserve">מבוססת על שאלון צריכת מזון (למשל שאלון 24 שעות) בקרב אנשים השומרים על משקל </w:t>
            </w:r>
            <w:r>
              <w:rPr>
                <w:rFonts w:ascii="David" w:hAnsi="David" w:cs="David"/>
                <w:sz w:val="24"/>
                <w:szCs w:val="24"/>
                <w:rtl/>
              </w:rPr>
              <w:t xml:space="preserve">(לא ברור) </w:t>
            </w:r>
            <w:r>
              <w:rPr>
                <w:rFonts w:ascii="David" w:hAnsi="David" w:cs="David"/>
                <w:sz w:val="24"/>
                <w:szCs w:val="24"/>
                <w:u w:val="single"/>
                <w:rtl/>
              </w:rPr>
              <w:t>כיום ידוע ששיטה זו אינה מדויק ומכילה הטיות (תת צריכה של מזון). שיעור האנשים שמדווחים בצורה לקויה-</w:t>
            </w:r>
            <w:r>
              <w:rPr>
                <w:rFonts w:ascii="David" w:hAnsi="David" w:cs="David"/>
                <w:sz w:val="24"/>
                <w:szCs w:val="24"/>
                <w:rtl/>
              </w:rPr>
              <w:t xml:space="preserve"> (לא ברור) </w:t>
            </w:r>
            <w:r>
              <w:rPr>
                <w:rFonts w:ascii="David" w:hAnsi="David" w:cs="David"/>
                <w:sz w:val="24"/>
                <w:szCs w:val="24"/>
                <w:u w:val="single"/>
                <w:rtl/>
              </w:rPr>
              <w:t>תלוי בגיל, מגדר, הרכב</w:t>
            </w:r>
            <w:r>
              <w:rPr>
                <w:rFonts w:ascii="David" w:hAnsi="David" w:cs="David"/>
                <w:sz w:val="24"/>
                <w:szCs w:val="24"/>
                <w:rtl/>
              </w:rPr>
              <w:t xml:space="preserve"> הדוף. </w:t>
            </w:r>
            <w:r>
              <w:rPr>
                <w:rFonts w:ascii="David" w:hAnsi="David" w:cs="David"/>
                <w:sz w:val="24"/>
                <w:szCs w:val="24"/>
                <w:u w:val="single"/>
                <w:rtl/>
              </w:rPr>
              <w:t>שיטה פחות מקובלת כיום.</w:t>
            </w:r>
          </w:p>
          <w:p w:rsidR="00BE0AB3" w:rsidRDefault="00BE0AB3">
            <w:pPr>
              <w:pStyle w:val="af8"/>
              <w:spacing w:after="0" w:line="240" w:lineRule="auto"/>
              <w:ind w:left="180"/>
              <w:jc w:val="both"/>
              <w:rPr>
                <w:rFonts w:ascii="David" w:hAnsi="David" w:cs="David"/>
                <w:sz w:val="24"/>
                <w:szCs w:val="24"/>
                <w:rtl/>
              </w:rPr>
            </w:pP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1A7E00">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שישית מתוך עשרים ושלוש להעתקה מתוך מצגת של התובעת (ההעתקות מודגשות בקו תחתי)</w:t>
      </w:r>
    </w:p>
    <w:tbl>
      <w:tblPr>
        <w:tblStyle w:val="ac"/>
        <w:bidiVisual/>
        <w:tblW w:w="8779" w:type="dxa"/>
        <w:tblInd w:w="814" w:type="dxa"/>
        <w:tblLook w:val="04A0" w:firstRow="1" w:lastRow="0" w:firstColumn="1" w:lastColumn="0" w:noHBand="0" w:noVBand="1"/>
      </w:tblPr>
      <w:tblGrid>
        <w:gridCol w:w="4246"/>
        <w:gridCol w:w="4533"/>
      </w:tblGrid>
      <w:tr w:rsidR="00BE0AB3" w:rsidTr="00572A95">
        <w:trPr>
          <w:trHeight w:val="793"/>
        </w:trPr>
        <w:tc>
          <w:tcPr>
            <w:tcW w:w="4246"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705"/>
        </w:trPr>
        <w:tc>
          <w:tcPr>
            <w:tcW w:w="4246"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pStyle w:val="af8"/>
              <w:spacing w:after="0" w:line="240" w:lineRule="auto"/>
              <w:ind w:left="180" w:hanging="180"/>
              <w:jc w:val="both"/>
              <w:rPr>
                <w:rFonts w:ascii="David" w:hAnsi="David" w:cs="David"/>
                <w:sz w:val="24"/>
                <w:szCs w:val="24"/>
                <w:rtl/>
              </w:rPr>
            </w:pPr>
            <w:r>
              <w:rPr>
                <w:rFonts w:ascii="David" w:hAnsi="David" w:cs="David"/>
                <w:sz w:val="24"/>
                <w:szCs w:val="24"/>
              </w:rPr>
              <w:t>Acute Viral Hepatitis</w:t>
            </w:r>
            <w:r>
              <w:rPr>
                <w:rFonts w:ascii="David" w:hAnsi="David" w:cs="David"/>
                <w:sz w:val="24"/>
                <w:szCs w:val="24"/>
                <w:rtl/>
              </w:rPr>
              <w:tab/>
              <w:t>- המשך</w:t>
            </w:r>
          </w:p>
          <w:p w:rsidR="00BE0AB3" w:rsidRDefault="00BE0AB3">
            <w:pPr>
              <w:pStyle w:val="af8"/>
              <w:numPr>
                <w:ilvl w:val="0"/>
                <w:numId w:val="22"/>
              </w:numPr>
              <w:spacing w:after="0" w:line="240" w:lineRule="auto"/>
              <w:ind w:left="180" w:hanging="180"/>
              <w:jc w:val="both"/>
              <w:rPr>
                <w:rFonts w:ascii="David" w:hAnsi="David" w:cs="David"/>
                <w:sz w:val="24"/>
                <w:szCs w:val="24"/>
                <w:rtl/>
              </w:rPr>
            </w:pPr>
            <w:r>
              <w:rPr>
                <w:rFonts w:ascii="David" w:hAnsi="David" w:cs="David"/>
                <w:sz w:val="24"/>
                <w:szCs w:val="24"/>
                <w:rtl/>
              </w:rPr>
              <w:t>השלבים בהתפתחות המחלה:</w:t>
            </w:r>
          </w:p>
          <w:p w:rsidR="00BE0AB3" w:rsidRDefault="00BE0AB3">
            <w:pPr>
              <w:pStyle w:val="af8"/>
              <w:numPr>
                <w:ilvl w:val="0"/>
                <w:numId w:val="24"/>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חום דלקת פרקים פריחה</w:t>
            </w:r>
          </w:p>
          <w:p w:rsidR="00BE0AB3" w:rsidRDefault="00BE0AB3">
            <w:pPr>
              <w:pStyle w:val="af8"/>
              <w:numPr>
                <w:ilvl w:val="0"/>
                <w:numId w:val="24"/>
              </w:numPr>
              <w:spacing w:after="0" w:line="240" w:lineRule="auto"/>
              <w:ind w:left="180" w:hanging="180"/>
              <w:jc w:val="both"/>
              <w:rPr>
                <w:rFonts w:ascii="David" w:hAnsi="David" w:cs="David"/>
                <w:sz w:val="24"/>
                <w:szCs w:val="24"/>
                <w:u w:val="single"/>
              </w:rPr>
            </w:pPr>
            <w:r>
              <w:rPr>
                <w:rFonts w:ascii="David" w:hAnsi="David" w:cs="David"/>
                <w:sz w:val="24"/>
                <w:szCs w:val="24"/>
                <w:rtl/>
              </w:rPr>
              <w:t xml:space="preserve"> </w:t>
            </w:r>
            <w:r>
              <w:rPr>
                <w:rFonts w:ascii="David" w:hAnsi="David" w:cs="David" w:hint="cs"/>
                <w:sz w:val="24"/>
                <w:szCs w:val="24"/>
                <w:u w:val="single"/>
                <w:rtl/>
              </w:rPr>
              <w:t>חולשה, אנורקסיה, בחילות, הקאות, שינויי טעם, כאבי בטן</w:t>
            </w:r>
          </w:p>
          <w:p w:rsidR="00BE0AB3" w:rsidRDefault="00BE0AB3">
            <w:pPr>
              <w:pStyle w:val="af8"/>
              <w:numPr>
                <w:ilvl w:val="0"/>
                <w:numId w:val="24"/>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צהבת (</w:t>
            </w:r>
            <w:r>
              <w:rPr>
                <w:rFonts w:ascii="David" w:hAnsi="David" w:cs="David"/>
                <w:sz w:val="24"/>
                <w:szCs w:val="24"/>
                <w:u w:val="single"/>
              </w:rPr>
              <w:t>jaundice</w:t>
            </w:r>
            <w:r>
              <w:rPr>
                <w:rFonts w:ascii="David" w:hAnsi="David" w:cs="David"/>
                <w:sz w:val="24"/>
                <w:szCs w:val="24"/>
                <w:u w:val="single"/>
                <w:rtl/>
              </w:rPr>
              <w:t>)</w:t>
            </w:r>
          </w:p>
          <w:p w:rsidR="00BE0AB3" w:rsidRDefault="00BE0AB3">
            <w:pPr>
              <w:pStyle w:val="af8"/>
              <w:numPr>
                <w:ilvl w:val="0"/>
                <w:numId w:val="24"/>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רגיעה החלשות הסימפטומים</w:t>
            </w:r>
          </w:p>
          <w:p w:rsidR="00BE0AB3" w:rsidRDefault="00BE0AB3">
            <w:pPr>
              <w:jc w:val="both"/>
              <w:rPr>
                <w:rFonts w:ascii="David" w:hAnsi="David"/>
                <w:rtl/>
              </w:rPr>
            </w:pP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180" w:hanging="180"/>
              <w:jc w:val="both"/>
              <w:rPr>
                <w:rFonts w:ascii="David" w:hAnsi="David" w:cs="David"/>
                <w:sz w:val="24"/>
                <w:szCs w:val="24"/>
                <w:rtl/>
              </w:rPr>
            </w:pPr>
          </w:p>
          <w:p w:rsidR="00BE0AB3" w:rsidRDefault="00BE0AB3">
            <w:pPr>
              <w:pStyle w:val="af8"/>
              <w:spacing w:after="0" w:line="360" w:lineRule="auto"/>
              <w:ind w:left="180" w:hanging="180"/>
              <w:jc w:val="both"/>
              <w:rPr>
                <w:rFonts w:ascii="David" w:hAnsi="David" w:cs="David"/>
                <w:sz w:val="24"/>
                <w:szCs w:val="24"/>
                <w:rtl/>
              </w:rPr>
            </w:pPr>
            <w:r>
              <w:rPr>
                <w:rFonts w:ascii="David" w:hAnsi="David" w:cs="David"/>
                <w:sz w:val="24"/>
                <w:szCs w:val="24"/>
                <w:rtl/>
              </w:rPr>
              <w:t>סימפטומים:</w:t>
            </w:r>
          </w:p>
          <w:p w:rsidR="00BE0AB3" w:rsidRDefault="00BE0AB3">
            <w:pPr>
              <w:pStyle w:val="af8"/>
              <w:numPr>
                <w:ilvl w:val="0"/>
                <w:numId w:val="26"/>
              </w:numPr>
              <w:spacing w:after="0" w:line="360" w:lineRule="auto"/>
              <w:ind w:left="180" w:hanging="180"/>
              <w:jc w:val="both"/>
              <w:rPr>
                <w:rFonts w:ascii="David" w:hAnsi="David" w:cs="David"/>
                <w:sz w:val="24"/>
                <w:szCs w:val="24"/>
                <w:u w:val="single"/>
              </w:rPr>
            </w:pPr>
            <w:r>
              <w:rPr>
                <w:rFonts w:ascii="David" w:hAnsi="David" w:cs="David"/>
                <w:sz w:val="24"/>
                <w:szCs w:val="24"/>
                <w:u w:val="single"/>
                <w:rtl/>
              </w:rPr>
              <w:t>חום, דלקת פרקים, פריחה.</w:t>
            </w:r>
          </w:p>
          <w:p w:rsidR="00BE0AB3" w:rsidRDefault="00BE0AB3">
            <w:pPr>
              <w:pStyle w:val="af8"/>
              <w:numPr>
                <w:ilvl w:val="0"/>
                <w:numId w:val="26"/>
              </w:numPr>
              <w:spacing w:after="0" w:line="360" w:lineRule="auto"/>
              <w:ind w:left="180" w:hanging="180"/>
              <w:jc w:val="both"/>
              <w:rPr>
                <w:rFonts w:ascii="David" w:hAnsi="David" w:cs="David"/>
                <w:sz w:val="24"/>
                <w:szCs w:val="24"/>
              </w:rPr>
            </w:pPr>
            <w:r>
              <w:rPr>
                <w:rFonts w:ascii="David" w:hAnsi="David" w:cs="David"/>
                <w:sz w:val="24"/>
                <w:szCs w:val="24"/>
                <w:u w:val="single"/>
                <w:rtl/>
              </w:rPr>
              <w:t>הפרעות מטבוליות- חולשה, אנורקסיה, בחילות, הקאות, שינויי טעם, כאבי בטן</w:t>
            </w:r>
            <w:r>
              <w:rPr>
                <w:rFonts w:ascii="David" w:hAnsi="David" w:cs="David"/>
                <w:sz w:val="24"/>
                <w:szCs w:val="24"/>
                <w:rtl/>
              </w:rPr>
              <w:t xml:space="preserve"> (גדילת הכבד מובילה ללחץ תוך בטני)</w:t>
            </w:r>
          </w:p>
          <w:p w:rsidR="00BE0AB3" w:rsidRDefault="00BE0AB3">
            <w:pPr>
              <w:pStyle w:val="af8"/>
              <w:numPr>
                <w:ilvl w:val="0"/>
                <w:numId w:val="26"/>
              </w:numPr>
              <w:spacing w:after="0" w:line="360" w:lineRule="auto"/>
              <w:ind w:left="180" w:hanging="180"/>
              <w:jc w:val="both"/>
              <w:rPr>
                <w:rFonts w:ascii="David" w:hAnsi="David" w:cs="David"/>
                <w:sz w:val="24"/>
                <w:szCs w:val="24"/>
              </w:rPr>
            </w:pPr>
            <w:r>
              <w:rPr>
                <w:rFonts w:ascii="David" w:hAnsi="David" w:cs="David"/>
                <w:sz w:val="24"/>
                <w:szCs w:val="24"/>
                <w:u w:val="single"/>
                <w:rtl/>
              </w:rPr>
              <w:t>צהבת</w:t>
            </w:r>
            <w:r>
              <w:rPr>
                <w:rFonts w:ascii="David" w:hAnsi="David" w:cs="David"/>
                <w:sz w:val="24"/>
                <w:szCs w:val="24"/>
                <w:rtl/>
              </w:rPr>
              <w:t xml:space="preserve"> </w:t>
            </w:r>
            <w:r>
              <w:rPr>
                <w:rFonts w:ascii="David" w:hAnsi="David" w:cs="David"/>
                <w:sz w:val="24"/>
                <w:szCs w:val="24"/>
                <w:u w:val="single"/>
              </w:rPr>
              <w:t>Jaundice</w:t>
            </w:r>
            <w:r>
              <w:rPr>
                <w:rFonts w:ascii="David" w:hAnsi="David" w:cs="David"/>
                <w:sz w:val="24"/>
                <w:szCs w:val="24"/>
                <w:rtl/>
              </w:rPr>
              <w:t>- צביעת הרקמות בצהוב- עור, עיניים ושתן כהה. פינוי לא תקין של בילירובין ע"י הכבד וכך יש הצטברות ושקיעה.</w:t>
            </w:r>
          </w:p>
          <w:p w:rsidR="00BE0AB3" w:rsidRDefault="00BE0AB3">
            <w:pPr>
              <w:pStyle w:val="af8"/>
              <w:numPr>
                <w:ilvl w:val="0"/>
                <w:numId w:val="26"/>
              </w:numPr>
              <w:spacing w:after="0" w:line="360" w:lineRule="auto"/>
              <w:ind w:left="180" w:hanging="180"/>
              <w:jc w:val="both"/>
              <w:rPr>
                <w:rFonts w:ascii="David" w:hAnsi="David" w:cs="David"/>
                <w:sz w:val="24"/>
                <w:szCs w:val="24"/>
              </w:rPr>
            </w:pPr>
            <w:r>
              <w:rPr>
                <w:rFonts w:ascii="David" w:hAnsi="David" w:cs="David"/>
                <w:sz w:val="24"/>
                <w:szCs w:val="24"/>
                <w:u w:val="single"/>
                <w:rtl/>
              </w:rPr>
              <w:t>רגיעה, החלשות הסימפטומים</w:t>
            </w:r>
            <w:r>
              <w:rPr>
                <w:rFonts w:ascii="David" w:hAnsi="David" w:cs="David"/>
                <w:sz w:val="24"/>
                <w:szCs w:val="24"/>
                <w:rtl/>
              </w:rPr>
              <w:t>- החלמה מלאה או כניסה של הוירוס למצב "רדום" (לטנטי).</w:t>
            </w:r>
          </w:p>
          <w:p w:rsidR="00BE0AB3" w:rsidRDefault="00BE0AB3">
            <w:pPr>
              <w:pStyle w:val="af8"/>
              <w:spacing w:after="0" w:line="240" w:lineRule="auto"/>
              <w:ind w:left="180" w:hanging="180"/>
              <w:jc w:val="both"/>
              <w:rPr>
                <w:rFonts w:ascii="David" w:hAnsi="David" w:cs="David"/>
                <w:sz w:val="24"/>
                <w:szCs w:val="24"/>
              </w:rPr>
            </w:pP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שביעית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446"/>
        </w:trPr>
        <w:tc>
          <w:tcPr>
            <w:tcW w:w="4247"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pStyle w:val="af8"/>
              <w:spacing w:after="0" w:line="240" w:lineRule="auto"/>
              <w:ind w:left="322" w:hanging="142"/>
              <w:jc w:val="both"/>
              <w:rPr>
                <w:rFonts w:ascii="David" w:hAnsi="David" w:cs="David"/>
                <w:b/>
                <w:bCs/>
                <w:sz w:val="24"/>
                <w:szCs w:val="24"/>
                <w:rtl/>
              </w:rPr>
            </w:pPr>
            <w:r>
              <w:rPr>
                <w:rFonts w:ascii="David" w:hAnsi="David" w:cs="David"/>
                <w:b/>
                <w:bCs/>
                <w:sz w:val="24"/>
                <w:szCs w:val="24"/>
              </w:rPr>
              <w:t>Fulminant Hepatitis</w:t>
            </w:r>
          </w:p>
          <w:p w:rsidR="00BE0AB3" w:rsidRDefault="00BE0AB3">
            <w:pPr>
              <w:pStyle w:val="af8"/>
              <w:numPr>
                <w:ilvl w:val="0"/>
                <w:numId w:val="22"/>
              </w:numPr>
              <w:spacing w:after="0" w:line="240" w:lineRule="auto"/>
              <w:ind w:left="322" w:hanging="142"/>
              <w:jc w:val="both"/>
              <w:rPr>
                <w:rFonts w:ascii="David" w:hAnsi="David" w:cs="David"/>
                <w:sz w:val="24"/>
                <w:szCs w:val="24"/>
                <w:rtl/>
              </w:rPr>
            </w:pPr>
            <w:r>
              <w:rPr>
                <w:rFonts w:ascii="David" w:hAnsi="David" w:cs="David"/>
                <w:sz w:val="24"/>
                <w:szCs w:val="24"/>
                <w:rtl/>
              </w:rPr>
              <w:t>סיבוכים חוץ כבדיים הנובעים מדלקת זו</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בצקת מוחית</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דימומים</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בעיות קרדיווסקולריות</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אי ספקית כליות</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סיבוכים ריאתיים</w:t>
            </w:r>
          </w:p>
          <w:p w:rsidR="00BE0AB3" w:rsidRDefault="00BE0AB3">
            <w:pPr>
              <w:pStyle w:val="af8"/>
              <w:numPr>
                <w:ilvl w:val="0"/>
                <w:numId w:val="22"/>
              </w:numPr>
              <w:spacing w:after="0" w:line="240" w:lineRule="auto"/>
              <w:ind w:left="322" w:hanging="142"/>
              <w:jc w:val="both"/>
              <w:rPr>
                <w:rFonts w:ascii="David" w:hAnsi="David" w:cs="David"/>
                <w:sz w:val="24"/>
                <w:szCs w:val="24"/>
              </w:rPr>
            </w:pPr>
            <w:r>
              <w:rPr>
                <w:rFonts w:ascii="David" w:hAnsi="David" w:cs="David"/>
                <w:sz w:val="24"/>
                <w:szCs w:val="24"/>
                <w:rtl/>
              </w:rPr>
              <w:t>שינויים במאזן חומצה בסיס</w:t>
            </w:r>
          </w:p>
          <w:p w:rsidR="00BE0AB3" w:rsidRDefault="00BE0AB3">
            <w:pPr>
              <w:pStyle w:val="af8"/>
              <w:numPr>
                <w:ilvl w:val="0"/>
                <w:numId w:val="22"/>
              </w:numPr>
              <w:spacing w:after="0" w:line="240" w:lineRule="auto"/>
              <w:ind w:left="322" w:hanging="142"/>
              <w:jc w:val="both"/>
              <w:rPr>
                <w:rFonts w:ascii="David" w:hAnsi="David" w:cs="David"/>
                <w:sz w:val="24"/>
                <w:szCs w:val="24"/>
              </w:rPr>
            </w:pPr>
            <w:r>
              <w:rPr>
                <w:rFonts w:ascii="David" w:hAnsi="David" w:cs="David"/>
                <w:sz w:val="24"/>
                <w:szCs w:val="24"/>
                <w:rtl/>
              </w:rPr>
              <w:t>חוסר איזון אלקטרוליטים</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ספסים</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פנקראטיטיס</w:t>
            </w:r>
          </w:p>
          <w:p w:rsidR="00BE0AB3" w:rsidRDefault="00BE0AB3">
            <w:pPr>
              <w:pStyle w:val="af8"/>
              <w:spacing w:after="0" w:line="240" w:lineRule="auto"/>
              <w:ind w:left="180"/>
              <w:jc w:val="both"/>
              <w:rPr>
                <w:rFonts w:ascii="David" w:hAnsi="David" w:cs="David"/>
                <w:sz w:val="24"/>
                <w:szCs w:val="24"/>
                <w:rtl/>
              </w:rPr>
            </w:pPr>
          </w:p>
        </w:tc>
        <w:tc>
          <w:tcPr>
            <w:tcW w:w="4533"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174" w:hanging="174"/>
              <w:jc w:val="both"/>
              <w:rPr>
                <w:rFonts w:ascii="David" w:hAnsi="David" w:cs="David"/>
                <w:b/>
                <w:bCs/>
                <w:sz w:val="24"/>
                <w:szCs w:val="24"/>
                <w:u w:val="single"/>
                <w:rtl/>
              </w:rPr>
            </w:pPr>
            <w:r>
              <w:rPr>
                <w:rFonts w:ascii="David" w:hAnsi="David" w:cs="David"/>
                <w:b/>
                <w:bCs/>
                <w:sz w:val="24"/>
                <w:szCs w:val="24"/>
                <w:u w:val="single"/>
                <w:rtl/>
              </w:rPr>
              <w:t>סיבוכים חוץ כבדיים הנובעים מדלקת ויראלית:</w:t>
            </w:r>
          </w:p>
          <w:p w:rsidR="00BE0AB3" w:rsidRDefault="00BE0AB3">
            <w:pPr>
              <w:pStyle w:val="af8"/>
              <w:numPr>
                <w:ilvl w:val="0"/>
                <w:numId w:val="28"/>
              </w:numPr>
              <w:spacing w:after="0" w:line="360" w:lineRule="auto"/>
              <w:ind w:left="174" w:hanging="174"/>
              <w:jc w:val="both"/>
              <w:rPr>
                <w:rFonts w:ascii="David" w:hAnsi="David" w:cs="David"/>
                <w:sz w:val="24"/>
                <w:szCs w:val="24"/>
                <w:u w:val="single"/>
                <w:rtl/>
              </w:rPr>
            </w:pPr>
            <w:r>
              <w:rPr>
                <w:rFonts w:ascii="David" w:hAnsi="David" w:cs="David"/>
                <w:sz w:val="24"/>
                <w:szCs w:val="24"/>
                <w:u w:val="single"/>
                <w:rtl/>
              </w:rPr>
              <w:t>בצקת מוחית</w:t>
            </w:r>
          </w:p>
          <w:p w:rsidR="00BE0AB3" w:rsidRDefault="00BE0AB3">
            <w:pPr>
              <w:pStyle w:val="af8"/>
              <w:numPr>
                <w:ilvl w:val="0"/>
                <w:numId w:val="28"/>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דימומים</w:t>
            </w:r>
          </w:p>
          <w:p w:rsidR="00BE0AB3" w:rsidRDefault="00BE0AB3">
            <w:pPr>
              <w:pStyle w:val="af8"/>
              <w:numPr>
                <w:ilvl w:val="0"/>
                <w:numId w:val="28"/>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בעיות קרדיו וסקולריות</w:t>
            </w:r>
          </w:p>
          <w:p w:rsidR="00BE0AB3" w:rsidRDefault="00BE0AB3">
            <w:pPr>
              <w:pStyle w:val="af8"/>
              <w:numPr>
                <w:ilvl w:val="0"/>
                <w:numId w:val="28"/>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אי ספיקת כליות</w:t>
            </w:r>
          </w:p>
          <w:p w:rsidR="00BE0AB3" w:rsidRDefault="00BE0AB3">
            <w:pPr>
              <w:pStyle w:val="af8"/>
              <w:numPr>
                <w:ilvl w:val="0"/>
                <w:numId w:val="28"/>
              </w:numPr>
              <w:spacing w:after="0" w:line="360" w:lineRule="auto"/>
              <w:ind w:left="174" w:hanging="174"/>
              <w:jc w:val="both"/>
              <w:rPr>
                <w:rFonts w:ascii="David" w:hAnsi="David" w:cs="David"/>
                <w:sz w:val="24"/>
                <w:szCs w:val="24"/>
              </w:rPr>
            </w:pPr>
            <w:r>
              <w:rPr>
                <w:rFonts w:ascii="David" w:hAnsi="David" w:cs="David"/>
                <w:sz w:val="24"/>
                <w:szCs w:val="24"/>
                <w:u w:val="single"/>
                <w:rtl/>
              </w:rPr>
              <w:t>סיבוכים ראייתיים</w:t>
            </w:r>
          </w:p>
          <w:p w:rsidR="00BE0AB3" w:rsidRDefault="00BE0AB3">
            <w:pPr>
              <w:pStyle w:val="af8"/>
              <w:numPr>
                <w:ilvl w:val="0"/>
                <w:numId w:val="28"/>
              </w:numPr>
              <w:spacing w:after="0" w:line="360" w:lineRule="auto"/>
              <w:ind w:left="174" w:hanging="174"/>
              <w:jc w:val="both"/>
              <w:rPr>
                <w:rFonts w:ascii="David" w:hAnsi="David" w:cs="David"/>
                <w:sz w:val="24"/>
                <w:szCs w:val="24"/>
              </w:rPr>
            </w:pPr>
            <w:r>
              <w:rPr>
                <w:rFonts w:ascii="David" w:hAnsi="David" w:cs="David"/>
                <w:sz w:val="24"/>
                <w:szCs w:val="24"/>
                <w:rtl/>
              </w:rPr>
              <w:t>הפרעות ושינויים במאזן חומצה בסיס</w:t>
            </w:r>
          </w:p>
          <w:p w:rsidR="00BE0AB3" w:rsidRDefault="00BE0AB3">
            <w:pPr>
              <w:pStyle w:val="af8"/>
              <w:numPr>
                <w:ilvl w:val="0"/>
                <w:numId w:val="28"/>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ספסיס</w:t>
            </w:r>
          </w:p>
          <w:p w:rsidR="00BE0AB3" w:rsidRDefault="00BE0AB3">
            <w:pPr>
              <w:pStyle w:val="af8"/>
              <w:numPr>
                <w:ilvl w:val="0"/>
                <w:numId w:val="28"/>
              </w:numPr>
              <w:spacing w:after="0" w:line="360" w:lineRule="auto"/>
              <w:ind w:left="174" w:hanging="174"/>
              <w:jc w:val="both"/>
              <w:rPr>
                <w:rFonts w:ascii="David" w:hAnsi="David" w:cs="David"/>
                <w:sz w:val="24"/>
                <w:szCs w:val="24"/>
              </w:rPr>
            </w:pPr>
            <w:r>
              <w:rPr>
                <w:rFonts w:ascii="David" w:hAnsi="David" w:cs="David"/>
                <w:sz w:val="24"/>
                <w:szCs w:val="24"/>
                <w:u w:val="single"/>
                <w:rtl/>
              </w:rPr>
              <w:t>פנקראטיטיס</w:t>
            </w: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שמינית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2830"/>
        </w:trPr>
        <w:tc>
          <w:tcPr>
            <w:tcW w:w="4247" w:type="dxa"/>
            <w:tcBorders>
              <w:top w:val="single" w:sz="4" w:space="0" w:color="auto"/>
              <w:left w:val="single" w:sz="4" w:space="0" w:color="auto"/>
              <w:bottom w:val="single" w:sz="4" w:space="0" w:color="auto"/>
              <w:right w:val="single" w:sz="4" w:space="0" w:color="auto"/>
            </w:tcBorders>
          </w:tcPr>
          <w:p w:rsidR="00BE0AB3" w:rsidRDefault="00BE0AB3">
            <w:pPr>
              <w:rPr>
                <w:rFonts w:ascii="David" w:hAnsi="David"/>
                <w:rtl/>
              </w:rPr>
            </w:pPr>
          </w:p>
          <w:p w:rsidR="00BE0AB3" w:rsidRDefault="00BE0AB3">
            <w:pPr>
              <w:pStyle w:val="af8"/>
              <w:spacing w:after="0" w:line="240" w:lineRule="auto"/>
              <w:ind w:left="180" w:hanging="180"/>
              <w:jc w:val="both"/>
              <w:rPr>
                <w:rFonts w:ascii="David" w:hAnsi="David" w:cs="David"/>
                <w:b/>
                <w:bCs/>
                <w:sz w:val="24"/>
                <w:szCs w:val="24"/>
                <w:rtl/>
              </w:rPr>
            </w:pPr>
            <w:r>
              <w:rPr>
                <w:rFonts w:ascii="David" w:hAnsi="David" w:cs="David"/>
                <w:b/>
                <w:bCs/>
                <w:sz w:val="24"/>
                <w:szCs w:val="24"/>
                <w:rtl/>
              </w:rPr>
              <w:t>כבד שומני-סיבות</w:t>
            </w:r>
          </w:p>
          <w:p w:rsidR="00BE0AB3" w:rsidRDefault="00BE0AB3">
            <w:pPr>
              <w:pStyle w:val="af8"/>
              <w:numPr>
                <w:ilvl w:val="0"/>
                <w:numId w:val="30"/>
              </w:numPr>
              <w:spacing w:after="0" w:line="240" w:lineRule="auto"/>
              <w:ind w:left="180" w:hanging="180"/>
              <w:jc w:val="both"/>
              <w:rPr>
                <w:rFonts w:ascii="David" w:hAnsi="David" w:cs="David"/>
                <w:sz w:val="24"/>
                <w:szCs w:val="24"/>
                <w:u w:val="single"/>
                <w:rtl/>
              </w:rPr>
            </w:pPr>
            <w:r>
              <w:rPr>
                <w:rFonts w:ascii="David" w:hAnsi="David" w:cs="David"/>
                <w:b/>
                <w:bCs/>
                <w:sz w:val="24"/>
                <w:szCs w:val="24"/>
                <w:u w:val="single"/>
                <w:rtl/>
              </w:rPr>
              <w:t>צריכה של חומרים טוקסים- אלכוהוליזם</w:t>
            </w:r>
          </w:p>
          <w:p w:rsidR="00BE0AB3" w:rsidRDefault="00BE0AB3">
            <w:pPr>
              <w:pStyle w:val="af8"/>
              <w:numPr>
                <w:ilvl w:val="0"/>
                <w:numId w:val="30"/>
              </w:numPr>
              <w:spacing w:after="0" w:line="240" w:lineRule="auto"/>
              <w:ind w:left="180" w:hanging="180"/>
              <w:jc w:val="both"/>
              <w:rPr>
                <w:rFonts w:ascii="David" w:hAnsi="David" w:cs="David"/>
                <w:sz w:val="24"/>
                <w:szCs w:val="24"/>
                <w:u w:val="single"/>
              </w:rPr>
            </w:pPr>
            <w:r>
              <w:rPr>
                <w:rFonts w:ascii="David" w:hAnsi="David" w:cs="David"/>
                <w:b/>
                <w:bCs/>
                <w:sz w:val="24"/>
                <w:szCs w:val="24"/>
                <w:rtl/>
              </w:rPr>
              <w:t>(</w:t>
            </w:r>
            <w:r>
              <w:rPr>
                <w:rFonts w:ascii="David" w:hAnsi="David" w:cs="David"/>
                <w:b/>
                <w:bCs/>
                <w:sz w:val="24"/>
                <w:szCs w:val="24"/>
                <w:u w:val="single"/>
              </w:rPr>
              <w:t>non alcoholic fatty liver disease</w:t>
            </w:r>
            <w:r>
              <w:rPr>
                <w:rFonts w:ascii="David" w:hAnsi="David" w:cs="David"/>
                <w:sz w:val="24"/>
                <w:szCs w:val="24"/>
                <w:u w:val="single"/>
                <w:rtl/>
              </w:rPr>
              <w:t>)</w:t>
            </w:r>
            <w:r>
              <w:rPr>
                <w:rFonts w:ascii="David" w:hAnsi="David" w:cs="David"/>
                <w:sz w:val="24"/>
                <w:szCs w:val="24"/>
                <w:u w:val="single"/>
              </w:rPr>
              <w:t xml:space="preserve"> NAFLD</w:t>
            </w:r>
          </w:p>
          <w:p w:rsidR="00BE0AB3" w:rsidRDefault="00BE0AB3">
            <w:pPr>
              <w:ind w:left="180" w:hanging="180"/>
              <w:jc w:val="both"/>
              <w:rPr>
                <w:rFonts w:ascii="David" w:hAnsi="David"/>
              </w:rPr>
            </w:pPr>
            <w:r>
              <w:rPr>
                <w:rFonts w:ascii="David" w:hAnsi="David"/>
                <w:u w:val="single"/>
                <w:rtl/>
              </w:rPr>
              <w:t>קשור ל" סינדרום המטבולי" השמנה, השמנה</w:t>
            </w:r>
            <w:r>
              <w:rPr>
                <w:rFonts w:ascii="David" w:hAnsi="David"/>
                <w:rtl/>
              </w:rPr>
              <w:t xml:space="preserve"> בטנית </w:t>
            </w:r>
            <w:r>
              <w:rPr>
                <w:rFonts w:ascii="David" w:hAnsi="David"/>
                <w:u w:val="single"/>
                <w:rtl/>
              </w:rPr>
              <w:t>ועמידות לאינסולין</w:t>
            </w:r>
            <w:r>
              <w:rPr>
                <w:rFonts w:ascii="David" w:hAnsi="David"/>
                <w:rtl/>
              </w:rPr>
              <w:t>.</w:t>
            </w:r>
          </w:p>
          <w:p w:rsidR="00BE0AB3" w:rsidRDefault="00BE0AB3">
            <w:pPr>
              <w:pStyle w:val="af8"/>
              <w:numPr>
                <w:ilvl w:val="0"/>
                <w:numId w:val="30"/>
              </w:numPr>
              <w:spacing w:after="0" w:line="240" w:lineRule="auto"/>
              <w:ind w:left="180" w:hanging="180"/>
              <w:jc w:val="both"/>
              <w:rPr>
                <w:rFonts w:ascii="David" w:hAnsi="David" w:cs="David"/>
                <w:sz w:val="24"/>
                <w:szCs w:val="24"/>
                <w:u w:val="single"/>
                <w:rtl/>
              </w:rPr>
            </w:pPr>
            <w:r>
              <w:rPr>
                <w:rFonts w:ascii="David" w:hAnsi="David" w:cs="David"/>
                <w:sz w:val="24"/>
                <w:szCs w:val="24"/>
                <w:u w:val="single"/>
                <w:rtl/>
              </w:rPr>
              <w:t>מחסור בחלבונים (</w:t>
            </w:r>
            <w:r>
              <w:rPr>
                <w:rFonts w:ascii="David" w:hAnsi="David" w:cs="David"/>
                <w:sz w:val="24"/>
                <w:szCs w:val="24"/>
                <w:u w:val="single"/>
              </w:rPr>
              <w:t>kwashiorkor</w:t>
            </w:r>
            <w:r>
              <w:rPr>
                <w:rFonts w:ascii="David" w:hAnsi="David" w:cs="David"/>
                <w:sz w:val="24"/>
                <w:szCs w:val="24"/>
                <w:u w:val="single"/>
                <w:rtl/>
              </w:rPr>
              <w:t>)</w:t>
            </w:r>
            <w:r>
              <w:rPr>
                <w:rFonts w:ascii="David" w:hAnsi="David" w:cs="David"/>
                <w:sz w:val="24"/>
                <w:szCs w:val="24"/>
                <w:u w:val="single"/>
              </w:rPr>
              <w:t xml:space="preserve">   </w:t>
            </w:r>
            <w:r>
              <w:rPr>
                <w:rFonts w:ascii="David" w:hAnsi="David" w:cs="David"/>
                <w:sz w:val="24"/>
                <w:szCs w:val="24"/>
                <w:u w:val="single"/>
                <w:rtl/>
              </w:rPr>
              <w:t xml:space="preserve"> תת תזונה</w:t>
            </w:r>
          </w:p>
          <w:p w:rsidR="00BE0AB3" w:rsidRDefault="00BE0AB3">
            <w:pPr>
              <w:pStyle w:val="af8"/>
              <w:numPr>
                <w:ilvl w:val="0"/>
                <w:numId w:val="30"/>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מחלות דלקתיות או גידולים</w:t>
            </w:r>
          </w:p>
          <w:p w:rsidR="00BE0AB3" w:rsidRDefault="00BE0AB3">
            <w:pPr>
              <w:pStyle w:val="af8"/>
              <w:numPr>
                <w:ilvl w:val="0"/>
                <w:numId w:val="30"/>
              </w:numPr>
              <w:spacing w:after="0" w:line="240" w:lineRule="auto"/>
              <w:ind w:left="180" w:hanging="180"/>
              <w:jc w:val="both"/>
              <w:rPr>
                <w:rFonts w:ascii="David" w:hAnsi="David" w:cs="David"/>
                <w:sz w:val="24"/>
                <w:szCs w:val="24"/>
              </w:rPr>
            </w:pPr>
            <w:r>
              <w:rPr>
                <w:rFonts w:ascii="David" w:hAnsi="David" w:cs="David"/>
                <w:sz w:val="24"/>
                <w:szCs w:val="24"/>
                <w:u w:val="single"/>
                <w:rtl/>
              </w:rPr>
              <w:t>תרופות</w:t>
            </w:r>
            <w:r>
              <w:rPr>
                <w:rFonts w:ascii="David" w:hAnsi="David" w:cs="David"/>
                <w:sz w:val="24"/>
                <w:szCs w:val="24"/>
                <w:rtl/>
              </w:rPr>
              <w:t xml:space="preserve"> (כגון: קורטיקוסטרואידים)</w:t>
            </w:r>
          </w:p>
          <w:p w:rsidR="00BE0AB3" w:rsidRDefault="00BE0AB3">
            <w:pPr>
              <w:pStyle w:val="af8"/>
              <w:numPr>
                <w:ilvl w:val="0"/>
                <w:numId w:val="30"/>
              </w:numPr>
              <w:spacing w:after="0" w:line="240" w:lineRule="auto"/>
              <w:ind w:left="180" w:hanging="180"/>
              <w:jc w:val="both"/>
              <w:rPr>
                <w:rFonts w:ascii="David" w:hAnsi="David" w:cs="David"/>
                <w:sz w:val="24"/>
                <w:szCs w:val="24"/>
                <w:u w:val="single"/>
              </w:rPr>
            </w:pPr>
            <w:r>
              <w:rPr>
                <w:rFonts w:ascii="David" w:hAnsi="David" w:cs="David"/>
                <w:sz w:val="24"/>
                <w:szCs w:val="24"/>
                <w:u w:val="single"/>
              </w:rPr>
              <w:t>TPN</w:t>
            </w:r>
            <w:r>
              <w:rPr>
                <w:rFonts w:ascii="David" w:hAnsi="David" w:cs="David"/>
                <w:sz w:val="24"/>
                <w:szCs w:val="24"/>
                <w:u w:val="single"/>
                <w:rtl/>
              </w:rPr>
              <w:t xml:space="preserve"> וניתוחי קיצור מעיים</w:t>
            </w:r>
          </w:p>
          <w:p w:rsidR="00BE0AB3" w:rsidRDefault="00BE0AB3">
            <w:pPr>
              <w:pStyle w:val="af8"/>
              <w:spacing w:after="0" w:line="240" w:lineRule="auto"/>
              <w:ind w:left="322" w:hanging="142"/>
              <w:jc w:val="both"/>
              <w:rPr>
                <w:rFonts w:ascii="David" w:hAnsi="David" w:cs="David"/>
                <w:sz w:val="24"/>
                <w:szCs w:val="24"/>
                <w:rtl/>
              </w:rPr>
            </w:pP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numPr>
                <w:ilvl w:val="0"/>
                <w:numId w:val="14"/>
              </w:numPr>
              <w:spacing w:after="0" w:line="240" w:lineRule="auto"/>
              <w:ind w:left="180" w:hanging="142"/>
              <w:jc w:val="both"/>
              <w:rPr>
                <w:rFonts w:ascii="David" w:hAnsi="David" w:cs="David"/>
                <w:sz w:val="24"/>
                <w:szCs w:val="24"/>
                <w:rtl/>
              </w:rPr>
            </w:pPr>
            <w:r>
              <w:rPr>
                <w:rFonts w:ascii="David" w:hAnsi="David" w:cs="David"/>
                <w:sz w:val="24"/>
                <w:szCs w:val="24"/>
                <w:u w:val="single"/>
                <w:rtl/>
              </w:rPr>
              <w:t>צריכה של חומרים טוקסים-אלכוהליזם</w:t>
            </w:r>
            <w:r>
              <w:rPr>
                <w:rFonts w:ascii="David" w:hAnsi="David" w:cs="David"/>
                <w:sz w:val="24"/>
                <w:szCs w:val="24"/>
                <w:rtl/>
              </w:rPr>
              <w:t xml:space="preserve"> ו/או סמים</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Pr>
              <w:t>Nonalcoholic fatty liver disease)NAFLD</w:t>
            </w:r>
            <w:r>
              <w:rPr>
                <w:rFonts w:ascii="David" w:hAnsi="David" w:cs="David"/>
                <w:sz w:val="24"/>
                <w:szCs w:val="24"/>
                <w:rtl/>
              </w:rPr>
              <w:t>)</w:t>
            </w:r>
            <w:r>
              <w:rPr>
                <w:rFonts w:ascii="David" w:hAnsi="David" w:cs="David"/>
                <w:sz w:val="24"/>
                <w:szCs w:val="24"/>
              </w:rPr>
              <w:t xml:space="preserve"> </w:t>
            </w:r>
            <w:r>
              <w:rPr>
                <w:rFonts w:ascii="David" w:hAnsi="David" w:cs="David"/>
                <w:sz w:val="24"/>
                <w:szCs w:val="24"/>
                <w:rtl/>
              </w:rPr>
              <w:t xml:space="preserve"> </w:t>
            </w:r>
            <w:r>
              <w:rPr>
                <w:rFonts w:ascii="David" w:hAnsi="David" w:cs="David"/>
                <w:sz w:val="24"/>
                <w:szCs w:val="24"/>
                <w:u w:val="single"/>
                <w:rtl/>
              </w:rPr>
              <w:t xml:space="preserve">קשור ל"סינדרום המטבולי": השמנה </w:t>
            </w:r>
            <w:r>
              <w:rPr>
                <w:rFonts w:ascii="David" w:hAnsi="David" w:cs="David"/>
                <w:sz w:val="24"/>
                <w:szCs w:val="24"/>
                <w:rtl/>
              </w:rPr>
              <w:t>בעיקר בטנית,</w:t>
            </w:r>
            <w:r>
              <w:rPr>
                <w:rFonts w:ascii="David" w:hAnsi="David" w:cs="David"/>
                <w:sz w:val="24"/>
                <w:szCs w:val="24"/>
              </w:rPr>
              <w:t>TG</w:t>
            </w:r>
            <w:r>
              <w:rPr>
                <w:rFonts w:ascii="David" w:hAnsi="David" w:cs="David"/>
                <w:sz w:val="24"/>
                <w:szCs w:val="24"/>
                <w:rtl/>
              </w:rPr>
              <w:t xml:space="preserve"> </w:t>
            </w:r>
            <w:r>
              <w:rPr>
                <w:rFonts w:ascii="David" w:hAnsi="David" w:cs="David" w:hint="cs"/>
                <w:sz w:val="24"/>
                <w:szCs w:val="24"/>
                <w:u w:val="single"/>
                <w:rtl/>
              </w:rPr>
              <w:t>ועמידות לאינסולין</w:t>
            </w:r>
            <w:r>
              <w:rPr>
                <w:rFonts w:ascii="David" w:hAnsi="David" w:cs="David" w:hint="cs"/>
                <w:sz w:val="24"/>
                <w:szCs w:val="24"/>
                <w:rtl/>
              </w:rPr>
              <w:t>.</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tl/>
              </w:rPr>
              <w:t xml:space="preserve">מחסור בחלבונים </w:t>
            </w:r>
            <w:r>
              <w:rPr>
                <w:rFonts w:ascii="David" w:hAnsi="David" w:cs="David"/>
                <w:sz w:val="24"/>
                <w:szCs w:val="24"/>
                <w:u w:val="single"/>
              </w:rPr>
              <w:t>kwashiorkor)</w:t>
            </w:r>
            <w:r>
              <w:rPr>
                <w:rFonts w:ascii="David" w:hAnsi="David" w:cs="David"/>
                <w:sz w:val="24"/>
                <w:szCs w:val="24"/>
                <w:u w:val="single"/>
                <w:rtl/>
              </w:rPr>
              <w:t>) תת תזונה</w:t>
            </w:r>
            <w:r>
              <w:rPr>
                <w:rFonts w:ascii="David" w:hAnsi="David" w:cs="David"/>
                <w:sz w:val="24"/>
                <w:szCs w:val="24"/>
                <w:rtl/>
              </w:rPr>
              <w:t>, אנורקסיה נרבוזה</w:t>
            </w:r>
          </w:p>
          <w:p w:rsidR="00BE0AB3" w:rsidRDefault="00BE0AB3">
            <w:pPr>
              <w:pStyle w:val="af8"/>
              <w:numPr>
                <w:ilvl w:val="0"/>
                <w:numId w:val="14"/>
              </w:numPr>
              <w:spacing w:after="0" w:line="240" w:lineRule="auto"/>
              <w:ind w:left="180" w:hanging="142"/>
              <w:jc w:val="both"/>
              <w:rPr>
                <w:rFonts w:ascii="David" w:hAnsi="David" w:cs="David"/>
                <w:sz w:val="24"/>
                <w:szCs w:val="24"/>
                <w:u w:val="single"/>
              </w:rPr>
            </w:pPr>
            <w:r>
              <w:rPr>
                <w:rFonts w:ascii="David" w:hAnsi="David" w:cs="David"/>
                <w:sz w:val="24"/>
                <w:szCs w:val="24"/>
                <w:u w:val="single"/>
                <w:rtl/>
              </w:rPr>
              <w:t>מחלות דלקתיות או גידולים</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tl/>
              </w:rPr>
              <w:t>תרופות</w:t>
            </w:r>
            <w:r>
              <w:rPr>
                <w:rFonts w:ascii="David" w:hAnsi="David" w:cs="David"/>
                <w:sz w:val="24"/>
                <w:szCs w:val="24"/>
                <w:rtl/>
              </w:rPr>
              <w:t xml:space="preserve"> מסוימות (סטרואידים)</w:t>
            </w:r>
          </w:p>
          <w:p w:rsidR="00BE0AB3" w:rsidRDefault="00BE0AB3">
            <w:pPr>
              <w:pStyle w:val="af8"/>
              <w:numPr>
                <w:ilvl w:val="0"/>
                <w:numId w:val="14"/>
              </w:numPr>
              <w:spacing w:after="0" w:line="240" w:lineRule="auto"/>
              <w:ind w:left="180" w:hanging="142"/>
              <w:jc w:val="both"/>
              <w:rPr>
                <w:rFonts w:ascii="David" w:hAnsi="David" w:cs="David"/>
                <w:sz w:val="24"/>
                <w:szCs w:val="24"/>
              </w:rPr>
            </w:pPr>
            <w:r>
              <w:rPr>
                <w:rFonts w:ascii="David" w:hAnsi="David" w:cs="David"/>
                <w:sz w:val="24"/>
                <w:szCs w:val="24"/>
                <w:u w:val="single"/>
              </w:rPr>
              <w:t>TPN</w:t>
            </w:r>
            <w:r>
              <w:rPr>
                <w:rFonts w:ascii="David" w:hAnsi="David" w:cs="David"/>
                <w:sz w:val="24"/>
                <w:szCs w:val="24"/>
                <w:u w:val="single"/>
                <w:rtl/>
              </w:rPr>
              <w:t xml:space="preserve"> וניתוחי קיצור מעיים</w:t>
            </w:r>
            <w:r>
              <w:rPr>
                <w:rFonts w:ascii="David" w:hAnsi="David" w:cs="David"/>
                <w:sz w:val="24"/>
                <w:szCs w:val="24"/>
                <w:rtl/>
              </w:rPr>
              <w:t xml:space="preserve"> (</w:t>
            </w:r>
            <w:r>
              <w:rPr>
                <w:rFonts w:ascii="David" w:hAnsi="David" w:cs="David"/>
                <w:sz w:val="24"/>
                <w:szCs w:val="24"/>
              </w:rPr>
              <w:t xml:space="preserve">BPD </w:t>
            </w:r>
            <w:r>
              <w:rPr>
                <w:rFonts w:ascii="David" w:hAnsi="David" w:cs="David"/>
                <w:sz w:val="24"/>
                <w:szCs w:val="24"/>
                <w:rtl/>
              </w:rPr>
              <w:t xml:space="preserve"> ו- </w:t>
            </w:r>
            <w:r>
              <w:rPr>
                <w:rFonts w:ascii="David" w:hAnsi="David" w:cs="David"/>
                <w:sz w:val="24"/>
                <w:szCs w:val="24"/>
              </w:rPr>
              <w:t xml:space="preserve"> BPD-DS </w:t>
            </w:r>
            <w:r w:rsidR="00572A95">
              <w:rPr>
                <w:rFonts w:ascii="David" w:hAnsi="David" w:cs="David"/>
                <w:sz w:val="24"/>
                <w:szCs w:val="24"/>
                <w:rtl/>
              </w:rPr>
              <w:t xml:space="preserve"> </w:t>
            </w:r>
            <w:r>
              <w:rPr>
                <w:rFonts w:ascii="David" w:hAnsi="David" w:cs="David"/>
                <w:sz w:val="24"/>
                <w:szCs w:val="24"/>
                <w:rtl/>
              </w:rPr>
              <w:t xml:space="preserve"> </w:t>
            </w:r>
          </w:p>
          <w:p w:rsidR="00BE0AB3" w:rsidRDefault="00BE0AB3">
            <w:pPr>
              <w:pStyle w:val="af8"/>
              <w:spacing w:after="0" w:line="360" w:lineRule="auto"/>
              <w:ind w:left="174"/>
              <w:jc w:val="both"/>
              <w:rPr>
                <w:rFonts w:ascii="David" w:hAnsi="David" w:cs="David"/>
                <w:sz w:val="24"/>
                <w:szCs w:val="24"/>
              </w:rPr>
            </w:pP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תשיעית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105"/>
        <w:gridCol w:w="4675"/>
      </w:tblGrid>
      <w:tr w:rsidR="00BE0AB3" w:rsidTr="00572A95">
        <w:trPr>
          <w:trHeight w:val="793"/>
        </w:trPr>
        <w:tc>
          <w:tcPr>
            <w:tcW w:w="410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67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446"/>
        </w:trPr>
        <w:tc>
          <w:tcPr>
            <w:tcW w:w="410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322" w:hanging="142"/>
              <w:jc w:val="both"/>
              <w:rPr>
                <w:rFonts w:ascii="David" w:hAnsi="David" w:cs="David"/>
                <w:b/>
                <w:bCs/>
                <w:sz w:val="24"/>
                <w:szCs w:val="24"/>
                <w:rtl/>
              </w:rPr>
            </w:pPr>
            <w:r>
              <w:rPr>
                <w:rFonts w:ascii="David" w:hAnsi="David" w:cs="David"/>
                <w:b/>
                <w:bCs/>
                <w:sz w:val="24"/>
                <w:szCs w:val="24"/>
                <w:rtl/>
              </w:rPr>
              <w:lastRenderedPageBreak/>
              <w:t>גורמי סיכון:</w:t>
            </w:r>
          </w:p>
          <w:p w:rsidR="00BE0AB3" w:rsidRDefault="00BE0AB3">
            <w:pPr>
              <w:pStyle w:val="af8"/>
              <w:numPr>
                <w:ilvl w:val="0"/>
                <w:numId w:val="22"/>
              </w:numPr>
              <w:spacing w:after="0" w:line="240" w:lineRule="auto"/>
              <w:ind w:left="322" w:hanging="142"/>
              <w:jc w:val="both"/>
              <w:rPr>
                <w:rFonts w:ascii="David" w:hAnsi="David" w:cs="David"/>
                <w:sz w:val="24"/>
                <w:szCs w:val="24"/>
                <w:u w:val="single"/>
                <w:rtl/>
              </w:rPr>
            </w:pPr>
            <w:r>
              <w:rPr>
                <w:rFonts w:ascii="David" w:hAnsi="David" w:cs="David"/>
                <w:sz w:val="24"/>
                <w:szCs w:val="24"/>
                <w:u w:val="single"/>
                <w:rtl/>
              </w:rPr>
              <w:t>כמות שתייה</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נטייה גנטית</w:t>
            </w:r>
          </w:p>
          <w:p w:rsidR="00BE0AB3" w:rsidRDefault="00BE0AB3">
            <w:pPr>
              <w:pStyle w:val="af8"/>
              <w:numPr>
                <w:ilvl w:val="0"/>
                <w:numId w:val="22"/>
              </w:numPr>
              <w:spacing w:after="0" w:line="240" w:lineRule="auto"/>
              <w:ind w:left="322" w:hanging="142"/>
              <w:jc w:val="both"/>
              <w:rPr>
                <w:rFonts w:ascii="David" w:hAnsi="David" w:cs="David"/>
                <w:sz w:val="24"/>
                <w:szCs w:val="24"/>
              </w:rPr>
            </w:pPr>
            <w:r>
              <w:rPr>
                <w:rFonts w:ascii="David" w:hAnsi="David" w:cs="David"/>
                <w:sz w:val="24"/>
                <w:szCs w:val="24"/>
                <w:u w:val="single"/>
                <w:rtl/>
              </w:rPr>
              <w:t>מין</w:t>
            </w:r>
            <w:r>
              <w:rPr>
                <w:rFonts w:ascii="David" w:hAnsi="David" w:cs="David"/>
                <w:sz w:val="24"/>
                <w:szCs w:val="24"/>
                <w:rtl/>
              </w:rPr>
              <w:t xml:space="preserve"> (</w:t>
            </w:r>
            <w:r>
              <w:rPr>
                <w:rFonts w:ascii="David" w:hAnsi="David" w:cs="David"/>
                <w:sz w:val="24"/>
                <w:szCs w:val="24"/>
                <w:u w:val="single"/>
                <w:rtl/>
              </w:rPr>
              <w:t>נשים</w:t>
            </w:r>
            <w:r>
              <w:rPr>
                <w:rFonts w:ascii="David" w:hAnsi="David" w:cs="David"/>
                <w:sz w:val="24"/>
                <w:szCs w:val="24"/>
                <w:rtl/>
              </w:rPr>
              <w:t>)</w:t>
            </w:r>
          </w:p>
          <w:p w:rsidR="00BE0AB3" w:rsidRDefault="00BE0AB3">
            <w:pPr>
              <w:pStyle w:val="af8"/>
              <w:numPr>
                <w:ilvl w:val="0"/>
                <w:numId w:val="22"/>
              </w:numPr>
              <w:spacing w:after="0" w:line="240" w:lineRule="auto"/>
              <w:ind w:left="322" w:hanging="142"/>
              <w:jc w:val="both"/>
              <w:rPr>
                <w:rFonts w:ascii="David" w:hAnsi="David" w:cs="David"/>
                <w:sz w:val="24"/>
                <w:szCs w:val="24"/>
              </w:rPr>
            </w:pPr>
            <w:r>
              <w:rPr>
                <w:rFonts w:ascii="David" w:hAnsi="David" w:cs="David"/>
                <w:sz w:val="24"/>
                <w:szCs w:val="24"/>
                <w:rtl/>
              </w:rPr>
              <w:t>שימוש בתרופות במקביל לאלכוהול</w:t>
            </w:r>
          </w:p>
          <w:p w:rsidR="00BE0AB3" w:rsidRDefault="00BE0AB3">
            <w:pPr>
              <w:pStyle w:val="af8"/>
              <w:numPr>
                <w:ilvl w:val="0"/>
                <w:numId w:val="22"/>
              </w:numPr>
              <w:spacing w:after="0" w:line="240" w:lineRule="auto"/>
              <w:ind w:left="322" w:hanging="142"/>
              <w:jc w:val="both"/>
              <w:rPr>
                <w:rFonts w:ascii="David" w:hAnsi="David" w:cs="David"/>
                <w:sz w:val="24"/>
                <w:szCs w:val="24"/>
                <w:u w:val="single"/>
              </w:rPr>
            </w:pPr>
            <w:r>
              <w:rPr>
                <w:rFonts w:ascii="David" w:hAnsi="David" w:cs="David"/>
                <w:sz w:val="24"/>
                <w:szCs w:val="24"/>
                <w:u w:val="single"/>
                <w:rtl/>
              </w:rPr>
              <w:t>דלקות ויראליות</w:t>
            </w:r>
          </w:p>
          <w:p w:rsidR="00BE0AB3" w:rsidRDefault="00BE0AB3">
            <w:pPr>
              <w:pStyle w:val="af8"/>
              <w:numPr>
                <w:ilvl w:val="0"/>
                <w:numId w:val="22"/>
              </w:numPr>
              <w:spacing w:after="0" w:line="240" w:lineRule="auto"/>
              <w:ind w:left="322" w:hanging="142"/>
              <w:jc w:val="both"/>
              <w:rPr>
                <w:rFonts w:ascii="David" w:hAnsi="David" w:cs="David"/>
                <w:sz w:val="24"/>
                <w:szCs w:val="24"/>
              </w:rPr>
            </w:pPr>
            <w:r>
              <w:rPr>
                <w:rFonts w:ascii="David" w:hAnsi="David" w:cs="David"/>
                <w:sz w:val="24"/>
                <w:szCs w:val="24"/>
                <w:u w:val="single"/>
                <w:rtl/>
              </w:rPr>
              <w:t>גורמים אימונולוגיים</w:t>
            </w:r>
          </w:p>
        </w:tc>
        <w:tc>
          <w:tcPr>
            <w:tcW w:w="467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316" w:hanging="142"/>
              <w:jc w:val="both"/>
              <w:rPr>
                <w:rFonts w:ascii="David" w:hAnsi="David" w:cs="David"/>
                <w:sz w:val="24"/>
                <w:szCs w:val="24"/>
                <w:u w:val="single"/>
                <w:rtl/>
              </w:rPr>
            </w:pPr>
            <w:r>
              <w:rPr>
                <w:rFonts w:ascii="David" w:hAnsi="David" w:cs="David"/>
                <w:sz w:val="24"/>
                <w:szCs w:val="24"/>
                <w:u w:val="single"/>
                <w:rtl/>
              </w:rPr>
              <w:t>גורמי סיכון:</w:t>
            </w:r>
          </w:p>
          <w:p w:rsidR="00BE0AB3" w:rsidRDefault="00BE0AB3">
            <w:pPr>
              <w:pStyle w:val="af8"/>
              <w:numPr>
                <w:ilvl w:val="0"/>
                <w:numId w:val="14"/>
              </w:numPr>
              <w:spacing w:after="0" w:line="360" w:lineRule="auto"/>
              <w:ind w:left="316" w:hanging="142"/>
              <w:jc w:val="both"/>
              <w:rPr>
                <w:rFonts w:ascii="David" w:hAnsi="David" w:cs="David"/>
                <w:sz w:val="24"/>
                <w:szCs w:val="24"/>
                <w:u w:val="single"/>
                <w:rtl/>
              </w:rPr>
            </w:pPr>
            <w:r>
              <w:rPr>
                <w:rFonts w:ascii="David" w:hAnsi="David" w:cs="David"/>
                <w:sz w:val="24"/>
                <w:szCs w:val="24"/>
                <w:u w:val="single"/>
                <w:rtl/>
              </w:rPr>
              <w:t>כמות שתייה</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נטייה גנטית</w:t>
            </w:r>
          </w:p>
          <w:p w:rsidR="00BE0AB3" w:rsidRDefault="00BE0AB3">
            <w:pPr>
              <w:pStyle w:val="af8"/>
              <w:numPr>
                <w:ilvl w:val="0"/>
                <w:numId w:val="14"/>
              </w:numPr>
              <w:spacing w:after="0" w:line="360" w:lineRule="auto"/>
              <w:ind w:left="316" w:hanging="142"/>
              <w:jc w:val="both"/>
              <w:rPr>
                <w:rFonts w:ascii="David" w:hAnsi="David" w:cs="David"/>
                <w:sz w:val="24"/>
                <w:szCs w:val="24"/>
              </w:rPr>
            </w:pPr>
            <w:r>
              <w:rPr>
                <w:rFonts w:ascii="David" w:hAnsi="David" w:cs="David"/>
                <w:sz w:val="24"/>
                <w:szCs w:val="24"/>
                <w:u w:val="single"/>
                <w:rtl/>
              </w:rPr>
              <w:t>מין</w:t>
            </w:r>
            <w:r>
              <w:rPr>
                <w:rFonts w:ascii="David" w:hAnsi="David" w:cs="David"/>
                <w:sz w:val="24"/>
                <w:szCs w:val="24"/>
                <w:rtl/>
              </w:rPr>
              <w:t xml:space="preserve"> (יותר ב</w:t>
            </w:r>
            <w:r>
              <w:rPr>
                <w:rFonts w:ascii="David" w:hAnsi="David" w:cs="David"/>
                <w:sz w:val="24"/>
                <w:szCs w:val="24"/>
                <w:u w:val="single"/>
                <w:rtl/>
              </w:rPr>
              <w:t>נשים</w:t>
            </w:r>
            <w:r>
              <w:rPr>
                <w:rFonts w:ascii="David" w:hAnsi="David" w:cs="David"/>
                <w:sz w:val="24"/>
                <w:szCs w:val="24"/>
                <w:rtl/>
              </w:rPr>
              <w:t>)</w:t>
            </w:r>
          </w:p>
          <w:p w:rsidR="00BE0AB3" w:rsidRDefault="00BE0AB3">
            <w:pPr>
              <w:pStyle w:val="af8"/>
              <w:numPr>
                <w:ilvl w:val="0"/>
                <w:numId w:val="14"/>
              </w:numPr>
              <w:spacing w:after="0" w:line="360" w:lineRule="auto"/>
              <w:ind w:left="316" w:hanging="142"/>
              <w:jc w:val="both"/>
              <w:rPr>
                <w:rFonts w:ascii="David" w:hAnsi="David" w:cs="David"/>
                <w:sz w:val="24"/>
                <w:szCs w:val="24"/>
              </w:rPr>
            </w:pPr>
            <w:r>
              <w:rPr>
                <w:rFonts w:ascii="David" w:hAnsi="David" w:cs="David"/>
                <w:sz w:val="24"/>
                <w:szCs w:val="24"/>
                <w:rtl/>
              </w:rPr>
              <w:t>שימוש בתרופות במקביל לאלכוהול</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דלקות ויראליות</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גורמים אימונולוגיים</w:t>
            </w:r>
          </w:p>
          <w:p w:rsidR="00BE0AB3" w:rsidRDefault="00BE0AB3">
            <w:pPr>
              <w:pStyle w:val="af8"/>
              <w:numPr>
                <w:ilvl w:val="0"/>
                <w:numId w:val="14"/>
              </w:numPr>
              <w:spacing w:after="0" w:line="360" w:lineRule="auto"/>
              <w:ind w:left="316" w:hanging="142"/>
              <w:jc w:val="both"/>
              <w:rPr>
                <w:rFonts w:ascii="David" w:hAnsi="David" w:cs="David"/>
                <w:sz w:val="24"/>
                <w:szCs w:val="24"/>
              </w:rPr>
            </w:pPr>
            <w:r>
              <w:rPr>
                <w:rFonts w:ascii="David" w:hAnsi="David" w:cs="David"/>
                <w:sz w:val="24"/>
                <w:szCs w:val="24"/>
                <w:rtl/>
              </w:rPr>
              <w:t>מצב תזונתי ירוד המלווה כמעט תמיד עם האלכוהליזם</w:t>
            </w:r>
          </w:p>
        </w:tc>
      </w:tr>
    </w:tbl>
    <w:p w:rsidR="00BE0AB3" w:rsidRDefault="00BE0AB3" w:rsidP="00BE0AB3">
      <w:pPr>
        <w:pStyle w:val="af8"/>
        <w:spacing w:line="360" w:lineRule="auto"/>
        <w:ind w:left="1440"/>
        <w:jc w:val="both"/>
        <w:rPr>
          <w:rtl/>
        </w:rPr>
      </w:pPr>
    </w:p>
    <w:p w:rsidR="00BE0AB3" w:rsidRDefault="00BE0AB3" w:rsidP="00572A95">
      <w:pPr>
        <w:pStyle w:val="af8"/>
        <w:numPr>
          <w:ilvl w:val="0"/>
          <w:numId w:val="12"/>
        </w:numPr>
        <w:spacing w:line="360" w:lineRule="auto"/>
        <w:ind w:left="678" w:right="-709" w:hanging="425"/>
        <w:jc w:val="both"/>
        <w:rPr>
          <w:rtl/>
        </w:rPr>
      </w:pPr>
      <w:r>
        <w:rPr>
          <w:rFonts w:ascii="David" w:hAnsi="David" w:cs="David"/>
          <w:b/>
          <w:bCs/>
          <w:sz w:val="24"/>
          <w:szCs w:val="24"/>
          <w:u w:val="single"/>
          <w:rtl/>
        </w:rPr>
        <w:t>דוגמא עשירית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54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463" w:hanging="283"/>
              <w:jc w:val="both"/>
              <w:rPr>
                <w:rFonts w:ascii="David" w:hAnsi="David" w:cs="David"/>
                <w:b/>
                <w:bCs/>
                <w:sz w:val="24"/>
                <w:szCs w:val="24"/>
                <w:rtl/>
              </w:rPr>
            </w:pPr>
            <w:r>
              <w:rPr>
                <w:rFonts w:ascii="David" w:hAnsi="David" w:cs="David"/>
                <w:b/>
                <w:bCs/>
                <w:sz w:val="24"/>
                <w:szCs w:val="24"/>
                <w:rtl/>
              </w:rPr>
              <w:t>גורמים</w:t>
            </w:r>
          </w:p>
          <w:p w:rsidR="00BE0AB3" w:rsidRDefault="00BE0AB3">
            <w:pPr>
              <w:pStyle w:val="af8"/>
              <w:numPr>
                <w:ilvl w:val="0"/>
                <w:numId w:val="22"/>
              </w:numPr>
              <w:spacing w:after="0" w:line="240" w:lineRule="auto"/>
              <w:ind w:left="463" w:hanging="283"/>
              <w:jc w:val="both"/>
              <w:rPr>
                <w:rFonts w:ascii="David" w:hAnsi="David" w:cs="David"/>
                <w:sz w:val="24"/>
                <w:szCs w:val="24"/>
                <w:u w:val="single"/>
                <w:rtl/>
              </w:rPr>
            </w:pPr>
            <w:r>
              <w:rPr>
                <w:rFonts w:ascii="David" w:hAnsi="David" w:cs="David"/>
                <w:sz w:val="24"/>
                <w:szCs w:val="24"/>
                <w:u w:val="single"/>
                <w:rtl/>
              </w:rPr>
              <w:t>מחלות כבד על רקע אלכוהול</w:t>
            </w:r>
          </w:p>
          <w:p w:rsidR="00BE0AB3" w:rsidRDefault="00BE0AB3">
            <w:pPr>
              <w:pStyle w:val="af8"/>
              <w:numPr>
                <w:ilvl w:val="0"/>
                <w:numId w:val="22"/>
              </w:numPr>
              <w:spacing w:after="0" w:line="240" w:lineRule="auto"/>
              <w:ind w:left="463" w:hanging="283"/>
              <w:jc w:val="both"/>
              <w:rPr>
                <w:rFonts w:ascii="David" w:hAnsi="David" w:cs="David"/>
                <w:sz w:val="24"/>
                <w:szCs w:val="24"/>
                <w:u w:val="single"/>
              </w:rPr>
            </w:pPr>
            <w:r>
              <w:rPr>
                <w:rFonts w:ascii="David" w:hAnsi="David" w:cs="David"/>
                <w:sz w:val="24"/>
                <w:szCs w:val="24"/>
                <w:u w:val="single"/>
                <w:rtl/>
              </w:rPr>
              <w:t>הפטיטיס אוטואימניות</w:t>
            </w:r>
          </w:p>
          <w:p w:rsidR="00BE0AB3" w:rsidRDefault="00BE0AB3">
            <w:pPr>
              <w:pStyle w:val="af8"/>
              <w:numPr>
                <w:ilvl w:val="0"/>
                <w:numId w:val="22"/>
              </w:numPr>
              <w:spacing w:after="0" w:line="240" w:lineRule="auto"/>
              <w:ind w:left="463" w:hanging="283"/>
              <w:jc w:val="both"/>
              <w:rPr>
                <w:rFonts w:ascii="David" w:hAnsi="David" w:cs="David"/>
                <w:sz w:val="24"/>
                <w:szCs w:val="24"/>
                <w:u w:val="single"/>
              </w:rPr>
            </w:pPr>
            <w:r>
              <w:rPr>
                <w:rFonts w:ascii="David" w:hAnsi="David" w:cs="David"/>
                <w:sz w:val="24"/>
                <w:szCs w:val="24"/>
                <w:u w:val="single"/>
                <w:rtl/>
              </w:rPr>
              <w:t>הפטיטיס ויראלית (</w:t>
            </w:r>
            <w:r>
              <w:rPr>
                <w:rFonts w:ascii="David" w:hAnsi="David" w:cs="David"/>
                <w:sz w:val="24"/>
                <w:szCs w:val="24"/>
                <w:u w:val="single"/>
              </w:rPr>
              <w:t>B,C</w:t>
            </w:r>
            <w:r>
              <w:rPr>
                <w:rFonts w:ascii="David" w:hAnsi="David" w:cs="David"/>
                <w:sz w:val="24"/>
                <w:szCs w:val="24"/>
                <w:u w:val="single"/>
                <w:rtl/>
              </w:rPr>
              <w:t>)</w:t>
            </w:r>
          </w:p>
          <w:p w:rsidR="00BE0AB3" w:rsidRDefault="00BE0AB3">
            <w:pPr>
              <w:pStyle w:val="af8"/>
              <w:numPr>
                <w:ilvl w:val="0"/>
                <w:numId w:val="22"/>
              </w:numPr>
              <w:spacing w:after="0" w:line="240" w:lineRule="auto"/>
              <w:ind w:left="463" w:hanging="283"/>
              <w:jc w:val="both"/>
              <w:rPr>
                <w:rFonts w:ascii="David" w:hAnsi="David" w:cs="David"/>
                <w:sz w:val="24"/>
                <w:szCs w:val="24"/>
                <w:u w:val="single"/>
              </w:rPr>
            </w:pPr>
            <w:r>
              <w:rPr>
                <w:rFonts w:ascii="David" w:hAnsi="David" w:cs="David"/>
                <w:sz w:val="24"/>
                <w:szCs w:val="24"/>
                <w:u w:val="single"/>
                <w:rtl/>
              </w:rPr>
              <w:t>מחלות דרכי מרה חסמתיות (</w:t>
            </w:r>
            <w:r>
              <w:rPr>
                <w:rFonts w:ascii="David" w:hAnsi="David" w:cs="David"/>
                <w:sz w:val="24"/>
                <w:szCs w:val="24"/>
                <w:u w:val="single"/>
              </w:rPr>
              <w:t>CF</w:t>
            </w:r>
            <w:r>
              <w:rPr>
                <w:rFonts w:ascii="David" w:hAnsi="David" w:cs="David"/>
                <w:sz w:val="24"/>
                <w:szCs w:val="24"/>
                <w:u w:val="single"/>
                <w:rtl/>
              </w:rPr>
              <w:t>)</w:t>
            </w:r>
          </w:p>
          <w:p w:rsidR="00BE0AB3" w:rsidRDefault="00BE0AB3">
            <w:pPr>
              <w:pStyle w:val="af8"/>
              <w:numPr>
                <w:ilvl w:val="0"/>
                <w:numId w:val="22"/>
              </w:numPr>
              <w:spacing w:after="0" w:line="240" w:lineRule="auto"/>
              <w:ind w:left="463" w:hanging="283"/>
              <w:jc w:val="both"/>
              <w:rPr>
                <w:rFonts w:ascii="David" w:hAnsi="David" w:cs="David"/>
                <w:sz w:val="24"/>
                <w:szCs w:val="24"/>
                <w:u w:val="single"/>
              </w:rPr>
            </w:pPr>
            <w:r>
              <w:rPr>
                <w:rFonts w:ascii="David" w:hAnsi="David" w:cs="David"/>
                <w:sz w:val="24"/>
                <w:szCs w:val="24"/>
                <w:u w:val="single"/>
                <w:rtl/>
              </w:rPr>
              <w:t>תרופות</w:t>
            </w:r>
          </w:p>
          <w:p w:rsidR="00BE0AB3" w:rsidRDefault="00BE0AB3">
            <w:pPr>
              <w:pStyle w:val="af8"/>
              <w:numPr>
                <w:ilvl w:val="0"/>
                <w:numId w:val="22"/>
              </w:numPr>
              <w:spacing w:after="0" w:line="240" w:lineRule="auto"/>
              <w:ind w:left="463" w:hanging="283"/>
              <w:jc w:val="both"/>
              <w:rPr>
                <w:rFonts w:ascii="David" w:hAnsi="David" w:cs="David"/>
                <w:sz w:val="24"/>
                <w:szCs w:val="24"/>
              </w:rPr>
            </w:pPr>
            <w:r>
              <w:rPr>
                <w:rFonts w:ascii="David" w:hAnsi="David" w:cs="David"/>
                <w:sz w:val="24"/>
                <w:szCs w:val="24"/>
                <w:u w:val="single"/>
                <w:rtl/>
              </w:rPr>
              <w:t>מחלות כגון ווילסון, מחלת אגירת</w:t>
            </w:r>
            <w:r>
              <w:rPr>
                <w:rFonts w:ascii="David" w:hAnsi="David" w:cs="David"/>
                <w:sz w:val="24"/>
                <w:szCs w:val="24"/>
                <w:rtl/>
              </w:rPr>
              <w:t xml:space="preserve"> </w:t>
            </w:r>
            <w:r>
              <w:rPr>
                <w:rFonts w:ascii="David" w:hAnsi="David" w:cs="David"/>
                <w:sz w:val="24"/>
                <w:szCs w:val="24"/>
                <w:u w:val="single"/>
                <w:rtl/>
              </w:rPr>
              <w:t>גליקוגן</w:t>
            </w:r>
          </w:p>
          <w:p w:rsidR="00BE0AB3" w:rsidRDefault="00BE0AB3">
            <w:pPr>
              <w:pStyle w:val="af8"/>
              <w:numPr>
                <w:ilvl w:val="0"/>
                <w:numId w:val="22"/>
              </w:numPr>
              <w:spacing w:after="0" w:line="240" w:lineRule="auto"/>
              <w:ind w:left="463" w:hanging="283"/>
              <w:jc w:val="both"/>
              <w:rPr>
                <w:rFonts w:ascii="David" w:hAnsi="David" w:cs="David"/>
                <w:sz w:val="24"/>
                <w:szCs w:val="24"/>
                <w:u w:val="single"/>
              </w:rPr>
            </w:pPr>
            <w:r>
              <w:rPr>
                <w:rFonts w:ascii="David" w:hAnsi="David" w:cs="David"/>
                <w:sz w:val="24"/>
                <w:szCs w:val="24"/>
                <w:u w:val="single"/>
              </w:rPr>
              <w:t>NASH</w:t>
            </w:r>
          </w:p>
          <w:p w:rsidR="00BE0AB3" w:rsidRDefault="00BE0AB3">
            <w:pPr>
              <w:pStyle w:val="af8"/>
              <w:spacing w:after="0" w:line="240" w:lineRule="auto"/>
              <w:ind w:left="322"/>
              <w:jc w:val="both"/>
              <w:rPr>
                <w:rFonts w:ascii="David" w:hAnsi="David" w:cs="David"/>
                <w:sz w:val="24"/>
                <w:szCs w:val="24"/>
                <w:rtl/>
              </w:rPr>
            </w:pP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142"/>
              <w:jc w:val="both"/>
              <w:rPr>
                <w:rFonts w:ascii="David" w:hAnsi="David" w:cs="David"/>
                <w:b/>
                <w:bCs/>
                <w:sz w:val="24"/>
                <w:szCs w:val="24"/>
                <w:u w:val="single"/>
                <w:rtl/>
              </w:rPr>
            </w:pPr>
            <w:r>
              <w:rPr>
                <w:rFonts w:ascii="David" w:hAnsi="David" w:cs="David"/>
                <w:b/>
                <w:bCs/>
                <w:sz w:val="24"/>
                <w:szCs w:val="24"/>
                <w:u w:val="single"/>
                <w:rtl/>
              </w:rPr>
              <w:t>גורמים:</w:t>
            </w:r>
          </w:p>
          <w:p w:rsidR="00BE0AB3" w:rsidRDefault="00BE0AB3">
            <w:pPr>
              <w:pStyle w:val="af8"/>
              <w:numPr>
                <w:ilvl w:val="0"/>
                <w:numId w:val="14"/>
              </w:numPr>
              <w:spacing w:after="0" w:line="360" w:lineRule="auto"/>
              <w:ind w:left="316" w:hanging="142"/>
              <w:jc w:val="both"/>
              <w:rPr>
                <w:rFonts w:ascii="David" w:hAnsi="David" w:cs="David"/>
                <w:sz w:val="24"/>
                <w:szCs w:val="24"/>
                <w:u w:val="single"/>
                <w:rtl/>
              </w:rPr>
            </w:pPr>
            <w:r>
              <w:rPr>
                <w:rFonts w:ascii="David" w:hAnsi="David" w:cs="David"/>
                <w:sz w:val="24"/>
                <w:szCs w:val="24"/>
                <w:u w:val="single"/>
                <w:rtl/>
              </w:rPr>
              <w:t>מחלת כבד על רקע אלכוהול</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הפטיטיס אוטואימונית</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הפטיטיס ויראלית (</w:t>
            </w:r>
            <w:r>
              <w:rPr>
                <w:rFonts w:ascii="David" w:hAnsi="David" w:cs="David"/>
                <w:sz w:val="24"/>
                <w:szCs w:val="24"/>
                <w:u w:val="single"/>
              </w:rPr>
              <w:t>C,B</w:t>
            </w:r>
            <w:r>
              <w:rPr>
                <w:rFonts w:ascii="David" w:hAnsi="David" w:cs="David"/>
                <w:sz w:val="24"/>
                <w:szCs w:val="24"/>
                <w:u w:val="single"/>
                <w:rtl/>
              </w:rPr>
              <w:t>)</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מחלות דרכי מרה חסימתיות (</w:t>
            </w:r>
            <w:r>
              <w:rPr>
                <w:rFonts w:ascii="David" w:hAnsi="David" w:cs="David"/>
                <w:sz w:val="24"/>
                <w:szCs w:val="24"/>
                <w:u w:val="single"/>
              </w:rPr>
              <w:t>CF</w:t>
            </w:r>
            <w:r>
              <w:rPr>
                <w:rFonts w:ascii="David" w:hAnsi="David" w:cs="David"/>
                <w:sz w:val="24"/>
                <w:szCs w:val="24"/>
                <w:u w:val="single"/>
                <w:rtl/>
              </w:rPr>
              <w:t>)</w:t>
            </w:r>
          </w:p>
          <w:p w:rsidR="00BE0AB3" w:rsidRDefault="00BE0AB3">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tl/>
              </w:rPr>
              <w:t>תרופות</w:t>
            </w:r>
          </w:p>
          <w:p w:rsidR="00BE0AB3" w:rsidRDefault="00BE0AB3">
            <w:pPr>
              <w:pStyle w:val="af8"/>
              <w:numPr>
                <w:ilvl w:val="0"/>
                <w:numId w:val="14"/>
              </w:numPr>
              <w:spacing w:after="0" w:line="360" w:lineRule="auto"/>
              <w:ind w:left="316" w:hanging="142"/>
              <w:jc w:val="both"/>
              <w:rPr>
                <w:rFonts w:ascii="David" w:hAnsi="David" w:cs="David"/>
                <w:sz w:val="24"/>
                <w:szCs w:val="24"/>
              </w:rPr>
            </w:pPr>
            <w:r>
              <w:rPr>
                <w:rFonts w:ascii="David" w:hAnsi="David" w:cs="David"/>
                <w:sz w:val="24"/>
                <w:szCs w:val="24"/>
                <w:u w:val="single"/>
                <w:rtl/>
              </w:rPr>
              <w:t xml:space="preserve">מחלות, כגון: </w:t>
            </w:r>
            <w:r>
              <w:rPr>
                <w:rFonts w:ascii="David" w:hAnsi="David" w:cs="David"/>
                <w:b/>
                <w:bCs/>
                <w:sz w:val="24"/>
                <w:szCs w:val="24"/>
                <w:u w:val="single"/>
                <w:rtl/>
              </w:rPr>
              <w:t>ווילסון (מחלת אגירת</w:t>
            </w:r>
            <w:r>
              <w:rPr>
                <w:rFonts w:ascii="David" w:hAnsi="David" w:cs="David"/>
                <w:b/>
                <w:bCs/>
                <w:sz w:val="24"/>
                <w:szCs w:val="24"/>
                <w:rtl/>
              </w:rPr>
              <w:t xml:space="preserve"> נחושת),</w:t>
            </w:r>
            <w:r>
              <w:rPr>
                <w:rFonts w:ascii="David" w:hAnsi="David" w:cs="David"/>
                <w:sz w:val="24"/>
                <w:szCs w:val="24"/>
                <w:rtl/>
              </w:rPr>
              <w:t xml:space="preserve"> </w:t>
            </w:r>
            <w:r>
              <w:rPr>
                <w:rFonts w:ascii="David" w:hAnsi="David" w:cs="David"/>
                <w:sz w:val="24"/>
                <w:szCs w:val="24"/>
                <w:u w:val="single"/>
                <w:rtl/>
              </w:rPr>
              <w:t>מחלת אגירת גליקוגן</w:t>
            </w:r>
          </w:p>
          <w:p w:rsidR="00BE0AB3" w:rsidRPr="00572A95" w:rsidRDefault="00BE0AB3" w:rsidP="00572A95">
            <w:pPr>
              <w:pStyle w:val="af8"/>
              <w:numPr>
                <w:ilvl w:val="0"/>
                <w:numId w:val="14"/>
              </w:numPr>
              <w:spacing w:after="0" w:line="360" w:lineRule="auto"/>
              <w:ind w:left="316" w:hanging="142"/>
              <w:jc w:val="both"/>
              <w:rPr>
                <w:rFonts w:ascii="David" w:hAnsi="David" w:cs="David"/>
                <w:sz w:val="24"/>
                <w:szCs w:val="24"/>
                <w:u w:val="single"/>
              </w:rPr>
            </w:pPr>
            <w:r>
              <w:rPr>
                <w:rFonts w:ascii="David" w:hAnsi="David" w:cs="David"/>
                <w:sz w:val="24"/>
                <w:szCs w:val="24"/>
                <w:u w:val="single"/>
              </w:rPr>
              <w:t>NASH</w:t>
            </w: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tl/>
        </w:rPr>
      </w:pPr>
      <w:r>
        <w:rPr>
          <w:rFonts w:ascii="David" w:hAnsi="David" w:cs="David"/>
          <w:b/>
          <w:bCs/>
          <w:sz w:val="24"/>
          <w:szCs w:val="24"/>
          <w:u w:val="single"/>
          <w:rtl/>
        </w:rPr>
        <w:t>דוגמא אחת עשרה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446"/>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180" w:hanging="180"/>
              <w:jc w:val="both"/>
              <w:rPr>
                <w:rFonts w:ascii="David" w:hAnsi="David" w:cs="David"/>
                <w:b/>
                <w:bCs/>
                <w:sz w:val="24"/>
                <w:szCs w:val="24"/>
                <w:u w:val="single"/>
                <w:rtl/>
              </w:rPr>
            </w:pPr>
            <w:r>
              <w:rPr>
                <w:rFonts w:ascii="David" w:hAnsi="David" w:cs="David"/>
                <w:b/>
                <w:bCs/>
                <w:sz w:val="24"/>
                <w:szCs w:val="24"/>
                <w:u w:val="single"/>
                <w:rtl/>
              </w:rPr>
              <w:lastRenderedPageBreak/>
              <w:t>הגורמים לתת תזונה במחלות כבד</w:t>
            </w:r>
          </w:p>
          <w:p w:rsidR="00BE0AB3" w:rsidRDefault="00BE0AB3">
            <w:pPr>
              <w:pStyle w:val="af8"/>
              <w:spacing w:after="0" w:line="240" w:lineRule="auto"/>
              <w:ind w:left="180" w:hanging="180"/>
              <w:jc w:val="both"/>
              <w:rPr>
                <w:rFonts w:ascii="David" w:hAnsi="David" w:cs="David"/>
                <w:b/>
                <w:bCs/>
                <w:sz w:val="24"/>
                <w:szCs w:val="24"/>
                <w:rtl/>
              </w:rPr>
            </w:pPr>
          </w:p>
          <w:p w:rsidR="00BE0AB3" w:rsidRDefault="00BE0AB3">
            <w:pPr>
              <w:pStyle w:val="af8"/>
              <w:numPr>
                <w:ilvl w:val="0"/>
                <w:numId w:val="22"/>
              </w:numPr>
              <w:spacing w:after="0" w:line="240" w:lineRule="auto"/>
              <w:ind w:left="180" w:hanging="180"/>
              <w:jc w:val="both"/>
              <w:rPr>
                <w:rFonts w:ascii="David" w:hAnsi="David" w:cs="David"/>
                <w:sz w:val="24"/>
                <w:szCs w:val="24"/>
                <w:u w:val="single"/>
                <w:rtl/>
              </w:rPr>
            </w:pPr>
            <w:r>
              <w:rPr>
                <w:rFonts w:ascii="David" w:hAnsi="David" w:cs="David"/>
                <w:sz w:val="24"/>
                <w:szCs w:val="24"/>
                <w:u w:val="single"/>
                <w:rtl/>
              </w:rPr>
              <w:t>ירידה בצריכת מזון</w:t>
            </w:r>
            <w:r>
              <w:rPr>
                <w:rFonts w:ascii="David" w:hAnsi="David" w:cs="David"/>
                <w:sz w:val="24"/>
                <w:szCs w:val="24"/>
                <w:rtl/>
              </w:rPr>
              <w:t xml:space="preserve"> </w:t>
            </w:r>
            <w:r>
              <w:rPr>
                <w:rFonts w:ascii="David" w:hAnsi="David" w:cs="David"/>
                <w:sz w:val="24"/>
                <w:szCs w:val="24"/>
                <w:u w:val="single"/>
                <w:rtl/>
              </w:rPr>
              <w:t>בשל השפעת מחלת הכבד והתרופות</w:t>
            </w:r>
          </w:p>
          <w:p w:rsidR="00BE0AB3" w:rsidRDefault="00BE0AB3">
            <w:pPr>
              <w:ind w:left="180" w:hanging="180"/>
              <w:jc w:val="both"/>
              <w:rPr>
                <w:rFonts w:ascii="David" w:hAnsi="David"/>
              </w:rPr>
            </w:pPr>
            <w:r>
              <w:rPr>
                <w:rFonts w:ascii="David" w:hAnsi="David"/>
                <w:rtl/>
              </w:rPr>
              <w:t>-(</w:t>
            </w:r>
            <w:r>
              <w:rPr>
                <w:rFonts w:ascii="David" w:hAnsi="David"/>
                <w:u w:val="single"/>
                <w:rtl/>
              </w:rPr>
              <w:t>חוסר תיאבון שינוי בחוש הטעם</w:t>
            </w:r>
            <w:r>
              <w:rPr>
                <w:rFonts w:ascii="David" w:hAnsi="David"/>
                <w:rtl/>
              </w:rPr>
              <w:t xml:space="preserve"> </w:t>
            </w:r>
            <w:r>
              <w:rPr>
                <w:rFonts w:ascii="David" w:hAnsi="David"/>
                <w:u w:val="single"/>
                <w:rtl/>
              </w:rPr>
              <w:t>שובע מוקדם,</w:t>
            </w:r>
            <w:r>
              <w:rPr>
                <w:rFonts w:ascii="David" w:hAnsi="David"/>
                <w:rtl/>
              </w:rPr>
              <w:t xml:space="preserve"> </w:t>
            </w:r>
            <w:r>
              <w:rPr>
                <w:rFonts w:ascii="David" w:hAnsi="David"/>
                <w:u w:val="single"/>
                <w:rtl/>
              </w:rPr>
              <w:t>בחילות</w:t>
            </w:r>
          </w:p>
          <w:p w:rsidR="00BE0AB3" w:rsidRDefault="00BE0AB3">
            <w:pPr>
              <w:ind w:left="180" w:hanging="180"/>
              <w:jc w:val="both"/>
              <w:rPr>
                <w:rFonts w:ascii="David" w:hAnsi="David"/>
                <w:u w:val="single"/>
                <w:rtl/>
              </w:rPr>
            </w:pPr>
            <w:r>
              <w:rPr>
                <w:rFonts w:ascii="David" w:hAnsi="David"/>
                <w:u w:val="single"/>
                <w:rtl/>
              </w:rPr>
              <w:t>הקאות, קשיי בליעה, דימומים ממערכת העיכול)</w:t>
            </w:r>
          </w:p>
          <w:p w:rsidR="00BE0AB3" w:rsidRDefault="00BE0AB3">
            <w:pPr>
              <w:pStyle w:val="af8"/>
              <w:numPr>
                <w:ilvl w:val="0"/>
                <w:numId w:val="22"/>
              </w:numPr>
              <w:spacing w:after="0" w:line="240" w:lineRule="auto"/>
              <w:ind w:left="180" w:hanging="180"/>
              <w:jc w:val="both"/>
              <w:rPr>
                <w:rFonts w:ascii="David" w:hAnsi="David" w:cs="David"/>
                <w:sz w:val="24"/>
                <w:szCs w:val="24"/>
                <w:u w:val="single"/>
                <w:rtl/>
              </w:rPr>
            </w:pPr>
            <w:r>
              <w:rPr>
                <w:rFonts w:ascii="David" w:hAnsi="David" w:cs="David"/>
                <w:sz w:val="24"/>
                <w:szCs w:val="24"/>
                <w:u w:val="single"/>
                <w:rtl/>
              </w:rPr>
              <w:t>מגבלות תזונתיות</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תפריט לא טעים באשפוז</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הפרעות עיכול וספיגה</w:t>
            </w:r>
          </w:p>
          <w:p w:rsidR="00BE0AB3" w:rsidRDefault="00BE0AB3">
            <w:pPr>
              <w:ind w:left="180" w:hanging="180"/>
              <w:jc w:val="both"/>
              <w:rPr>
                <w:rFonts w:ascii="David" w:hAnsi="David"/>
              </w:rPr>
            </w:pPr>
            <w:r>
              <w:rPr>
                <w:rFonts w:ascii="David" w:hAnsi="David"/>
                <w:rtl/>
              </w:rPr>
              <w:t>-(</w:t>
            </w:r>
            <w:r>
              <w:rPr>
                <w:rFonts w:ascii="David" w:hAnsi="David"/>
                <w:u w:val="single"/>
                <w:rtl/>
              </w:rPr>
              <w:t>חומצות מרה תרופות נלוות</w:t>
            </w:r>
            <w:r>
              <w:rPr>
                <w:rFonts w:ascii="David" w:hAnsi="David"/>
                <w:rtl/>
              </w:rPr>
              <w:t>)</w:t>
            </w:r>
          </w:p>
          <w:p w:rsidR="00BE0AB3" w:rsidRDefault="00BE0AB3">
            <w:pPr>
              <w:pStyle w:val="af8"/>
              <w:numPr>
                <w:ilvl w:val="0"/>
                <w:numId w:val="22"/>
              </w:numPr>
              <w:spacing w:after="0" w:line="240" w:lineRule="auto"/>
              <w:ind w:left="180" w:hanging="180"/>
              <w:jc w:val="both"/>
              <w:rPr>
                <w:rFonts w:ascii="David" w:hAnsi="David" w:cs="David"/>
                <w:sz w:val="24"/>
                <w:szCs w:val="24"/>
                <w:rtl/>
              </w:rPr>
            </w:pPr>
            <w:r>
              <w:rPr>
                <w:rFonts w:ascii="David" w:hAnsi="David" w:cs="David"/>
                <w:sz w:val="24"/>
                <w:szCs w:val="24"/>
                <w:u w:val="single"/>
                <w:rtl/>
              </w:rPr>
              <w:t>הפרעות מטבוליות</w:t>
            </w:r>
            <w:r>
              <w:rPr>
                <w:rFonts w:ascii="David" w:hAnsi="David" w:cs="David"/>
                <w:sz w:val="24"/>
                <w:szCs w:val="24"/>
                <w:rtl/>
              </w:rPr>
              <w:t>, משניות למחלת הכבד</w:t>
            </w:r>
          </w:p>
          <w:p w:rsidR="00BE0AB3" w:rsidRDefault="00BE0AB3">
            <w:pPr>
              <w:ind w:left="180" w:hanging="180"/>
              <w:jc w:val="both"/>
              <w:rPr>
                <w:rFonts w:ascii="David" w:hAnsi="David"/>
              </w:rPr>
            </w:pPr>
            <w:r>
              <w:rPr>
                <w:rFonts w:ascii="David" w:hAnsi="David"/>
                <w:rtl/>
              </w:rPr>
              <w:t xml:space="preserve">-(מטבוליזם </w:t>
            </w:r>
            <w:r>
              <w:rPr>
                <w:rFonts w:ascii="David" w:hAnsi="David"/>
                <w:u w:val="single"/>
                <w:rtl/>
              </w:rPr>
              <w:t>מאקרו</w:t>
            </w:r>
            <w:r>
              <w:rPr>
                <w:rFonts w:ascii="David" w:hAnsi="David"/>
                <w:rtl/>
              </w:rPr>
              <w:t>- מיקרומטריאנטים הוצאת אנרגיה מוגברת)</w:t>
            </w:r>
          </w:p>
          <w:p w:rsidR="00BE0AB3" w:rsidRDefault="00BE0AB3">
            <w:pPr>
              <w:ind w:left="1440"/>
              <w:jc w:val="both"/>
              <w:rPr>
                <w:rFonts w:ascii="David" w:hAnsi="David"/>
                <w:rtl/>
              </w:rPr>
            </w:pPr>
          </w:p>
          <w:p w:rsidR="00BE0AB3" w:rsidRDefault="00BE0AB3">
            <w:pPr>
              <w:pStyle w:val="af8"/>
              <w:spacing w:after="0" w:line="240" w:lineRule="auto"/>
              <w:ind w:left="463"/>
              <w:jc w:val="both"/>
              <w:rPr>
                <w:rFonts w:ascii="David" w:hAnsi="David" w:cs="David"/>
                <w:sz w:val="24"/>
                <w:szCs w:val="24"/>
              </w:rPr>
            </w:pPr>
          </w:p>
        </w:tc>
        <w:tc>
          <w:tcPr>
            <w:tcW w:w="4533"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174" w:hanging="174"/>
              <w:jc w:val="both"/>
              <w:rPr>
                <w:rFonts w:ascii="David" w:hAnsi="David" w:cs="David"/>
                <w:sz w:val="24"/>
                <w:szCs w:val="24"/>
                <w:rtl/>
              </w:rPr>
            </w:pPr>
            <w:r>
              <w:rPr>
                <w:rFonts w:ascii="David" w:hAnsi="David" w:cs="David"/>
                <w:sz w:val="24"/>
                <w:szCs w:val="24"/>
                <w:u w:val="single"/>
                <w:rtl/>
              </w:rPr>
              <w:t>הגורמים לתת תזונה במחלות כבד</w:t>
            </w:r>
            <w:r>
              <w:rPr>
                <w:rFonts w:ascii="David" w:hAnsi="David" w:cs="David"/>
                <w:sz w:val="24"/>
                <w:szCs w:val="24"/>
                <w:rtl/>
              </w:rPr>
              <w:t>:</w:t>
            </w:r>
          </w:p>
          <w:p w:rsidR="00BE0AB3" w:rsidRDefault="00BE0AB3">
            <w:pPr>
              <w:pStyle w:val="af8"/>
              <w:numPr>
                <w:ilvl w:val="0"/>
                <w:numId w:val="14"/>
              </w:numPr>
              <w:spacing w:after="0" w:line="360" w:lineRule="auto"/>
              <w:ind w:left="174" w:hanging="174"/>
              <w:jc w:val="both"/>
              <w:rPr>
                <w:rFonts w:ascii="David" w:hAnsi="David" w:cs="David"/>
                <w:sz w:val="24"/>
                <w:szCs w:val="24"/>
                <w:u w:val="single"/>
                <w:rtl/>
              </w:rPr>
            </w:pPr>
            <w:r>
              <w:rPr>
                <w:rFonts w:ascii="David" w:hAnsi="David" w:cs="David"/>
                <w:sz w:val="24"/>
                <w:szCs w:val="24"/>
                <w:u w:val="single"/>
                <w:rtl/>
              </w:rPr>
              <w:t>ירידה בצריכת מזון</w:t>
            </w:r>
          </w:p>
          <w:p w:rsidR="00BE0AB3" w:rsidRDefault="00BE0AB3">
            <w:pPr>
              <w:pStyle w:val="af8"/>
              <w:numPr>
                <w:ilvl w:val="0"/>
                <w:numId w:val="14"/>
              </w:numPr>
              <w:spacing w:after="0" w:line="360" w:lineRule="auto"/>
              <w:ind w:left="174" w:hanging="174"/>
              <w:jc w:val="both"/>
              <w:rPr>
                <w:rFonts w:ascii="David" w:hAnsi="David" w:cs="David"/>
                <w:sz w:val="24"/>
                <w:szCs w:val="24"/>
              </w:rPr>
            </w:pPr>
            <w:r>
              <w:rPr>
                <w:rFonts w:ascii="David" w:hAnsi="David" w:cs="David"/>
                <w:sz w:val="24"/>
                <w:szCs w:val="24"/>
                <w:u w:val="single"/>
                <w:rtl/>
              </w:rPr>
              <w:t>בשל השפעת מחלת הכבד והתרופות</w:t>
            </w:r>
            <w:r>
              <w:rPr>
                <w:rFonts w:ascii="David" w:hAnsi="David" w:cs="David"/>
                <w:sz w:val="24"/>
                <w:szCs w:val="24"/>
                <w:rtl/>
              </w:rPr>
              <w:t xml:space="preserve">: </w:t>
            </w:r>
            <w:r>
              <w:rPr>
                <w:rFonts w:ascii="David" w:hAnsi="David" w:cs="David"/>
                <w:sz w:val="24"/>
                <w:szCs w:val="24"/>
                <w:u w:val="single"/>
                <w:rtl/>
              </w:rPr>
              <w:t>חוסר תאבון, שינוי בחוש הטעם</w:t>
            </w:r>
            <w:r>
              <w:rPr>
                <w:rFonts w:ascii="David" w:hAnsi="David" w:cs="David"/>
                <w:sz w:val="24"/>
                <w:szCs w:val="24"/>
                <w:rtl/>
              </w:rPr>
              <w:t xml:space="preserve">, </w:t>
            </w:r>
            <w:r>
              <w:rPr>
                <w:rFonts w:ascii="David" w:hAnsi="David" w:cs="David"/>
                <w:sz w:val="24"/>
                <w:szCs w:val="24"/>
                <w:u w:val="single"/>
                <w:rtl/>
              </w:rPr>
              <w:t>שובע מוקדם</w:t>
            </w:r>
            <w:r>
              <w:rPr>
                <w:rFonts w:ascii="David" w:hAnsi="David" w:cs="David"/>
                <w:sz w:val="24"/>
                <w:szCs w:val="24"/>
                <w:rtl/>
              </w:rPr>
              <w:t xml:space="preserve">, </w:t>
            </w:r>
            <w:r>
              <w:rPr>
                <w:rFonts w:ascii="David" w:hAnsi="David" w:cs="David"/>
                <w:sz w:val="24"/>
                <w:szCs w:val="24"/>
                <w:u w:val="single"/>
                <w:rtl/>
              </w:rPr>
              <w:t>בחילות</w:t>
            </w:r>
            <w:r>
              <w:rPr>
                <w:rFonts w:ascii="David" w:hAnsi="David" w:cs="David"/>
                <w:sz w:val="24"/>
                <w:szCs w:val="24"/>
                <w:rtl/>
              </w:rPr>
              <w:t xml:space="preserve">, </w:t>
            </w:r>
            <w:r>
              <w:rPr>
                <w:rFonts w:ascii="David" w:hAnsi="David" w:cs="David"/>
                <w:sz w:val="24"/>
                <w:szCs w:val="24"/>
                <w:u w:val="single"/>
                <w:rtl/>
              </w:rPr>
              <w:t>הקאות, קשיי בליעה, דימומים ממערכת העיכול</w:t>
            </w:r>
            <w:r>
              <w:rPr>
                <w:rFonts w:ascii="David" w:hAnsi="David" w:cs="David"/>
                <w:sz w:val="24"/>
                <w:szCs w:val="24"/>
                <w:rtl/>
              </w:rPr>
              <w:t xml:space="preserve"> ועוד.</w:t>
            </w:r>
          </w:p>
          <w:p w:rsidR="00BE0AB3" w:rsidRDefault="00BE0AB3">
            <w:pPr>
              <w:pStyle w:val="af8"/>
              <w:numPr>
                <w:ilvl w:val="0"/>
                <w:numId w:val="14"/>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מגבלות תזונתיות</w:t>
            </w:r>
          </w:p>
          <w:p w:rsidR="00BE0AB3" w:rsidRDefault="00BE0AB3">
            <w:pPr>
              <w:pStyle w:val="af8"/>
              <w:numPr>
                <w:ilvl w:val="0"/>
                <w:numId w:val="14"/>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תפריט לא טעים באשפוז</w:t>
            </w:r>
          </w:p>
          <w:p w:rsidR="00BE0AB3" w:rsidRDefault="00BE0AB3">
            <w:pPr>
              <w:pStyle w:val="af8"/>
              <w:numPr>
                <w:ilvl w:val="0"/>
                <w:numId w:val="14"/>
              </w:numPr>
              <w:spacing w:after="0" w:line="360" w:lineRule="auto"/>
              <w:ind w:left="174" w:hanging="174"/>
              <w:jc w:val="both"/>
              <w:rPr>
                <w:rFonts w:ascii="David" w:hAnsi="David" w:cs="David"/>
                <w:sz w:val="24"/>
                <w:szCs w:val="24"/>
                <w:u w:val="single"/>
              </w:rPr>
            </w:pPr>
            <w:r>
              <w:rPr>
                <w:rFonts w:ascii="David" w:hAnsi="David" w:cs="David"/>
                <w:sz w:val="24"/>
                <w:szCs w:val="24"/>
                <w:u w:val="single"/>
                <w:rtl/>
              </w:rPr>
              <w:t>הפרעות עיכול וספיגה</w:t>
            </w:r>
            <w:r>
              <w:rPr>
                <w:rFonts w:ascii="David" w:hAnsi="David" w:cs="David"/>
                <w:sz w:val="24"/>
                <w:szCs w:val="24"/>
                <w:rtl/>
              </w:rPr>
              <w:t xml:space="preserve"> (</w:t>
            </w:r>
            <w:r>
              <w:rPr>
                <w:rFonts w:ascii="David" w:hAnsi="David" w:cs="David"/>
                <w:sz w:val="24"/>
                <w:szCs w:val="24"/>
                <w:u w:val="single"/>
                <w:rtl/>
              </w:rPr>
              <w:t>חומצה מרה, תרופות נלוות)</w:t>
            </w:r>
          </w:p>
          <w:p w:rsidR="00BE0AB3" w:rsidRDefault="00BE0AB3">
            <w:pPr>
              <w:pStyle w:val="af8"/>
              <w:spacing w:after="0" w:line="360" w:lineRule="auto"/>
              <w:ind w:left="174"/>
              <w:jc w:val="both"/>
              <w:rPr>
                <w:rFonts w:ascii="David" w:hAnsi="David" w:cs="David"/>
                <w:sz w:val="24"/>
                <w:szCs w:val="24"/>
              </w:rPr>
            </w:pPr>
            <w:r>
              <w:rPr>
                <w:rFonts w:ascii="David" w:hAnsi="David" w:cs="David"/>
                <w:sz w:val="24"/>
                <w:szCs w:val="24"/>
                <w:u w:val="single"/>
                <w:rtl/>
              </w:rPr>
              <w:t>הפרעות מטבוליות</w:t>
            </w:r>
            <w:r>
              <w:rPr>
                <w:rFonts w:ascii="David" w:hAnsi="David" w:cs="David"/>
                <w:sz w:val="24"/>
                <w:szCs w:val="24"/>
                <w:rtl/>
              </w:rPr>
              <w:t xml:space="preserve"> </w:t>
            </w:r>
            <w:r>
              <w:rPr>
                <w:rFonts w:ascii="David" w:hAnsi="David" w:cs="David"/>
                <w:sz w:val="24"/>
                <w:szCs w:val="24"/>
                <w:u w:val="single"/>
                <w:rtl/>
              </w:rPr>
              <w:t>מאקרו</w:t>
            </w:r>
            <w:r>
              <w:rPr>
                <w:rFonts w:ascii="David" w:hAnsi="David" w:cs="David"/>
                <w:sz w:val="24"/>
                <w:szCs w:val="24"/>
                <w:rtl/>
              </w:rPr>
              <w:t xml:space="preserve">+ </w:t>
            </w:r>
            <w:r>
              <w:rPr>
                <w:rFonts w:ascii="David" w:hAnsi="David" w:cs="David"/>
                <w:sz w:val="24"/>
                <w:szCs w:val="24"/>
                <w:u w:val="single"/>
                <w:rtl/>
              </w:rPr>
              <w:t>מיקרונוטריאנטים, הוצאת אנרגיה מוגברת</w:t>
            </w:r>
          </w:p>
        </w:tc>
      </w:tr>
    </w:tbl>
    <w:p w:rsidR="00BE0AB3" w:rsidRDefault="00BE0AB3" w:rsidP="00BE0AB3">
      <w:pPr>
        <w:pStyle w:val="af8"/>
        <w:spacing w:line="360" w:lineRule="auto"/>
        <w:ind w:left="1440"/>
        <w:jc w:val="both"/>
        <w:rPr>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שתיים עשרה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2911"/>
        </w:trPr>
        <w:tc>
          <w:tcPr>
            <w:tcW w:w="4247" w:type="dxa"/>
            <w:tcBorders>
              <w:top w:val="single" w:sz="4" w:space="0" w:color="auto"/>
              <w:left w:val="single" w:sz="4" w:space="0" w:color="auto"/>
              <w:bottom w:val="single" w:sz="4" w:space="0" w:color="auto"/>
              <w:right w:val="single" w:sz="4" w:space="0" w:color="auto"/>
            </w:tcBorders>
          </w:tcPr>
          <w:p w:rsidR="00BE0AB3" w:rsidRDefault="00BE0AB3">
            <w:pPr>
              <w:ind w:left="1440"/>
              <w:jc w:val="both"/>
              <w:rPr>
                <w:rFonts w:ascii="David" w:hAnsi="David"/>
                <w:rtl/>
              </w:rPr>
            </w:pPr>
          </w:p>
          <w:p w:rsidR="00BE0AB3" w:rsidRDefault="00BE0AB3">
            <w:pPr>
              <w:pStyle w:val="af8"/>
              <w:spacing w:after="0" w:line="240" w:lineRule="auto"/>
              <w:ind w:left="180"/>
              <w:jc w:val="both"/>
              <w:rPr>
                <w:rFonts w:ascii="David" w:hAnsi="David" w:cs="David"/>
                <w:b/>
                <w:bCs/>
                <w:sz w:val="24"/>
                <w:szCs w:val="24"/>
              </w:rPr>
            </w:pPr>
            <w:r>
              <w:rPr>
                <w:rFonts w:ascii="David" w:hAnsi="David" w:cs="David"/>
                <w:b/>
                <w:bCs/>
                <w:sz w:val="24"/>
                <w:szCs w:val="24"/>
                <w:rtl/>
              </w:rPr>
              <w:t>חלבון באנצפלופתיה כבדית:</w:t>
            </w:r>
          </w:p>
          <w:p w:rsidR="00BE0AB3" w:rsidRDefault="00BE0AB3">
            <w:pPr>
              <w:pStyle w:val="af8"/>
              <w:numPr>
                <w:ilvl w:val="0"/>
                <w:numId w:val="22"/>
              </w:numPr>
              <w:spacing w:after="0" w:line="240" w:lineRule="auto"/>
              <w:ind w:left="180" w:hanging="180"/>
              <w:jc w:val="both"/>
              <w:rPr>
                <w:rFonts w:ascii="David" w:hAnsi="David" w:cs="David"/>
                <w:sz w:val="24"/>
                <w:szCs w:val="24"/>
                <w:u w:val="single"/>
                <w:rtl/>
              </w:rPr>
            </w:pPr>
            <w:r>
              <w:rPr>
                <w:rFonts w:ascii="David" w:hAnsi="David" w:cs="David"/>
                <w:sz w:val="24"/>
                <w:szCs w:val="24"/>
                <w:u w:val="single"/>
                <w:rtl/>
              </w:rPr>
              <w:t>לא הוכח שהגבלת חלבון משפרת את המצב המנטלי</w:t>
            </w:r>
          </w:p>
          <w:p w:rsidR="00BE0AB3" w:rsidRDefault="00BE0AB3">
            <w:pPr>
              <w:ind w:left="180"/>
              <w:jc w:val="both"/>
              <w:rPr>
                <w:rFonts w:ascii="David" w:hAnsi="David"/>
                <w:u w:val="single"/>
              </w:rPr>
            </w:pPr>
            <w:r>
              <w:rPr>
                <w:rFonts w:ascii="David" w:hAnsi="David"/>
                <w:u w:val="single"/>
                <w:rtl/>
              </w:rPr>
              <w:t>הגבלת חלבון לא הכרחית עלולה אף להחמיר את איבוד החלבון</w:t>
            </w:r>
            <w:r>
              <w:rPr>
                <w:rFonts w:ascii="David" w:hAnsi="David"/>
                <w:rtl/>
              </w:rPr>
              <w:t xml:space="preserve">, </w:t>
            </w:r>
            <w:r>
              <w:rPr>
                <w:rFonts w:ascii="David" w:hAnsi="David"/>
                <w:u w:val="single"/>
                <w:rtl/>
              </w:rPr>
              <w:t>בייחוד בחולים הסובלים מתת תזונה.</w:t>
            </w:r>
          </w:p>
          <w:p w:rsidR="00BE0AB3" w:rsidRDefault="00BE0AB3">
            <w:pPr>
              <w:ind w:left="180"/>
              <w:jc w:val="both"/>
              <w:rPr>
                <w:rFonts w:ascii="David" w:hAnsi="David"/>
                <w:b/>
                <w:bCs/>
                <w:rtl/>
              </w:rPr>
            </w:pPr>
            <w:r>
              <w:rPr>
                <w:rFonts w:ascii="David" w:hAnsi="David"/>
                <w:b/>
                <w:bCs/>
                <w:u w:val="single"/>
                <w:rtl/>
              </w:rPr>
              <w:t>כיום לא מקובל להגביל צריכה חלבונית פרט למקרים מיוחדים</w:t>
            </w:r>
            <w:r>
              <w:rPr>
                <w:rFonts w:ascii="David" w:hAnsi="David"/>
                <w:b/>
                <w:bCs/>
                <w:rtl/>
              </w:rPr>
              <w:t>.</w:t>
            </w:r>
          </w:p>
          <w:p w:rsidR="00BE0AB3" w:rsidRDefault="00BE0AB3">
            <w:pPr>
              <w:pStyle w:val="af8"/>
              <w:spacing w:after="0" w:line="240" w:lineRule="auto"/>
              <w:ind w:left="463"/>
              <w:jc w:val="both"/>
              <w:rPr>
                <w:rFonts w:ascii="David" w:hAnsi="David" w:cs="David"/>
                <w:sz w:val="24"/>
                <w:szCs w:val="24"/>
                <w:rtl/>
              </w:rPr>
            </w:pPr>
          </w:p>
        </w:tc>
        <w:tc>
          <w:tcPr>
            <w:tcW w:w="4533"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174"/>
              <w:jc w:val="both"/>
              <w:rPr>
                <w:rFonts w:ascii="David" w:hAnsi="David" w:cs="David"/>
                <w:sz w:val="24"/>
                <w:szCs w:val="24"/>
                <w:rtl/>
              </w:rPr>
            </w:pPr>
            <w:r>
              <w:rPr>
                <w:rFonts w:ascii="David" w:hAnsi="David" w:cs="David"/>
                <w:sz w:val="24"/>
                <w:szCs w:val="24"/>
                <w:rtl/>
              </w:rPr>
              <w:t xml:space="preserve">במקרים של אנצפלופתיה כבדית טיפול תזונתי: ניתן לתת </w:t>
            </w:r>
            <w:r>
              <w:rPr>
                <w:rFonts w:ascii="David" w:hAnsi="David" w:cs="David"/>
                <w:sz w:val="24"/>
                <w:szCs w:val="24"/>
                <w:u w:val="single"/>
                <w:rtl/>
              </w:rPr>
              <w:t>עד</w:t>
            </w:r>
            <w:r>
              <w:rPr>
                <w:rFonts w:ascii="David" w:hAnsi="David" w:cs="David"/>
                <w:sz w:val="24"/>
                <w:szCs w:val="24"/>
                <w:rtl/>
              </w:rPr>
              <w:t xml:space="preserve"> 1.5 גר' חלבון/ק"ג תלוי סיבוכים נוספים.</w:t>
            </w:r>
          </w:p>
          <w:p w:rsidR="00BE0AB3" w:rsidRDefault="00BE0AB3">
            <w:pPr>
              <w:pStyle w:val="af8"/>
              <w:spacing w:after="0" w:line="360" w:lineRule="auto"/>
              <w:ind w:left="174"/>
              <w:jc w:val="both"/>
              <w:rPr>
                <w:rFonts w:ascii="David" w:hAnsi="David" w:cs="David"/>
                <w:sz w:val="24"/>
                <w:szCs w:val="24"/>
                <w:rtl/>
              </w:rPr>
            </w:pPr>
            <w:r>
              <w:rPr>
                <w:rFonts w:ascii="David" w:hAnsi="David" w:cs="David"/>
                <w:sz w:val="24"/>
                <w:szCs w:val="24"/>
                <w:u w:val="single"/>
                <w:rtl/>
              </w:rPr>
              <w:t>לא הוכח שהגבלת חלבון משפרת את המצב המנטלי</w:t>
            </w:r>
            <w:r>
              <w:rPr>
                <w:rFonts w:ascii="David" w:hAnsi="David" w:cs="David"/>
                <w:sz w:val="24"/>
                <w:szCs w:val="24"/>
                <w:rtl/>
              </w:rPr>
              <w:t xml:space="preserve">. </w:t>
            </w:r>
            <w:r>
              <w:rPr>
                <w:rFonts w:ascii="David" w:hAnsi="David" w:cs="David"/>
                <w:sz w:val="24"/>
                <w:szCs w:val="24"/>
                <w:u w:val="single"/>
                <w:rtl/>
              </w:rPr>
              <w:t xml:space="preserve">הגבלת חלבון לא הכרחית עלולה אף להחמיר את איבודי החלבון, בייחוד בחולים הסובלים מתת תזונה. </w:t>
            </w:r>
            <w:r>
              <w:rPr>
                <w:rFonts w:ascii="David" w:hAnsi="David" w:cs="David"/>
                <w:b/>
                <w:bCs/>
                <w:sz w:val="24"/>
                <w:szCs w:val="24"/>
                <w:u w:val="single"/>
                <w:rtl/>
              </w:rPr>
              <w:t>כיום לא מקובל להגביל צריכה חלבונית</w:t>
            </w:r>
            <w:r>
              <w:rPr>
                <w:rFonts w:ascii="David" w:hAnsi="David" w:cs="David"/>
                <w:sz w:val="24"/>
                <w:szCs w:val="24"/>
                <w:u w:val="single"/>
                <w:rtl/>
              </w:rPr>
              <w:t xml:space="preserve"> פרט למקרים מיוחדים.</w:t>
            </w:r>
          </w:p>
        </w:tc>
      </w:tr>
    </w:tbl>
    <w:p w:rsidR="00BE0AB3" w:rsidRDefault="00BE0AB3" w:rsidP="00BE0AB3">
      <w:pPr>
        <w:pStyle w:val="af8"/>
        <w:spacing w:line="360" w:lineRule="auto"/>
        <w:ind w:left="180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 xml:space="preserve">דוגמא שלוש עשרה מתוך עשרים ושלוש להעתקה מתוך מצגת של התובעת (ההעתקות מודגשות בקו תחתי) </w:t>
      </w:r>
    </w:p>
    <w:tbl>
      <w:tblPr>
        <w:tblStyle w:val="ac"/>
        <w:bidiVisual/>
        <w:tblW w:w="8780" w:type="dxa"/>
        <w:tblInd w:w="813" w:type="dxa"/>
        <w:tblLook w:val="04A0" w:firstRow="1" w:lastRow="0" w:firstColumn="1" w:lastColumn="0" w:noHBand="0" w:noVBand="1"/>
      </w:tblPr>
      <w:tblGrid>
        <w:gridCol w:w="4247"/>
        <w:gridCol w:w="4533"/>
      </w:tblGrid>
      <w:tr w:rsidR="00BE0AB3" w:rsidTr="00572A95">
        <w:trPr>
          <w:trHeight w:val="793"/>
        </w:trPr>
        <w:tc>
          <w:tcPr>
            <w:tcW w:w="424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533"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2936"/>
        </w:trPr>
        <w:tc>
          <w:tcPr>
            <w:tcW w:w="4247" w:type="dxa"/>
            <w:tcBorders>
              <w:top w:val="single" w:sz="4" w:space="0" w:color="auto"/>
              <w:left w:val="single" w:sz="4" w:space="0" w:color="auto"/>
              <w:bottom w:val="single" w:sz="4" w:space="0" w:color="auto"/>
              <w:right w:val="single" w:sz="4" w:space="0" w:color="auto"/>
            </w:tcBorders>
          </w:tcPr>
          <w:p w:rsidR="00BE0AB3" w:rsidRDefault="00BE0AB3">
            <w:pPr>
              <w:ind w:left="1440"/>
              <w:jc w:val="both"/>
              <w:rPr>
                <w:rFonts w:ascii="David" w:hAnsi="David"/>
                <w:rtl/>
              </w:rPr>
            </w:pPr>
          </w:p>
          <w:p w:rsidR="00BE0AB3" w:rsidRDefault="00BE0AB3">
            <w:pPr>
              <w:pStyle w:val="af8"/>
              <w:spacing w:after="0" w:line="240" w:lineRule="auto"/>
              <w:ind w:left="180" w:hanging="180"/>
              <w:jc w:val="both"/>
              <w:rPr>
                <w:rFonts w:ascii="David" w:hAnsi="David" w:cs="David"/>
                <w:b/>
                <w:bCs/>
                <w:sz w:val="24"/>
                <w:szCs w:val="24"/>
              </w:rPr>
            </w:pPr>
            <w:r>
              <w:rPr>
                <w:rFonts w:ascii="David" w:hAnsi="David" w:cs="David"/>
                <w:b/>
                <w:bCs/>
                <w:sz w:val="24"/>
                <w:szCs w:val="24"/>
                <w:rtl/>
              </w:rPr>
              <w:t>הטיפול התזונתי בשחמת הכבד</w:t>
            </w:r>
          </w:p>
          <w:p w:rsidR="00BE0AB3" w:rsidRDefault="00BE0AB3">
            <w:pPr>
              <w:pStyle w:val="af8"/>
              <w:numPr>
                <w:ilvl w:val="0"/>
                <w:numId w:val="22"/>
              </w:numPr>
              <w:spacing w:after="0" w:line="240" w:lineRule="auto"/>
              <w:ind w:left="180" w:hanging="180"/>
              <w:jc w:val="both"/>
              <w:rPr>
                <w:rFonts w:ascii="David" w:hAnsi="David" w:cs="David"/>
                <w:sz w:val="24"/>
                <w:szCs w:val="24"/>
                <w:rtl/>
              </w:rPr>
            </w:pPr>
            <w:r>
              <w:rPr>
                <w:rFonts w:ascii="David" w:hAnsi="David" w:cs="David"/>
                <w:sz w:val="24"/>
                <w:szCs w:val="24"/>
                <w:rtl/>
              </w:rPr>
              <w:t xml:space="preserve">בעיות שלד- </w:t>
            </w:r>
            <w:r>
              <w:rPr>
                <w:rFonts w:ascii="David" w:hAnsi="David" w:cs="David"/>
                <w:sz w:val="24"/>
                <w:szCs w:val="24"/>
              </w:rPr>
              <w:t>Osteopenia</w:t>
            </w:r>
            <w:r>
              <w:rPr>
                <w:rFonts w:ascii="David" w:hAnsi="David" w:cs="David"/>
                <w:sz w:val="24"/>
                <w:szCs w:val="24"/>
                <w:rtl/>
              </w:rPr>
              <w:t>:</w:t>
            </w:r>
          </w:p>
          <w:p w:rsidR="00BE0AB3" w:rsidRDefault="00BE0AB3">
            <w:pPr>
              <w:pStyle w:val="af8"/>
              <w:numPr>
                <w:ilvl w:val="0"/>
                <w:numId w:val="22"/>
              </w:numPr>
              <w:spacing w:after="0" w:line="240" w:lineRule="auto"/>
              <w:ind w:left="180" w:hanging="180"/>
              <w:jc w:val="both"/>
              <w:rPr>
                <w:rFonts w:ascii="David" w:hAnsi="David" w:cs="David"/>
                <w:sz w:val="24"/>
                <w:szCs w:val="24"/>
              </w:rPr>
            </w:pPr>
            <w:r>
              <w:rPr>
                <w:rFonts w:ascii="David" w:hAnsi="David" w:cs="David"/>
                <w:sz w:val="24"/>
                <w:szCs w:val="24"/>
                <w:rtl/>
              </w:rPr>
              <w:t>בעיקר בחולים כרוניים לאורך זמן</w:t>
            </w:r>
          </w:p>
          <w:p w:rsidR="00BE0AB3" w:rsidRDefault="00BE0AB3">
            <w:pPr>
              <w:pStyle w:val="af8"/>
              <w:numPr>
                <w:ilvl w:val="0"/>
                <w:numId w:val="22"/>
              </w:numPr>
              <w:spacing w:after="0" w:line="240" w:lineRule="auto"/>
              <w:ind w:left="180" w:hanging="180"/>
              <w:jc w:val="both"/>
              <w:rPr>
                <w:rFonts w:ascii="David" w:hAnsi="David" w:cs="David"/>
                <w:sz w:val="24"/>
                <w:szCs w:val="24"/>
              </w:rPr>
            </w:pPr>
            <w:r>
              <w:rPr>
                <w:rFonts w:ascii="David" w:hAnsi="David" w:cs="David"/>
                <w:sz w:val="24"/>
                <w:szCs w:val="24"/>
                <w:rtl/>
              </w:rPr>
              <w:t>מניעה</w:t>
            </w:r>
          </w:p>
          <w:p w:rsidR="00BE0AB3" w:rsidRDefault="00BE0AB3">
            <w:pPr>
              <w:ind w:left="180" w:hanging="180"/>
              <w:jc w:val="both"/>
              <w:rPr>
                <w:rFonts w:ascii="David" w:hAnsi="David"/>
              </w:rPr>
            </w:pPr>
            <w:r>
              <w:rPr>
                <w:rFonts w:ascii="David" w:hAnsi="David"/>
                <w:rtl/>
              </w:rPr>
              <w:t xml:space="preserve">- </w:t>
            </w:r>
            <w:r>
              <w:rPr>
                <w:rFonts w:ascii="David" w:hAnsi="David"/>
                <w:u w:val="single"/>
                <w:rtl/>
              </w:rPr>
              <w:t>שמירה על</w:t>
            </w:r>
            <w:r>
              <w:rPr>
                <w:rFonts w:ascii="David" w:hAnsi="David"/>
                <w:rtl/>
              </w:rPr>
              <w:t xml:space="preserve"> ה</w:t>
            </w:r>
            <w:r>
              <w:rPr>
                <w:rFonts w:ascii="David" w:hAnsi="David"/>
                <w:u w:val="single"/>
                <w:rtl/>
              </w:rPr>
              <w:t>משקל</w:t>
            </w:r>
          </w:p>
          <w:p w:rsidR="00BE0AB3" w:rsidRDefault="00BE0AB3">
            <w:pPr>
              <w:ind w:left="180" w:hanging="180"/>
              <w:jc w:val="both"/>
              <w:rPr>
                <w:rFonts w:ascii="David" w:hAnsi="David"/>
                <w:u w:val="single"/>
                <w:rtl/>
              </w:rPr>
            </w:pPr>
            <w:r>
              <w:rPr>
                <w:rFonts w:ascii="David" w:hAnsi="David"/>
                <w:rtl/>
              </w:rPr>
              <w:t>-</w:t>
            </w:r>
            <w:r>
              <w:rPr>
                <w:rFonts w:ascii="David" w:hAnsi="David"/>
                <w:u w:val="single"/>
                <w:rtl/>
              </w:rPr>
              <w:t>דיאטה מאוזנת המכילה כמות מספקת של אנרגיה וחלבון</w:t>
            </w:r>
          </w:p>
          <w:p w:rsidR="00BE0AB3" w:rsidRDefault="00BE0AB3">
            <w:pPr>
              <w:ind w:left="180" w:hanging="180"/>
              <w:jc w:val="both"/>
              <w:rPr>
                <w:rFonts w:ascii="David" w:hAnsi="David"/>
                <w:rtl/>
              </w:rPr>
            </w:pPr>
            <w:r>
              <w:rPr>
                <w:rFonts w:ascii="David" w:hAnsi="David"/>
                <w:rtl/>
              </w:rPr>
              <w:t>-</w:t>
            </w:r>
            <w:r>
              <w:rPr>
                <w:rFonts w:ascii="David" w:hAnsi="David"/>
                <w:u w:val="single"/>
                <w:rtl/>
              </w:rPr>
              <w:t xml:space="preserve">1500 מ"ג סידן+ ויטמין </w:t>
            </w:r>
            <w:r>
              <w:rPr>
                <w:rFonts w:ascii="David" w:hAnsi="David"/>
                <w:u w:val="single"/>
              </w:rPr>
              <w:t>D</w:t>
            </w:r>
          </w:p>
          <w:p w:rsidR="00BE0AB3" w:rsidRDefault="00BE0AB3">
            <w:pPr>
              <w:ind w:left="180" w:hanging="180"/>
              <w:jc w:val="both"/>
              <w:rPr>
                <w:rFonts w:ascii="David" w:hAnsi="David"/>
              </w:rPr>
            </w:pPr>
            <w:r>
              <w:rPr>
                <w:rFonts w:ascii="David" w:hAnsi="David"/>
              </w:rPr>
              <w:t>-</w:t>
            </w:r>
            <w:r>
              <w:rPr>
                <w:rFonts w:ascii="David" w:hAnsi="David"/>
                <w:u w:val="single"/>
                <w:rtl/>
              </w:rPr>
              <w:t>בקרה על סטיאטוריה</w:t>
            </w:r>
          </w:p>
        </w:tc>
        <w:tc>
          <w:tcPr>
            <w:tcW w:w="4533"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טיפול תזונתי ומניעתי:</w:t>
            </w:r>
          </w:p>
          <w:p w:rsidR="00BE0AB3" w:rsidRDefault="00BE0AB3">
            <w:pPr>
              <w:pStyle w:val="af8"/>
              <w:spacing w:after="0" w:line="360" w:lineRule="auto"/>
              <w:ind w:left="0"/>
              <w:jc w:val="both"/>
              <w:rPr>
                <w:rFonts w:ascii="David" w:hAnsi="David" w:cs="David"/>
                <w:sz w:val="24"/>
                <w:szCs w:val="24"/>
                <w:rtl/>
              </w:rPr>
            </w:pPr>
            <w:r>
              <w:rPr>
                <w:rFonts w:ascii="David" w:hAnsi="David" w:cs="David"/>
                <w:sz w:val="24"/>
                <w:szCs w:val="24"/>
                <w:u w:val="single"/>
                <w:rtl/>
              </w:rPr>
              <w:t>שמירה על משקל</w:t>
            </w:r>
            <w:r>
              <w:rPr>
                <w:rFonts w:ascii="David" w:hAnsi="David" w:cs="David"/>
                <w:sz w:val="24"/>
                <w:szCs w:val="24"/>
                <w:rtl/>
              </w:rPr>
              <w:t xml:space="preserve"> תקין</w:t>
            </w:r>
          </w:p>
          <w:p w:rsidR="00BE0AB3" w:rsidRDefault="00BE0AB3">
            <w:pPr>
              <w:pStyle w:val="af8"/>
              <w:spacing w:after="0" w:line="360" w:lineRule="auto"/>
              <w:ind w:left="0"/>
              <w:jc w:val="both"/>
              <w:rPr>
                <w:rFonts w:ascii="David" w:hAnsi="David" w:cs="David"/>
                <w:sz w:val="24"/>
                <w:szCs w:val="24"/>
                <w:rtl/>
              </w:rPr>
            </w:pPr>
            <w:r>
              <w:rPr>
                <w:rFonts w:ascii="David" w:hAnsi="David" w:cs="David"/>
                <w:sz w:val="24"/>
                <w:szCs w:val="24"/>
                <w:u w:val="single"/>
                <w:rtl/>
              </w:rPr>
              <w:t>דיאטה מאוזנת המכילה כמות מספקת של אנרגיה וחלבון</w:t>
            </w:r>
            <w:r>
              <w:rPr>
                <w:rFonts w:ascii="David" w:hAnsi="David" w:cs="David"/>
                <w:sz w:val="24"/>
                <w:szCs w:val="24"/>
                <w:rtl/>
              </w:rPr>
              <w:t xml:space="preserve"> לשימור מסת שריר</w:t>
            </w:r>
          </w:p>
          <w:p w:rsidR="00BE0AB3" w:rsidRDefault="00BE0AB3">
            <w:pPr>
              <w:pStyle w:val="af8"/>
              <w:spacing w:after="0" w:line="360" w:lineRule="auto"/>
              <w:ind w:left="0"/>
              <w:jc w:val="both"/>
              <w:rPr>
                <w:rFonts w:ascii="David" w:hAnsi="David" w:cs="David"/>
                <w:sz w:val="24"/>
                <w:szCs w:val="24"/>
                <w:u w:val="single"/>
                <w:rtl/>
              </w:rPr>
            </w:pPr>
            <w:r>
              <w:rPr>
                <w:rFonts w:ascii="David" w:hAnsi="David" w:cs="David"/>
                <w:sz w:val="24"/>
                <w:szCs w:val="24"/>
                <w:u w:val="single"/>
                <w:rtl/>
              </w:rPr>
              <w:t xml:space="preserve">1500 מ"ג סידן ביום + ויטמין </w:t>
            </w:r>
            <w:r>
              <w:rPr>
                <w:rFonts w:ascii="David" w:hAnsi="David" w:cs="David"/>
                <w:sz w:val="24"/>
                <w:szCs w:val="24"/>
                <w:u w:val="single"/>
              </w:rPr>
              <w:t>D</w:t>
            </w:r>
          </w:p>
          <w:p w:rsidR="00BE0AB3" w:rsidRDefault="00BE0AB3">
            <w:pPr>
              <w:pStyle w:val="af8"/>
              <w:spacing w:after="0" w:line="360" w:lineRule="auto"/>
              <w:ind w:left="0"/>
              <w:jc w:val="both"/>
              <w:rPr>
                <w:rFonts w:ascii="David" w:hAnsi="David" w:cs="David"/>
                <w:sz w:val="24"/>
                <w:szCs w:val="24"/>
              </w:rPr>
            </w:pPr>
            <w:r>
              <w:rPr>
                <w:rFonts w:ascii="David" w:hAnsi="David" w:cs="David"/>
                <w:sz w:val="24"/>
                <w:szCs w:val="24"/>
                <w:rtl/>
              </w:rPr>
              <w:t>להימנע מאלכוהול</w:t>
            </w:r>
          </w:p>
          <w:p w:rsidR="00BE0AB3" w:rsidRDefault="00BE0AB3">
            <w:pPr>
              <w:pStyle w:val="af8"/>
              <w:spacing w:after="0" w:line="360" w:lineRule="auto"/>
              <w:ind w:left="0"/>
              <w:jc w:val="both"/>
              <w:rPr>
                <w:rFonts w:ascii="David" w:hAnsi="David" w:cs="David"/>
                <w:sz w:val="24"/>
                <w:szCs w:val="24"/>
                <w:rtl/>
              </w:rPr>
            </w:pPr>
            <w:r>
              <w:rPr>
                <w:rFonts w:ascii="David" w:hAnsi="David" w:cs="David"/>
                <w:sz w:val="24"/>
                <w:szCs w:val="24"/>
                <w:u w:val="single"/>
                <w:rtl/>
              </w:rPr>
              <w:t>בקרה על סטיאטוריאה</w:t>
            </w:r>
            <w:r>
              <w:rPr>
                <w:rFonts w:ascii="David" w:hAnsi="David" w:cs="David"/>
                <w:sz w:val="24"/>
                <w:szCs w:val="24"/>
                <w:rtl/>
              </w:rPr>
              <w:t xml:space="preserve"> לשם מניעת אבודים נוספים</w:t>
            </w:r>
          </w:p>
        </w:tc>
      </w:tr>
    </w:tbl>
    <w:p w:rsidR="00BE0AB3" w:rsidRDefault="00BE0AB3" w:rsidP="00BE0AB3">
      <w:pPr>
        <w:pStyle w:val="af8"/>
        <w:ind w:left="1440"/>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ארבע עשרה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105"/>
        <w:gridCol w:w="4675"/>
      </w:tblGrid>
      <w:tr w:rsidR="00BE0AB3" w:rsidTr="00572A95">
        <w:trPr>
          <w:trHeight w:val="793"/>
        </w:trPr>
        <w:tc>
          <w:tcPr>
            <w:tcW w:w="410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67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2325"/>
        </w:trPr>
        <w:tc>
          <w:tcPr>
            <w:tcW w:w="410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463" w:hanging="141"/>
              <w:rPr>
                <w:rtl/>
              </w:rPr>
            </w:pPr>
          </w:p>
          <w:p w:rsidR="00BE0AB3" w:rsidRDefault="00BE0AB3">
            <w:pPr>
              <w:pStyle w:val="af8"/>
              <w:spacing w:after="0" w:line="240" w:lineRule="auto"/>
              <w:ind w:left="463" w:hanging="141"/>
              <w:jc w:val="both"/>
              <w:rPr>
                <w:rFonts w:ascii="David" w:hAnsi="David" w:cs="David"/>
                <w:b/>
                <w:bCs/>
                <w:sz w:val="24"/>
                <w:szCs w:val="24"/>
              </w:rPr>
            </w:pPr>
            <w:r>
              <w:rPr>
                <w:rFonts w:ascii="David" w:hAnsi="David" w:cs="David"/>
                <w:b/>
                <w:bCs/>
                <w:sz w:val="24"/>
                <w:szCs w:val="24"/>
              </w:rPr>
              <w:t>Hiatal Hernia</w:t>
            </w:r>
          </w:p>
          <w:p w:rsidR="00BE0AB3" w:rsidRDefault="00BE0AB3">
            <w:pPr>
              <w:pStyle w:val="af8"/>
              <w:numPr>
                <w:ilvl w:val="0"/>
                <w:numId w:val="22"/>
              </w:numPr>
              <w:spacing w:after="0" w:line="240" w:lineRule="auto"/>
              <w:ind w:left="463" w:hanging="141"/>
              <w:jc w:val="both"/>
              <w:rPr>
                <w:rFonts w:ascii="David" w:hAnsi="David" w:cs="David"/>
                <w:sz w:val="24"/>
                <w:szCs w:val="24"/>
                <w:rtl/>
              </w:rPr>
            </w:pPr>
            <w:r>
              <w:rPr>
                <w:rFonts w:ascii="David" w:hAnsi="David" w:cs="David"/>
                <w:sz w:val="24"/>
                <w:szCs w:val="24"/>
                <w:rtl/>
              </w:rPr>
              <w:t>טיפול:</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 xml:space="preserve">המלצות זהות ל- </w:t>
            </w:r>
            <w:r>
              <w:rPr>
                <w:rFonts w:ascii="David" w:hAnsi="David" w:cs="David"/>
                <w:sz w:val="24"/>
                <w:szCs w:val="24"/>
                <w:u w:val="single"/>
              </w:rPr>
              <w:t>GERD</w:t>
            </w:r>
            <w:r>
              <w:rPr>
                <w:rFonts w:ascii="David" w:hAnsi="David" w:cs="David"/>
                <w:sz w:val="24"/>
                <w:szCs w:val="24"/>
                <w:u w:val="single"/>
                <w:rtl/>
              </w:rPr>
              <w:t>:</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ירידה במשקל</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ארוחות קטנות</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הימנעות מארוחות גדולות</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צמצום צריכת אלכוהול</w:t>
            </w:r>
          </w:p>
          <w:p w:rsidR="00BE0AB3" w:rsidRDefault="00BE0AB3">
            <w:pPr>
              <w:pStyle w:val="af8"/>
              <w:numPr>
                <w:ilvl w:val="0"/>
                <w:numId w:val="22"/>
              </w:numPr>
              <w:spacing w:after="0" w:line="240" w:lineRule="auto"/>
              <w:ind w:left="463" w:hanging="141"/>
              <w:jc w:val="both"/>
              <w:rPr>
                <w:rFonts w:ascii="David" w:hAnsi="David" w:cs="David"/>
                <w:sz w:val="24"/>
                <w:szCs w:val="24"/>
              </w:rPr>
            </w:pPr>
            <w:r>
              <w:rPr>
                <w:rFonts w:ascii="David" w:hAnsi="David" w:cs="David"/>
                <w:sz w:val="24"/>
                <w:szCs w:val="24"/>
                <w:u w:val="single"/>
                <w:rtl/>
              </w:rPr>
              <w:t>הימנעות מאכילה לפני שינה</w:t>
            </w:r>
          </w:p>
          <w:p w:rsidR="00BE0AB3" w:rsidRDefault="00BE0AB3">
            <w:pPr>
              <w:ind w:left="322" w:hanging="142"/>
              <w:jc w:val="both"/>
              <w:rPr>
                <w:rFonts w:ascii="David" w:hAnsi="David"/>
              </w:rPr>
            </w:pPr>
          </w:p>
        </w:tc>
        <w:tc>
          <w:tcPr>
            <w:tcW w:w="467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u w:val="single"/>
                <w:rtl/>
              </w:rPr>
            </w:pPr>
            <w:r>
              <w:rPr>
                <w:rFonts w:ascii="David" w:hAnsi="David" w:cs="David"/>
                <w:sz w:val="24"/>
                <w:szCs w:val="24"/>
                <w:u w:val="single"/>
                <w:rtl/>
              </w:rPr>
              <w:t>טיפול תזונתי:</w:t>
            </w:r>
            <w:r>
              <w:rPr>
                <w:rFonts w:ascii="David" w:hAnsi="David" w:cs="David"/>
                <w:b/>
                <w:bCs/>
                <w:sz w:val="24"/>
                <w:szCs w:val="24"/>
                <w:rtl/>
              </w:rPr>
              <w:t xml:space="preserve"> </w:t>
            </w:r>
            <w:r>
              <w:rPr>
                <w:rFonts w:ascii="David" w:hAnsi="David" w:cs="David"/>
                <w:b/>
                <w:bCs/>
                <w:sz w:val="24"/>
                <w:szCs w:val="24"/>
                <w:u w:val="single"/>
                <w:rtl/>
              </w:rPr>
              <w:t xml:space="preserve">המלצות זהות ל- </w:t>
            </w:r>
            <w:r>
              <w:rPr>
                <w:rFonts w:ascii="David" w:hAnsi="David" w:cs="David"/>
                <w:b/>
                <w:bCs/>
                <w:sz w:val="24"/>
                <w:szCs w:val="24"/>
                <w:u w:val="single"/>
              </w:rPr>
              <w:t>GERD</w:t>
            </w:r>
            <w:r>
              <w:rPr>
                <w:rFonts w:ascii="David" w:hAnsi="David" w:cs="David"/>
                <w:b/>
                <w:bCs/>
                <w:sz w:val="24"/>
                <w:szCs w:val="24"/>
                <w:u w:val="single"/>
                <w:rtl/>
              </w:rPr>
              <w:t>, ירידה במשקל, ארוחות קטנות, הימנעות מארוחות גדולות, צמצום צריכת אלכוהול והימנעות מאכילה לפני שינה.</w:t>
            </w:r>
          </w:p>
          <w:p w:rsidR="00BE0AB3" w:rsidRDefault="00BE0AB3">
            <w:pPr>
              <w:pStyle w:val="af8"/>
              <w:spacing w:after="0" w:line="360" w:lineRule="auto"/>
              <w:ind w:left="0" w:firstLine="33"/>
              <w:jc w:val="both"/>
              <w:rPr>
                <w:rFonts w:ascii="David" w:hAnsi="David" w:cs="David"/>
                <w:sz w:val="24"/>
                <w:szCs w:val="24"/>
                <w:rtl/>
              </w:rPr>
            </w:pPr>
          </w:p>
        </w:tc>
      </w:tr>
    </w:tbl>
    <w:p w:rsidR="00BE0AB3" w:rsidRDefault="00BE0AB3" w:rsidP="00BE0AB3">
      <w:pPr>
        <w:pStyle w:val="af8"/>
        <w:ind w:left="1440"/>
        <w:rPr>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חמש עשרה מתוך עשרים ושלוש להעתקה מתוך מצגת של התובעת (ההעתקות מודגשות בקו תחתי)</w:t>
      </w:r>
    </w:p>
    <w:tbl>
      <w:tblPr>
        <w:tblStyle w:val="ac"/>
        <w:bidiVisual/>
        <w:tblW w:w="8780" w:type="dxa"/>
        <w:tblInd w:w="813" w:type="dxa"/>
        <w:tblLook w:val="04A0" w:firstRow="1" w:lastRow="0" w:firstColumn="1" w:lastColumn="0" w:noHBand="0" w:noVBand="1"/>
      </w:tblPr>
      <w:tblGrid>
        <w:gridCol w:w="4105"/>
        <w:gridCol w:w="4675"/>
      </w:tblGrid>
      <w:tr w:rsidR="00BE0AB3" w:rsidTr="00572A95">
        <w:trPr>
          <w:trHeight w:val="793"/>
        </w:trPr>
        <w:tc>
          <w:tcPr>
            <w:tcW w:w="410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67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572A95">
        <w:trPr>
          <w:trHeight w:val="3207"/>
        </w:trPr>
        <w:tc>
          <w:tcPr>
            <w:tcW w:w="410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180" w:hanging="180"/>
              <w:jc w:val="both"/>
              <w:rPr>
                <w:rFonts w:ascii="David" w:hAnsi="David" w:cs="David"/>
                <w:b/>
                <w:bCs/>
                <w:sz w:val="24"/>
                <w:szCs w:val="24"/>
                <w:rtl/>
              </w:rPr>
            </w:pPr>
            <w:r>
              <w:rPr>
                <w:rFonts w:ascii="David" w:hAnsi="David" w:cs="David"/>
                <w:b/>
                <w:bCs/>
                <w:sz w:val="24"/>
                <w:szCs w:val="24"/>
              </w:rPr>
              <w:t xml:space="preserve"> Chronic Gastritis and peptic ulcer disease</w:t>
            </w:r>
          </w:p>
          <w:p w:rsidR="00BE0AB3" w:rsidRDefault="00BE0AB3">
            <w:pPr>
              <w:pStyle w:val="af8"/>
              <w:numPr>
                <w:ilvl w:val="0"/>
                <w:numId w:val="22"/>
              </w:numPr>
              <w:spacing w:after="0" w:line="240" w:lineRule="auto"/>
              <w:ind w:left="180" w:hanging="180"/>
              <w:jc w:val="both"/>
              <w:rPr>
                <w:rFonts w:ascii="David" w:hAnsi="David" w:cs="David"/>
                <w:sz w:val="24"/>
                <w:szCs w:val="24"/>
              </w:rPr>
            </w:pPr>
            <w:r>
              <w:rPr>
                <w:rFonts w:ascii="David" w:hAnsi="David" w:cs="David"/>
                <w:sz w:val="24"/>
                <w:szCs w:val="24"/>
                <w:rtl/>
              </w:rPr>
              <w:t>דלקת הנובעת מהליקובקטר פילורי אינה חולפת מאליה והסיבוכים עולים עם משך המחלה.</w:t>
            </w:r>
          </w:p>
          <w:p w:rsidR="00BE0AB3" w:rsidRDefault="00BE0AB3">
            <w:pPr>
              <w:pStyle w:val="af8"/>
              <w:numPr>
                <w:ilvl w:val="0"/>
                <w:numId w:val="22"/>
              </w:numPr>
              <w:spacing w:after="0" w:line="240" w:lineRule="auto"/>
              <w:ind w:left="180" w:hanging="180"/>
              <w:jc w:val="both"/>
              <w:rPr>
                <w:rFonts w:ascii="David" w:hAnsi="David" w:cs="David"/>
                <w:sz w:val="24"/>
                <w:szCs w:val="24"/>
              </w:rPr>
            </w:pPr>
            <w:r>
              <w:rPr>
                <w:rFonts w:ascii="David" w:hAnsi="David" w:cs="David"/>
                <w:sz w:val="24"/>
                <w:szCs w:val="24"/>
                <w:u w:val="single"/>
                <w:rtl/>
              </w:rPr>
              <w:t>גורמים נוספים המשפיעים על פתולוגיה של גסטריסט</w:t>
            </w:r>
            <w:r>
              <w:rPr>
                <w:rFonts w:ascii="David" w:hAnsi="David" w:cs="David"/>
                <w:sz w:val="24"/>
                <w:szCs w:val="24"/>
                <w:rtl/>
              </w:rPr>
              <w:t>:</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גיל</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אורח חיים</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בריאות כללית</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סוג המזהם</w:t>
            </w:r>
          </w:p>
          <w:p w:rsidR="00BE0AB3" w:rsidRDefault="00BE0AB3">
            <w:pPr>
              <w:pStyle w:val="af8"/>
              <w:numPr>
                <w:ilvl w:val="0"/>
                <w:numId w:val="22"/>
              </w:numPr>
              <w:spacing w:after="0" w:line="240" w:lineRule="auto"/>
              <w:ind w:left="180" w:hanging="180"/>
              <w:jc w:val="both"/>
              <w:rPr>
                <w:rFonts w:ascii="David" w:hAnsi="David" w:cs="David"/>
                <w:sz w:val="24"/>
                <w:szCs w:val="24"/>
                <w:u w:val="single"/>
              </w:rPr>
            </w:pPr>
            <w:r>
              <w:rPr>
                <w:rFonts w:ascii="David" w:hAnsi="David" w:cs="David"/>
                <w:sz w:val="24"/>
                <w:szCs w:val="24"/>
                <w:u w:val="single"/>
                <w:rtl/>
              </w:rPr>
              <w:t>גורמים גנטיים</w:t>
            </w:r>
          </w:p>
          <w:p w:rsidR="00BE0AB3" w:rsidRDefault="00BE0AB3">
            <w:pPr>
              <w:pStyle w:val="af8"/>
              <w:spacing w:after="0" w:line="240" w:lineRule="auto"/>
              <w:ind w:left="180" w:hanging="180"/>
              <w:jc w:val="both"/>
              <w:rPr>
                <w:rFonts w:ascii="David" w:hAnsi="David" w:cs="David"/>
                <w:sz w:val="24"/>
                <w:szCs w:val="24"/>
              </w:rPr>
            </w:pPr>
          </w:p>
        </w:tc>
        <w:tc>
          <w:tcPr>
            <w:tcW w:w="4675" w:type="dxa"/>
            <w:tcBorders>
              <w:top w:val="single" w:sz="4" w:space="0" w:color="auto"/>
              <w:left w:val="single" w:sz="4" w:space="0" w:color="auto"/>
              <w:bottom w:val="single" w:sz="4" w:space="0" w:color="auto"/>
              <w:right w:val="single" w:sz="4" w:space="0" w:color="auto"/>
            </w:tcBorders>
          </w:tcPr>
          <w:p w:rsidR="00BE0AB3" w:rsidRDefault="00BE0AB3">
            <w:pPr>
              <w:tabs>
                <w:tab w:val="left" w:pos="33"/>
              </w:tabs>
              <w:rPr>
                <w:rFonts w:ascii="David" w:hAnsi="David"/>
                <w:b/>
                <w:bCs/>
                <w:u w:val="single"/>
                <w:rtl/>
              </w:rPr>
            </w:pPr>
            <w:r>
              <w:rPr>
                <w:rFonts w:ascii="David" w:hAnsi="David"/>
                <w:b/>
                <w:bCs/>
                <w:u w:val="single"/>
                <w:rtl/>
              </w:rPr>
              <w:t>גורמים נוספים המשפיעים על פתולוגית הגסטריטיס</w:t>
            </w:r>
            <w:r>
              <w:rPr>
                <w:rFonts w:ascii="David" w:hAnsi="David"/>
                <w:b/>
                <w:bCs/>
                <w:rtl/>
              </w:rPr>
              <w:t xml:space="preserve"> : </w:t>
            </w:r>
            <w:r>
              <w:rPr>
                <w:rFonts w:ascii="David" w:hAnsi="David"/>
                <w:b/>
                <w:bCs/>
                <w:u w:val="single"/>
                <w:rtl/>
              </w:rPr>
              <w:t>גיל, אורח חיים, בריאות כללית, סוג המזהם, גורמים גנטיים</w:t>
            </w:r>
            <w:r>
              <w:rPr>
                <w:rFonts w:ascii="David" w:hAnsi="David"/>
                <w:u w:val="single"/>
                <w:rtl/>
              </w:rPr>
              <w:tab/>
            </w:r>
          </w:p>
          <w:p w:rsidR="00BE0AB3" w:rsidRDefault="00BE0AB3">
            <w:pPr>
              <w:pStyle w:val="af8"/>
              <w:spacing w:after="0" w:line="360" w:lineRule="auto"/>
              <w:ind w:left="33"/>
              <w:jc w:val="both"/>
              <w:rPr>
                <w:rFonts w:ascii="David" w:hAnsi="David" w:cs="David"/>
                <w:sz w:val="24"/>
                <w:szCs w:val="24"/>
                <w:rtl/>
              </w:rPr>
            </w:pP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572A95">
      <w:pPr>
        <w:pStyle w:val="af8"/>
        <w:numPr>
          <w:ilvl w:val="0"/>
          <w:numId w:val="12"/>
        </w:numPr>
        <w:spacing w:line="360" w:lineRule="auto"/>
        <w:ind w:left="678" w:right="-709" w:hanging="425"/>
        <w:jc w:val="both"/>
        <w:rPr>
          <w:rFonts w:ascii="David" w:hAnsi="David" w:cs="David"/>
          <w:sz w:val="24"/>
          <w:szCs w:val="24"/>
        </w:rPr>
      </w:pPr>
      <w:r>
        <w:rPr>
          <w:rFonts w:ascii="David" w:hAnsi="David" w:cs="David"/>
          <w:b/>
          <w:bCs/>
          <w:sz w:val="24"/>
          <w:szCs w:val="24"/>
          <w:u w:val="single"/>
          <w:rtl/>
        </w:rPr>
        <w:lastRenderedPageBreak/>
        <w:t xml:space="preserve">דוגמא שש עשרה מתוך עשרים ושלוש להעתקה מתוך מצגת של התובעת (ההעתקות מודגשות בקו תחתי) </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מצגות מטעם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מערך השיעור של הנתבעת</w:t>
            </w:r>
          </w:p>
        </w:tc>
      </w:tr>
      <w:tr w:rsidR="00BE0AB3" w:rsidTr="00350AFD">
        <w:trPr>
          <w:trHeight w:val="1317"/>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tl/>
              </w:rPr>
            </w:pPr>
            <w:r>
              <w:rPr>
                <w:rFonts w:ascii="David" w:hAnsi="David" w:cs="David"/>
                <w:b/>
                <w:bCs/>
                <w:sz w:val="24"/>
                <w:szCs w:val="24"/>
              </w:rPr>
              <w:t xml:space="preserve"> </w:t>
            </w:r>
          </w:p>
          <w:p w:rsidR="00BE0AB3" w:rsidRDefault="00BE0AB3">
            <w:pPr>
              <w:pStyle w:val="af8"/>
              <w:spacing w:after="0" w:line="240" w:lineRule="auto"/>
              <w:ind w:left="463" w:hanging="141"/>
              <w:jc w:val="both"/>
              <w:rPr>
                <w:rFonts w:ascii="David" w:hAnsi="David" w:cs="David"/>
                <w:b/>
                <w:bCs/>
                <w:sz w:val="24"/>
                <w:szCs w:val="24"/>
              </w:rPr>
            </w:pPr>
            <w:r>
              <w:rPr>
                <w:rFonts w:ascii="David" w:hAnsi="David" w:cs="David"/>
                <w:b/>
                <w:bCs/>
                <w:sz w:val="24"/>
                <w:szCs w:val="24"/>
              </w:rPr>
              <w:t>Peptic ulcer</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סימפטומים של שני הכיבים:</w:t>
            </w:r>
          </w:p>
          <w:p w:rsidR="00BE0AB3" w:rsidRDefault="00BE0AB3">
            <w:pPr>
              <w:pStyle w:val="af8"/>
              <w:numPr>
                <w:ilvl w:val="0"/>
                <w:numId w:val="22"/>
              </w:numPr>
              <w:spacing w:after="0" w:line="240" w:lineRule="auto"/>
              <w:ind w:left="463" w:hanging="141"/>
              <w:jc w:val="both"/>
              <w:rPr>
                <w:rFonts w:ascii="David" w:hAnsi="David" w:cs="David"/>
                <w:sz w:val="24"/>
                <w:szCs w:val="24"/>
                <w:u w:val="single"/>
              </w:rPr>
            </w:pPr>
            <w:r>
              <w:rPr>
                <w:rFonts w:ascii="David" w:hAnsi="David" w:cs="David"/>
                <w:sz w:val="24"/>
                <w:szCs w:val="24"/>
                <w:u w:val="single"/>
                <w:rtl/>
              </w:rPr>
              <w:t>כאב ברום הבטן</w:t>
            </w:r>
          </w:p>
          <w:p w:rsidR="00BE0AB3" w:rsidRDefault="00BE0AB3">
            <w:pPr>
              <w:pStyle w:val="af8"/>
              <w:numPr>
                <w:ilvl w:val="0"/>
                <w:numId w:val="22"/>
              </w:numPr>
              <w:spacing w:after="0" w:line="240" w:lineRule="auto"/>
              <w:ind w:left="463" w:hanging="141"/>
              <w:jc w:val="both"/>
              <w:rPr>
                <w:rFonts w:ascii="David" w:hAnsi="David" w:cs="David"/>
                <w:sz w:val="24"/>
                <w:szCs w:val="24"/>
              </w:rPr>
            </w:pPr>
            <w:r>
              <w:rPr>
                <w:rFonts w:ascii="David" w:hAnsi="David" w:cs="David"/>
                <w:sz w:val="24"/>
                <w:szCs w:val="24"/>
                <w:u w:val="single"/>
                <w:rtl/>
              </w:rPr>
              <w:t>אי נוחות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tabs>
                <w:tab w:val="left" w:pos="-109"/>
              </w:tabs>
              <w:rPr>
                <w:rFonts w:ascii="David" w:hAnsi="David"/>
                <w:u w:val="single"/>
                <w:rtl/>
              </w:rPr>
            </w:pPr>
            <w:r>
              <w:rPr>
                <w:rFonts w:ascii="David" w:hAnsi="David"/>
                <w:u w:val="single"/>
                <w:rtl/>
              </w:rPr>
              <w:t>סימפטומים</w:t>
            </w:r>
            <w:r>
              <w:rPr>
                <w:rFonts w:ascii="David" w:hAnsi="David"/>
                <w:rtl/>
              </w:rPr>
              <w:t xml:space="preserve"> </w:t>
            </w:r>
            <w:r>
              <w:rPr>
                <w:rFonts w:ascii="David" w:hAnsi="David"/>
                <w:u w:val="single"/>
                <w:rtl/>
              </w:rPr>
              <w:t>בשני הכיבים: כאב ברום הקטן ואי נוחות</w:t>
            </w:r>
          </w:p>
          <w:p w:rsidR="00BE0AB3" w:rsidRDefault="00BE0AB3">
            <w:pPr>
              <w:tabs>
                <w:tab w:val="left" w:pos="33"/>
              </w:tabs>
              <w:rPr>
                <w:rFonts w:ascii="David" w:hAnsi="David"/>
                <w:rtl/>
              </w:rPr>
            </w:pPr>
          </w:p>
        </w:tc>
      </w:tr>
    </w:tbl>
    <w:p w:rsidR="00BE0AB3" w:rsidRDefault="00BE0AB3" w:rsidP="00BE0AB3">
      <w:pPr>
        <w:pStyle w:val="af8"/>
        <w:spacing w:line="360" w:lineRule="auto"/>
        <w:ind w:left="1440"/>
        <w:jc w:val="both"/>
        <w:rPr>
          <w:rFonts w:ascii="David" w:hAnsi="David" w:cs="David"/>
          <w:b/>
          <w:bCs/>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שבע עשרה מתוך עשרים ושלוש להעתקה בין שאלה של הנתבעת לבין שאלה של התובעת</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240" w:lineRule="auto"/>
              <w:ind w:left="463" w:hanging="141"/>
              <w:rPr>
                <w:rtl/>
              </w:rPr>
            </w:pPr>
            <w:r>
              <w:rPr>
                <w:rFonts w:ascii="David" w:hAnsi="David" w:cs="David"/>
                <w:b/>
                <w:bCs/>
                <w:sz w:val="24"/>
                <w:szCs w:val="24"/>
              </w:rPr>
              <w:t xml:space="preserve"> </w:t>
            </w:r>
          </w:p>
          <w:p w:rsidR="00BE0AB3" w:rsidRDefault="00BE0AB3">
            <w:pPr>
              <w:pStyle w:val="af8"/>
              <w:spacing w:after="0" w:line="360" w:lineRule="auto"/>
              <w:ind w:left="180"/>
              <w:jc w:val="both"/>
              <w:rPr>
                <w:rFonts w:ascii="David" w:hAnsi="David" w:cs="David"/>
                <w:sz w:val="24"/>
                <w:szCs w:val="24"/>
              </w:rPr>
            </w:pPr>
            <w:r>
              <w:rPr>
                <w:rFonts w:ascii="David" w:hAnsi="David" w:cs="David"/>
                <w:sz w:val="24"/>
                <w:szCs w:val="24"/>
                <w:rtl/>
              </w:rPr>
              <w:t xml:space="preserve">מה יכול להתפתח בעקבות טיפול ממושך </w:t>
            </w:r>
            <w:r>
              <w:rPr>
                <w:rFonts w:ascii="David" w:hAnsi="David" w:cs="David"/>
                <w:sz w:val="24"/>
                <w:szCs w:val="24"/>
                <w:u w:val="single"/>
                <w:rtl/>
              </w:rPr>
              <w:t>בקסיניקל</w:t>
            </w:r>
            <w:r>
              <w:rPr>
                <w:rFonts w:ascii="David" w:hAnsi="David" w:cs="David"/>
                <w:sz w:val="24"/>
                <w:szCs w:val="24"/>
                <w:rtl/>
              </w:rPr>
              <w:t>?</w:t>
            </w:r>
          </w:p>
          <w:p w:rsidR="00BE0AB3" w:rsidRDefault="00BE0AB3">
            <w:pPr>
              <w:pStyle w:val="af8"/>
              <w:numPr>
                <w:ilvl w:val="0"/>
                <w:numId w:val="32"/>
              </w:numPr>
              <w:spacing w:after="0" w:line="360" w:lineRule="auto"/>
              <w:ind w:left="180" w:firstLine="0"/>
              <w:jc w:val="both"/>
              <w:rPr>
                <w:rFonts w:ascii="David" w:hAnsi="David" w:cs="David"/>
                <w:sz w:val="24"/>
                <w:szCs w:val="24"/>
                <w:u w:val="single"/>
                <w:rtl/>
              </w:rPr>
            </w:pPr>
            <w:r>
              <w:rPr>
                <w:rFonts w:ascii="David" w:hAnsi="David" w:cs="David"/>
                <w:sz w:val="24"/>
                <w:szCs w:val="24"/>
                <w:u w:val="single"/>
                <w:rtl/>
              </w:rPr>
              <w:t>אוסטאופרוזיס</w:t>
            </w:r>
          </w:p>
          <w:p w:rsidR="00BE0AB3" w:rsidRDefault="00BE0AB3">
            <w:pPr>
              <w:pStyle w:val="af8"/>
              <w:numPr>
                <w:ilvl w:val="0"/>
                <w:numId w:val="32"/>
              </w:numPr>
              <w:spacing w:after="0" w:line="360" w:lineRule="auto"/>
              <w:ind w:left="180" w:firstLine="0"/>
              <w:jc w:val="both"/>
              <w:rPr>
                <w:rFonts w:ascii="David" w:hAnsi="David" w:cs="David"/>
                <w:sz w:val="24"/>
                <w:szCs w:val="24"/>
                <w:u w:val="single"/>
              </w:rPr>
            </w:pPr>
            <w:r>
              <w:rPr>
                <w:rFonts w:ascii="David" w:hAnsi="David" w:cs="David"/>
                <w:sz w:val="24"/>
                <w:szCs w:val="24"/>
                <w:u w:val="single"/>
                <w:rtl/>
              </w:rPr>
              <w:t>אנמיה</w:t>
            </w:r>
          </w:p>
          <w:p w:rsidR="00BE0AB3" w:rsidRDefault="00BE0AB3">
            <w:pPr>
              <w:pStyle w:val="af8"/>
              <w:numPr>
                <w:ilvl w:val="0"/>
                <w:numId w:val="32"/>
              </w:numPr>
              <w:spacing w:after="0" w:line="360" w:lineRule="auto"/>
              <w:ind w:left="180" w:firstLine="0"/>
              <w:jc w:val="both"/>
              <w:rPr>
                <w:rFonts w:ascii="David" w:hAnsi="David" w:cs="David"/>
                <w:sz w:val="24"/>
                <w:szCs w:val="24"/>
              </w:rPr>
            </w:pPr>
            <w:r>
              <w:rPr>
                <w:rFonts w:ascii="David" w:hAnsi="David" w:cs="David"/>
                <w:sz w:val="24"/>
                <w:szCs w:val="24"/>
              </w:rPr>
              <w:t>Serotonin syndrome</w:t>
            </w:r>
          </w:p>
          <w:p w:rsidR="00BE0AB3" w:rsidRDefault="00BE0AB3">
            <w:pPr>
              <w:pStyle w:val="af8"/>
              <w:numPr>
                <w:ilvl w:val="0"/>
                <w:numId w:val="32"/>
              </w:numPr>
              <w:spacing w:after="0" w:line="360" w:lineRule="auto"/>
              <w:ind w:left="180" w:firstLine="0"/>
              <w:jc w:val="both"/>
              <w:rPr>
                <w:rFonts w:ascii="David" w:hAnsi="David" w:cs="David"/>
                <w:sz w:val="24"/>
                <w:szCs w:val="24"/>
                <w:u w:val="single"/>
              </w:rPr>
            </w:pPr>
            <w:r>
              <w:rPr>
                <w:rFonts w:ascii="David" w:hAnsi="David" w:cs="David"/>
                <w:sz w:val="24"/>
                <w:szCs w:val="24"/>
                <w:u w:val="single"/>
                <w:rtl/>
              </w:rPr>
              <w:t>היפוגליקמיה</w:t>
            </w:r>
          </w:p>
          <w:p w:rsidR="00BE0AB3" w:rsidRDefault="00BE0AB3">
            <w:pPr>
              <w:pStyle w:val="af8"/>
              <w:spacing w:after="0" w:line="240" w:lineRule="auto"/>
              <w:ind w:left="322"/>
              <w:jc w:val="both"/>
              <w:rPr>
                <w:rFonts w:ascii="David" w:hAnsi="David" w:cs="David"/>
                <w:sz w:val="24"/>
                <w:szCs w:val="24"/>
                <w:rtl/>
              </w:rPr>
            </w:pP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hanging="316"/>
              <w:jc w:val="both"/>
              <w:rPr>
                <w:rFonts w:ascii="David" w:hAnsi="David" w:cs="David"/>
                <w:b/>
                <w:bCs/>
                <w:sz w:val="24"/>
                <w:szCs w:val="24"/>
                <w:rtl/>
              </w:rPr>
            </w:pPr>
            <w:r>
              <w:rPr>
                <w:rFonts w:ascii="David" w:hAnsi="David" w:cs="David"/>
                <w:b/>
                <w:bCs/>
                <w:sz w:val="24"/>
                <w:szCs w:val="24"/>
                <w:rtl/>
              </w:rPr>
              <w:t xml:space="preserve">מה עלול לקרות בשימוש </w:t>
            </w:r>
            <w:r>
              <w:rPr>
                <w:rFonts w:ascii="David" w:hAnsi="David" w:cs="David"/>
                <w:b/>
                <w:bCs/>
                <w:sz w:val="24"/>
                <w:szCs w:val="24"/>
                <w:u w:val="single"/>
                <w:rtl/>
              </w:rPr>
              <w:t>בקסניקל</w:t>
            </w:r>
            <w:r>
              <w:rPr>
                <w:rFonts w:ascii="David" w:hAnsi="David" w:cs="David"/>
                <w:b/>
                <w:bCs/>
                <w:sz w:val="24"/>
                <w:szCs w:val="24"/>
                <w:rtl/>
              </w:rPr>
              <w:t>?</w:t>
            </w:r>
          </w:p>
          <w:p w:rsidR="00BE0AB3" w:rsidRDefault="00BE0AB3">
            <w:pPr>
              <w:pStyle w:val="af8"/>
              <w:numPr>
                <w:ilvl w:val="0"/>
                <w:numId w:val="34"/>
              </w:numPr>
              <w:spacing w:after="0" w:line="360" w:lineRule="auto"/>
              <w:ind w:left="316" w:hanging="316"/>
              <w:jc w:val="both"/>
              <w:rPr>
                <w:rFonts w:ascii="David" w:hAnsi="David" w:cs="David"/>
                <w:sz w:val="24"/>
                <w:szCs w:val="24"/>
                <w:u w:val="single"/>
                <w:rtl/>
              </w:rPr>
            </w:pPr>
            <w:r>
              <w:rPr>
                <w:rFonts w:ascii="David" w:hAnsi="David" w:cs="David"/>
                <w:sz w:val="24"/>
                <w:szCs w:val="24"/>
                <w:u w:val="single"/>
                <w:rtl/>
              </w:rPr>
              <w:t>היפוגליקמיה</w:t>
            </w:r>
          </w:p>
          <w:p w:rsidR="00BE0AB3" w:rsidRDefault="00BE0AB3">
            <w:pPr>
              <w:pStyle w:val="af8"/>
              <w:numPr>
                <w:ilvl w:val="0"/>
                <w:numId w:val="34"/>
              </w:numPr>
              <w:spacing w:after="0" w:line="360" w:lineRule="auto"/>
              <w:ind w:left="316" w:hanging="316"/>
              <w:jc w:val="both"/>
              <w:rPr>
                <w:rFonts w:ascii="David" w:hAnsi="David" w:cs="David"/>
                <w:sz w:val="24"/>
                <w:szCs w:val="24"/>
                <w:u w:val="single"/>
              </w:rPr>
            </w:pPr>
            <w:r>
              <w:rPr>
                <w:rFonts w:ascii="David" w:hAnsi="David" w:cs="David"/>
                <w:sz w:val="24"/>
                <w:szCs w:val="24"/>
                <w:u w:val="single"/>
                <w:rtl/>
              </w:rPr>
              <w:t>אוסטיאופרוזיס</w:t>
            </w:r>
          </w:p>
          <w:p w:rsidR="00BE0AB3" w:rsidRDefault="00BE0AB3">
            <w:pPr>
              <w:pStyle w:val="af8"/>
              <w:numPr>
                <w:ilvl w:val="0"/>
                <w:numId w:val="34"/>
              </w:numPr>
              <w:spacing w:after="0" w:line="360" w:lineRule="auto"/>
              <w:ind w:left="316" w:hanging="316"/>
              <w:jc w:val="both"/>
              <w:rPr>
                <w:rFonts w:ascii="David" w:hAnsi="David" w:cs="David"/>
                <w:sz w:val="24"/>
                <w:szCs w:val="24"/>
                <w:u w:val="single"/>
              </w:rPr>
            </w:pPr>
            <w:r>
              <w:rPr>
                <w:rFonts w:ascii="David" w:hAnsi="David" w:cs="David"/>
                <w:sz w:val="24"/>
                <w:szCs w:val="24"/>
                <w:u w:val="single"/>
                <w:rtl/>
              </w:rPr>
              <w:t>אנמיה</w:t>
            </w:r>
          </w:p>
          <w:p w:rsidR="00BE0AB3" w:rsidRDefault="00BE0AB3">
            <w:pPr>
              <w:pStyle w:val="af8"/>
              <w:numPr>
                <w:ilvl w:val="0"/>
                <w:numId w:val="34"/>
              </w:numPr>
              <w:spacing w:after="0" w:line="360" w:lineRule="auto"/>
              <w:ind w:left="316" w:hanging="316"/>
              <w:jc w:val="both"/>
              <w:rPr>
                <w:rFonts w:ascii="David" w:hAnsi="David" w:cs="David"/>
                <w:sz w:val="24"/>
                <w:szCs w:val="24"/>
              </w:rPr>
            </w:pPr>
            <w:r>
              <w:rPr>
                <w:rFonts w:ascii="David" w:hAnsi="David" w:cs="David"/>
                <w:sz w:val="24"/>
                <w:szCs w:val="24"/>
                <w:rtl/>
              </w:rPr>
              <w:t>צרבת</w:t>
            </w:r>
          </w:p>
          <w:p w:rsidR="00BE0AB3" w:rsidRDefault="00BE0AB3">
            <w:pPr>
              <w:tabs>
                <w:tab w:val="left" w:pos="-109"/>
              </w:tabs>
              <w:rPr>
                <w:rFonts w:ascii="David" w:hAnsi="David"/>
              </w:rPr>
            </w:pPr>
          </w:p>
        </w:tc>
      </w:tr>
    </w:tbl>
    <w:p w:rsidR="00BE0AB3" w:rsidRDefault="00BE0AB3" w:rsidP="00BE0AB3">
      <w:pPr>
        <w:pStyle w:val="af8"/>
        <w:spacing w:line="360" w:lineRule="auto"/>
        <w:ind w:left="1080"/>
        <w:jc w:val="both"/>
        <w:rPr>
          <w:rFonts w:ascii="David" w:hAnsi="David" w:cs="David"/>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 xml:space="preserve">דוגמא שמונה עשרה מתוך עשרים ושלוש להעתקה בין שאלה של הנתבעת לבין שאלה של התובעת </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tl/>
              </w:rPr>
            </w:pPr>
            <w:r>
              <w:rPr>
                <w:rFonts w:ascii="David" w:hAnsi="David" w:cs="David"/>
                <w:b/>
                <w:bCs/>
                <w:sz w:val="24"/>
                <w:szCs w:val="24"/>
              </w:rPr>
              <w:t xml:space="preserve"> </w:t>
            </w:r>
          </w:p>
          <w:p w:rsidR="00BE0AB3" w:rsidRDefault="00BE0AB3">
            <w:pPr>
              <w:pStyle w:val="af8"/>
              <w:spacing w:after="0" w:line="360" w:lineRule="auto"/>
              <w:ind w:left="180"/>
              <w:rPr>
                <w:rFonts w:ascii="David" w:hAnsi="David" w:cs="David"/>
                <w:sz w:val="24"/>
                <w:szCs w:val="24"/>
              </w:rPr>
            </w:pPr>
            <w:r>
              <w:rPr>
                <w:rFonts w:ascii="David" w:hAnsi="David" w:cs="David"/>
                <w:sz w:val="24"/>
                <w:szCs w:val="24"/>
                <w:rtl/>
              </w:rPr>
              <w:t xml:space="preserve">לפי דעת המחברים, דיאטת </w:t>
            </w:r>
            <w:r>
              <w:rPr>
                <w:rFonts w:ascii="David" w:hAnsi="David" w:cs="David"/>
                <w:sz w:val="24"/>
                <w:szCs w:val="24"/>
                <w:u w:val="single"/>
              </w:rPr>
              <w:t>HCG</w:t>
            </w:r>
            <w:r>
              <w:rPr>
                <w:rFonts w:ascii="David" w:hAnsi="David" w:cs="David"/>
                <w:sz w:val="24"/>
                <w:szCs w:val="24"/>
                <w:rtl/>
              </w:rPr>
              <w:t xml:space="preserve"> פועלת על העיקרון ש הורמון ההיריון:</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א.</w:t>
            </w:r>
            <w:r>
              <w:rPr>
                <w:rFonts w:ascii="David" w:hAnsi="David" w:cs="David"/>
                <w:sz w:val="24"/>
                <w:szCs w:val="24"/>
                <w:rtl/>
              </w:rPr>
              <w:tab/>
              <w:t>משנע שומנים מפלג גוף תחתון</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ב.</w:t>
            </w:r>
            <w:r>
              <w:rPr>
                <w:rFonts w:ascii="David" w:hAnsi="David" w:cs="David"/>
                <w:sz w:val="24"/>
                <w:szCs w:val="24"/>
                <w:rtl/>
              </w:rPr>
              <w:tab/>
              <w:t>מדכא הפרשה של אינסולין</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ג.</w:t>
            </w:r>
            <w:r>
              <w:rPr>
                <w:rFonts w:ascii="David" w:hAnsi="David" w:cs="David"/>
                <w:sz w:val="24"/>
                <w:szCs w:val="24"/>
                <w:rtl/>
              </w:rPr>
              <w:tab/>
              <w:t>מגביר הפרשה של איקזנואידים</w:t>
            </w:r>
          </w:p>
          <w:p w:rsidR="00BE0AB3" w:rsidRDefault="00BE0AB3">
            <w:pPr>
              <w:pStyle w:val="af8"/>
              <w:spacing w:after="0" w:line="360" w:lineRule="auto"/>
              <w:ind w:left="180"/>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מעלה הפרשה של סרטונין</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 xml:space="preserve">ע"פ דיאטת הורמון ההיריון </w:t>
            </w:r>
            <w:r>
              <w:rPr>
                <w:rFonts w:ascii="David" w:hAnsi="David" w:cs="David"/>
                <w:sz w:val="24"/>
                <w:szCs w:val="24"/>
                <w:u w:val="single"/>
              </w:rPr>
              <w:t>HCG</w:t>
            </w:r>
            <w:r>
              <w:rPr>
                <w:rFonts w:ascii="David" w:hAnsi="David" w:cs="David"/>
                <w:sz w:val="24"/>
                <w:szCs w:val="24"/>
                <w:rtl/>
              </w:rPr>
              <w:t>?</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א.</w:t>
            </w:r>
            <w:r>
              <w:rPr>
                <w:rFonts w:ascii="David" w:hAnsi="David" w:cs="David"/>
                <w:sz w:val="24"/>
                <w:szCs w:val="24"/>
                <w:rtl/>
              </w:rPr>
              <w:tab/>
              <w:t>יש שינוע של שומן מפלג הגוף התחתון בעיקר</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ב.</w:t>
            </w:r>
            <w:r>
              <w:rPr>
                <w:rFonts w:ascii="David" w:hAnsi="David" w:cs="David"/>
                <w:sz w:val="24"/>
                <w:szCs w:val="24"/>
                <w:rtl/>
              </w:rPr>
              <w:tab/>
              <w:t>יש יחס נכון בין אינסולין לגלוקגון</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ג.</w:t>
            </w:r>
            <w:r>
              <w:rPr>
                <w:rFonts w:ascii="David" w:hAnsi="David" w:cs="David"/>
                <w:sz w:val="24"/>
                <w:szCs w:val="24"/>
                <w:rtl/>
              </w:rPr>
              <w:tab/>
              <w:t>יש כמות קטונים רצויה</w:t>
            </w:r>
          </w:p>
          <w:p w:rsidR="00BE0AB3" w:rsidRDefault="00BE0AB3">
            <w:pPr>
              <w:pStyle w:val="af8"/>
              <w:spacing w:after="0" w:line="360" w:lineRule="auto"/>
              <w:ind w:left="316"/>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הרכב הדיאטה אמור לאזן את האינסולין</w:t>
            </w:r>
          </w:p>
        </w:tc>
      </w:tr>
    </w:tbl>
    <w:p w:rsidR="00BE0AB3" w:rsidRDefault="00BE0AB3" w:rsidP="00BE0AB3">
      <w:pPr>
        <w:pStyle w:val="af8"/>
        <w:spacing w:line="360" w:lineRule="auto"/>
        <w:ind w:left="1440"/>
        <w:jc w:val="both"/>
        <w:rPr>
          <w:rFonts w:ascii="David" w:hAnsi="David" w:cs="David"/>
          <w:b/>
          <w:bCs/>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תשע עשרה מתוך עשרים ושלוש להעתקה בין שאלה של הנתבעת לבין שאלה של התובעת</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tl/>
              </w:rPr>
            </w:pPr>
            <w:r>
              <w:rPr>
                <w:rFonts w:ascii="David" w:hAnsi="David" w:cs="David"/>
                <w:b/>
                <w:bCs/>
                <w:sz w:val="24"/>
                <w:szCs w:val="24"/>
              </w:rPr>
              <w:lastRenderedPageBreak/>
              <w:t xml:space="preserve"> </w:t>
            </w:r>
          </w:p>
          <w:p w:rsidR="00BE0AB3" w:rsidRDefault="00BE0AB3">
            <w:pPr>
              <w:pStyle w:val="af8"/>
              <w:spacing w:after="0" w:line="360" w:lineRule="auto"/>
              <w:ind w:left="180"/>
              <w:rPr>
                <w:rFonts w:ascii="David" w:hAnsi="David" w:cs="David"/>
                <w:sz w:val="24"/>
                <w:szCs w:val="24"/>
              </w:rPr>
            </w:pPr>
            <w:r>
              <w:rPr>
                <w:rFonts w:ascii="David" w:hAnsi="David" w:cs="David"/>
                <w:sz w:val="24"/>
                <w:szCs w:val="24"/>
                <w:rtl/>
              </w:rPr>
              <w:t xml:space="preserve">מה ניתן לומר על </w:t>
            </w:r>
            <w:r>
              <w:rPr>
                <w:rFonts w:ascii="David" w:hAnsi="David" w:cs="David"/>
                <w:sz w:val="24"/>
                <w:szCs w:val="24"/>
                <w:u w:val="single"/>
                <w:rtl/>
              </w:rPr>
              <w:t>טרנספרין</w:t>
            </w:r>
            <w:r>
              <w:rPr>
                <w:rFonts w:ascii="David" w:hAnsi="David" w:cs="David"/>
                <w:sz w:val="24"/>
                <w:szCs w:val="24"/>
                <w:rtl/>
              </w:rPr>
              <w:t>?</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א.</w:t>
            </w:r>
            <w:r>
              <w:rPr>
                <w:rFonts w:ascii="David" w:hAnsi="David" w:cs="David"/>
                <w:sz w:val="24"/>
                <w:szCs w:val="24"/>
                <w:rtl/>
              </w:rPr>
              <w:tab/>
              <w:t>רמתו יורדת בתסמונת נפרוטית</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ב.</w:t>
            </w:r>
            <w:r>
              <w:rPr>
                <w:rFonts w:ascii="David" w:hAnsi="David" w:cs="David"/>
                <w:sz w:val="24"/>
                <w:szCs w:val="24"/>
                <w:rtl/>
              </w:rPr>
              <w:tab/>
              <w:t>מדד אמין לסטאטוס הברזל</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ג.</w:t>
            </w:r>
            <w:r>
              <w:rPr>
                <w:rFonts w:ascii="David" w:hAnsi="David" w:cs="David"/>
                <w:sz w:val="24"/>
                <w:szCs w:val="24"/>
                <w:rtl/>
              </w:rPr>
              <w:tab/>
              <w:t>אינו מושפע מהריון</w:t>
            </w:r>
          </w:p>
          <w:p w:rsidR="00BE0AB3" w:rsidRDefault="00BE0AB3">
            <w:pPr>
              <w:pStyle w:val="af8"/>
              <w:spacing w:after="0" w:line="360" w:lineRule="auto"/>
              <w:ind w:left="180"/>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עולה במהלך סטרס מטבולי</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 xml:space="preserve">מה נכון לומר על </w:t>
            </w:r>
            <w:r>
              <w:rPr>
                <w:rFonts w:ascii="David" w:hAnsi="David" w:cs="David"/>
                <w:sz w:val="24"/>
                <w:szCs w:val="24"/>
                <w:u w:val="single"/>
                <w:rtl/>
              </w:rPr>
              <w:t>טרנספרין</w:t>
            </w:r>
            <w:r>
              <w:rPr>
                <w:rFonts w:ascii="David" w:hAnsi="David" w:cs="David"/>
                <w:sz w:val="24"/>
                <w:szCs w:val="24"/>
                <w:rtl/>
              </w:rPr>
              <w:t>?</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א.</w:t>
            </w:r>
            <w:r>
              <w:rPr>
                <w:rFonts w:ascii="David" w:hAnsi="David" w:cs="David"/>
                <w:sz w:val="24"/>
                <w:szCs w:val="24"/>
                <w:rtl/>
              </w:rPr>
              <w:tab/>
              <w:t>מדד מהימן לרמות הברזל</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ב.</w:t>
            </w:r>
            <w:r>
              <w:rPr>
                <w:rFonts w:ascii="David" w:hAnsi="David" w:cs="David"/>
                <w:sz w:val="24"/>
                <w:szCs w:val="24"/>
                <w:rtl/>
              </w:rPr>
              <w:tab/>
              <w:t>רמות נמוכות בתסמונת נפרוטית</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ג.</w:t>
            </w:r>
            <w:r>
              <w:rPr>
                <w:rFonts w:ascii="David" w:hAnsi="David" w:cs="David"/>
                <w:sz w:val="24"/>
                <w:szCs w:val="24"/>
                <w:rtl/>
              </w:rPr>
              <w:tab/>
              <w:t>יורד בהיריון</w:t>
            </w:r>
          </w:p>
          <w:p w:rsidR="00BE0AB3" w:rsidRDefault="00BE0AB3">
            <w:pPr>
              <w:pStyle w:val="af8"/>
              <w:spacing w:after="0" w:line="360" w:lineRule="auto"/>
              <w:ind w:left="316"/>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הרמות שלו עולות בסטרס</w:t>
            </w:r>
          </w:p>
        </w:tc>
      </w:tr>
    </w:tbl>
    <w:p w:rsidR="00BE0AB3" w:rsidRDefault="00BE0AB3" w:rsidP="00BE0AB3">
      <w:pPr>
        <w:pStyle w:val="af8"/>
        <w:spacing w:line="360" w:lineRule="auto"/>
        <w:ind w:left="1440"/>
        <w:jc w:val="both"/>
        <w:rPr>
          <w:rFonts w:ascii="David" w:hAnsi="David" w:cs="David"/>
          <w:b/>
          <w:bCs/>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 xml:space="preserve">דוגמא עשרים מתוך עשרים ושלוש להעתקה בין שאלה של הנתבעת לבין שאלה של התובעת </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Fonts w:ascii="David" w:hAnsi="David" w:cs="David"/>
                <w:sz w:val="24"/>
                <w:szCs w:val="24"/>
                <w:rtl/>
              </w:rPr>
            </w:pPr>
            <w:r>
              <w:rPr>
                <w:rFonts w:ascii="David" w:hAnsi="David" w:cs="David"/>
                <w:b/>
                <w:bCs/>
                <w:sz w:val="24"/>
                <w:szCs w:val="24"/>
              </w:rPr>
              <w:t xml:space="preserve"> </w:t>
            </w:r>
          </w:p>
          <w:p w:rsidR="00BE0AB3" w:rsidRDefault="00BE0AB3">
            <w:pPr>
              <w:pStyle w:val="af8"/>
              <w:spacing w:after="0" w:line="360" w:lineRule="auto"/>
              <w:ind w:left="180"/>
              <w:rPr>
                <w:rFonts w:ascii="David" w:hAnsi="David" w:cs="David"/>
                <w:sz w:val="24"/>
                <w:szCs w:val="24"/>
              </w:rPr>
            </w:pPr>
            <w:r>
              <w:rPr>
                <w:rFonts w:ascii="David" w:hAnsi="David" w:cs="David"/>
                <w:sz w:val="24"/>
                <w:szCs w:val="24"/>
                <w:rtl/>
              </w:rPr>
              <w:t xml:space="preserve">איזה מבין הבאים היא דיאטה מסוג </w:t>
            </w:r>
            <w:r>
              <w:rPr>
                <w:rFonts w:ascii="David" w:hAnsi="David" w:cs="David"/>
                <w:sz w:val="24"/>
                <w:szCs w:val="24"/>
              </w:rPr>
              <w:t>VLCD</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א.</w:t>
            </w:r>
            <w:r>
              <w:rPr>
                <w:rFonts w:ascii="David" w:hAnsi="David" w:cs="David"/>
                <w:sz w:val="24"/>
                <w:szCs w:val="24"/>
                <w:rtl/>
              </w:rPr>
              <w:tab/>
            </w:r>
            <w:r>
              <w:rPr>
                <w:rFonts w:ascii="David" w:hAnsi="David" w:cs="David"/>
                <w:sz w:val="24"/>
                <w:szCs w:val="24"/>
              </w:rPr>
              <w:t>Low glycemic index</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ב.</w:t>
            </w:r>
            <w:r>
              <w:rPr>
                <w:rFonts w:ascii="David" w:hAnsi="David" w:cs="David"/>
                <w:sz w:val="24"/>
                <w:szCs w:val="24"/>
                <w:rtl/>
              </w:rPr>
              <w:tab/>
            </w:r>
            <w:r>
              <w:rPr>
                <w:rFonts w:ascii="David" w:hAnsi="David" w:cs="David"/>
                <w:sz w:val="24"/>
                <w:szCs w:val="24"/>
                <w:u w:val="single"/>
              </w:rPr>
              <w:t>HCG</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ג.</w:t>
            </w:r>
            <w:r>
              <w:rPr>
                <w:rFonts w:ascii="David" w:hAnsi="David" w:cs="David"/>
                <w:sz w:val="24"/>
                <w:szCs w:val="24"/>
                <w:rtl/>
              </w:rPr>
              <w:tab/>
            </w:r>
            <w:r>
              <w:rPr>
                <w:rFonts w:ascii="David" w:hAnsi="David" w:cs="David"/>
                <w:sz w:val="24"/>
                <w:szCs w:val="24"/>
                <w:u w:val="single"/>
                <w:rtl/>
              </w:rPr>
              <w:t>אקטינס</w:t>
            </w:r>
          </w:p>
          <w:p w:rsidR="00BE0AB3" w:rsidRDefault="00BE0AB3">
            <w:pPr>
              <w:pStyle w:val="af8"/>
              <w:spacing w:after="0" w:line="360" w:lineRule="auto"/>
              <w:ind w:left="180"/>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r>
            <w:r>
              <w:rPr>
                <w:rFonts w:ascii="David" w:hAnsi="David" w:cs="David"/>
                <w:sz w:val="24"/>
                <w:szCs w:val="24"/>
                <w:u w:val="single"/>
              </w:rPr>
              <w:t>ZONE</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Pr>
              <w:t>VLCD</w:t>
            </w:r>
            <w:r>
              <w:rPr>
                <w:rFonts w:ascii="David" w:hAnsi="David" w:cs="David"/>
                <w:sz w:val="24"/>
                <w:szCs w:val="24"/>
                <w:rtl/>
              </w:rPr>
              <w:t xml:space="preserve"> הינה דיאטה מסוימת התואמת בהגדרותיה ל?</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א.</w:t>
            </w:r>
            <w:r>
              <w:rPr>
                <w:rFonts w:ascii="David" w:hAnsi="David" w:cs="David"/>
                <w:sz w:val="24"/>
                <w:szCs w:val="24"/>
                <w:rtl/>
              </w:rPr>
              <w:tab/>
            </w:r>
            <w:r>
              <w:rPr>
                <w:rFonts w:ascii="David" w:hAnsi="David" w:cs="David"/>
                <w:sz w:val="24"/>
                <w:szCs w:val="24"/>
                <w:u w:val="single"/>
              </w:rPr>
              <w:t>HCG</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ב.</w:t>
            </w:r>
            <w:r>
              <w:rPr>
                <w:rFonts w:ascii="David" w:hAnsi="David" w:cs="David"/>
                <w:sz w:val="24"/>
                <w:szCs w:val="24"/>
                <w:rtl/>
              </w:rPr>
              <w:tab/>
            </w:r>
            <w:r>
              <w:rPr>
                <w:rFonts w:ascii="David" w:hAnsi="David" w:cs="David"/>
                <w:sz w:val="24"/>
                <w:szCs w:val="24"/>
                <w:u w:val="single"/>
                <w:rtl/>
              </w:rPr>
              <w:t>אטקינס</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ג.</w:t>
            </w:r>
            <w:r>
              <w:rPr>
                <w:rFonts w:ascii="David" w:hAnsi="David" w:cs="David"/>
                <w:sz w:val="24"/>
                <w:szCs w:val="24"/>
                <w:rtl/>
              </w:rPr>
              <w:tab/>
              <w:t xml:space="preserve"> </w:t>
            </w:r>
            <w:r>
              <w:rPr>
                <w:rFonts w:ascii="David" w:hAnsi="David" w:cs="David"/>
                <w:sz w:val="24"/>
                <w:szCs w:val="24"/>
              </w:rPr>
              <w:t xml:space="preserve">The </w:t>
            </w:r>
            <w:r>
              <w:rPr>
                <w:rFonts w:ascii="David" w:hAnsi="David" w:cs="David"/>
                <w:sz w:val="24"/>
                <w:szCs w:val="24"/>
                <w:u w:val="single"/>
              </w:rPr>
              <w:t>Zone</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ד.</w:t>
            </w:r>
            <w:r>
              <w:rPr>
                <w:rFonts w:ascii="David" w:hAnsi="David" w:cs="David"/>
                <w:sz w:val="24"/>
                <w:szCs w:val="24"/>
                <w:rtl/>
              </w:rPr>
              <w:tab/>
            </w:r>
            <w:r>
              <w:rPr>
                <w:rFonts w:ascii="David" w:hAnsi="David" w:cs="David"/>
                <w:sz w:val="24"/>
                <w:szCs w:val="24"/>
              </w:rPr>
              <w:t>GI</w:t>
            </w:r>
            <w:r>
              <w:rPr>
                <w:rFonts w:ascii="David" w:hAnsi="David" w:cs="David"/>
                <w:sz w:val="24"/>
                <w:szCs w:val="24"/>
                <w:rtl/>
              </w:rPr>
              <w:t xml:space="preserve"> נמוך</w:t>
            </w: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rtl/>
        </w:rPr>
      </w:pPr>
      <w:r>
        <w:rPr>
          <w:rFonts w:ascii="David" w:hAnsi="David" w:cs="David"/>
          <w:b/>
          <w:bCs/>
          <w:sz w:val="24"/>
          <w:szCs w:val="24"/>
          <w:u w:val="single"/>
          <w:rtl/>
        </w:rPr>
        <w:t>דוגמא עשרים ואחת מתוך עשרים ושלוש להעתקה בין שאלה של הנתבעת לבין שאלה של התובעת</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Fonts w:ascii="David" w:hAnsi="David" w:cs="David"/>
                <w:sz w:val="24"/>
                <w:szCs w:val="24"/>
                <w:rtl/>
              </w:rPr>
            </w:pPr>
            <w:r>
              <w:rPr>
                <w:rFonts w:ascii="David" w:hAnsi="David" w:cs="David"/>
                <w:b/>
                <w:bCs/>
                <w:sz w:val="24"/>
                <w:szCs w:val="24"/>
              </w:rPr>
              <w:t xml:space="preserve"> </w:t>
            </w:r>
          </w:p>
          <w:p w:rsidR="00BE0AB3" w:rsidRDefault="00BE0AB3">
            <w:pPr>
              <w:pStyle w:val="af8"/>
              <w:spacing w:after="0" w:line="360" w:lineRule="auto"/>
              <w:ind w:left="180"/>
              <w:rPr>
                <w:rFonts w:ascii="David" w:hAnsi="David" w:cs="David"/>
                <w:sz w:val="24"/>
                <w:szCs w:val="24"/>
                <w:rtl/>
              </w:rPr>
            </w:pPr>
            <w:r>
              <w:rPr>
                <w:rFonts w:ascii="David" w:hAnsi="David" w:cs="David"/>
                <w:sz w:val="24"/>
                <w:szCs w:val="24"/>
                <w:rtl/>
              </w:rPr>
              <w:t xml:space="preserve">שאלון </w:t>
            </w:r>
            <w:r>
              <w:rPr>
                <w:rFonts w:ascii="David" w:hAnsi="David" w:cs="David"/>
                <w:sz w:val="24"/>
                <w:szCs w:val="24"/>
              </w:rPr>
              <w:t xml:space="preserve">( Malnutrition Universal Screening Tool)  </w:t>
            </w:r>
            <w:r>
              <w:rPr>
                <w:rFonts w:ascii="David" w:hAnsi="David" w:cs="David"/>
                <w:sz w:val="24"/>
                <w:szCs w:val="24"/>
                <w:u w:val="single"/>
              </w:rPr>
              <w:t>MUST</w:t>
            </w:r>
            <w:r>
              <w:rPr>
                <w:rFonts w:ascii="David" w:hAnsi="David" w:cs="David"/>
                <w:sz w:val="24"/>
                <w:szCs w:val="24"/>
                <w:rtl/>
              </w:rPr>
              <w:t xml:space="preserve"> נועד:</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א.</w:t>
            </w:r>
            <w:r>
              <w:rPr>
                <w:rFonts w:ascii="David" w:hAnsi="David" w:cs="David"/>
                <w:sz w:val="24"/>
                <w:szCs w:val="24"/>
                <w:rtl/>
              </w:rPr>
              <w:tab/>
              <w:t>לזהות תת תזונה בקרב כל המבוגרים</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ב.</w:t>
            </w:r>
            <w:r>
              <w:rPr>
                <w:rFonts w:ascii="David" w:hAnsi="David" w:cs="David"/>
                <w:sz w:val="24"/>
                <w:szCs w:val="24"/>
                <w:rtl/>
              </w:rPr>
              <w:tab/>
              <w:t xml:space="preserve">לזהות </w:t>
            </w:r>
            <w:r>
              <w:rPr>
                <w:rFonts w:ascii="David" w:hAnsi="David" w:cs="David"/>
                <w:sz w:val="24"/>
                <w:szCs w:val="24"/>
                <w:u w:val="single"/>
                <w:rtl/>
              </w:rPr>
              <w:t>סיכון לתת תזונה במבוגרים</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ג.</w:t>
            </w:r>
            <w:r>
              <w:rPr>
                <w:rFonts w:ascii="David" w:hAnsi="David" w:cs="David"/>
                <w:sz w:val="24"/>
                <w:szCs w:val="24"/>
                <w:rtl/>
              </w:rPr>
              <w:tab/>
              <w:t>לזהות תת תזונה בקרב קטועי גפיים</w:t>
            </w:r>
          </w:p>
          <w:p w:rsidR="00BE0AB3" w:rsidRDefault="00BE0AB3">
            <w:pPr>
              <w:pStyle w:val="af8"/>
              <w:spacing w:after="0" w:line="360" w:lineRule="auto"/>
              <w:ind w:left="322" w:hanging="322"/>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לזהות סיכון לתת תזונה בקרב מנותחים</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 xml:space="preserve">שאלון </w:t>
            </w:r>
            <w:r>
              <w:rPr>
                <w:rFonts w:ascii="David" w:hAnsi="David" w:cs="David"/>
                <w:sz w:val="24"/>
                <w:szCs w:val="24"/>
                <w:u w:val="single"/>
              </w:rPr>
              <w:t>MUST</w:t>
            </w:r>
            <w:r>
              <w:rPr>
                <w:rFonts w:ascii="David" w:hAnsi="David" w:cs="David"/>
                <w:sz w:val="24"/>
                <w:szCs w:val="24"/>
                <w:rtl/>
              </w:rPr>
              <w:t xml:space="preserve"> בודק?</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א.</w:t>
            </w:r>
            <w:r>
              <w:rPr>
                <w:rFonts w:ascii="David" w:hAnsi="David" w:cs="David"/>
                <w:sz w:val="24"/>
                <w:szCs w:val="24"/>
                <w:rtl/>
              </w:rPr>
              <w:tab/>
            </w:r>
            <w:r>
              <w:rPr>
                <w:rFonts w:ascii="David" w:hAnsi="David" w:cs="David"/>
                <w:sz w:val="24"/>
                <w:szCs w:val="24"/>
                <w:u w:val="single"/>
                <w:rtl/>
              </w:rPr>
              <w:t>סיכון לתת תזונה במבוגרים</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ב.</w:t>
            </w:r>
            <w:r>
              <w:rPr>
                <w:rFonts w:ascii="David" w:hAnsi="David" w:cs="David"/>
                <w:sz w:val="24"/>
                <w:szCs w:val="24"/>
                <w:rtl/>
              </w:rPr>
              <w:tab/>
              <w:t>סיכון לתת תזונה במנותחים בלבד</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ג.</w:t>
            </w:r>
            <w:r>
              <w:rPr>
                <w:rFonts w:ascii="David" w:hAnsi="David" w:cs="David"/>
                <w:sz w:val="24"/>
                <w:szCs w:val="24"/>
                <w:rtl/>
              </w:rPr>
              <w:tab/>
              <w:t>תת תזונה במבוגרים</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ד.</w:t>
            </w:r>
            <w:r>
              <w:rPr>
                <w:rFonts w:ascii="David" w:hAnsi="David" w:cs="David"/>
                <w:sz w:val="24"/>
                <w:szCs w:val="24"/>
                <w:rtl/>
              </w:rPr>
              <w:tab/>
              <w:t>כל התשובות נכונות</w:t>
            </w:r>
          </w:p>
        </w:tc>
      </w:tr>
    </w:tbl>
    <w:p w:rsidR="00BE0AB3" w:rsidRDefault="00BE0AB3" w:rsidP="00BE0AB3">
      <w:pPr>
        <w:pStyle w:val="af8"/>
        <w:spacing w:line="360" w:lineRule="auto"/>
        <w:ind w:left="1800"/>
        <w:jc w:val="both"/>
        <w:rPr>
          <w:rFonts w:ascii="David" w:hAnsi="David" w:cs="David"/>
          <w:sz w:val="24"/>
          <w:szCs w:val="24"/>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u w:val="single"/>
          <w:rtl/>
        </w:rPr>
      </w:pPr>
      <w:r>
        <w:rPr>
          <w:rFonts w:ascii="David" w:hAnsi="David" w:cs="David"/>
          <w:b/>
          <w:bCs/>
          <w:sz w:val="24"/>
          <w:szCs w:val="24"/>
          <w:u w:val="single"/>
          <w:rtl/>
        </w:rPr>
        <w:t>דוגמא עשרים ושתיים מתוך עשרים ושלוש להעתקה בין שאלה של הנתבעת לבין שאלה של התובעת</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Fonts w:ascii="David" w:hAnsi="David" w:cs="David"/>
                <w:sz w:val="24"/>
                <w:szCs w:val="24"/>
                <w:rtl/>
              </w:rPr>
            </w:pPr>
            <w:r>
              <w:rPr>
                <w:rFonts w:ascii="David" w:hAnsi="David" w:cs="David"/>
                <w:b/>
                <w:bCs/>
                <w:sz w:val="24"/>
                <w:szCs w:val="24"/>
              </w:rPr>
              <w:lastRenderedPageBreak/>
              <w:t xml:space="preserve"> </w:t>
            </w:r>
          </w:p>
          <w:p w:rsidR="00BE0AB3" w:rsidRDefault="00BE0AB3">
            <w:pPr>
              <w:pStyle w:val="af8"/>
              <w:spacing w:after="0" w:line="360" w:lineRule="auto"/>
              <w:ind w:left="322" w:hanging="322"/>
              <w:rPr>
                <w:rFonts w:ascii="David" w:hAnsi="David" w:cs="David"/>
                <w:sz w:val="24"/>
                <w:szCs w:val="24"/>
              </w:rPr>
            </w:pPr>
            <w:r>
              <w:rPr>
                <w:rFonts w:ascii="David" w:hAnsi="David" w:cs="David"/>
                <w:sz w:val="24"/>
                <w:szCs w:val="24"/>
                <w:rtl/>
              </w:rPr>
              <w:t xml:space="preserve">יחס  </w:t>
            </w:r>
            <w:r>
              <w:rPr>
                <w:rFonts w:ascii="David" w:hAnsi="David" w:cs="David"/>
                <w:sz w:val="24"/>
                <w:szCs w:val="24"/>
                <w:u w:val="single"/>
              </w:rPr>
              <w:t>NPC    : N</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א.</w:t>
            </w:r>
            <w:r>
              <w:rPr>
                <w:rFonts w:ascii="David" w:hAnsi="David" w:cs="David"/>
                <w:sz w:val="24"/>
                <w:szCs w:val="24"/>
                <w:rtl/>
              </w:rPr>
              <w:tab/>
              <w:t xml:space="preserve">חייב להיות </w:t>
            </w:r>
            <w:r>
              <w:rPr>
                <w:rFonts w:ascii="David" w:hAnsi="David" w:cs="David"/>
                <w:sz w:val="24"/>
                <w:szCs w:val="24"/>
                <w:u w:val="single"/>
                <w:rtl/>
              </w:rPr>
              <w:t xml:space="preserve">1:150 </w:t>
            </w:r>
            <w:r>
              <w:rPr>
                <w:rFonts w:ascii="David" w:hAnsi="David" w:cs="David"/>
                <w:sz w:val="24"/>
                <w:szCs w:val="24"/>
                <w:rtl/>
              </w:rPr>
              <w:t>בכל תוכנית תזונתית</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ב.</w:t>
            </w:r>
            <w:r>
              <w:rPr>
                <w:rFonts w:ascii="David" w:hAnsi="David" w:cs="David"/>
                <w:sz w:val="24"/>
                <w:szCs w:val="24"/>
                <w:rtl/>
              </w:rPr>
              <w:tab/>
              <w:t xml:space="preserve">חייב להיות </w:t>
            </w:r>
            <w:r>
              <w:rPr>
                <w:rFonts w:ascii="David" w:hAnsi="David" w:cs="David"/>
                <w:sz w:val="24"/>
                <w:szCs w:val="24"/>
                <w:u w:val="single"/>
                <w:rtl/>
              </w:rPr>
              <w:t xml:space="preserve">1:300 </w:t>
            </w:r>
            <w:r>
              <w:rPr>
                <w:rFonts w:ascii="David" w:hAnsi="David" w:cs="David"/>
                <w:sz w:val="24"/>
                <w:szCs w:val="24"/>
                <w:rtl/>
              </w:rPr>
              <w:t xml:space="preserve">כאשר </w:t>
            </w:r>
            <w:r>
              <w:rPr>
                <w:rFonts w:ascii="David" w:hAnsi="David" w:cs="David"/>
                <w:sz w:val="24"/>
                <w:szCs w:val="24"/>
              </w:rPr>
              <w:t>GFR</w:t>
            </w:r>
            <w:r>
              <w:rPr>
                <w:rFonts w:ascii="David" w:hAnsi="David" w:cs="David"/>
                <w:sz w:val="24"/>
                <w:szCs w:val="24"/>
                <w:rtl/>
              </w:rPr>
              <w:t xml:space="preserve"> נמוך</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ג.</w:t>
            </w:r>
            <w:r>
              <w:rPr>
                <w:rFonts w:ascii="David" w:hAnsi="David" w:cs="David"/>
                <w:sz w:val="24"/>
                <w:szCs w:val="24"/>
                <w:rtl/>
              </w:rPr>
              <w:tab/>
              <w:t xml:space="preserve">חייב להיות </w:t>
            </w:r>
            <w:r>
              <w:rPr>
                <w:rFonts w:ascii="David" w:hAnsi="David" w:cs="David"/>
                <w:sz w:val="24"/>
                <w:szCs w:val="24"/>
                <w:u w:val="single"/>
                <w:rtl/>
              </w:rPr>
              <w:t xml:space="preserve">1:100 </w:t>
            </w:r>
            <w:r>
              <w:rPr>
                <w:rFonts w:ascii="David" w:hAnsi="David" w:cs="David"/>
                <w:sz w:val="24"/>
                <w:szCs w:val="24"/>
                <w:rtl/>
              </w:rPr>
              <w:t>כאשר מאזן החנקן שלילי</w:t>
            </w:r>
          </w:p>
          <w:p w:rsidR="00BE0AB3" w:rsidRDefault="00BE0AB3">
            <w:pPr>
              <w:pStyle w:val="af8"/>
              <w:spacing w:after="0" w:line="360" w:lineRule="auto"/>
              <w:ind w:left="322" w:hanging="322"/>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r>
            <w:r>
              <w:rPr>
                <w:rFonts w:ascii="David" w:hAnsi="David" w:cs="David"/>
                <w:sz w:val="24"/>
                <w:szCs w:val="24"/>
                <w:u w:val="single"/>
                <w:rtl/>
              </w:rPr>
              <w:t>אם מאזן החנקן שלילי</w:t>
            </w:r>
            <w:r>
              <w:rPr>
                <w:rFonts w:ascii="David" w:hAnsi="David" w:cs="David"/>
                <w:sz w:val="24"/>
                <w:szCs w:val="24"/>
                <w:rtl/>
              </w:rPr>
              <w:t xml:space="preserve"> והיחס שהתקבל נמוך, יש להגדילו</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316" w:hanging="316"/>
              <w:jc w:val="both"/>
              <w:rPr>
                <w:rFonts w:ascii="David" w:hAnsi="David" w:cs="David"/>
                <w:b/>
                <w:bCs/>
                <w:sz w:val="24"/>
                <w:szCs w:val="24"/>
                <w:rtl/>
              </w:rPr>
            </w:pPr>
          </w:p>
          <w:p w:rsidR="00BE0AB3" w:rsidRDefault="00BE0AB3">
            <w:pPr>
              <w:pStyle w:val="af8"/>
              <w:spacing w:after="0" w:line="360" w:lineRule="auto"/>
              <w:ind w:left="316" w:hanging="316"/>
              <w:jc w:val="both"/>
              <w:rPr>
                <w:rFonts w:ascii="David" w:hAnsi="David" w:cs="David"/>
                <w:b/>
                <w:bCs/>
                <w:sz w:val="24"/>
                <w:szCs w:val="24"/>
                <w:rtl/>
              </w:rPr>
            </w:pPr>
            <w:r>
              <w:rPr>
                <w:rFonts w:ascii="David" w:hAnsi="David" w:cs="David"/>
                <w:b/>
                <w:bCs/>
                <w:sz w:val="24"/>
                <w:szCs w:val="24"/>
                <w:u w:val="single"/>
              </w:rPr>
              <w:t xml:space="preserve">NPC </w:t>
            </w:r>
            <w:r>
              <w:rPr>
                <w:rFonts w:ascii="David" w:hAnsi="David" w:cs="David"/>
                <w:b/>
                <w:bCs/>
                <w:sz w:val="24"/>
                <w:szCs w:val="24"/>
                <w:u w:val="single"/>
                <w:rtl/>
              </w:rPr>
              <w:t>:</w:t>
            </w:r>
            <w:r>
              <w:rPr>
                <w:rFonts w:ascii="David" w:hAnsi="David" w:cs="David"/>
                <w:b/>
                <w:bCs/>
                <w:sz w:val="24"/>
                <w:szCs w:val="24"/>
                <w:u w:val="single"/>
              </w:rPr>
              <w:t>N</w:t>
            </w:r>
            <w:r>
              <w:rPr>
                <w:rFonts w:ascii="David" w:hAnsi="David" w:cs="David"/>
                <w:b/>
                <w:bCs/>
                <w:sz w:val="24"/>
                <w:szCs w:val="24"/>
                <w:rtl/>
              </w:rPr>
              <w:t xml:space="preserve"> מהו המשפט הנכון?</w:t>
            </w:r>
          </w:p>
          <w:p w:rsidR="00BE0AB3" w:rsidRDefault="00BE0AB3">
            <w:pPr>
              <w:pStyle w:val="af8"/>
              <w:numPr>
                <w:ilvl w:val="0"/>
                <w:numId w:val="36"/>
              </w:numPr>
              <w:spacing w:after="0" w:line="360" w:lineRule="auto"/>
              <w:ind w:left="316" w:hanging="316"/>
              <w:jc w:val="both"/>
              <w:rPr>
                <w:rFonts w:ascii="David" w:hAnsi="David" w:cs="David"/>
                <w:sz w:val="24"/>
                <w:szCs w:val="24"/>
                <w:rtl/>
              </w:rPr>
            </w:pPr>
            <w:r>
              <w:rPr>
                <w:rFonts w:ascii="David" w:hAnsi="David" w:cs="David"/>
                <w:sz w:val="24"/>
                <w:szCs w:val="24"/>
                <w:rtl/>
              </w:rPr>
              <w:t xml:space="preserve">תמיד </w:t>
            </w:r>
            <w:r>
              <w:rPr>
                <w:rFonts w:ascii="David" w:hAnsi="David" w:cs="David"/>
                <w:sz w:val="24"/>
                <w:szCs w:val="24"/>
                <w:u w:val="single"/>
                <w:rtl/>
              </w:rPr>
              <w:t>1:150</w:t>
            </w:r>
          </w:p>
          <w:p w:rsidR="00BE0AB3" w:rsidRDefault="00BE0AB3">
            <w:pPr>
              <w:pStyle w:val="af8"/>
              <w:numPr>
                <w:ilvl w:val="0"/>
                <w:numId w:val="36"/>
              </w:numPr>
              <w:spacing w:after="0" w:line="360" w:lineRule="auto"/>
              <w:ind w:left="316" w:hanging="316"/>
              <w:jc w:val="both"/>
              <w:rPr>
                <w:rFonts w:ascii="David" w:hAnsi="David" w:cs="David"/>
                <w:sz w:val="24"/>
                <w:szCs w:val="24"/>
              </w:rPr>
            </w:pPr>
            <w:r>
              <w:rPr>
                <w:rFonts w:ascii="David" w:hAnsi="David" w:cs="David"/>
                <w:sz w:val="24"/>
                <w:szCs w:val="24"/>
                <w:rtl/>
              </w:rPr>
              <w:t xml:space="preserve">תמיד </w:t>
            </w:r>
            <w:r>
              <w:rPr>
                <w:rFonts w:ascii="David" w:hAnsi="David" w:cs="David"/>
                <w:sz w:val="24"/>
                <w:szCs w:val="24"/>
                <w:u w:val="single"/>
                <w:rtl/>
              </w:rPr>
              <w:t xml:space="preserve">1:300 </w:t>
            </w:r>
            <w:r>
              <w:rPr>
                <w:rFonts w:ascii="David" w:hAnsi="David" w:cs="David"/>
                <w:sz w:val="24"/>
                <w:szCs w:val="24"/>
                <w:rtl/>
              </w:rPr>
              <w:t>כש-</w:t>
            </w:r>
            <w:r>
              <w:rPr>
                <w:rFonts w:ascii="David" w:hAnsi="David" w:cs="David"/>
                <w:sz w:val="24"/>
                <w:szCs w:val="24"/>
              </w:rPr>
              <w:t>GFR</w:t>
            </w:r>
            <w:r>
              <w:rPr>
                <w:rFonts w:ascii="David" w:hAnsi="David" w:cs="David"/>
                <w:sz w:val="24"/>
                <w:szCs w:val="24"/>
                <w:rtl/>
              </w:rPr>
              <w:t xml:space="preserve"> נמוך</w:t>
            </w:r>
          </w:p>
          <w:p w:rsidR="00BE0AB3" w:rsidRDefault="00BE0AB3">
            <w:pPr>
              <w:pStyle w:val="af8"/>
              <w:numPr>
                <w:ilvl w:val="0"/>
                <w:numId w:val="36"/>
              </w:numPr>
              <w:spacing w:after="0" w:line="360" w:lineRule="auto"/>
              <w:ind w:left="316" w:hanging="316"/>
              <w:jc w:val="both"/>
              <w:rPr>
                <w:rFonts w:ascii="David" w:hAnsi="David" w:cs="David"/>
                <w:sz w:val="24"/>
                <w:szCs w:val="24"/>
              </w:rPr>
            </w:pPr>
            <w:r>
              <w:rPr>
                <w:rFonts w:ascii="David" w:hAnsi="David" w:cs="David"/>
                <w:sz w:val="24"/>
                <w:szCs w:val="24"/>
                <w:u w:val="single"/>
                <w:rtl/>
              </w:rPr>
              <w:t xml:space="preserve">1:100 </w:t>
            </w:r>
            <w:r>
              <w:rPr>
                <w:rFonts w:ascii="David" w:hAnsi="David" w:cs="David"/>
                <w:sz w:val="24"/>
                <w:szCs w:val="24"/>
                <w:rtl/>
              </w:rPr>
              <w:t>כשמאזן החנקן שלילי</w:t>
            </w:r>
          </w:p>
          <w:p w:rsidR="00BE0AB3" w:rsidRDefault="00BE0AB3">
            <w:pPr>
              <w:pStyle w:val="af8"/>
              <w:numPr>
                <w:ilvl w:val="0"/>
                <w:numId w:val="36"/>
              </w:numPr>
              <w:spacing w:after="0" w:line="360" w:lineRule="auto"/>
              <w:ind w:left="316" w:hanging="316"/>
              <w:jc w:val="both"/>
              <w:rPr>
                <w:rFonts w:ascii="David" w:hAnsi="David" w:cs="David"/>
                <w:sz w:val="24"/>
                <w:szCs w:val="24"/>
              </w:rPr>
            </w:pPr>
            <w:r>
              <w:rPr>
                <w:rFonts w:ascii="David" w:hAnsi="David" w:cs="David"/>
                <w:sz w:val="24"/>
                <w:szCs w:val="24"/>
                <w:u w:val="single"/>
                <w:rtl/>
              </w:rPr>
              <w:t>אם מאזן החנקן שלילי</w:t>
            </w:r>
            <w:r>
              <w:rPr>
                <w:rFonts w:ascii="David" w:hAnsi="David" w:cs="David"/>
                <w:sz w:val="24"/>
                <w:szCs w:val="24"/>
                <w:rtl/>
              </w:rPr>
              <w:t xml:space="preserve"> והערך </w:t>
            </w:r>
            <w:r>
              <w:rPr>
                <w:rFonts w:ascii="David" w:hAnsi="David" w:cs="David"/>
                <w:sz w:val="24"/>
                <w:szCs w:val="24"/>
              </w:rPr>
              <w:t>NPC</w:t>
            </w:r>
            <w:r>
              <w:rPr>
                <w:rFonts w:ascii="David" w:hAnsi="David" w:cs="David"/>
                <w:sz w:val="24"/>
                <w:szCs w:val="24"/>
                <w:rtl/>
              </w:rPr>
              <w:t xml:space="preserve"> נמוך, יש להגדיל חלבונים</w:t>
            </w:r>
          </w:p>
          <w:p w:rsidR="00BE0AB3" w:rsidRDefault="00BE0AB3">
            <w:pPr>
              <w:pStyle w:val="af8"/>
              <w:spacing w:after="0" w:line="360" w:lineRule="auto"/>
              <w:ind w:left="316"/>
              <w:rPr>
                <w:rFonts w:ascii="David" w:hAnsi="David" w:cs="David"/>
                <w:sz w:val="24"/>
                <w:szCs w:val="24"/>
              </w:rPr>
            </w:pPr>
          </w:p>
        </w:tc>
      </w:tr>
    </w:tbl>
    <w:p w:rsidR="00BE0AB3" w:rsidRDefault="00BE0AB3" w:rsidP="00BE0AB3">
      <w:pPr>
        <w:pStyle w:val="af8"/>
        <w:spacing w:line="360" w:lineRule="auto"/>
        <w:ind w:left="1440"/>
        <w:jc w:val="both"/>
        <w:rPr>
          <w:rFonts w:ascii="David" w:hAnsi="David" w:cs="David"/>
          <w:sz w:val="24"/>
          <w:szCs w:val="24"/>
          <w:rtl/>
        </w:rPr>
      </w:pPr>
    </w:p>
    <w:p w:rsidR="00BE0AB3" w:rsidRDefault="00BE0AB3" w:rsidP="00350AFD">
      <w:pPr>
        <w:pStyle w:val="af8"/>
        <w:numPr>
          <w:ilvl w:val="0"/>
          <w:numId w:val="12"/>
        </w:numPr>
        <w:spacing w:line="360" w:lineRule="auto"/>
        <w:ind w:left="678" w:right="-709" w:hanging="425"/>
        <w:jc w:val="both"/>
        <w:rPr>
          <w:rFonts w:ascii="David" w:hAnsi="David" w:cs="David"/>
          <w:sz w:val="24"/>
          <w:szCs w:val="24"/>
          <w:u w:val="single"/>
          <w:rtl/>
        </w:rPr>
      </w:pPr>
      <w:r>
        <w:rPr>
          <w:rFonts w:ascii="David" w:hAnsi="David" w:cs="David"/>
          <w:b/>
          <w:bCs/>
          <w:sz w:val="24"/>
          <w:szCs w:val="24"/>
          <w:u w:val="single"/>
          <w:rtl/>
        </w:rPr>
        <w:t xml:space="preserve">דוגמא עשרים ושלוש מתוך עשרים ושלוש להעתקה בין שאלה של הנתבעת לבין שאלה של התובעת </w:t>
      </w:r>
    </w:p>
    <w:tbl>
      <w:tblPr>
        <w:tblStyle w:val="ac"/>
        <w:bidiVisual/>
        <w:tblW w:w="8922" w:type="dxa"/>
        <w:tblInd w:w="671" w:type="dxa"/>
        <w:tblLook w:val="04A0" w:firstRow="1" w:lastRow="0" w:firstColumn="1" w:lastColumn="0" w:noHBand="0" w:noVBand="1"/>
      </w:tblPr>
      <w:tblGrid>
        <w:gridCol w:w="4255"/>
        <w:gridCol w:w="4667"/>
      </w:tblGrid>
      <w:tr w:rsidR="00BE0AB3" w:rsidTr="00350AFD">
        <w:trPr>
          <w:trHeight w:val="793"/>
        </w:trPr>
        <w:tc>
          <w:tcPr>
            <w:tcW w:w="4255"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התובעת</w:t>
            </w:r>
          </w:p>
        </w:tc>
        <w:tc>
          <w:tcPr>
            <w:tcW w:w="4667" w:type="dxa"/>
            <w:tcBorders>
              <w:top w:val="single" w:sz="4" w:space="0" w:color="auto"/>
              <w:left w:val="single" w:sz="4" w:space="0" w:color="auto"/>
              <w:bottom w:val="single" w:sz="4" w:space="0" w:color="auto"/>
              <w:right w:val="single" w:sz="4" w:space="0" w:color="auto"/>
            </w:tcBorders>
          </w:tcPr>
          <w:p w:rsidR="00BE0AB3" w:rsidRDefault="00BE0AB3">
            <w:pPr>
              <w:pStyle w:val="af8"/>
              <w:spacing w:after="0" w:line="360" w:lineRule="auto"/>
              <w:ind w:left="0"/>
              <w:jc w:val="both"/>
              <w:rPr>
                <w:rFonts w:ascii="David" w:hAnsi="David" w:cs="David"/>
                <w:b/>
                <w:bCs/>
                <w:sz w:val="24"/>
                <w:szCs w:val="24"/>
                <w:rtl/>
              </w:rPr>
            </w:pPr>
          </w:p>
          <w:p w:rsidR="00BE0AB3" w:rsidRDefault="00BE0AB3">
            <w:pPr>
              <w:pStyle w:val="af8"/>
              <w:spacing w:after="0" w:line="360" w:lineRule="auto"/>
              <w:ind w:left="0"/>
              <w:jc w:val="both"/>
              <w:rPr>
                <w:rFonts w:ascii="David" w:hAnsi="David" w:cs="David"/>
                <w:b/>
                <w:bCs/>
                <w:sz w:val="24"/>
                <w:szCs w:val="24"/>
                <w:rtl/>
              </w:rPr>
            </w:pPr>
            <w:r>
              <w:rPr>
                <w:rFonts w:ascii="David" w:hAnsi="David" w:cs="David"/>
                <w:b/>
                <w:bCs/>
                <w:sz w:val="24"/>
                <w:szCs w:val="24"/>
                <w:rtl/>
              </w:rPr>
              <w:t>שאלה של הנתבעת</w:t>
            </w:r>
          </w:p>
        </w:tc>
      </w:tr>
      <w:tr w:rsidR="00BE0AB3" w:rsidTr="00350AFD">
        <w:trPr>
          <w:trHeight w:val="2303"/>
        </w:trPr>
        <w:tc>
          <w:tcPr>
            <w:tcW w:w="4255"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240" w:lineRule="auto"/>
              <w:ind w:left="463" w:hanging="141"/>
              <w:rPr>
                <w:rFonts w:ascii="David" w:hAnsi="David" w:cs="David"/>
                <w:sz w:val="24"/>
                <w:szCs w:val="24"/>
                <w:u w:val="single"/>
                <w:rtl/>
              </w:rPr>
            </w:pPr>
            <w:r>
              <w:rPr>
                <w:rFonts w:ascii="David" w:hAnsi="David" w:cs="David"/>
                <w:b/>
                <w:bCs/>
                <w:sz w:val="24"/>
                <w:szCs w:val="24"/>
              </w:rPr>
              <w:t xml:space="preserve"> </w:t>
            </w:r>
            <w:r>
              <w:rPr>
                <w:rFonts w:ascii="David" w:hAnsi="David" w:cs="David"/>
                <w:sz w:val="24"/>
                <w:szCs w:val="24"/>
                <w:rtl/>
              </w:rPr>
              <w:t>ב</w:t>
            </w:r>
            <w:r>
              <w:rPr>
                <w:rFonts w:ascii="David" w:hAnsi="David" w:cs="David"/>
                <w:sz w:val="24"/>
                <w:szCs w:val="24"/>
                <w:u w:val="single"/>
                <w:rtl/>
              </w:rPr>
              <w:t>כחקסיה לעומת סרקופניה</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א.</w:t>
            </w:r>
            <w:r>
              <w:rPr>
                <w:rFonts w:ascii="David" w:hAnsi="David" w:cs="David"/>
                <w:sz w:val="24"/>
                <w:szCs w:val="24"/>
                <w:rtl/>
              </w:rPr>
              <w:tab/>
              <w:t>ישנו איבוד מסת שריר כתהליך טבעי של ההזדקנות</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ב.</w:t>
            </w:r>
            <w:r>
              <w:rPr>
                <w:rFonts w:ascii="David" w:hAnsi="David" w:cs="David"/>
                <w:sz w:val="24"/>
                <w:szCs w:val="24"/>
                <w:rtl/>
              </w:rPr>
              <w:tab/>
              <w:t>ישנו איבוד מסת שריר הנובע מתהליכים דלקתיים</w:t>
            </w:r>
          </w:p>
          <w:p w:rsidR="00BE0AB3" w:rsidRDefault="00BE0AB3">
            <w:pPr>
              <w:pStyle w:val="af8"/>
              <w:spacing w:after="0" w:line="360" w:lineRule="auto"/>
              <w:ind w:left="322" w:hanging="322"/>
              <w:rPr>
                <w:rFonts w:ascii="David" w:hAnsi="David" w:cs="David"/>
                <w:sz w:val="24"/>
                <w:szCs w:val="24"/>
                <w:rtl/>
              </w:rPr>
            </w:pPr>
            <w:r>
              <w:rPr>
                <w:rFonts w:ascii="David" w:hAnsi="David" w:cs="David"/>
                <w:sz w:val="24"/>
                <w:szCs w:val="24"/>
                <w:rtl/>
              </w:rPr>
              <w:t>ג.</w:t>
            </w:r>
            <w:r>
              <w:rPr>
                <w:rFonts w:ascii="David" w:hAnsi="David" w:cs="David"/>
                <w:sz w:val="24"/>
                <w:szCs w:val="24"/>
                <w:rtl/>
              </w:rPr>
              <w:tab/>
              <w:t>ישנו איבוד מסת שריר הנובע מצריכת מזון לקויה</w:t>
            </w:r>
          </w:p>
          <w:p w:rsidR="00BE0AB3" w:rsidRDefault="00BE0AB3">
            <w:pPr>
              <w:pStyle w:val="af8"/>
              <w:spacing w:after="0" w:line="360" w:lineRule="auto"/>
              <w:ind w:left="322" w:hanging="322"/>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ישנו איבוד מסת שריר הנובע מתהליכים הורמונאליים</w:t>
            </w:r>
          </w:p>
        </w:tc>
        <w:tc>
          <w:tcPr>
            <w:tcW w:w="4667" w:type="dxa"/>
            <w:tcBorders>
              <w:top w:val="single" w:sz="4" w:space="0" w:color="auto"/>
              <w:left w:val="single" w:sz="4" w:space="0" w:color="auto"/>
              <w:bottom w:val="single" w:sz="4" w:space="0" w:color="auto"/>
              <w:right w:val="single" w:sz="4" w:space="0" w:color="auto"/>
            </w:tcBorders>
            <w:hideMark/>
          </w:tcPr>
          <w:p w:rsidR="00BE0AB3" w:rsidRDefault="00BE0AB3">
            <w:pPr>
              <w:pStyle w:val="af8"/>
              <w:spacing w:after="0" w:line="360" w:lineRule="auto"/>
              <w:ind w:left="316"/>
              <w:rPr>
                <w:rFonts w:ascii="David" w:hAnsi="David" w:cs="David"/>
                <w:sz w:val="24"/>
                <w:szCs w:val="24"/>
                <w:u w:val="single"/>
                <w:rtl/>
              </w:rPr>
            </w:pPr>
            <w:r>
              <w:rPr>
                <w:rFonts w:ascii="David" w:hAnsi="David" w:cs="David"/>
                <w:sz w:val="24"/>
                <w:szCs w:val="24"/>
                <w:u w:val="single"/>
                <w:rtl/>
              </w:rPr>
              <w:t>כחקסיה לעומת סקרקופניה</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א.</w:t>
            </w:r>
            <w:r>
              <w:rPr>
                <w:rFonts w:ascii="David" w:hAnsi="David" w:cs="David"/>
                <w:sz w:val="24"/>
                <w:szCs w:val="24"/>
                <w:rtl/>
              </w:rPr>
              <w:tab/>
              <w:t>תזונה לקויה</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ב.</w:t>
            </w:r>
            <w:r>
              <w:rPr>
                <w:rFonts w:ascii="David" w:hAnsi="David" w:cs="David"/>
                <w:sz w:val="24"/>
                <w:szCs w:val="24"/>
                <w:rtl/>
              </w:rPr>
              <w:tab/>
              <w:t>הזדקנות טבעית</w:t>
            </w:r>
          </w:p>
          <w:p w:rsidR="00BE0AB3" w:rsidRDefault="00BE0AB3">
            <w:pPr>
              <w:pStyle w:val="af8"/>
              <w:spacing w:after="0" w:line="360" w:lineRule="auto"/>
              <w:ind w:left="316"/>
              <w:rPr>
                <w:rFonts w:ascii="David" w:hAnsi="David" w:cs="David"/>
                <w:sz w:val="24"/>
                <w:szCs w:val="24"/>
                <w:rtl/>
              </w:rPr>
            </w:pPr>
            <w:r>
              <w:rPr>
                <w:rFonts w:ascii="David" w:hAnsi="David" w:cs="David"/>
                <w:sz w:val="24"/>
                <w:szCs w:val="24"/>
                <w:rtl/>
              </w:rPr>
              <w:t>ג.</w:t>
            </w:r>
            <w:r>
              <w:rPr>
                <w:rFonts w:ascii="David" w:hAnsi="David" w:cs="David"/>
                <w:sz w:val="24"/>
                <w:szCs w:val="24"/>
                <w:rtl/>
              </w:rPr>
              <w:tab/>
              <w:t>איבוד שריר בגלל העלייה בגיל</w:t>
            </w:r>
          </w:p>
          <w:p w:rsidR="00BE0AB3" w:rsidRDefault="00BE0AB3">
            <w:pPr>
              <w:pStyle w:val="af8"/>
              <w:spacing w:after="0" w:line="360" w:lineRule="auto"/>
              <w:ind w:left="316"/>
              <w:jc w:val="both"/>
              <w:rPr>
                <w:rFonts w:ascii="David" w:hAnsi="David" w:cs="David"/>
                <w:sz w:val="24"/>
                <w:szCs w:val="24"/>
                <w:rtl/>
              </w:rPr>
            </w:pPr>
            <w:r>
              <w:rPr>
                <w:rFonts w:ascii="David" w:hAnsi="David" w:cs="David"/>
                <w:sz w:val="24"/>
                <w:szCs w:val="24"/>
                <w:rtl/>
              </w:rPr>
              <w:t>ד.</w:t>
            </w:r>
            <w:r>
              <w:rPr>
                <w:rFonts w:ascii="David" w:hAnsi="David" w:cs="David"/>
                <w:sz w:val="24"/>
                <w:szCs w:val="24"/>
                <w:rtl/>
              </w:rPr>
              <w:tab/>
              <w:t>תת תזונה הנובעת מציטוקנים דלקתיים</w:t>
            </w:r>
          </w:p>
        </w:tc>
      </w:tr>
    </w:tbl>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קביעת הפיצוי הכספי אשר יועמד על הסך של 120,000 ₪ (קרן) והתייחסות לצווים להם עתרה התובעת</w:t>
      </w: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סעיף 56(ב) לחוק זכות יוצרים, תשס"ח – 2007 קובע שורה של שיקולים אותם "רשאי בית המשפט לשקול, בין השאר". בין השיקולים מוצאים התייחסות אל היקף ההפרה, משך הזמן בו בוצעה ההפרה, חומרת ההפרה, הנזק הממשי שנגרם לפי הערכת בית המשפט, הרווח שצמח לנתבע לפי הערכת בית המשפט, מאפייני פעילות הנתבע, טיב היחסים בין הנתבע לתובע ותום ליבו של הנתבע. </w:t>
      </w:r>
    </w:p>
    <w:p w:rsidR="00BE0AB3" w:rsidRDefault="00BE0AB3" w:rsidP="00BE0AB3">
      <w:pPr>
        <w:pStyle w:val="af8"/>
        <w:spacing w:line="360" w:lineRule="auto"/>
        <w:ind w:left="395"/>
        <w:jc w:val="both"/>
        <w:rPr>
          <w:rFonts w:ascii="David" w:hAnsi="David" w:cs="David"/>
          <w:sz w:val="24"/>
          <w:szCs w:val="24"/>
        </w:rPr>
      </w:pPr>
    </w:p>
    <w:p w:rsidR="00BE0AB3" w:rsidRDefault="00BE0AB3" w:rsidP="00BE0AB3">
      <w:pPr>
        <w:pStyle w:val="af8"/>
        <w:numPr>
          <w:ilvl w:val="1"/>
          <w:numId w:val="2"/>
        </w:numPr>
        <w:spacing w:line="360" w:lineRule="auto"/>
        <w:ind w:left="395" w:hanging="567"/>
        <w:jc w:val="both"/>
      </w:pPr>
      <w:r>
        <w:rPr>
          <w:rFonts w:ascii="David" w:hAnsi="David" w:cs="David"/>
          <w:sz w:val="24"/>
          <w:szCs w:val="24"/>
          <w:rtl/>
        </w:rPr>
        <w:t>במסגרת השיקולים לקביעת היקף הפיצוי יש לתת את הדעת גם לרכיב ההרתעה שנושא עימו הפיצוי. על כך למדים מדברי ההסבר לחוק זכות יוצרים (</w:t>
      </w:r>
      <w:r>
        <w:rPr>
          <w:rFonts w:ascii="David" w:hAnsi="David" w:cs="David"/>
          <w:sz w:val="24"/>
          <w:szCs w:val="24"/>
          <w:u w:val="single"/>
          <w:rtl/>
        </w:rPr>
        <w:t>הצעת חוק זכות יוצרים</w:t>
      </w:r>
      <w:r>
        <w:rPr>
          <w:rFonts w:ascii="David" w:hAnsi="David" w:cs="David"/>
          <w:sz w:val="24"/>
          <w:szCs w:val="24"/>
          <w:rtl/>
        </w:rPr>
        <w:t xml:space="preserve">, תשס"ה – 2005, ה"ח 196 – 20/7/2005) שם נאמר כך - </w:t>
      </w:r>
      <w:r>
        <w:rPr>
          <w:rFonts w:ascii="David" w:hAnsi="David" w:cs="David"/>
          <w:b/>
          <w:bCs/>
          <w:sz w:val="24"/>
          <w:szCs w:val="24"/>
          <w:rtl/>
        </w:rPr>
        <w:t>"נוכח המאפיינים של זכות היוצרים והקלות הרבה בה היא עלולה להיות מופרת קיים צורך לפסוק פיצוי שיהיה בו גם משום הרתעה"</w:t>
      </w:r>
      <w:r>
        <w:rPr>
          <w:rFonts w:ascii="David" w:hAnsi="David" w:cs="David"/>
          <w:sz w:val="24"/>
          <w:szCs w:val="24"/>
          <w:rtl/>
        </w:rPr>
        <w:t xml:space="preserve">. להרחבה ר' גם ת"א 5977/07, </w:t>
      </w:r>
      <w:r>
        <w:rPr>
          <w:rFonts w:ascii="David" w:hAnsi="David" w:cs="David"/>
          <w:sz w:val="24"/>
          <w:szCs w:val="24"/>
          <w:u w:val="single"/>
          <w:rtl/>
        </w:rPr>
        <w:t>האוניברסיטה העברית בירושלים נ' בית שוקן להוצאת ספרים בע"מ</w:t>
      </w:r>
      <w:r>
        <w:rPr>
          <w:rFonts w:ascii="David" w:hAnsi="David" w:cs="David"/>
          <w:sz w:val="24"/>
          <w:szCs w:val="24"/>
          <w:rtl/>
        </w:rPr>
        <w:t xml:space="preserve"> (מיום 20/6/2011) וכן ע"א 7201/13, </w:t>
      </w:r>
      <w:r>
        <w:rPr>
          <w:rFonts w:ascii="David" w:hAnsi="David" w:cs="David"/>
          <w:color w:val="000000"/>
          <w:sz w:val="24"/>
          <w:szCs w:val="24"/>
          <w:u w:val="single"/>
          <w:rtl/>
        </w:rPr>
        <w:t>תביג-ישראל גרובר בע"מ נ' טויטופלסט בע"מ</w:t>
      </w:r>
      <w:r>
        <w:rPr>
          <w:rFonts w:ascii="David" w:hAnsi="David" w:cs="David"/>
          <w:sz w:val="24"/>
          <w:szCs w:val="24"/>
          <w:rtl/>
        </w:rPr>
        <w:t xml:space="preserve">  (מיום 6/10/15).</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lastRenderedPageBreak/>
        <w:t>בעניינינו, הנתבעת גילתה דעתה ביחס לקשר בינה לבין התובעת בפרסומים שונים שבצעה וכן בהתנהלותה. הנתבעת ניהלה, לפחות פעם אחת, מפגש ובו ייחוס ישירות לתובעת שכן שם המפגש היה "לעבור את שרון". הנתבעת אף פרסמה לפחות פרסום אחד שהופיע בכתב התביעה, המתייחס ישירות לתובעת, ור' סעיף 4.6 לעיל. הנתבעת לא פעלה, במלוא הכבוד, בתום לב תוך שהיא יוצרת תוצרים חדשים – אלא לא היססה להעתיק ואף באופן נרחב מתוצרי התובעת. לענין זה, אין זה מעלה או מוריד אם הנתבעת אף הכינה בעצמה חלק מתוצריה. התביעה אינה בגין תוצריה המקוריים של הנתבעת, אלא בגין ההעתקה בהיקף הכה נרחב כפי שהוכחה.</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בהינתן העובדה שהתובעת עתרת לסעד מכח החוק, הרי אין מקום לערוך תחשיב המבוסס על כל אחת ואחת מההעתקות והפרות זכות היוצרים. הלכה פסוקה היא כי </w:t>
      </w:r>
      <w:r>
        <w:rPr>
          <w:rFonts w:ascii="David" w:hAnsi="David" w:cs="David"/>
          <w:b/>
          <w:bCs/>
          <w:sz w:val="24"/>
          <w:szCs w:val="24"/>
          <w:rtl/>
        </w:rPr>
        <w:t>"אין צורך לבדוק לעומק את הקשר בין הפיצוי שנפסק בערכאה הדיונית לבין הנזק הממשי שהוסב למערערת, שכן הפיצוי שניתן הוא</w:t>
      </w:r>
      <w:r>
        <w:rPr>
          <w:rFonts w:ascii="David" w:hAnsi="David" w:cs="David"/>
          <w:b/>
          <w:bCs/>
          <w:sz w:val="24"/>
          <w:szCs w:val="24"/>
          <w:u w:val="single"/>
          <w:rtl/>
        </w:rPr>
        <w:t xml:space="preserve"> פיצוי סטטוטורי ללא הוכחת נזק ועליו לקיים רק קשר כללי</w:t>
      </w:r>
      <w:r>
        <w:rPr>
          <w:rFonts w:ascii="David" w:hAnsi="David" w:cs="David"/>
          <w:b/>
          <w:bCs/>
          <w:sz w:val="24"/>
          <w:szCs w:val="24"/>
          <w:rtl/>
        </w:rPr>
        <w:t xml:space="preserve"> לאמדן הנזק המשוער"</w:t>
      </w:r>
      <w:r>
        <w:rPr>
          <w:rFonts w:ascii="David" w:hAnsi="David" w:cs="David"/>
          <w:sz w:val="24"/>
          <w:szCs w:val="24"/>
          <w:rtl/>
        </w:rPr>
        <w:t>, ור' ע"א 1007/10</w:t>
      </w:r>
      <w:r>
        <w:rPr>
          <w:rFonts w:ascii="David" w:hAnsi="David" w:cs="David"/>
          <w:color w:val="000000"/>
          <w:sz w:val="24"/>
          <w:szCs w:val="24"/>
          <w:rtl/>
        </w:rPr>
        <w:t xml:space="preserve">, </w:t>
      </w:r>
      <w:r>
        <w:rPr>
          <w:rFonts w:ascii="David" w:hAnsi="David" w:cs="David"/>
          <w:color w:val="000000"/>
          <w:sz w:val="24"/>
          <w:szCs w:val="24"/>
          <w:u w:val="single"/>
          <w:rtl/>
        </w:rPr>
        <w:t>מזל כהן נ' יאיר מדינה</w:t>
      </w:r>
      <w:r>
        <w:rPr>
          <w:rFonts w:ascii="David" w:hAnsi="David" w:cs="David"/>
          <w:sz w:val="24"/>
          <w:szCs w:val="24"/>
          <w:rtl/>
        </w:rPr>
        <w:t xml:space="preserve">  (מיום  17/2/2013).</w:t>
      </w:r>
    </w:p>
    <w:p w:rsidR="00BE0AB3" w:rsidRDefault="00BE0AB3" w:rsidP="00BE0AB3">
      <w:pPr>
        <w:pStyle w:val="af8"/>
        <w:rPr>
          <w:rFonts w:ascii="David" w:hAnsi="David" w:cs="David"/>
          <w:sz w:val="24"/>
          <w:szCs w:val="24"/>
        </w:rPr>
      </w:pP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כך או כך, הנתבעת עצמה סיפקה קנה מידה לסכום הפיצוי הראוי. זאת כאשר דאגה להחתים את המשתתפים בקורס שהעבירה על התחייבות ובה קנס/פיצוי בסך של 100,000 ₪ לכל מקרה של העברת תוצרים לצדדים שלישיים.</w:t>
      </w:r>
    </w:p>
    <w:p w:rsidR="00BE0AB3" w:rsidRDefault="00BE0AB3" w:rsidP="00BE0AB3">
      <w:pPr>
        <w:pStyle w:val="af8"/>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בנסיבות הענין ולאחר ששקלתי כל האמור לעיל, אני מעמיד את הפיצוי בו תחויב הנתבעת על הסך של </w:t>
      </w:r>
      <w:r>
        <w:rPr>
          <w:rFonts w:ascii="David" w:hAnsi="David" w:cs="David"/>
          <w:b/>
          <w:bCs/>
          <w:sz w:val="24"/>
          <w:szCs w:val="24"/>
          <w:u w:val="single"/>
          <w:rtl/>
        </w:rPr>
        <w:t>120,000 ₪.</w:t>
      </w:r>
      <w:r>
        <w:rPr>
          <w:rFonts w:ascii="David" w:hAnsi="David" w:cs="David"/>
          <w:sz w:val="24"/>
          <w:szCs w:val="24"/>
          <w:rtl/>
        </w:rPr>
        <w:t xml:space="preserve"> סכום זה יישא הפרשי הצמדה וריבית כחוק מיום 10/7/2019, מועד הגשת התביעה, ועד למועד התשלום בפועל. </w:t>
      </w:r>
    </w:p>
    <w:p w:rsidR="00BE0AB3" w:rsidRDefault="00BE0AB3" w:rsidP="00BE0AB3">
      <w:pPr>
        <w:pStyle w:val="af8"/>
        <w:rPr>
          <w:rFonts w:ascii="David" w:hAnsi="David" w:cs="David"/>
          <w:sz w:val="24"/>
          <w:szCs w:val="24"/>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התובעת עתרה, בנוסף, לשורה של צווי מניעה, סעד הצהרתי, צו לגילוי מסמכים שיביא לצילום כלל המסמכים הנוגעים לתכנים מקצועיים של הנתבעת ואפילו למינוי בא כוחה ככונס נכסים לתוצרים שונים הנמצאים בידי הנתבעת. אין מקום להיעתר לכך וזאת מהנימוקים הבאים:</w:t>
      </w:r>
    </w:p>
    <w:p w:rsidR="00BE0AB3" w:rsidRDefault="00BE0AB3" w:rsidP="00BE0AB3">
      <w:pPr>
        <w:pStyle w:val="af8"/>
        <w:rPr>
          <w:rFonts w:ascii="David" w:hAnsi="David" w:cs="David"/>
          <w:sz w:val="24"/>
          <w:szCs w:val="24"/>
        </w:rPr>
      </w:pPr>
    </w:p>
    <w:p w:rsidR="00BE0AB3" w:rsidRDefault="00BE0AB3" w:rsidP="00BE0AB3">
      <w:pPr>
        <w:pStyle w:val="af8"/>
        <w:numPr>
          <w:ilvl w:val="0"/>
          <w:numId w:val="6"/>
        </w:numPr>
        <w:spacing w:line="360" w:lineRule="auto"/>
        <w:ind w:left="820" w:hanging="425"/>
        <w:jc w:val="both"/>
        <w:rPr>
          <w:rFonts w:ascii="David" w:hAnsi="David" w:cs="David"/>
          <w:sz w:val="24"/>
          <w:szCs w:val="24"/>
          <w:rtl/>
        </w:rPr>
      </w:pPr>
      <w:r>
        <w:rPr>
          <w:rFonts w:ascii="David" w:hAnsi="David" w:cs="David"/>
          <w:b/>
          <w:bCs/>
          <w:sz w:val="24"/>
          <w:szCs w:val="24"/>
          <w:u w:val="single"/>
          <w:rtl/>
        </w:rPr>
        <w:t>ראשית</w:t>
      </w:r>
      <w:r>
        <w:rPr>
          <w:rFonts w:ascii="David" w:hAnsi="David" w:cs="David"/>
          <w:sz w:val="24"/>
          <w:szCs w:val="24"/>
          <w:rtl/>
        </w:rPr>
        <w:t>, אין מדובר בעתירה לצו ממוקד. איסור ספציפי לפרסום נקודתי שלא ישוב בעתיד. העתירה היא לסדרה של צווים גורפת וכוללנית שלא ניתן יהיה אפילו לאכוף אותן שכן כל התייחסות אליהם תחייב דיון משפטי נפרד ונרחב. כאשר הצו המתבקש אינו צו אופרטיבי אותו ניתן יהיה לאכוף, למשל בהתאם ל</w:t>
      </w:r>
      <w:r>
        <w:rPr>
          <w:rFonts w:ascii="David" w:hAnsi="David" w:cs="David"/>
          <w:sz w:val="24"/>
          <w:szCs w:val="24"/>
          <w:u w:val="single"/>
          <w:rtl/>
        </w:rPr>
        <w:t>פקודת בזיון בית משפט</w:t>
      </w:r>
      <w:r>
        <w:rPr>
          <w:rFonts w:ascii="David" w:hAnsi="David" w:cs="David"/>
          <w:sz w:val="24"/>
          <w:szCs w:val="24"/>
          <w:rtl/>
        </w:rPr>
        <w:t xml:space="preserve">, הרי יש להימנע מלקבוע אותו מלכתחילה. על צו שיפוטי להיות ציווי אופרטיבי חד משמעי וברור ור' לענין זה רע"א 2389/22,   ‏ </w:t>
      </w:r>
      <w:r>
        <w:rPr>
          <w:rFonts w:ascii="David" w:hAnsi="David" w:cs="David"/>
          <w:sz w:val="24"/>
          <w:szCs w:val="24"/>
          <w:u w:val="single"/>
          <w:rtl/>
        </w:rPr>
        <w:t>חברת פריימן הפקות בע"מ נ' גל ביתר שירותי פרסום והפקות בע"מ</w:t>
      </w:r>
      <w:r>
        <w:rPr>
          <w:rFonts w:ascii="David" w:hAnsi="David" w:cs="David"/>
          <w:sz w:val="24"/>
          <w:szCs w:val="24"/>
          <w:rtl/>
        </w:rPr>
        <w:t xml:space="preserve"> (מיום 21/7/2022, הש' ע' גרוסקופף).</w:t>
      </w:r>
    </w:p>
    <w:p w:rsidR="00BE0AB3" w:rsidRDefault="00BE0AB3" w:rsidP="00BE0AB3">
      <w:pPr>
        <w:pStyle w:val="af8"/>
        <w:spacing w:line="360" w:lineRule="auto"/>
        <w:ind w:left="820"/>
        <w:jc w:val="both"/>
        <w:rPr>
          <w:rFonts w:ascii="David" w:hAnsi="David" w:cs="David"/>
          <w:sz w:val="24"/>
          <w:szCs w:val="24"/>
        </w:rPr>
      </w:pPr>
    </w:p>
    <w:p w:rsidR="00BE0AB3" w:rsidRDefault="00BE0AB3" w:rsidP="00BE0AB3">
      <w:pPr>
        <w:pStyle w:val="af8"/>
        <w:numPr>
          <w:ilvl w:val="0"/>
          <w:numId w:val="6"/>
        </w:numPr>
        <w:spacing w:line="360" w:lineRule="auto"/>
        <w:ind w:left="820" w:hanging="425"/>
        <w:jc w:val="both"/>
        <w:rPr>
          <w:rFonts w:ascii="David" w:hAnsi="David" w:cs="David"/>
          <w:sz w:val="24"/>
          <w:szCs w:val="24"/>
        </w:rPr>
      </w:pPr>
      <w:r>
        <w:rPr>
          <w:rFonts w:ascii="David" w:hAnsi="David" w:cs="David"/>
          <w:b/>
          <w:bCs/>
          <w:sz w:val="24"/>
          <w:szCs w:val="24"/>
          <w:u w:val="single"/>
          <w:rtl/>
        </w:rPr>
        <w:t>שנית</w:t>
      </w:r>
      <w:r>
        <w:rPr>
          <w:rFonts w:ascii="David" w:hAnsi="David" w:cs="David"/>
          <w:sz w:val="24"/>
          <w:szCs w:val="24"/>
          <w:rtl/>
        </w:rPr>
        <w:t xml:space="preserve">, יש לאזן בין השמירה על זכויות הקנין הרוחני של התובעת לבין זכותה של הנתבעת לחופש עיסוק. הגבלה גורפת וכוללת, כפי שעותרת לה התובעת תביא להרחקתה של הנתבעת לחלוטין מהתחום אותו למדה ובו התמקצעה. </w:t>
      </w:r>
    </w:p>
    <w:p w:rsidR="00BE0AB3" w:rsidRDefault="00BE0AB3" w:rsidP="00BE0AB3">
      <w:pPr>
        <w:pStyle w:val="af8"/>
        <w:spacing w:line="360" w:lineRule="auto"/>
        <w:ind w:left="-172"/>
        <w:jc w:val="both"/>
        <w:rPr>
          <w:rFonts w:ascii="David" w:hAnsi="David" w:cs="David"/>
          <w:sz w:val="24"/>
          <w:szCs w:val="24"/>
          <w:rtl/>
        </w:rPr>
      </w:pP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spacing w:line="360" w:lineRule="auto"/>
        <w:ind w:left="-739"/>
        <w:jc w:val="both"/>
        <w:rPr>
          <w:rFonts w:ascii="David" w:hAnsi="David" w:cs="David"/>
          <w:b/>
          <w:bCs/>
          <w:sz w:val="28"/>
          <w:szCs w:val="28"/>
          <w:u w:val="single"/>
          <w:rtl/>
        </w:rPr>
      </w:pPr>
      <w:r>
        <w:rPr>
          <w:rFonts w:ascii="David" w:hAnsi="David" w:cs="David"/>
          <w:b/>
          <w:bCs/>
          <w:sz w:val="28"/>
          <w:szCs w:val="28"/>
          <w:u w:val="single"/>
          <w:rtl/>
        </w:rPr>
        <w:t>חלק רביעי, דיון והכרעה ברכיב התביעה השני משלושה - טענת התובעת לעוולת לשון הרע</w:t>
      </w: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sz w:val="24"/>
          <w:szCs w:val="24"/>
          <w:u w:val="single"/>
          <w:rtl/>
        </w:rPr>
      </w:pPr>
      <w:r>
        <w:rPr>
          <w:rFonts w:ascii="David" w:hAnsi="David" w:cs="David"/>
          <w:b/>
          <w:bCs/>
          <w:sz w:val="24"/>
          <w:szCs w:val="24"/>
          <w:u w:val="single"/>
          <w:rtl/>
        </w:rPr>
        <w:t>אין לקבל טענות התובעת ביחס לעוולת לשון הרע</w:t>
      </w: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התובעת עותרת לפיצוי בסך של 100,000 ₪ בשל </w:t>
      </w:r>
      <w:r>
        <w:rPr>
          <w:rFonts w:ascii="David" w:hAnsi="David" w:cs="David"/>
          <w:b/>
          <w:bCs/>
          <w:sz w:val="24"/>
          <w:szCs w:val="24"/>
          <w:rtl/>
        </w:rPr>
        <w:t>"הוצאת דיבתה של התובעת בפני סגל האוניברסיטה והסטודנטים בכוונה במזיד לפגוע על דרך הגשת תלונת סרק אל וועדת האתיקה"</w:t>
      </w:r>
      <w:r>
        <w:rPr>
          <w:rFonts w:ascii="David" w:hAnsi="David" w:cs="David"/>
          <w:sz w:val="24"/>
          <w:szCs w:val="24"/>
          <w:rtl/>
        </w:rPr>
        <w:t xml:space="preserve"> (כותרת פרק לשון הרע בכתב התביעה – סעיף 90 ואילך).</w:t>
      </w:r>
    </w:p>
    <w:p w:rsidR="00BE0AB3" w:rsidRDefault="00BE0AB3" w:rsidP="00BE0AB3">
      <w:pPr>
        <w:pStyle w:val="af8"/>
        <w:spacing w:line="360" w:lineRule="auto"/>
        <w:ind w:left="395"/>
        <w:jc w:val="both"/>
        <w:rPr>
          <w:rFonts w:ascii="David" w:hAnsi="David" w:cs="David"/>
          <w:sz w:val="24"/>
          <w:szCs w:val="24"/>
        </w:rPr>
      </w:pPr>
    </w:p>
    <w:p w:rsidR="00BE0AB3" w:rsidRDefault="00BE0AB3" w:rsidP="00350AFD">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אין מקום לקבל את דרישת התובעת. פניות הנתבעת היא תלונה לוועדת האתיקה של אוניברסיטת אריאל. פניה כזו מוגנת מכח סעיף 15(8) ל</w:t>
      </w:r>
      <w:r>
        <w:rPr>
          <w:rFonts w:ascii="David" w:hAnsi="David" w:cs="David"/>
          <w:sz w:val="24"/>
          <w:szCs w:val="24"/>
          <w:u w:val="single"/>
          <w:rtl/>
        </w:rPr>
        <w:t>חוק איסור לשון הרע</w:t>
      </w:r>
      <w:r>
        <w:rPr>
          <w:rFonts w:ascii="David" w:hAnsi="David" w:cs="David"/>
          <w:sz w:val="24"/>
          <w:szCs w:val="24"/>
          <w:rtl/>
        </w:rPr>
        <w:t xml:space="preserve">, תשכ"ה – 1965 הקובע כך - </w:t>
      </w:r>
    </w:p>
    <w:p w:rsidR="00BE0AB3" w:rsidRDefault="00BE0AB3" w:rsidP="00BE0AB3">
      <w:pPr>
        <w:shd w:val="clear" w:color="auto" w:fill="FFFFFF"/>
        <w:spacing w:before="150" w:after="150" w:line="360" w:lineRule="auto"/>
        <w:ind w:left="2096"/>
        <w:jc w:val="both"/>
        <w:rPr>
          <w:rFonts w:cs="Times New Roman"/>
          <w:rtl/>
        </w:rPr>
      </w:pPr>
      <w:r>
        <w:rPr>
          <w:rFonts w:ascii="David" w:hAnsi="David"/>
          <w:b/>
          <w:bCs/>
          <w:rtl/>
        </w:rPr>
        <w:t>במשפט פלילי או אזרחי בשל לשון הרע תהא זאת הגנה טובה אם הנאשם או הנתבע עשה את הפרסום בתום לב באחת הנסיבות האלו:</w:t>
      </w:r>
    </w:p>
    <w:p w:rsidR="00BE0AB3" w:rsidRDefault="00BE0AB3" w:rsidP="00BE0AB3">
      <w:pPr>
        <w:shd w:val="clear" w:color="auto" w:fill="FFFFFF"/>
        <w:spacing w:before="150" w:after="150" w:line="360" w:lineRule="auto"/>
        <w:ind w:left="2096"/>
        <w:jc w:val="both"/>
        <w:rPr>
          <w:rFonts w:cs="Times New Roman"/>
        </w:rPr>
      </w:pPr>
      <w:r>
        <w:rPr>
          <w:rFonts w:ascii="David" w:hAnsi="David"/>
          <w:b/>
          <w:bCs/>
          <w:rtl/>
        </w:rPr>
        <w:t>...</w:t>
      </w:r>
    </w:p>
    <w:p w:rsidR="00BE0AB3" w:rsidRDefault="00BE0AB3" w:rsidP="00BE0AB3">
      <w:pPr>
        <w:shd w:val="clear" w:color="auto" w:fill="FFFFFF"/>
        <w:spacing w:before="150" w:after="150" w:line="360" w:lineRule="auto"/>
        <w:ind w:left="2777" w:hanging="709"/>
        <w:jc w:val="both"/>
        <w:rPr>
          <w:rFonts w:cs="Times New Roman"/>
          <w:rtl/>
        </w:rPr>
      </w:pPr>
      <w:r>
        <w:rPr>
          <w:rFonts w:ascii="David" w:hAnsi="David"/>
          <w:b/>
          <w:bCs/>
          <w:rtl/>
        </w:rPr>
        <w:t>(8)        הפרסום היה בהגשת תלונה על הנפגע בענין שבו האדם שאליו הוגשה התלונה ממונה על הנפגע, מכוח דין או חוזה, או תלונה שהוגשה לרשות המוסמכת לקבל תלונות על הנפגע או לחקור בענין המשמש נושא התלונה ואולם אין בהוראה זו כדי להקנות הגנה על פרסום אחר של התלונה, של דבר הגשתה או של תכנה;</w:t>
      </w: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 xml:space="preserve">הבסיס להגנה זו הוא תום הלב של המתלונן ובעניינינו – תום הלב של הנתבעת. היחסים בין הנתבעת לתובעת בוודאי לא תרמו לרוח טובה ולאווירה חיובית ביניהן, עם זאת אין בכך כדי לקבוע להיעדר תום לב של הנתבעת. בחינת תום הלב לא נמדדת באופן כללי לזהות המתלונן וזהות הנילון. בדיקת תום הלב נמדדת ביחס לאמון המתלונן באמיתות התלונה, ור' לענין זה ע"א 12532-11-19 (מחוזי חיפה) </w:t>
      </w:r>
      <w:r>
        <w:rPr>
          <w:rFonts w:ascii="David" w:hAnsi="David" w:cs="David"/>
          <w:sz w:val="24"/>
          <w:szCs w:val="24"/>
          <w:u w:val="single"/>
          <w:rtl/>
        </w:rPr>
        <w:t>סער הדברות בע"מ ואח' נ' גרנוב</w:t>
      </w:r>
      <w:r>
        <w:rPr>
          <w:rFonts w:ascii="David" w:hAnsi="David" w:cs="David"/>
          <w:sz w:val="24"/>
          <w:szCs w:val="24"/>
          <w:rtl/>
        </w:rPr>
        <w:t xml:space="preserve"> (מיום 4/2/2020 השופטת ב' בר-זיו) וכן ספרם של חאלד גנאים, מרדכי קרמניצר, בועז שנור, </w:t>
      </w:r>
      <w:r>
        <w:rPr>
          <w:rFonts w:ascii="David" w:hAnsi="David" w:cs="David"/>
          <w:sz w:val="24"/>
          <w:szCs w:val="24"/>
          <w:u w:val="single"/>
          <w:rtl/>
        </w:rPr>
        <w:t>דיני לשון הרע הדין המצוי והדין הרצוי</w:t>
      </w:r>
      <w:r>
        <w:rPr>
          <w:rFonts w:ascii="David" w:hAnsi="David" w:cs="David"/>
          <w:sz w:val="24"/>
          <w:szCs w:val="24"/>
          <w:rtl/>
        </w:rPr>
        <w:t xml:space="preserve"> (בע"מ 390).</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sz w:val="24"/>
          <w:szCs w:val="24"/>
          <w:u w:val="single"/>
          <w:rtl/>
        </w:rPr>
      </w:pPr>
      <w:r>
        <w:rPr>
          <w:rFonts w:ascii="David" w:hAnsi="David" w:cs="David"/>
          <w:sz w:val="24"/>
          <w:szCs w:val="24"/>
          <w:rtl/>
        </w:rPr>
        <w:t>עיון בפניות הנתבעת למבקר האוניברסיטה מלמד שאכן הן אינן חולקות מחמאות לתובעת ואולם על פניו הן כוללות טיעון סדור ומובנה של חשד להפרות כללי אתיקה מצידה של התובעת. הפניות מתייחסות, למשל, לשיווק נטען של קורס פרטי של התובעת – שיווק הנערך לסטודנטים הלומדים במסגרת האוניברסיטה בה מלמדת התובעת. הפניות רצופות פרטים, עובדות נטענות ואפילו שמות של סטודנטים לא מעטים שחברים "בקבוצה השיווקית של המרצה שלהם בחוג למדעי התזונה", קרי בקבוצה המשויכת לתובעת.</w:t>
      </w:r>
    </w:p>
    <w:p w:rsidR="00350AFD" w:rsidRDefault="00350AFD" w:rsidP="00BE0AB3">
      <w:pPr>
        <w:pStyle w:val="af8"/>
        <w:spacing w:line="360" w:lineRule="auto"/>
        <w:ind w:left="395"/>
        <w:jc w:val="both"/>
        <w:rPr>
          <w:rFonts w:ascii="David" w:hAnsi="David" w:cs="David"/>
          <w:sz w:val="24"/>
          <w:szCs w:val="24"/>
          <w:rtl/>
        </w:rPr>
      </w:pP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 xml:space="preserve">התלונות הופנו לממונה על האתיקה באוניברסיטה בה מלמדת התובעת, קרי הן עונות על דרישת סעיף 15(8) לחוק איסור לשון הרע. ריבוי העובדות, השמות והנתונים בתלונות המפורטות מחזקות </w:t>
      </w:r>
      <w:r>
        <w:rPr>
          <w:rFonts w:ascii="David" w:hAnsi="David" w:cs="David"/>
          <w:sz w:val="24"/>
          <w:szCs w:val="24"/>
          <w:rtl/>
        </w:rPr>
        <w:lastRenderedPageBreak/>
        <w:t>את ההנחה והקביעה לפיה הנתבעת האמינה בתום לב באמיתות האמור בתלונות. מכאן קמה לה הגנת סעיף 15(8) לחוק.</w:t>
      </w:r>
    </w:p>
    <w:p w:rsidR="00BE0AB3" w:rsidRDefault="00BE0AB3" w:rsidP="00BE0AB3">
      <w:pPr>
        <w:pStyle w:val="af8"/>
        <w:spacing w:line="360" w:lineRule="auto"/>
        <w:ind w:left="395"/>
        <w:jc w:val="both"/>
        <w:rPr>
          <w:rFonts w:ascii="David" w:hAnsi="David" w:cs="David"/>
          <w:sz w:val="24"/>
          <w:szCs w:val="24"/>
          <w:rtl/>
        </w:rPr>
      </w:pPr>
    </w:p>
    <w:p w:rsidR="00BE0AB3" w:rsidRDefault="00BE0AB3" w:rsidP="00BE0AB3">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למען הזהירות אתייחס גם לפרסום באינטרנט כפי שפורט בכתב התביעה – הגם שזה לא פורט במסגרת הפרק הרלוונטי בסעיפים 90 ואילך. במסגרת אותו פרסום כתבה הנתבעת כך:</w:t>
      </w:r>
    </w:p>
    <w:p w:rsidR="00BE0AB3" w:rsidRDefault="00BE0AB3" w:rsidP="00BE0AB3">
      <w:pPr>
        <w:pStyle w:val="af8"/>
        <w:spacing w:line="360" w:lineRule="auto"/>
        <w:ind w:left="1103"/>
        <w:jc w:val="both"/>
        <w:rPr>
          <w:rFonts w:ascii="David" w:hAnsi="David" w:cs="David"/>
          <w:b/>
          <w:bCs/>
          <w:sz w:val="24"/>
          <w:szCs w:val="24"/>
        </w:rPr>
      </w:pPr>
      <w:r>
        <w:rPr>
          <w:rFonts w:ascii="David" w:hAnsi="David" w:cs="David"/>
          <w:b/>
          <w:bCs/>
          <w:sz w:val="24"/>
          <w:szCs w:val="24"/>
          <w:rtl/>
        </w:rPr>
        <w:t>ניגשת למבחן הממשלתי? שימי לב שלא יבלבלו אותך...</w:t>
      </w:r>
    </w:p>
    <w:p w:rsidR="00BE0AB3" w:rsidRDefault="00BE0AB3" w:rsidP="00BE0AB3">
      <w:pPr>
        <w:pStyle w:val="af8"/>
        <w:spacing w:line="360" w:lineRule="auto"/>
        <w:ind w:left="1103"/>
        <w:jc w:val="both"/>
        <w:rPr>
          <w:rFonts w:ascii="David" w:hAnsi="David" w:cs="David"/>
          <w:b/>
          <w:bCs/>
          <w:sz w:val="24"/>
          <w:szCs w:val="24"/>
          <w:rtl/>
        </w:rPr>
      </w:pPr>
      <w:r>
        <w:rPr>
          <w:rFonts w:ascii="David" w:hAnsi="David" w:cs="David"/>
          <w:b/>
          <w:bCs/>
          <w:sz w:val="24"/>
          <w:szCs w:val="24"/>
          <w:rtl/>
        </w:rPr>
        <w:t>הקמתי את הקורס שלי ב-2014, עברו בעזרתו יותר מ-600 סטאג'רים בדיוק כמוך את המבחן הממשלתי בתזונה.</w:t>
      </w:r>
    </w:p>
    <w:p w:rsidR="00BE0AB3" w:rsidRDefault="00BE0AB3" w:rsidP="00BE0AB3">
      <w:pPr>
        <w:pStyle w:val="af8"/>
        <w:spacing w:line="360" w:lineRule="auto"/>
        <w:ind w:left="1103"/>
        <w:jc w:val="both"/>
        <w:rPr>
          <w:rFonts w:ascii="David" w:hAnsi="David" w:cs="David"/>
          <w:b/>
          <w:bCs/>
          <w:sz w:val="24"/>
          <w:szCs w:val="24"/>
          <w:rtl/>
        </w:rPr>
      </w:pPr>
      <w:r>
        <w:rPr>
          <w:rFonts w:ascii="David" w:hAnsi="David" w:cs="David"/>
          <w:b/>
          <w:bCs/>
          <w:sz w:val="24"/>
          <w:szCs w:val="24"/>
          <w:rtl/>
        </w:rPr>
        <w:t xml:space="preserve">זה המחזור ה-11 של הקורס </w:t>
      </w:r>
      <w:r>
        <w:rPr>
          <w:rFonts w:ascii="David" w:hAnsi="David" w:cs="David"/>
          <w:b/>
          <w:bCs/>
          <w:sz w:val="24"/>
          <w:szCs w:val="24"/>
        </w:rPr>
        <w:t>DIET STUDY</w:t>
      </w:r>
      <w:r>
        <w:rPr>
          <w:rFonts w:ascii="David" w:hAnsi="David" w:cs="David"/>
          <w:b/>
          <w:bCs/>
          <w:sz w:val="24"/>
          <w:szCs w:val="24"/>
          <w:rtl/>
        </w:rPr>
        <w:t>. אנחנו כבר מכונה משומנת שיודעת איך להכין אותך בדיוק למה שאת צריכה כדי לעבור את המבחן.</w:t>
      </w:r>
    </w:p>
    <w:p w:rsidR="00BE0AB3" w:rsidRDefault="00BE0AB3" w:rsidP="00BE0AB3">
      <w:pPr>
        <w:pStyle w:val="af8"/>
        <w:spacing w:line="360" w:lineRule="auto"/>
        <w:ind w:left="1103"/>
        <w:jc w:val="both"/>
        <w:rPr>
          <w:rFonts w:ascii="David" w:hAnsi="David" w:cs="David"/>
          <w:b/>
          <w:bCs/>
          <w:sz w:val="24"/>
          <w:szCs w:val="24"/>
          <w:u w:val="single"/>
          <w:rtl/>
        </w:rPr>
      </w:pPr>
      <w:r>
        <w:rPr>
          <w:rFonts w:ascii="David" w:hAnsi="David" w:cs="David"/>
          <w:b/>
          <w:bCs/>
          <w:sz w:val="24"/>
          <w:szCs w:val="24"/>
          <w:rtl/>
        </w:rPr>
        <w:t>כשהקמתי את הקורס, לא היו קורסים אחרים, ברור שכשיש הצלחה יהיו עוד אנשים שינסו לשכפל אותה, זו הבחירה שלך אם את רוצה ללכת על המקור או על ניסיון להידמות אלינו. אם את רוצה ללכת על בטוח, על המקור, בקורס מעולה ומעודכן בדיוק למה שצריך למבחן-</w:t>
      </w:r>
      <w:r>
        <w:rPr>
          <w:rFonts w:ascii="David" w:hAnsi="David" w:cs="David"/>
          <w:b/>
          <w:bCs/>
          <w:sz w:val="24"/>
          <w:szCs w:val="24"/>
          <w:u w:val="single"/>
          <w:rtl/>
        </w:rPr>
        <w:t xml:space="preserve"> </w:t>
      </w:r>
      <w:r>
        <w:rPr>
          <w:rFonts w:ascii="David" w:hAnsi="David" w:cs="David"/>
          <w:b/>
          <w:bCs/>
          <w:sz w:val="24"/>
          <w:szCs w:val="24"/>
          <w:rtl/>
        </w:rPr>
        <w:t>את מוזמנת לשוחח איתנו לפני שהרישום המוקדם מסתיים סופית ב-31.5."</w:t>
      </w: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 xml:space="preserve"> </w:t>
      </w:r>
    </w:p>
    <w:p w:rsidR="00BE0AB3" w:rsidRDefault="00BE0AB3" w:rsidP="00BE0AB3">
      <w:pPr>
        <w:pStyle w:val="af8"/>
        <w:spacing w:line="360" w:lineRule="auto"/>
        <w:ind w:left="395"/>
        <w:jc w:val="both"/>
        <w:rPr>
          <w:rFonts w:ascii="David" w:hAnsi="David" w:cs="David"/>
          <w:sz w:val="24"/>
          <w:szCs w:val="24"/>
          <w:rtl/>
        </w:rPr>
      </w:pPr>
      <w:r>
        <w:rPr>
          <w:rFonts w:ascii="David" w:hAnsi="David" w:cs="David"/>
          <w:sz w:val="24"/>
          <w:szCs w:val="24"/>
          <w:rtl/>
        </w:rPr>
        <w:t xml:space="preserve">במלוא הכבוד אין בפרסום זה כל הוצאת לשון הרע. התפארות עצמית של הנתבעת אינה בגדר לשון הרע כלפי התובעת. גם לא אם נרשם באותה התפארות – </w:t>
      </w:r>
      <w:r>
        <w:rPr>
          <w:rFonts w:ascii="David" w:hAnsi="David" w:cs="David"/>
          <w:b/>
          <w:bCs/>
          <w:sz w:val="24"/>
          <w:szCs w:val="24"/>
          <w:rtl/>
        </w:rPr>
        <w:t>"ברור שכשיש הצלחה יהיו עוד אנשים שינסו לשכפל אותה, זו הבחירה שלך אם את רוצה ללכת על המקור או על ניסיון להידמות אלינו"</w:t>
      </w:r>
      <w:r>
        <w:rPr>
          <w:rFonts w:ascii="David" w:hAnsi="David" w:cs="David"/>
          <w:sz w:val="24"/>
          <w:szCs w:val="24"/>
          <w:rtl/>
        </w:rPr>
        <w:t xml:space="preserve">. אין פסול בפרסום עצמי, ור' לענין זה קביעתו של הש' י' עמית לפיה – </w:t>
      </w:r>
      <w:r>
        <w:rPr>
          <w:rFonts w:ascii="David" w:hAnsi="David" w:cs="David"/>
          <w:b/>
          <w:bCs/>
          <w:sz w:val="24"/>
          <w:szCs w:val="24"/>
          <w:rtl/>
        </w:rPr>
        <w:t xml:space="preserve">"שיקולי מדיניות מצדיקים אי הכרה בקיומה של עילת תביעה בגין מצגים מסוג </w:t>
      </w:r>
      <w:r>
        <w:rPr>
          <w:rFonts w:ascii="David" w:hAnsi="David" w:cs="David"/>
          <w:b/>
          <w:bCs/>
          <w:sz w:val="24"/>
          <w:szCs w:val="24"/>
        </w:rPr>
        <w:t>puffery</w:t>
      </w:r>
      <w:r>
        <w:rPr>
          <w:rFonts w:ascii="David" w:hAnsi="David" w:cs="David"/>
          <w:b/>
          <w:bCs/>
          <w:sz w:val="24"/>
          <w:szCs w:val="24"/>
          <w:rtl/>
        </w:rPr>
        <w:t>, וכי על בתי המשפט למשוך ידם מהכרעה לגבי סחורתו של מי "טובה יותר". שאם לא כן, בתי המשפט עלולים להפוך לזירת התגוששות של מתחרים עסקיים, התרים אחר גושפנקא לטענתם כי סחורתם טובה מזו של המתחרה"</w:t>
      </w:r>
      <w:r>
        <w:rPr>
          <w:rFonts w:ascii="David" w:hAnsi="David" w:cs="David"/>
          <w:sz w:val="24"/>
          <w:szCs w:val="24"/>
          <w:rtl/>
        </w:rPr>
        <w:t>, ע"א 3322/16, </w:t>
      </w:r>
      <w:r>
        <w:rPr>
          <w:rFonts w:ascii="David" w:hAnsi="David" w:cs="David"/>
          <w:sz w:val="24"/>
          <w:szCs w:val="24"/>
          <w:u w:val="single"/>
          <w:rtl/>
        </w:rPr>
        <w:t>איי די איי חברה לביטוח בע"מ נ' לשכת סוכני ביטוח בישראל</w:t>
      </w:r>
      <w:r>
        <w:rPr>
          <w:rFonts w:ascii="David" w:hAnsi="David" w:cs="David"/>
          <w:sz w:val="24"/>
          <w:szCs w:val="24"/>
          <w:rtl/>
        </w:rPr>
        <w:t xml:space="preserve"> (מיום 30/4/2017, הש' י' עמית, מ' מזוז, ע' ברון).</w:t>
      </w: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spacing w:line="360" w:lineRule="auto"/>
        <w:ind w:left="-739"/>
        <w:jc w:val="both"/>
        <w:rPr>
          <w:rFonts w:ascii="David" w:hAnsi="David" w:cs="David"/>
          <w:b/>
          <w:bCs/>
          <w:sz w:val="28"/>
          <w:szCs w:val="28"/>
          <w:u w:val="single"/>
          <w:rtl/>
        </w:rPr>
      </w:pPr>
      <w:r>
        <w:rPr>
          <w:rFonts w:ascii="David" w:hAnsi="David" w:cs="David"/>
          <w:b/>
          <w:bCs/>
          <w:sz w:val="28"/>
          <w:szCs w:val="28"/>
          <w:u w:val="single"/>
          <w:rtl/>
        </w:rPr>
        <w:t>חלק חמישי, דיון והכרעה ברכיב התביעה השלישי משלושה – עתירת התובעת לפיצוי בסך של 50,000 ₪ "בגין נזקים לא ממוניים לרבות כאב וסבל"</w:t>
      </w:r>
    </w:p>
    <w:p w:rsidR="00BE0AB3" w:rsidRDefault="00BE0AB3" w:rsidP="00BE0AB3">
      <w:pPr>
        <w:pStyle w:val="af8"/>
        <w:spacing w:line="360" w:lineRule="auto"/>
        <w:ind w:left="1800"/>
        <w:jc w:val="both"/>
        <w:rPr>
          <w:rFonts w:ascii="David" w:hAnsi="David" w:cs="David"/>
          <w:sz w:val="24"/>
          <w:szCs w:val="24"/>
          <w:rtl/>
        </w:rPr>
      </w:pPr>
    </w:p>
    <w:p w:rsidR="00BE0AB3" w:rsidRDefault="00BE0AB3" w:rsidP="00BE0AB3">
      <w:pPr>
        <w:pStyle w:val="af8"/>
        <w:numPr>
          <w:ilvl w:val="0"/>
          <w:numId w:val="2"/>
        </w:numPr>
        <w:spacing w:line="360" w:lineRule="auto"/>
        <w:ind w:left="-172" w:hanging="284"/>
        <w:jc w:val="both"/>
        <w:rPr>
          <w:rFonts w:ascii="David" w:hAnsi="David" w:cs="David"/>
          <w:sz w:val="24"/>
          <w:szCs w:val="24"/>
          <w:rtl/>
        </w:rPr>
      </w:pPr>
      <w:r>
        <w:rPr>
          <w:rFonts w:ascii="David" w:hAnsi="David" w:cs="David"/>
          <w:b/>
          <w:bCs/>
          <w:sz w:val="24"/>
          <w:szCs w:val="24"/>
          <w:u w:val="single"/>
          <w:rtl/>
        </w:rPr>
        <w:t>אין לקבל עתירת התובעת לפיצוי כלי בסך של 50,000 ₪ לרבות בגין כאב וסבל</w:t>
      </w:r>
    </w:p>
    <w:p w:rsidR="00BE0AB3" w:rsidRDefault="00BE0AB3" w:rsidP="00BE0AB3">
      <w:pPr>
        <w:pStyle w:val="af8"/>
        <w:numPr>
          <w:ilvl w:val="1"/>
          <w:numId w:val="2"/>
        </w:numPr>
        <w:spacing w:line="360" w:lineRule="auto"/>
        <w:ind w:left="536" w:hanging="708"/>
        <w:jc w:val="both"/>
        <w:rPr>
          <w:rFonts w:ascii="David" w:hAnsi="David" w:cs="David"/>
          <w:sz w:val="24"/>
          <w:szCs w:val="24"/>
        </w:rPr>
      </w:pPr>
      <w:r>
        <w:rPr>
          <w:rFonts w:ascii="David" w:hAnsi="David" w:cs="David"/>
          <w:sz w:val="24"/>
          <w:szCs w:val="24"/>
          <w:rtl/>
        </w:rPr>
        <w:t xml:space="preserve">התובעת פירטה היטב הפגיעה בזכויותיה ואף עתרה וקיבלה פיצוי ללא הוכחת נזק מכח חוק זכות יוצרים, תשס"ח – 2007. אין לפרוץ את סכר חיובי הפיצוי בדרך של הוספה ללא נימוק של סכומי פיצוי נוספים. בהיקש מקביעת בתי המשפט ביחס לעוולות אחרות, למשל עוולה של פגיעה באוטונומיה, הרי ניתן לומר כך -  </w:t>
      </w:r>
      <w:r>
        <w:rPr>
          <w:rFonts w:ascii="David" w:hAnsi="David" w:cs="David"/>
          <w:b/>
          <w:bCs/>
          <w:sz w:val="24"/>
          <w:szCs w:val="24"/>
          <w:rtl/>
        </w:rPr>
        <w:t>"</w:t>
      </w:r>
      <w:r>
        <w:rPr>
          <w:rFonts w:ascii="David" w:hAnsi="David" w:cs="David"/>
          <w:b/>
          <w:bCs/>
          <w:sz w:val="24"/>
          <w:szCs w:val="24"/>
          <w:rtl/>
          <w:lang w:val="fr-FR"/>
        </w:rPr>
        <w:t xml:space="preserve">כפי שבתי המשפט אינם נוהגים לפסוק פיצוי נפרד עבור צער, בושת, אי-נוחות, כעס, השפלה, טרדה, פחד, אבדן אמון בבני אדם וכיו"ב, אין מקום לפסוק פיצוי נפרד עבור אותן תחושות שליליות תוצאתיות כאשר הן נובעות משלילת זכות הבחירה. </w:t>
      </w:r>
      <w:r>
        <w:rPr>
          <w:rFonts w:ascii="David" w:hAnsi="David" w:cs="David"/>
          <w:b/>
          <w:bCs/>
          <w:sz w:val="24"/>
          <w:szCs w:val="24"/>
          <w:rtl/>
          <w:lang w:val="fr-FR"/>
        </w:rPr>
        <w:lastRenderedPageBreak/>
        <w:t>ובקיצור, אין מקום להציב בנפרד את מגוון התחושות הנובעות מהפגיעה באוטונומיה, לצד אותם שניים-שלושה בתי אב המוכרים בנזק הלא ממוני"</w:t>
      </w:r>
      <w:r>
        <w:rPr>
          <w:rFonts w:ascii="David" w:hAnsi="David" w:cs="David"/>
          <w:sz w:val="24"/>
          <w:szCs w:val="24"/>
          <w:rtl/>
        </w:rPr>
        <w:t xml:space="preserve">, ור' ע"א 2278/16, </w:t>
      </w:r>
      <w:r>
        <w:rPr>
          <w:rFonts w:ascii="David" w:hAnsi="David" w:cs="David"/>
          <w:sz w:val="24"/>
          <w:szCs w:val="24"/>
          <w:u w:val="single"/>
          <w:rtl/>
        </w:rPr>
        <w:t>פלונית נ' מדינת ישראל</w:t>
      </w:r>
      <w:r>
        <w:rPr>
          <w:rFonts w:ascii="David" w:hAnsi="David" w:cs="David"/>
          <w:sz w:val="24"/>
          <w:szCs w:val="24"/>
          <w:rtl/>
        </w:rPr>
        <w:t xml:space="preserve"> (מיום 12/3/2018, הש' י' עמית, ע' ברון, י' וילנר).</w:t>
      </w:r>
    </w:p>
    <w:p w:rsidR="00BE0AB3" w:rsidRDefault="00BE0AB3" w:rsidP="00BE0AB3">
      <w:pPr>
        <w:pStyle w:val="af8"/>
        <w:spacing w:line="360" w:lineRule="auto"/>
        <w:ind w:left="536"/>
        <w:jc w:val="both"/>
        <w:rPr>
          <w:rFonts w:ascii="David" w:hAnsi="David" w:cs="David"/>
          <w:sz w:val="24"/>
          <w:szCs w:val="24"/>
        </w:rPr>
      </w:pPr>
    </w:p>
    <w:p w:rsidR="00BE0AB3" w:rsidRDefault="00BE0AB3" w:rsidP="00BE0AB3">
      <w:pPr>
        <w:pStyle w:val="af8"/>
        <w:spacing w:line="360" w:lineRule="auto"/>
        <w:ind w:left="536"/>
        <w:jc w:val="both"/>
        <w:rPr>
          <w:rFonts w:ascii="David" w:hAnsi="David" w:cs="David"/>
          <w:rtl/>
        </w:rPr>
      </w:pPr>
      <w:r>
        <w:rPr>
          <w:rFonts w:ascii="David" w:hAnsi="David" w:cs="David"/>
          <w:sz w:val="24"/>
          <w:szCs w:val="24"/>
          <w:rtl/>
        </w:rPr>
        <w:t xml:space="preserve">כאשר  התובעת קיבלה כבר פיצוי מכח עוולה אותה הוכיחה, הרי לא בנקל אם בכלל יש לקבוע פיצוי כללי בגין "כאב וסבל", ר' ע"א (מחוזי ת"א) 28167-07-19, </w:t>
      </w:r>
      <w:r>
        <w:rPr>
          <w:rFonts w:ascii="David" w:hAnsi="David" w:cs="David"/>
          <w:sz w:val="24"/>
          <w:szCs w:val="24"/>
          <w:u w:val="single"/>
          <w:rtl/>
        </w:rPr>
        <w:t>מועלם ואח' נ' אפריקה התחדשות עירונית בע"מ</w:t>
      </w:r>
      <w:r>
        <w:rPr>
          <w:rFonts w:ascii="David" w:hAnsi="David" w:cs="David"/>
          <w:sz w:val="24"/>
          <w:szCs w:val="24"/>
          <w:rtl/>
        </w:rPr>
        <w:t xml:space="preserve"> (מיום 24/12/2019, השופטת א' כהן) שם נקבע כי – </w:t>
      </w:r>
      <w:r>
        <w:rPr>
          <w:rFonts w:ascii="David" w:hAnsi="David" w:cs="David"/>
          <w:b/>
          <w:bCs/>
          <w:sz w:val="24"/>
          <w:szCs w:val="24"/>
          <w:rtl/>
        </w:rPr>
        <w:t xml:space="preserve">"לרוב פוסקים פיצוי בגין רכיב זה, </w:t>
      </w:r>
      <w:r>
        <w:rPr>
          <w:rFonts w:ascii="David" w:hAnsi="David" w:cs="David"/>
          <w:b/>
          <w:bCs/>
          <w:sz w:val="24"/>
          <w:szCs w:val="24"/>
          <w:u w:val="single"/>
          <w:rtl/>
        </w:rPr>
        <w:t>כאשר לא ניתן לפסוק לטובת התובע פיצוי בגין רכיב אחר</w:t>
      </w:r>
      <w:r>
        <w:rPr>
          <w:rFonts w:ascii="David" w:hAnsi="David" w:cs="David"/>
          <w:b/>
          <w:bCs/>
          <w:sz w:val="24"/>
          <w:szCs w:val="24"/>
          <w:rtl/>
        </w:rPr>
        <w:t xml:space="preserve"> באופן שישקף עוולה שנעשתה ביחס אליו או את הפרת החוזה כלפיו"</w:t>
      </w:r>
      <w:r>
        <w:rPr>
          <w:rFonts w:ascii="David" w:hAnsi="David" w:cs="David"/>
          <w:rtl/>
        </w:rPr>
        <w:t xml:space="preserve"> (ההדגשות לא במקור).</w:t>
      </w:r>
    </w:p>
    <w:p w:rsidR="00BE0AB3" w:rsidRDefault="00BE0AB3" w:rsidP="00BE0AB3">
      <w:pPr>
        <w:pStyle w:val="af8"/>
        <w:spacing w:line="360" w:lineRule="auto"/>
        <w:ind w:left="536"/>
        <w:jc w:val="both"/>
        <w:rPr>
          <w:rFonts w:ascii="David" w:hAnsi="David" w:cs="David"/>
          <w:rtl/>
        </w:rPr>
      </w:pPr>
    </w:p>
    <w:p w:rsidR="00BE0AB3" w:rsidRDefault="00BE0AB3" w:rsidP="00BE0AB3">
      <w:pPr>
        <w:pStyle w:val="af8"/>
        <w:numPr>
          <w:ilvl w:val="1"/>
          <w:numId w:val="2"/>
        </w:numPr>
        <w:spacing w:line="360" w:lineRule="auto"/>
        <w:ind w:left="536" w:hanging="708"/>
        <w:jc w:val="both"/>
        <w:rPr>
          <w:rFonts w:ascii="David" w:hAnsi="David" w:cs="David"/>
          <w:sz w:val="24"/>
          <w:szCs w:val="24"/>
        </w:rPr>
      </w:pPr>
      <w:r>
        <w:rPr>
          <w:rFonts w:ascii="David" w:hAnsi="David" w:cs="David"/>
          <w:sz w:val="24"/>
          <w:szCs w:val="24"/>
          <w:rtl/>
        </w:rPr>
        <w:t>אין גם מקום לקבוע פיצוי נפרד בגין פגיעה בפרטיות ו/או מכח חוק עוולות מסחריות או דיני עשיית עושר ולא במשפט וכן הטענות השונות שהעלתה התובעת בתביעתה. אין לקבוע פיצוי כאמור בשל הנימוקים הבאים:</w:t>
      </w:r>
    </w:p>
    <w:p w:rsidR="00350AFD" w:rsidRDefault="00350AFD" w:rsidP="00350AFD">
      <w:pPr>
        <w:pStyle w:val="af8"/>
        <w:spacing w:line="360" w:lineRule="auto"/>
        <w:ind w:left="536"/>
        <w:jc w:val="both"/>
        <w:rPr>
          <w:rFonts w:ascii="David" w:hAnsi="David" w:cs="David"/>
          <w:sz w:val="24"/>
          <w:szCs w:val="24"/>
          <w:rtl/>
        </w:rPr>
      </w:pPr>
    </w:p>
    <w:p w:rsidR="00BE0AB3" w:rsidRDefault="00BE0AB3" w:rsidP="00D86410">
      <w:pPr>
        <w:pStyle w:val="af8"/>
        <w:numPr>
          <w:ilvl w:val="0"/>
          <w:numId w:val="6"/>
        </w:numPr>
        <w:spacing w:line="360" w:lineRule="auto"/>
        <w:ind w:left="934" w:hanging="283"/>
        <w:jc w:val="both"/>
        <w:rPr>
          <w:rFonts w:ascii="David" w:hAnsi="David" w:cs="David"/>
          <w:sz w:val="24"/>
          <w:szCs w:val="24"/>
        </w:rPr>
      </w:pPr>
      <w:r>
        <w:rPr>
          <w:rFonts w:ascii="David" w:hAnsi="David" w:cs="David"/>
          <w:b/>
          <w:bCs/>
          <w:sz w:val="24"/>
          <w:szCs w:val="24"/>
          <w:rtl/>
        </w:rPr>
        <w:t>ראשית ועיקר</w:t>
      </w:r>
      <w:r>
        <w:rPr>
          <w:rFonts w:ascii="David" w:hAnsi="David" w:cs="David"/>
          <w:sz w:val="24"/>
          <w:szCs w:val="24"/>
          <w:rtl/>
        </w:rPr>
        <w:t>, התובעת אכן העלתה שורה של הוראות חוק שלטעמה הנתבעת עוולה כלפיה בגינן ואולם – לא עתרה לכל פיצוי כספי ספציפי בשל כך. מכאן, ממילא גם לא התגוננה הנתבעת כנגד דרישה כספית כאמור. כתב התביעה אשר נוסח בקפידה ובפירוט רב כלל שלושה רכיבי פיצויי כספי כאשר לא יוחדו רכיבים להפרות והעוולות הנטענות.</w:t>
      </w:r>
    </w:p>
    <w:p w:rsidR="00BE0AB3" w:rsidRDefault="00BE0AB3" w:rsidP="00BE0AB3">
      <w:pPr>
        <w:pStyle w:val="af8"/>
        <w:spacing w:line="360" w:lineRule="auto"/>
        <w:ind w:left="1440"/>
        <w:jc w:val="both"/>
        <w:rPr>
          <w:rFonts w:ascii="David" w:hAnsi="David" w:cs="David"/>
          <w:sz w:val="24"/>
          <w:szCs w:val="24"/>
        </w:rPr>
      </w:pPr>
    </w:p>
    <w:p w:rsidR="00BE0AB3" w:rsidRDefault="00BE0AB3" w:rsidP="00D86410">
      <w:pPr>
        <w:pStyle w:val="af8"/>
        <w:numPr>
          <w:ilvl w:val="0"/>
          <w:numId w:val="6"/>
        </w:numPr>
        <w:spacing w:line="360" w:lineRule="auto"/>
        <w:ind w:left="934" w:hanging="283"/>
        <w:jc w:val="both"/>
        <w:rPr>
          <w:rFonts w:ascii="David" w:hAnsi="David" w:cs="David"/>
          <w:sz w:val="24"/>
          <w:szCs w:val="24"/>
        </w:rPr>
      </w:pPr>
      <w:r>
        <w:rPr>
          <w:rFonts w:ascii="David" w:hAnsi="David" w:cs="David"/>
          <w:b/>
          <w:bCs/>
          <w:sz w:val="24"/>
          <w:szCs w:val="24"/>
          <w:rtl/>
        </w:rPr>
        <w:t>שנית</w:t>
      </w:r>
      <w:r>
        <w:rPr>
          <w:rFonts w:ascii="David" w:hAnsi="David" w:cs="David"/>
          <w:sz w:val="24"/>
          <w:szCs w:val="24"/>
          <w:rtl/>
        </w:rPr>
        <w:t>, במלוא הכבוד – השימוש בשם "לעבור את שרון", אינו בגדר עוולת פגיעה בפרטיות. אין בכך משום חדירה לתחומה של הנתבעת. השימוש החד פעמי הנטען אכן מלמד על התייחסות הנתבעת אל התובעת ועל היותה בת פלוגתא שלה ואף התייחסתי לכך בסעיף 8.3 לעיל. עם זאת, מבחינת דיני הגנת הפרטיות אין מקום לטעון שהשימוש החד פעמי, גם אם נעשה לשם מטרת רווח כמשמעות סעיף 1(6) לחוק גרם לעוולה – ונכון יהיה להתייחס אליו כאל זוטי דברים.</w:t>
      </w:r>
    </w:p>
    <w:p w:rsidR="00BE0AB3" w:rsidRDefault="00BE0AB3" w:rsidP="00BE0AB3">
      <w:pPr>
        <w:pStyle w:val="af8"/>
        <w:rPr>
          <w:rFonts w:ascii="David" w:hAnsi="David" w:cs="David"/>
          <w:sz w:val="24"/>
          <w:szCs w:val="24"/>
        </w:rPr>
      </w:pPr>
    </w:p>
    <w:p w:rsidR="00BE0AB3" w:rsidRDefault="00BE0AB3" w:rsidP="00D86410">
      <w:pPr>
        <w:pStyle w:val="af8"/>
        <w:numPr>
          <w:ilvl w:val="0"/>
          <w:numId w:val="6"/>
        </w:numPr>
        <w:spacing w:line="360" w:lineRule="auto"/>
        <w:ind w:left="934" w:hanging="283"/>
        <w:jc w:val="both"/>
        <w:rPr>
          <w:rFonts w:ascii="David" w:hAnsi="David" w:cs="David"/>
          <w:sz w:val="24"/>
          <w:szCs w:val="24"/>
          <w:rtl/>
        </w:rPr>
      </w:pPr>
      <w:r>
        <w:rPr>
          <w:rFonts w:ascii="David" w:hAnsi="David" w:cs="David"/>
          <w:b/>
          <w:bCs/>
          <w:sz w:val="24"/>
          <w:szCs w:val="24"/>
          <w:rtl/>
        </w:rPr>
        <w:t>שלישית</w:t>
      </w:r>
      <w:r>
        <w:rPr>
          <w:rFonts w:ascii="David" w:hAnsi="David" w:cs="David"/>
          <w:sz w:val="24"/>
          <w:szCs w:val="24"/>
          <w:rtl/>
        </w:rPr>
        <w:t>, בנוסף - משנקבע פיצוי סטטוטורי לתובעת מכח חוק זכות יוצרים, אין מקום להוסיף ולקבוע פיצוי סטטוטורי נוסף, ללא הוכחת נזק מכח חוקים אחרים. הדבר נכון גם ביחס לטענות לעוולה מסחרית מכח חוק עוולות מסחריות.</w:t>
      </w:r>
    </w:p>
    <w:p w:rsidR="00BE0AB3" w:rsidRDefault="00BE0AB3"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350AFD" w:rsidRDefault="00350AFD" w:rsidP="00BE0AB3">
      <w:pPr>
        <w:pStyle w:val="af8"/>
        <w:spacing w:line="360" w:lineRule="auto"/>
        <w:ind w:left="1800"/>
        <w:jc w:val="both"/>
        <w:rPr>
          <w:rFonts w:ascii="David" w:hAnsi="David" w:cs="David"/>
          <w:sz w:val="24"/>
          <w:szCs w:val="24"/>
          <w:rtl/>
        </w:rPr>
      </w:pPr>
    </w:p>
    <w:p w:rsidR="00BE0AB3" w:rsidRDefault="00BE0AB3" w:rsidP="00BE0AB3">
      <w:pPr>
        <w:pStyle w:val="af8"/>
        <w:spacing w:line="360" w:lineRule="auto"/>
        <w:ind w:left="-739"/>
        <w:jc w:val="both"/>
        <w:rPr>
          <w:rFonts w:ascii="David" w:hAnsi="David" w:cs="David"/>
          <w:b/>
          <w:bCs/>
          <w:sz w:val="28"/>
          <w:szCs w:val="28"/>
          <w:u w:val="single"/>
          <w:rtl/>
        </w:rPr>
      </w:pPr>
      <w:r>
        <w:rPr>
          <w:rFonts w:ascii="David" w:hAnsi="David" w:cs="David"/>
          <w:b/>
          <w:bCs/>
          <w:sz w:val="28"/>
          <w:szCs w:val="28"/>
          <w:u w:val="single"/>
          <w:rtl/>
        </w:rPr>
        <w:lastRenderedPageBreak/>
        <w:t>חלק שישי, סוף דבר</w:t>
      </w:r>
    </w:p>
    <w:p w:rsidR="00BE0AB3" w:rsidRDefault="00BE0AB3" w:rsidP="00BE0AB3">
      <w:pPr>
        <w:pStyle w:val="af8"/>
        <w:numPr>
          <w:ilvl w:val="0"/>
          <w:numId w:val="2"/>
        </w:numPr>
        <w:spacing w:line="360" w:lineRule="auto"/>
        <w:ind w:left="-172" w:hanging="284"/>
        <w:jc w:val="both"/>
        <w:rPr>
          <w:rFonts w:ascii="David" w:hAnsi="David" w:cs="David"/>
          <w:sz w:val="24"/>
          <w:szCs w:val="24"/>
        </w:rPr>
      </w:pPr>
      <w:r>
        <w:rPr>
          <w:rFonts w:ascii="David" w:hAnsi="David" w:cs="David"/>
          <w:b/>
          <w:bCs/>
          <w:sz w:val="24"/>
          <w:szCs w:val="24"/>
          <w:u w:val="single"/>
          <w:rtl/>
        </w:rPr>
        <w:t>סיכום</w:t>
      </w:r>
    </w:p>
    <w:p w:rsidR="00BE0AB3" w:rsidRDefault="00BE0AB3" w:rsidP="00BE0AB3">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יש לקבל את התביעה בכל הקשור לטענת התובעת להפרת זכות יוצרים. בגין כך יש לחייב את הנתבעת בתשלום פיצוי. עם זאת אין לקבוע צווי מניעה, סעד הצהרתי מינוי כונס נכסים וכן צווים נוספים להם עתרה התובעת. על כך הורחב בחלק השלישי לעיל, בסעיפים 6-8 לפסק הדין.</w:t>
      </w:r>
    </w:p>
    <w:p w:rsidR="00BE0AB3" w:rsidRDefault="00BE0AB3" w:rsidP="00BE0AB3">
      <w:pPr>
        <w:pStyle w:val="af8"/>
        <w:spacing w:line="360" w:lineRule="auto"/>
        <w:ind w:left="395"/>
        <w:jc w:val="both"/>
        <w:rPr>
          <w:rFonts w:ascii="David" w:hAnsi="David" w:cs="David"/>
          <w:sz w:val="24"/>
          <w:szCs w:val="24"/>
        </w:rPr>
      </w:pPr>
    </w:p>
    <w:p w:rsidR="00BE0AB3" w:rsidRDefault="00BE0AB3" w:rsidP="000D1801">
      <w:pPr>
        <w:pStyle w:val="af8"/>
        <w:numPr>
          <w:ilvl w:val="1"/>
          <w:numId w:val="2"/>
        </w:numPr>
        <w:spacing w:line="360" w:lineRule="auto"/>
        <w:ind w:left="395" w:hanging="567"/>
        <w:jc w:val="both"/>
        <w:rPr>
          <w:rFonts w:ascii="David" w:hAnsi="David" w:cs="David"/>
          <w:sz w:val="24"/>
          <w:szCs w:val="24"/>
        </w:rPr>
      </w:pPr>
      <w:r>
        <w:rPr>
          <w:rFonts w:ascii="David" w:hAnsi="David" w:cs="David"/>
          <w:sz w:val="24"/>
          <w:szCs w:val="24"/>
          <w:rtl/>
        </w:rPr>
        <w:t xml:space="preserve">אין לקבל טענות התובעת ביחס לעוולת לשון הרע. </w:t>
      </w:r>
      <w:r w:rsidR="000D1801">
        <w:rPr>
          <w:rFonts w:ascii="David" w:hAnsi="David" w:cs="David" w:hint="cs"/>
          <w:sz w:val="24"/>
          <w:szCs w:val="24"/>
          <w:rtl/>
        </w:rPr>
        <w:t xml:space="preserve">על כך </w:t>
      </w:r>
      <w:r>
        <w:rPr>
          <w:rFonts w:ascii="David" w:hAnsi="David" w:cs="David"/>
          <w:sz w:val="24"/>
          <w:szCs w:val="24"/>
          <w:rtl/>
        </w:rPr>
        <w:t>ר' החלק הרביעי לעיל, סעיף 9 לפסק הדין.</w:t>
      </w:r>
    </w:p>
    <w:p w:rsidR="00BE0AB3" w:rsidRDefault="00BE0AB3" w:rsidP="00BE0AB3">
      <w:pPr>
        <w:pStyle w:val="af8"/>
        <w:rPr>
          <w:rFonts w:ascii="David" w:hAnsi="David" w:cs="David"/>
          <w:sz w:val="24"/>
          <w:szCs w:val="24"/>
        </w:rPr>
      </w:pPr>
    </w:p>
    <w:p w:rsidR="00BE0AB3" w:rsidRDefault="00BE0AB3" w:rsidP="000D1801">
      <w:pPr>
        <w:pStyle w:val="af8"/>
        <w:numPr>
          <w:ilvl w:val="1"/>
          <w:numId w:val="2"/>
        </w:numPr>
        <w:spacing w:line="360" w:lineRule="auto"/>
        <w:ind w:left="395" w:hanging="567"/>
        <w:jc w:val="both"/>
        <w:rPr>
          <w:rFonts w:ascii="David" w:hAnsi="David" w:cs="David"/>
          <w:sz w:val="24"/>
          <w:szCs w:val="24"/>
          <w:rtl/>
        </w:rPr>
      </w:pPr>
      <w:r>
        <w:rPr>
          <w:rFonts w:ascii="David" w:hAnsi="David" w:cs="David"/>
          <w:sz w:val="24"/>
          <w:szCs w:val="24"/>
          <w:rtl/>
        </w:rPr>
        <w:t xml:space="preserve">אין לקבל </w:t>
      </w:r>
      <w:r w:rsidR="000D1801">
        <w:rPr>
          <w:rFonts w:ascii="David" w:hAnsi="David" w:cs="David" w:hint="cs"/>
          <w:sz w:val="24"/>
          <w:szCs w:val="24"/>
          <w:rtl/>
        </w:rPr>
        <w:t>ט</w:t>
      </w:r>
      <w:r>
        <w:rPr>
          <w:rFonts w:ascii="David" w:hAnsi="David" w:cs="David"/>
          <w:sz w:val="24"/>
          <w:szCs w:val="24"/>
          <w:rtl/>
        </w:rPr>
        <w:t>ענות התובעת לפיצוי בסך של 50,000 ₪. על כך בחלק החמישי לעיל, סעיף 10 לפסק הדין.</w:t>
      </w:r>
    </w:p>
    <w:p w:rsidR="00BE0AB3" w:rsidRDefault="00BE0AB3" w:rsidP="00BE0AB3">
      <w:pPr>
        <w:pStyle w:val="af8"/>
        <w:rPr>
          <w:rFonts w:ascii="David" w:hAnsi="David" w:cs="David"/>
          <w:sz w:val="24"/>
          <w:szCs w:val="24"/>
        </w:rPr>
      </w:pPr>
    </w:p>
    <w:p w:rsidR="00694556" w:rsidRDefault="00BE0AB3" w:rsidP="00BE0AB3">
      <w:pPr>
        <w:spacing w:line="360" w:lineRule="auto"/>
        <w:jc w:val="both"/>
        <w:rPr>
          <w:rFonts w:ascii="Arial" w:hAnsi="Arial"/>
          <w:noProof w:val="0"/>
          <w:rtl/>
        </w:rPr>
      </w:pPr>
      <w:r>
        <w:rPr>
          <w:rFonts w:ascii="David" w:hAnsi="David"/>
          <w:b/>
          <w:bCs/>
          <w:rtl/>
        </w:rPr>
        <w:t xml:space="preserve">אשר על כן וכאמור בסעיף 8.5 לפסק הדין, אני מחייב את הנתבעת בתשלום הסך של </w:t>
      </w:r>
      <w:r>
        <w:rPr>
          <w:rFonts w:ascii="David" w:hAnsi="David"/>
          <w:b/>
          <w:bCs/>
          <w:u w:val="single"/>
          <w:rtl/>
        </w:rPr>
        <w:t>120,000 ₪</w:t>
      </w:r>
      <w:r>
        <w:rPr>
          <w:rFonts w:ascii="David" w:hAnsi="David"/>
          <w:b/>
          <w:bCs/>
          <w:rtl/>
        </w:rPr>
        <w:t xml:space="preserve"> בצירוף הפרשי הצמדה וריבית כחוק מיום 10/7/2019 ועד למועד התשלום בפועל. בנוסף אני מחייב את הנתבעת בתשלום הוצאות משפט ושכר טרחת עו"ד בסך כולל של </w:t>
      </w:r>
      <w:r>
        <w:rPr>
          <w:rFonts w:ascii="David" w:hAnsi="David"/>
          <w:b/>
          <w:bCs/>
          <w:u w:val="single"/>
          <w:rtl/>
        </w:rPr>
        <w:t>30,000 ₪</w:t>
      </w:r>
      <w:r>
        <w:rPr>
          <w:rFonts w:ascii="David" w:hAnsi="David"/>
          <w:b/>
          <w:bCs/>
          <w:rtl/>
        </w:rPr>
        <w:t xml:space="preserve"> בצירוף הפרשי הצמדה וריבית כחוק ממועד פסק דין זה ועד למועד התשלום בפועל.</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ד' תשרי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29 ספטמבר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93021F" w:rsidP="00633C4F">
      <w:pPr>
        <w:spacing w:line="360" w:lineRule="auto"/>
        <w:ind w:left="3600" w:firstLine="720"/>
      </w:pPr>
      <w:sdt>
        <w:sdtPr>
          <w:rPr>
            <w:rtl/>
          </w:rPr>
          <w:alias w:val="MergeField"/>
          <w:tag w:val="1237"/>
          <w:id w:val="17891167"/>
        </w:sdtPr>
        <w:sdtEndPr/>
        <w:sdtContent>
          <w:r>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BE0AB3">
      <w:headerReference w:type="even" r:id="rId9"/>
      <w:headerReference w:type="default" r:id="rId10"/>
      <w:footerReference w:type="even" r:id="rId11"/>
      <w:footerReference w:type="default" r:id="rId12"/>
      <w:headerReference w:type="first" r:id="rId13"/>
      <w:footerReference w:type="first" r:id="rId14"/>
      <w:pgSz w:w="11907" w:h="16840" w:code="9"/>
      <w:pgMar w:top="1134" w:right="1588" w:bottom="1021"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TUR">
    <w:altName w:val="Arial"/>
    <w:charset w:val="00"/>
    <w:family w:val="swiss"/>
    <w:pitch w:val="variable"/>
    <w:sig w:usb0="E0002E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5"/>
      <w:jc w:val="center"/>
      <w:rPr>
        <w:rStyle w:val="ae"/>
      </w:rPr>
    </w:pPr>
    <w:r w:rsidRPr="00A62BD0">
      <w:rPr>
        <w:rStyle w:val="ae"/>
      </w:rPr>
      <w:fldChar w:fldCharType="begin"/>
    </w:r>
    <w:r w:rsidR="00005C8B" w:rsidRPr="00A62BD0">
      <w:rPr>
        <w:rStyle w:val="ae"/>
      </w:rPr>
      <w:instrText xml:space="preserve"> PAGE </w:instrText>
    </w:r>
    <w:r w:rsidRPr="00A62BD0">
      <w:rPr>
        <w:rStyle w:val="ae"/>
      </w:rPr>
      <w:fldChar w:fldCharType="separate"/>
    </w:r>
    <w:r w:rsidR="0093021F">
      <w:rPr>
        <w:rStyle w:val="ae"/>
        <w:rtl/>
      </w:rPr>
      <w:t>1</w:t>
    </w:r>
    <w:r w:rsidRPr="00A62BD0">
      <w:rPr>
        <w:rStyle w:val="ae"/>
      </w:rPr>
      <w:fldChar w:fldCharType="end"/>
    </w:r>
    <w:r w:rsidR="00005C8B" w:rsidRPr="00A62BD0">
      <w:rPr>
        <w:rStyle w:val="ae"/>
        <w:rFonts w:hint="cs"/>
        <w:rtl/>
      </w:rPr>
      <w:t xml:space="preserve"> מתוך </w:t>
    </w:r>
    <w:r w:rsidRPr="00A62BD0">
      <w:rPr>
        <w:rStyle w:val="ae"/>
      </w:rPr>
      <w:fldChar w:fldCharType="begin"/>
    </w:r>
    <w:r w:rsidR="00005C8B" w:rsidRPr="00A62BD0">
      <w:rPr>
        <w:rStyle w:val="ae"/>
      </w:rPr>
      <w:instrText xml:space="preserve"> NUMPAGES </w:instrText>
    </w:r>
    <w:r w:rsidRPr="00A62BD0">
      <w:rPr>
        <w:rStyle w:val="ae"/>
      </w:rPr>
      <w:fldChar w:fldCharType="separate"/>
    </w:r>
    <w:r w:rsidR="0093021F">
      <w:rPr>
        <w:rStyle w:val="ae"/>
        <w:rtl/>
      </w:rPr>
      <w:t>28</w:t>
    </w:r>
    <w:r w:rsidRPr="00A62BD0">
      <w:rPr>
        <w:rStyle w:val="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93021F"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25197-07-19</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גבריאל נ' סנדיק אשד</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02E49"/>
    <w:multiLevelType w:val="multilevel"/>
    <w:tmpl w:val="07B4C1F0"/>
    <w:lvl w:ilvl="0">
      <w:start w:val="1"/>
      <w:numFmt w:val="decimal"/>
      <w:lvlText w:val="%1."/>
      <w:lvlJc w:val="left"/>
      <w:pPr>
        <w:ind w:left="720" w:hanging="360"/>
      </w:pPr>
      <w:rPr>
        <w:lang w:bidi="he-IL"/>
      </w:r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 w15:restartNumberingAfterBreak="0">
    <w:nsid w:val="17815CA3"/>
    <w:multiLevelType w:val="hybridMultilevel"/>
    <w:tmpl w:val="9BCC58C0"/>
    <w:lvl w:ilvl="0" w:tplc="4126D190">
      <w:start w:val="1"/>
      <w:numFmt w:val="hebrew1"/>
      <w:lvlText w:val="(%1)"/>
      <w:lvlJc w:val="left"/>
      <w:pPr>
        <w:ind w:left="1353" w:hanging="360"/>
      </w:pPr>
      <w:rPr>
        <w:rFonts w:ascii="David" w:hAnsi="David" w:cs="David" w:hint="default"/>
        <w:sz w:val="24"/>
        <w:szCs w:val="24"/>
      </w:rPr>
    </w:lvl>
    <w:lvl w:ilvl="1" w:tplc="04090019">
      <w:start w:val="1"/>
      <w:numFmt w:val="lowerLetter"/>
      <w:lvlText w:val="%2."/>
      <w:lvlJc w:val="left"/>
      <w:pPr>
        <w:ind w:left="2156" w:hanging="360"/>
      </w:pPr>
    </w:lvl>
    <w:lvl w:ilvl="2" w:tplc="0409001B">
      <w:start w:val="1"/>
      <w:numFmt w:val="lowerRoman"/>
      <w:lvlText w:val="%3."/>
      <w:lvlJc w:val="right"/>
      <w:pPr>
        <w:ind w:left="2876" w:hanging="180"/>
      </w:pPr>
    </w:lvl>
    <w:lvl w:ilvl="3" w:tplc="0409000F">
      <w:start w:val="1"/>
      <w:numFmt w:val="decimal"/>
      <w:lvlText w:val="%4."/>
      <w:lvlJc w:val="left"/>
      <w:pPr>
        <w:ind w:left="3596" w:hanging="360"/>
      </w:pPr>
    </w:lvl>
    <w:lvl w:ilvl="4" w:tplc="04090019">
      <w:start w:val="1"/>
      <w:numFmt w:val="lowerLetter"/>
      <w:lvlText w:val="%5."/>
      <w:lvlJc w:val="left"/>
      <w:pPr>
        <w:ind w:left="4316" w:hanging="360"/>
      </w:pPr>
    </w:lvl>
    <w:lvl w:ilvl="5" w:tplc="0409001B">
      <w:start w:val="1"/>
      <w:numFmt w:val="lowerRoman"/>
      <w:lvlText w:val="%6."/>
      <w:lvlJc w:val="right"/>
      <w:pPr>
        <w:ind w:left="5036" w:hanging="180"/>
      </w:pPr>
    </w:lvl>
    <w:lvl w:ilvl="6" w:tplc="0409000F">
      <w:start w:val="1"/>
      <w:numFmt w:val="decimal"/>
      <w:lvlText w:val="%7."/>
      <w:lvlJc w:val="left"/>
      <w:pPr>
        <w:ind w:left="5756" w:hanging="360"/>
      </w:pPr>
    </w:lvl>
    <w:lvl w:ilvl="7" w:tplc="04090019">
      <w:start w:val="1"/>
      <w:numFmt w:val="lowerLetter"/>
      <w:lvlText w:val="%8."/>
      <w:lvlJc w:val="left"/>
      <w:pPr>
        <w:ind w:left="6476" w:hanging="360"/>
      </w:pPr>
    </w:lvl>
    <w:lvl w:ilvl="8" w:tplc="0409001B">
      <w:start w:val="1"/>
      <w:numFmt w:val="lowerRoman"/>
      <w:lvlText w:val="%9."/>
      <w:lvlJc w:val="right"/>
      <w:pPr>
        <w:ind w:left="7196" w:hanging="180"/>
      </w:pPr>
    </w:lvl>
  </w:abstractNum>
  <w:abstractNum w:abstractNumId="2" w15:restartNumberingAfterBreak="0">
    <w:nsid w:val="370D2D02"/>
    <w:multiLevelType w:val="hybridMultilevel"/>
    <w:tmpl w:val="E4204D9E"/>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450D3DE6"/>
    <w:multiLevelType w:val="hybridMultilevel"/>
    <w:tmpl w:val="A118A3BC"/>
    <w:lvl w:ilvl="0" w:tplc="5EA2D0FA">
      <w:start w:val="1"/>
      <w:numFmt w:val="hebrew1"/>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15:restartNumberingAfterBreak="0">
    <w:nsid w:val="450E77A8"/>
    <w:multiLevelType w:val="hybridMultilevel"/>
    <w:tmpl w:val="C04EFCEA"/>
    <w:lvl w:ilvl="0" w:tplc="32EAADC0">
      <w:start w:val="1"/>
      <w:numFmt w:val="hebrew1"/>
      <w:lvlText w:val="%1."/>
      <w:lvlJc w:val="left"/>
      <w:pPr>
        <w:ind w:left="1800" w:hanging="360"/>
      </w:pPr>
      <w:rPr>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47124DCC"/>
    <w:multiLevelType w:val="hybridMultilevel"/>
    <w:tmpl w:val="3ADC773A"/>
    <w:lvl w:ilvl="0" w:tplc="65666B48">
      <w:start w:val="1"/>
      <w:numFmt w:val="decimal"/>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477B00A0"/>
    <w:multiLevelType w:val="hybridMultilevel"/>
    <w:tmpl w:val="FA96DE94"/>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4DDF1C12"/>
    <w:multiLevelType w:val="hybridMultilevel"/>
    <w:tmpl w:val="F6582684"/>
    <w:lvl w:ilvl="0" w:tplc="30A48EA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8" w15:restartNumberingAfterBreak="0">
    <w:nsid w:val="5BBA3E1A"/>
    <w:multiLevelType w:val="hybridMultilevel"/>
    <w:tmpl w:val="24F29B1C"/>
    <w:lvl w:ilvl="0" w:tplc="1F5682FA">
      <w:start w:val="1"/>
      <w:numFmt w:val="decimal"/>
      <w:lvlText w:val="%1."/>
      <w:lvlJc w:val="left"/>
      <w:pPr>
        <w:ind w:left="393" w:hanging="360"/>
      </w:pPr>
    </w:lvl>
    <w:lvl w:ilvl="1" w:tplc="04090019">
      <w:start w:val="1"/>
      <w:numFmt w:val="lowerLetter"/>
      <w:lvlText w:val="%2."/>
      <w:lvlJc w:val="left"/>
      <w:pPr>
        <w:ind w:left="1113" w:hanging="360"/>
      </w:pPr>
    </w:lvl>
    <w:lvl w:ilvl="2" w:tplc="0409001B">
      <w:start w:val="1"/>
      <w:numFmt w:val="lowerRoman"/>
      <w:lvlText w:val="%3."/>
      <w:lvlJc w:val="right"/>
      <w:pPr>
        <w:ind w:left="1833" w:hanging="180"/>
      </w:pPr>
    </w:lvl>
    <w:lvl w:ilvl="3" w:tplc="0409000F">
      <w:start w:val="1"/>
      <w:numFmt w:val="decimal"/>
      <w:lvlText w:val="%4."/>
      <w:lvlJc w:val="left"/>
      <w:pPr>
        <w:ind w:left="2553" w:hanging="360"/>
      </w:pPr>
    </w:lvl>
    <w:lvl w:ilvl="4" w:tplc="04090019">
      <w:start w:val="1"/>
      <w:numFmt w:val="lowerLetter"/>
      <w:lvlText w:val="%5."/>
      <w:lvlJc w:val="left"/>
      <w:pPr>
        <w:ind w:left="3273" w:hanging="360"/>
      </w:pPr>
    </w:lvl>
    <w:lvl w:ilvl="5" w:tplc="0409001B">
      <w:start w:val="1"/>
      <w:numFmt w:val="lowerRoman"/>
      <w:lvlText w:val="%6."/>
      <w:lvlJc w:val="right"/>
      <w:pPr>
        <w:ind w:left="3993" w:hanging="180"/>
      </w:pPr>
    </w:lvl>
    <w:lvl w:ilvl="6" w:tplc="0409000F">
      <w:start w:val="1"/>
      <w:numFmt w:val="decimal"/>
      <w:lvlText w:val="%7."/>
      <w:lvlJc w:val="left"/>
      <w:pPr>
        <w:ind w:left="4713" w:hanging="360"/>
      </w:pPr>
    </w:lvl>
    <w:lvl w:ilvl="7" w:tplc="04090019">
      <w:start w:val="1"/>
      <w:numFmt w:val="lowerLetter"/>
      <w:lvlText w:val="%8."/>
      <w:lvlJc w:val="left"/>
      <w:pPr>
        <w:ind w:left="5433" w:hanging="360"/>
      </w:pPr>
    </w:lvl>
    <w:lvl w:ilvl="8" w:tplc="0409001B">
      <w:start w:val="1"/>
      <w:numFmt w:val="lowerRoman"/>
      <w:lvlText w:val="%9."/>
      <w:lvlJc w:val="right"/>
      <w:pPr>
        <w:ind w:left="6153" w:hanging="180"/>
      </w:pPr>
    </w:lvl>
  </w:abstractNum>
  <w:abstractNum w:abstractNumId="9" w15:restartNumberingAfterBreak="0">
    <w:nsid w:val="5CE626F5"/>
    <w:multiLevelType w:val="hybridMultilevel"/>
    <w:tmpl w:val="7810A2F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0" w15:restartNumberingAfterBreak="0">
    <w:nsid w:val="5D750EEC"/>
    <w:multiLevelType w:val="multilevel"/>
    <w:tmpl w:val="2B80192C"/>
    <w:lvl w:ilvl="0">
      <w:start w:val="1"/>
      <w:numFmt w:val="decimal"/>
      <w:lvlText w:val="%1."/>
      <w:lvlJc w:val="left"/>
      <w:pPr>
        <w:ind w:left="720" w:hanging="360"/>
      </w:pPr>
    </w:lvl>
    <w:lvl w:ilvl="1">
      <w:start w:val="1"/>
      <w:numFmt w:val="decimal"/>
      <w:isLgl/>
      <w:lvlText w:val="%1.%2"/>
      <w:lvlJc w:val="left"/>
      <w:pPr>
        <w:ind w:left="1080" w:hanging="360"/>
      </w:pPr>
      <w:rPr>
        <w:b w:val="0"/>
        <w:bCs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1" w15:restartNumberingAfterBreak="0">
    <w:nsid w:val="624838E1"/>
    <w:multiLevelType w:val="hybridMultilevel"/>
    <w:tmpl w:val="02B407D8"/>
    <w:lvl w:ilvl="0" w:tplc="ED6AAA68">
      <w:start w:val="1"/>
      <w:numFmt w:val="hebrew1"/>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63D81303"/>
    <w:multiLevelType w:val="hybridMultilevel"/>
    <w:tmpl w:val="387C5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C194C94"/>
    <w:multiLevelType w:val="hybridMultilevel"/>
    <w:tmpl w:val="4F98DEB6"/>
    <w:lvl w:ilvl="0" w:tplc="908A714A">
      <w:start w:val="1"/>
      <w:numFmt w:val="decimal"/>
      <w:lvlText w:val="%1."/>
      <w:lvlJc w:val="left"/>
      <w:pPr>
        <w:ind w:left="1800" w:hanging="360"/>
      </w:pPr>
      <w:rPr>
        <w:rFonts w:ascii="David" w:hAnsi="David" w:cs="David" w:hint="default"/>
        <w:sz w:val="24"/>
        <w:szCs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747A3A4C"/>
    <w:multiLevelType w:val="hybridMultilevel"/>
    <w:tmpl w:val="087A74B8"/>
    <w:lvl w:ilvl="0" w:tplc="25E2C842">
      <w:start w:val="1"/>
      <w:numFmt w:val="bullet"/>
      <w:lvlText w:val="-"/>
      <w:lvlJc w:val="left"/>
      <w:pPr>
        <w:ind w:left="1440" w:hanging="360"/>
      </w:pPr>
      <w:rPr>
        <w:rFonts w:ascii="David" w:eastAsiaTheme="minorHAnsi" w:hAnsi="David" w:cs="David"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7DB30BE9"/>
    <w:multiLevelType w:val="hybridMultilevel"/>
    <w:tmpl w:val="11C88FF4"/>
    <w:lvl w:ilvl="0" w:tplc="E7CE827E">
      <w:start w:val="1"/>
      <w:numFmt w:val="bullet"/>
      <w:lvlText w:val=""/>
      <w:lvlJc w:val="left"/>
      <w:pPr>
        <w:ind w:left="1800" w:hanging="360"/>
      </w:pPr>
      <w:rPr>
        <w:rFonts w:ascii="Wingdings" w:hAnsi="Wingdings" w:hint="default"/>
        <w:b w:val="0"/>
        <w:bCs w:val="0"/>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6" w15:restartNumberingAfterBreak="0">
    <w:nsid w:val="7E031D7C"/>
    <w:multiLevelType w:val="hybridMultilevel"/>
    <w:tmpl w:val="F4D4EA0C"/>
    <w:lvl w:ilvl="0" w:tplc="46CA11D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7F1402E4"/>
    <w:multiLevelType w:val="hybridMultilevel"/>
    <w:tmpl w:val="2E32A296"/>
    <w:lvl w:ilvl="0" w:tplc="23B09630">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num>
  <w:num w:numId="15">
    <w:abstractNumId w:val="2"/>
  </w:num>
  <w:num w:numId="16">
    <w:abstractNumId w:val="2"/>
  </w:num>
  <w:num w:numId="17">
    <w:abstractNumId w:val="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num>
  <w:num w:numId="21">
    <w:abstractNumId w:val="15"/>
  </w:num>
  <w:num w:numId="22">
    <w:abstractNumId w:val="15"/>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9"/>
  </w:num>
  <w:num w:numId="29">
    <w:abstractNumId w:val="5"/>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67D83"/>
    <w:rsid w:val="000B2E97"/>
    <w:rsid w:val="000D1801"/>
    <w:rsid w:val="000D4A02"/>
    <w:rsid w:val="001072A9"/>
    <w:rsid w:val="00121F97"/>
    <w:rsid w:val="001277D7"/>
    <w:rsid w:val="00132017"/>
    <w:rsid w:val="00140E42"/>
    <w:rsid w:val="0014234E"/>
    <w:rsid w:val="00145A87"/>
    <w:rsid w:val="001A7E00"/>
    <w:rsid w:val="001C4003"/>
    <w:rsid w:val="001F5474"/>
    <w:rsid w:val="002352F7"/>
    <w:rsid w:val="00295DD1"/>
    <w:rsid w:val="00350AFD"/>
    <w:rsid w:val="003725BC"/>
    <w:rsid w:val="00381D3A"/>
    <w:rsid w:val="003823DA"/>
    <w:rsid w:val="0043595F"/>
    <w:rsid w:val="0046753C"/>
    <w:rsid w:val="0047645A"/>
    <w:rsid w:val="004C5CA7"/>
    <w:rsid w:val="004D49A3"/>
    <w:rsid w:val="004E6E3C"/>
    <w:rsid w:val="005124F1"/>
    <w:rsid w:val="00530BAD"/>
    <w:rsid w:val="00541598"/>
    <w:rsid w:val="00547DB7"/>
    <w:rsid w:val="00567324"/>
    <w:rsid w:val="00572A95"/>
    <w:rsid w:val="00590BFF"/>
    <w:rsid w:val="005B0F49"/>
    <w:rsid w:val="005C7EC6"/>
    <w:rsid w:val="005D4BDB"/>
    <w:rsid w:val="005E2CD3"/>
    <w:rsid w:val="0060626B"/>
    <w:rsid w:val="00622BAA"/>
    <w:rsid w:val="00625C89"/>
    <w:rsid w:val="00633C4F"/>
    <w:rsid w:val="00671BD5"/>
    <w:rsid w:val="006805C1"/>
    <w:rsid w:val="006816EC"/>
    <w:rsid w:val="00694556"/>
    <w:rsid w:val="006E1A53"/>
    <w:rsid w:val="007056AA"/>
    <w:rsid w:val="00744F41"/>
    <w:rsid w:val="007A24FE"/>
    <w:rsid w:val="007A35AA"/>
    <w:rsid w:val="007F1048"/>
    <w:rsid w:val="00820005"/>
    <w:rsid w:val="0083107C"/>
    <w:rsid w:val="00846D27"/>
    <w:rsid w:val="008610A7"/>
    <w:rsid w:val="008E1332"/>
    <w:rsid w:val="00903896"/>
    <w:rsid w:val="00913A73"/>
    <w:rsid w:val="00915BEF"/>
    <w:rsid w:val="00927813"/>
    <w:rsid w:val="0093021F"/>
    <w:rsid w:val="00934F1C"/>
    <w:rsid w:val="00944D13"/>
    <w:rsid w:val="00957C90"/>
    <w:rsid w:val="009E0263"/>
    <w:rsid w:val="00A0260A"/>
    <w:rsid w:val="00A267CF"/>
    <w:rsid w:val="00A43458"/>
    <w:rsid w:val="00A61011"/>
    <w:rsid w:val="00A62BD0"/>
    <w:rsid w:val="00AC4E19"/>
    <w:rsid w:val="00AF1ED6"/>
    <w:rsid w:val="00B14234"/>
    <w:rsid w:val="00B32C61"/>
    <w:rsid w:val="00B368FE"/>
    <w:rsid w:val="00B52482"/>
    <w:rsid w:val="00B55197"/>
    <w:rsid w:val="00B80CBD"/>
    <w:rsid w:val="00BC3369"/>
    <w:rsid w:val="00BE0AB3"/>
    <w:rsid w:val="00BF77EE"/>
    <w:rsid w:val="00C32E0F"/>
    <w:rsid w:val="00C42BF9"/>
    <w:rsid w:val="00C83E56"/>
    <w:rsid w:val="00CB4F7C"/>
    <w:rsid w:val="00CD0055"/>
    <w:rsid w:val="00D26B56"/>
    <w:rsid w:val="00D319B3"/>
    <w:rsid w:val="00D53924"/>
    <w:rsid w:val="00D60849"/>
    <w:rsid w:val="00D71731"/>
    <w:rsid w:val="00D86410"/>
    <w:rsid w:val="00D96D8C"/>
    <w:rsid w:val="00DD337E"/>
    <w:rsid w:val="00E00B6F"/>
    <w:rsid w:val="00E13360"/>
    <w:rsid w:val="00E50B33"/>
    <w:rsid w:val="00E54642"/>
    <w:rsid w:val="00E97908"/>
    <w:rsid w:val="00EF3ED0"/>
    <w:rsid w:val="00F17E56"/>
    <w:rsid w:val="00F326D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1">
    <w:name w:val="heading 1"/>
    <w:basedOn w:val="a"/>
    <w:next w:val="a"/>
    <w:link w:val="10"/>
    <w:uiPriority w:val="9"/>
    <w:qFormat/>
    <w:rsid w:val="00BE0AB3"/>
    <w:pPr>
      <w:keepNext/>
      <w:keepLines/>
      <w:spacing w:before="240" w:line="256" w:lineRule="auto"/>
      <w:outlineLvl w:val="0"/>
    </w:pPr>
    <w:rPr>
      <w:rFonts w:asciiTheme="majorHAnsi" w:eastAsiaTheme="majorEastAsia" w:hAnsiTheme="majorHAnsi" w:cstheme="majorBidi"/>
      <w:noProof w:val="0"/>
      <w:color w:val="365F91" w:themeColor="accent1" w:themeShade="BF"/>
      <w:sz w:val="32"/>
      <w:szCs w:val="32"/>
    </w:rPr>
  </w:style>
  <w:style w:type="paragraph" w:styleId="2">
    <w:name w:val="heading 2"/>
    <w:basedOn w:val="a"/>
    <w:next w:val="a"/>
    <w:link w:val="20"/>
    <w:uiPriority w:val="9"/>
    <w:semiHidden/>
    <w:unhideWhenUsed/>
    <w:qFormat/>
    <w:rsid w:val="00BE0AB3"/>
    <w:pPr>
      <w:keepNext/>
      <w:keepLines/>
      <w:spacing w:before="40" w:line="256" w:lineRule="auto"/>
      <w:outlineLvl w:val="1"/>
    </w:pPr>
    <w:rPr>
      <w:rFonts w:asciiTheme="majorHAnsi" w:eastAsiaTheme="majorEastAsia" w:hAnsiTheme="majorHAnsi" w:cstheme="majorBidi"/>
      <w:noProof w:val="0"/>
      <w:color w:val="365F91" w:themeColor="accent1" w:themeShade="BF"/>
      <w:sz w:val="26"/>
      <w:szCs w:val="26"/>
    </w:rPr>
  </w:style>
  <w:style w:type="paragraph" w:styleId="3">
    <w:name w:val="heading 3"/>
    <w:basedOn w:val="a"/>
    <w:next w:val="a"/>
    <w:link w:val="30"/>
    <w:uiPriority w:val="9"/>
    <w:semiHidden/>
    <w:unhideWhenUsed/>
    <w:qFormat/>
    <w:rsid w:val="00BE0AB3"/>
    <w:pPr>
      <w:keepNext/>
      <w:keepLines/>
      <w:spacing w:before="40" w:line="256" w:lineRule="auto"/>
      <w:outlineLvl w:val="2"/>
    </w:pPr>
    <w:rPr>
      <w:rFonts w:asciiTheme="majorHAnsi" w:eastAsiaTheme="majorEastAsia" w:hAnsiTheme="majorHAnsi" w:cstheme="majorBidi"/>
      <w:noProof w:val="0"/>
      <w:color w:val="243F60" w:themeColor="accent1" w:themeShade="7F"/>
    </w:rPr>
  </w:style>
  <w:style w:type="paragraph" w:styleId="4">
    <w:name w:val="heading 4"/>
    <w:basedOn w:val="a"/>
    <w:next w:val="a"/>
    <w:link w:val="40"/>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link w:val="a6"/>
    <w:uiPriority w:val="99"/>
    <w:rsid w:val="00C64423"/>
    <w:pPr>
      <w:tabs>
        <w:tab w:val="center" w:pos="4153"/>
        <w:tab w:val="right" w:pos="8306"/>
      </w:tabs>
    </w:pPr>
  </w:style>
  <w:style w:type="paragraph" w:customStyle="1" w:styleId="a7">
    <w:name w:val="סעיפים"/>
    <w:basedOn w:val="a"/>
    <w:uiPriority w:val="99"/>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link w:val="11"/>
    <w:uiPriority w:val="99"/>
    <w:semiHidden/>
    <w:rsid w:val="00C64423"/>
    <w:rPr>
      <w:rFonts w:cs="Times New Roman"/>
      <w:noProof w:val="0"/>
    </w:rPr>
  </w:style>
  <w:style w:type="character" w:styleId="a9">
    <w:name w:val="annotation reference"/>
    <w:basedOn w:val="a0"/>
    <w:semiHidden/>
    <w:rsid w:val="00C64423"/>
    <w:rPr>
      <w:sz w:val="16"/>
      <w:szCs w:val="16"/>
    </w:rPr>
  </w:style>
  <w:style w:type="paragraph" w:styleId="aa">
    <w:name w:val="Balloon Text"/>
    <w:basedOn w:val="a"/>
    <w:link w:val="ab"/>
    <w:uiPriority w:val="99"/>
    <w:semiHidden/>
    <w:rsid w:val="00C64423"/>
    <w:rPr>
      <w:rFonts w:ascii="Tahoma" w:hAnsi="Tahoma" w:cs="Tahoma"/>
      <w:sz w:val="16"/>
      <w:szCs w:val="16"/>
    </w:rPr>
  </w:style>
  <w:style w:type="table" w:styleId="ac">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rsid w:val="00C64423"/>
  </w:style>
  <w:style w:type="character" w:styleId="ae">
    <w:name w:val="page number"/>
    <w:basedOn w:val="a0"/>
    <w:rsid w:val="00C64423"/>
  </w:style>
  <w:style w:type="table" w:customStyle="1" w:styleId="12">
    <w:name w:val="טבלת רשת1"/>
    <w:basedOn w:val="a1"/>
    <w:next w:val="ac"/>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957C90"/>
    <w:rPr>
      <w:color w:val="808080"/>
    </w:rPr>
  </w:style>
  <w:style w:type="character" w:customStyle="1" w:styleId="10">
    <w:name w:val="כותרת 1 תו"/>
    <w:basedOn w:val="a0"/>
    <w:link w:val="1"/>
    <w:uiPriority w:val="9"/>
    <w:rsid w:val="00BE0AB3"/>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0"/>
    <w:link w:val="2"/>
    <w:uiPriority w:val="9"/>
    <w:semiHidden/>
    <w:rsid w:val="00BE0AB3"/>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semiHidden/>
    <w:rsid w:val="00BE0AB3"/>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0"/>
    <w:link w:val="4"/>
    <w:rsid w:val="00BE0AB3"/>
    <w:rPr>
      <w:rFonts w:cs="Narkisim"/>
      <w:b/>
      <w:bCs/>
      <w:noProof/>
      <w:sz w:val="24"/>
      <w:szCs w:val="24"/>
      <w14:shadow w14:blurRad="50800" w14:dist="38100" w14:dir="2700000" w14:sx="100000" w14:sy="100000" w14:kx="0" w14:ky="0" w14:algn="tl">
        <w14:srgbClr w14:val="000000">
          <w14:alpha w14:val="60000"/>
        </w14:srgbClr>
      </w14:shadow>
    </w:rPr>
  </w:style>
  <w:style w:type="character" w:styleId="Hyperlink">
    <w:name w:val="Hyperlink"/>
    <w:semiHidden/>
    <w:unhideWhenUsed/>
    <w:rsid w:val="00BE0AB3"/>
    <w:rPr>
      <w:rFonts w:ascii="Times New Roman" w:hAnsi="Times New Roman" w:cs="Times New Roman" w:hint="default"/>
      <w:color w:val="0000FF"/>
      <w:u w:val="single"/>
    </w:rPr>
  </w:style>
  <w:style w:type="character" w:styleId="FollowedHyperlink">
    <w:name w:val="FollowedHyperlink"/>
    <w:basedOn w:val="a0"/>
    <w:uiPriority w:val="99"/>
    <w:semiHidden/>
    <w:unhideWhenUsed/>
    <w:rsid w:val="00BE0AB3"/>
    <w:rPr>
      <w:color w:val="800080" w:themeColor="followedHyperlink"/>
      <w:u w:val="single"/>
    </w:rPr>
  </w:style>
  <w:style w:type="paragraph" w:customStyle="1" w:styleId="msonormal0">
    <w:name w:val="msonormal"/>
    <w:basedOn w:val="a"/>
    <w:uiPriority w:val="99"/>
    <w:rsid w:val="00BE0AB3"/>
    <w:pPr>
      <w:bidi w:val="0"/>
      <w:spacing w:before="180" w:after="180"/>
    </w:pPr>
    <w:rPr>
      <w:rFonts w:cs="Times New Roman"/>
      <w:noProof w:val="0"/>
    </w:rPr>
  </w:style>
  <w:style w:type="paragraph" w:styleId="NormalWeb">
    <w:name w:val="Normal (Web)"/>
    <w:basedOn w:val="a"/>
    <w:uiPriority w:val="99"/>
    <w:semiHidden/>
    <w:unhideWhenUsed/>
    <w:rsid w:val="00BE0AB3"/>
    <w:pPr>
      <w:bidi w:val="0"/>
      <w:spacing w:before="180" w:after="180"/>
    </w:pPr>
    <w:rPr>
      <w:rFonts w:cs="Times New Roman"/>
      <w:noProof w:val="0"/>
    </w:rPr>
  </w:style>
  <w:style w:type="paragraph" w:styleId="af0">
    <w:name w:val="footnote text"/>
    <w:basedOn w:val="a"/>
    <w:link w:val="af1"/>
    <w:uiPriority w:val="99"/>
    <w:semiHidden/>
    <w:unhideWhenUsed/>
    <w:rsid w:val="00BE0AB3"/>
    <w:rPr>
      <w:rFonts w:ascii="Garamond" w:hAnsi="Garamond"/>
      <w:noProof w:val="0"/>
      <w:sz w:val="20"/>
      <w:szCs w:val="20"/>
      <w:lang w:eastAsia="he-IL"/>
    </w:rPr>
  </w:style>
  <w:style w:type="character" w:customStyle="1" w:styleId="af1">
    <w:name w:val="טקסט הערת שוליים תו"/>
    <w:basedOn w:val="a0"/>
    <w:link w:val="af0"/>
    <w:uiPriority w:val="99"/>
    <w:semiHidden/>
    <w:rsid w:val="00BE0AB3"/>
    <w:rPr>
      <w:rFonts w:ascii="Garamond" w:hAnsi="Garamond" w:cs="David"/>
      <w:lang w:eastAsia="he-IL"/>
    </w:rPr>
  </w:style>
  <w:style w:type="character" w:customStyle="1" w:styleId="af2">
    <w:name w:val="טקסט הערה תו"/>
    <w:basedOn w:val="a0"/>
    <w:uiPriority w:val="99"/>
    <w:semiHidden/>
    <w:rsid w:val="00BE0AB3"/>
    <w:rPr>
      <w:rFonts w:asciiTheme="minorHAnsi" w:eastAsiaTheme="minorHAnsi" w:hAnsiTheme="minorHAnsi" w:cstheme="minorBidi"/>
    </w:rPr>
  </w:style>
  <w:style w:type="character" w:customStyle="1" w:styleId="a4">
    <w:name w:val="כותרת עליונה תו"/>
    <w:basedOn w:val="a0"/>
    <w:link w:val="a3"/>
    <w:uiPriority w:val="99"/>
    <w:rsid w:val="00BE0AB3"/>
    <w:rPr>
      <w:rFonts w:cs="David"/>
      <w:noProof/>
      <w:sz w:val="24"/>
      <w:szCs w:val="24"/>
    </w:rPr>
  </w:style>
  <w:style w:type="character" w:customStyle="1" w:styleId="a6">
    <w:name w:val="כותרת תחתונה תו"/>
    <w:basedOn w:val="a0"/>
    <w:link w:val="a5"/>
    <w:uiPriority w:val="99"/>
    <w:rsid w:val="00BE0AB3"/>
    <w:rPr>
      <w:rFonts w:cs="David"/>
      <w:noProof/>
      <w:sz w:val="24"/>
      <w:szCs w:val="24"/>
    </w:rPr>
  </w:style>
  <w:style w:type="character" w:customStyle="1" w:styleId="af3">
    <w:name w:val="כותרת טקסט תו"/>
    <w:aliases w:val="תואר תו"/>
    <w:basedOn w:val="a0"/>
    <w:link w:val="af4"/>
    <w:locked/>
    <w:rsid w:val="00BE0AB3"/>
    <w:rPr>
      <w:b/>
      <w:bCs/>
      <w:szCs w:val="28"/>
      <w:u w:val="single"/>
      <w:shd w:val="pct20" w:color="auto" w:fill="FFFFFF"/>
      <w:lang w:eastAsia="he-IL"/>
    </w:rPr>
  </w:style>
  <w:style w:type="paragraph" w:styleId="af4">
    <w:name w:val="Title"/>
    <w:aliases w:val="תואר"/>
    <w:basedOn w:val="a"/>
    <w:link w:val="af3"/>
    <w:qFormat/>
    <w:rsid w:val="00BE0AB3"/>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13">
    <w:name w:val="כותרת טקסט תו1"/>
    <w:aliases w:val="תואר תו1"/>
    <w:basedOn w:val="a0"/>
    <w:rsid w:val="00BE0AB3"/>
    <w:rPr>
      <w:rFonts w:asciiTheme="majorHAnsi" w:eastAsiaTheme="majorEastAsia" w:hAnsiTheme="majorHAnsi" w:cstheme="majorBidi"/>
      <w:noProof/>
      <w:spacing w:val="-10"/>
      <w:kern w:val="28"/>
      <w:sz w:val="56"/>
      <w:szCs w:val="56"/>
    </w:rPr>
  </w:style>
  <w:style w:type="paragraph" w:styleId="af5">
    <w:name w:val="Block Text"/>
    <w:basedOn w:val="a"/>
    <w:uiPriority w:val="99"/>
    <w:semiHidden/>
    <w:unhideWhenUsed/>
    <w:rsid w:val="00BE0AB3"/>
    <w:pPr>
      <w:spacing w:line="360" w:lineRule="auto"/>
      <w:ind w:left="1440" w:right="993"/>
      <w:jc w:val="both"/>
    </w:pPr>
    <w:rPr>
      <w:noProof w:val="0"/>
      <w:sz w:val="20"/>
      <w:lang w:eastAsia="he-IL"/>
    </w:rPr>
  </w:style>
  <w:style w:type="paragraph" w:styleId="af6">
    <w:name w:val="annotation subject"/>
    <w:basedOn w:val="a8"/>
    <w:next w:val="a8"/>
    <w:link w:val="af7"/>
    <w:uiPriority w:val="99"/>
    <w:semiHidden/>
    <w:unhideWhenUsed/>
    <w:rsid w:val="00BE0AB3"/>
    <w:pPr>
      <w:spacing w:after="160"/>
    </w:pPr>
    <w:rPr>
      <w:rFonts w:asciiTheme="minorHAnsi" w:eastAsiaTheme="minorHAnsi" w:hAnsiTheme="minorHAnsi" w:cstheme="minorBidi"/>
      <w:b/>
      <w:bCs/>
      <w:sz w:val="20"/>
      <w:szCs w:val="20"/>
    </w:rPr>
  </w:style>
  <w:style w:type="character" w:customStyle="1" w:styleId="11">
    <w:name w:val="טקסט הערה תו1"/>
    <w:basedOn w:val="a0"/>
    <w:link w:val="a8"/>
    <w:uiPriority w:val="99"/>
    <w:semiHidden/>
    <w:rsid w:val="00BE0AB3"/>
    <w:rPr>
      <w:sz w:val="24"/>
      <w:szCs w:val="24"/>
    </w:rPr>
  </w:style>
  <w:style w:type="character" w:customStyle="1" w:styleId="af7">
    <w:name w:val="נושא הערה תו"/>
    <w:basedOn w:val="11"/>
    <w:link w:val="af6"/>
    <w:uiPriority w:val="99"/>
    <w:semiHidden/>
    <w:rsid w:val="00BE0AB3"/>
    <w:rPr>
      <w:rFonts w:asciiTheme="minorHAnsi" w:eastAsiaTheme="minorHAnsi" w:hAnsiTheme="minorHAnsi" w:cstheme="minorBidi"/>
      <w:b/>
      <w:bCs/>
      <w:sz w:val="24"/>
      <w:szCs w:val="24"/>
    </w:rPr>
  </w:style>
  <w:style w:type="character" w:customStyle="1" w:styleId="ab">
    <w:name w:val="טקסט בלונים תו"/>
    <w:basedOn w:val="a0"/>
    <w:link w:val="aa"/>
    <w:uiPriority w:val="99"/>
    <w:semiHidden/>
    <w:rsid w:val="00BE0AB3"/>
    <w:rPr>
      <w:rFonts w:ascii="Tahoma" w:hAnsi="Tahoma" w:cs="Tahoma"/>
      <w:noProof/>
      <w:sz w:val="16"/>
      <w:szCs w:val="16"/>
    </w:rPr>
  </w:style>
  <w:style w:type="paragraph" w:styleId="af8">
    <w:name w:val="List Paragraph"/>
    <w:basedOn w:val="a"/>
    <w:uiPriority w:val="34"/>
    <w:qFormat/>
    <w:rsid w:val="00BE0AB3"/>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ruller4">
    <w:name w:val="ruller4"/>
    <w:basedOn w:val="a"/>
    <w:uiPriority w:val="99"/>
    <w:rsid w:val="00BE0AB3"/>
    <w:pPr>
      <w:bidi w:val="0"/>
      <w:spacing w:before="100" w:beforeAutospacing="1" w:after="100" w:afterAutospacing="1"/>
    </w:pPr>
    <w:rPr>
      <w:rFonts w:cs="Times New Roman"/>
      <w:noProof w:val="0"/>
    </w:rPr>
  </w:style>
  <w:style w:type="paragraph" w:customStyle="1" w:styleId="14">
    <w:name w:val="פיסקת רשימה1"/>
    <w:basedOn w:val="a"/>
    <w:uiPriority w:val="99"/>
    <w:qFormat/>
    <w:rsid w:val="00BE0AB3"/>
    <w:pPr>
      <w:spacing w:after="200" w:line="276" w:lineRule="auto"/>
      <w:ind w:left="720"/>
      <w:contextualSpacing/>
    </w:pPr>
    <w:rPr>
      <w:rFonts w:ascii="Calibri" w:hAnsi="Calibri" w:cs="Arial"/>
      <w:noProof w:val="0"/>
      <w:sz w:val="22"/>
      <w:szCs w:val="22"/>
    </w:rPr>
  </w:style>
  <w:style w:type="paragraph" w:customStyle="1" w:styleId="filenumber0">
    <w:name w:val="filenumber0"/>
    <w:basedOn w:val="a"/>
    <w:uiPriority w:val="99"/>
    <w:rsid w:val="00BE0AB3"/>
    <w:pPr>
      <w:bidi w:val="0"/>
      <w:spacing w:before="100" w:beforeAutospacing="1" w:after="100" w:afterAutospacing="1"/>
    </w:pPr>
    <w:rPr>
      <w:rFonts w:cs="Times New Roman"/>
      <w:noProof w:val="0"/>
    </w:rPr>
  </w:style>
  <w:style w:type="paragraph" w:customStyle="1" w:styleId="FileNumber">
    <w:name w:val="File Number"/>
    <w:basedOn w:val="a"/>
    <w:uiPriority w:val="99"/>
    <w:rsid w:val="00BE0AB3"/>
    <w:pPr>
      <w:overflowPunct w:val="0"/>
      <w:autoSpaceDE w:val="0"/>
      <w:autoSpaceDN w:val="0"/>
      <w:spacing w:line="360" w:lineRule="auto"/>
      <w:jc w:val="right"/>
    </w:pPr>
    <w:rPr>
      <w:rFonts w:cs="Times New Roman"/>
      <w:noProof w:val="0"/>
      <w:sz w:val="20"/>
      <w:szCs w:val="20"/>
    </w:rPr>
  </w:style>
  <w:style w:type="character" w:customStyle="1" w:styleId="Ruller40">
    <w:name w:val="Ruller4 תו"/>
    <w:link w:val="Ruller41"/>
    <w:locked/>
    <w:rsid w:val="00BE0AB3"/>
    <w:rPr>
      <w:rFonts w:ascii="Arial TUR" w:hAnsi="Arial TUR" w:cs="Arial TUR"/>
      <w:spacing w:val="10"/>
    </w:rPr>
  </w:style>
  <w:style w:type="paragraph" w:customStyle="1" w:styleId="Ruller41">
    <w:name w:val="Ruller4"/>
    <w:basedOn w:val="a"/>
    <w:link w:val="Ruller40"/>
    <w:rsid w:val="00BE0AB3"/>
    <w:pPr>
      <w:overflowPunct w:val="0"/>
      <w:autoSpaceDE w:val="0"/>
      <w:autoSpaceDN w:val="0"/>
      <w:spacing w:line="360" w:lineRule="auto"/>
      <w:jc w:val="both"/>
    </w:pPr>
    <w:rPr>
      <w:rFonts w:ascii="Arial TUR" w:hAnsi="Arial TUR" w:cs="Arial TUR"/>
      <w:noProof w:val="0"/>
      <w:spacing w:val="10"/>
      <w:sz w:val="20"/>
      <w:szCs w:val="20"/>
    </w:rPr>
  </w:style>
  <w:style w:type="paragraph" w:customStyle="1" w:styleId="FileNumber1">
    <w:name w:val="סגנון File Number + ימין"/>
    <w:basedOn w:val="a"/>
    <w:uiPriority w:val="99"/>
    <w:rsid w:val="00BE0AB3"/>
    <w:pPr>
      <w:overflowPunct w:val="0"/>
      <w:autoSpaceDE w:val="0"/>
      <w:autoSpaceDN w:val="0"/>
      <w:adjustRightInd w:val="0"/>
      <w:spacing w:line="360" w:lineRule="auto"/>
    </w:pPr>
    <w:rPr>
      <w:bCs/>
      <w:noProof w:val="0"/>
      <w:sz w:val="20"/>
      <w:szCs w:val="28"/>
    </w:rPr>
  </w:style>
  <w:style w:type="paragraph" w:customStyle="1" w:styleId="Ruller42">
    <w:name w:val="Ruller 4 ממוספר"/>
    <w:basedOn w:val="a"/>
    <w:uiPriority w:val="99"/>
    <w:rsid w:val="00BE0AB3"/>
    <w:pPr>
      <w:spacing w:line="360" w:lineRule="auto"/>
      <w:jc w:val="both"/>
    </w:pPr>
    <w:rPr>
      <w:rFonts w:ascii="Garamond" w:hAnsi="Garamond" w:cs="Times New Roman"/>
      <w:noProof w:val="0"/>
      <w:spacing w:val="10"/>
    </w:rPr>
  </w:style>
  <w:style w:type="paragraph" w:customStyle="1" w:styleId="21">
    <w:name w:val="פיסקת רשימה2"/>
    <w:basedOn w:val="a"/>
    <w:uiPriority w:val="99"/>
    <w:rsid w:val="00BE0AB3"/>
    <w:pPr>
      <w:spacing w:after="160" w:line="256" w:lineRule="auto"/>
      <w:ind w:left="720"/>
      <w:contextualSpacing/>
    </w:pPr>
    <w:rPr>
      <w:rFonts w:ascii="Calibri" w:hAnsi="Calibri" w:cs="Arial"/>
      <w:noProof w:val="0"/>
      <w:sz w:val="22"/>
      <w:szCs w:val="22"/>
    </w:rPr>
  </w:style>
  <w:style w:type="character" w:customStyle="1" w:styleId="P00">
    <w:name w:val="P00 תו"/>
    <w:link w:val="P000"/>
    <w:locked/>
    <w:rsid w:val="00BE0AB3"/>
    <w:rPr>
      <w:noProof/>
      <w:szCs w:val="26"/>
      <w:lang w:eastAsia="he-IL"/>
    </w:rPr>
  </w:style>
  <w:style w:type="paragraph" w:customStyle="1" w:styleId="P000">
    <w:name w:val="P00"/>
    <w:link w:val="P00"/>
    <w:rsid w:val="00BE0A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0"/>
    <w:uiPriority w:val="99"/>
    <w:rsid w:val="00BE0AB3"/>
    <w:pPr>
      <w:tabs>
        <w:tab w:val="clear" w:pos="624"/>
        <w:tab w:val="clear" w:pos="1021"/>
      </w:tabs>
      <w:ind w:right="1021"/>
    </w:pPr>
  </w:style>
  <w:style w:type="paragraph" w:customStyle="1" w:styleId="ruller43">
    <w:name w:val="ruller43"/>
    <w:basedOn w:val="a"/>
    <w:uiPriority w:val="99"/>
    <w:rsid w:val="00BE0AB3"/>
    <w:pPr>
      <w:bidi w:val="0"/>
      <w:spacing w:before="100" w:beforeAutospacing="1" w:after="100" w:afterAutospacing="1"/>
    </w:pPr>
    <w:rPr>
      <w:rFonts w:cs="Times New Roman"/>
      <w:noProof w:val="0"/>
    </w:rPr>
  </w:style>
  <w:style w:type="paragraph" w:customStyle="1" w:styleId="p001">
    <w:name w:val="p00"/>
    <w:basedOn w:val="a"/>
    <w:uiPriority w:val="99"/>
    <w:rsid w:val="00BE0AB3"/>
    <w:pPr>
      <w:bidi w:val="0"/>
      <w:spacing w:before="100" w:beforeAutospacing="1" w:after="100" w:afterAutospacing="1"/>
    </w:pPr>
    <w:rPr>
      <w:rFonts w:cs="Times New Roman"/>
      <w:noProof w:val="0"/>
    </w:rPr>
  </w:style>
  <w:style w:type="paragraph" w:customStyle="1" w:styleId="p220">
    <w:name w:val="p22"/>
    <w:basedOn w:val="a"/>
    <w:uiPriority w:val="99"/>
    <w:rsid w:val="00BE0AB3"/>
    <w:pPr>
      <w:bidi w:val="0"/>
      <w:spacing w:before="100" w:beforeAutospacing="1" w:after="100" w:afterAutospacing="1"/>
    </w:pPr>
    <w:rPr>
      <w:rFonts w:cs="Times New Roman"/>
      <w:noProof w:val="0"/>
    </w:rPr>
  </w:style>
  <w:style w:type="character" w:customStyle="1" w:styleId="Ruller5">
    <w:name w:val="Ruller5 תו"/>
    <w:basedOn w:val="a0"/>
    <w:link w:val="Ruller50"/>
    <w:locked/>
    <w:rsid w:val="00BE0AB3"/>
    <w:rPr>
      <w:rFonts w:ascii="Arial TUR" w:hAnsi="Arial TUR" w:cs="FrankRuehl"/>
      <w:spacing w:val="10"/>
      <w:szCs w:val="28"/>
    </w:rPr>
  </w:style>
  <w:style w:type="paragraph" w:customStyle="1" w:styleId="Ruller50">
    <w:name w:val="Ruller5"/>
    <w:basedOn w:val="a"/>
    <w:link w:val="Ruller5"/>
    <w:rsid w:val="00BE0AB3"/>
    <w:pPr>
      <w:overflowPunct w:val="0"/>
      <w:autoSpaceDE w:val="0"/>
      <w:autoSpaceDN w:val="0"/>
      <w:adjustRightInd w:val="0"/>
      <w:ind w:left="1642" w:right="1282"/>
      <w:jc w:val="both"/>
    </w:pPr>
    <w:rPr>
      <w:rFonts w:ascii="Arial TUR" w:hAnsi="Arial TUR" w:cs="FrankRuehl"/>
      <w:noProof w:val="0"/>
      <w:spacing w:val="10"/>
      <w:sz w:val="20"/>
      <w:szCs w:val="28"/>
    </w:rPr>
  </w:style>
  <w:style w:type="paragraph" w:customStyle="1" w:styleId="p11">
    <w:name w:val="p11"/>
    <w:basedOn w:val="a"/>
    <w:uiPriority w:val="99"/>
    <w:rsid w:val="00BE0AB3"/>
    <w:pPr>
      <w:bidi w:val="0"/>
      <w:spacing w:before="100" w:beforeAutospacing="1" w:after="100" w:afterAutospacing="1"/>
    </w:pPr>
    <w:rPr>
      <w:rFonts w:cs="Times New Roman"/>
      <w:noProof w:val="0"/>
    </w:rPr>
  </w:style>
  <w:style w:type="paragraph" w:customStyle="1" w:styleId="a00">
    <w:name w:val="a0"/>
    <w:basedOn w:val="a"/>
    <w:uiPriority w:val="99"/>
    <w:rsid w:val="00BE0AB3"/>
    <w:pPr>
      <w:bidi w:val="0"/>
      <w:spacing w:before="100" w:beforeAutospacing="1" w:after="100" w:afterAutospacing="1"/>
    </w:pPr>
    <w:rPr>
      <w:rFonts w:cs="Times New Roman"/>
      <w:noProof w:val="0"/>
    </w:rPr>
  </w:style>
  <w:style w:type="paragraph" w:customStyle="1" w:styleId="af9">
    <w:name w:val="סטנוגרמה"/>
    <w:basedOn w:val="a"/>
    <w:uiPriority w:val="99"/>
    <w:rsid w:val="00BE0AB3"/>
    <w:pPr>
      <w:widowControl w:val="0"/>
      <w:pBdr>
        <w:right w:val="double" w:sz="6" w:space="1" w:color="auto"/>
      </w:pBdr>
      <w:spacing w:line="480" w:lineRule="atLeast"/>
      <w:ind w:left="1701" w:hanging="1701"/>
    </w:pPr>
    <w:rPr>
      <w:noProof w:val="0"/>
      <w:spacing w:val="22"/>
      <w:sz w:val="26"/>
      <w:szCs w:val="26"/>
    </w:rPr>
  </w:style>
  <w:style w:type="paragraph" w:customStyle="1" w:styleId="15">
    <w:name w:val="1"/>
    <w:basedOn w:val="a"/>
    <w:uiPriority w:val="99"/>
    <w:rsid w:val="00BE0AB3"/>
    <w:pPr>
      <w:bidi w:val="0"/>
      <w:spacing w:before="100" w:beforeAutospacing="1" w:after="100" w:afterAutospacing="1"/>
    </w:pPr>
    <w:rPr>
      <w:rFonts w:cs="Times New Roman"/>
      <w:noProof w:val="0"/>
    </w:rPr>
  </w:style>
  <w:style w:type="paragraph" w:customStyle="1" w:styleId="David">
    <w:name w:val="סגנון (עברית ושפות אחרות) David מיושר לשני הצדדים מרווח בין שורות..."/>
    <w:basedOn w:val="a"/>
    <w:uiPriority w:val="99"/>
    <w:rsid w:val="00BE0AB3"/>
    <w:pPr>
      <w:spacing w:line="360" w:lineRule="auto"/>
      <w:jc w:val="both"/>
    </w:pPr>
    <w:rPr>
      <w:noProof w:val="0"/>
    </w:rPr>
  </w:style>
  <w:style w:type="paragraph" w:customStyle="1" w:styleId="listparagraph">
    <w:name w:val="listparagraph"/>
    <w:basedOn w:val="a"/>
    <w:uiPriority w:val="99"/>
    <w:rsid w:val="00BE0AB3"/>
    <w:pPr>
      <w:spacing w:after="160" w:line="252" w:lineRule="auto"/>
      <w:ind w:left="720"/>
    </w:pPr>
    <w:rPr>
      <w:rFonts w:ascii="Calibri" w:hAnsi="Calibri" w:cs="Calibri"/>
      <w:noProof w:val="0"/>
      <w:sz w:val="22"/>
      <w:szCs w:val="22"/>
    </w:rPr>
  </w:style>
  <w:style w:type="paragraph" w:customStyle="1" w:styleId="p33">
    <w:name w:val="p33"/>
    <w:basedOn w:val="a"/>
    <w:uiPriority w:val="99"/>
    <w:rsid w:val="00BE0AB3"/>
    <w:pPr>
      <w:autoSpaceDE w:val="0"/>
      <w:autoSpaceDN w:val="0"/>
      <w:spacing w:before="60"/>
      <w:ind w:left="2835" w:right="1474"/>
      <w:jc w:val="both"/>
    </w:pPr>
    <w:rPr>
      <w:rFonts w:cs="Times New Roman"/>
      <w:noProof w:val="0"/>
      <w:sz w:val="20"/>
      <w:szCs w:val="20"/>
    </w:rPr>
  </w:style>
  <w:style w:type="paragraph" w:customStyle="1" w:styleId="afa">
    <w:name w:val="כללי"/>
    <w:basedOn w:val="a"/>
    <w:uiPriority w:val="99"/>
    <w:rsid w:val="00BE0AB3"/>
    <w:pPr>
      <w:overflowPunct w:val="0"/>
      <w:autoSpaceDE w:val="0"/>
      <w:autoSpaceDN w:val="0"/>
      <w:adjustRightInd w:val="0"/>
      <w:spacing w:after="260" w:line="280" w:lineRule="exact"/>
      <w:ind w:firstLine="284"/>
      <w:jc w:val="both"/>
    </w:pPr>
    <w:rPr>
      <w:rFonts w:cs="FrankRuehl"/>
      <w:noProof w:val="0"/>
      <w:sz w:val="20"/>
      <w:lang w:eastAsia="he-IL"/>
    </w:rPr>
  </w:style>
  <w:style w:type="paragraph" w:customStyle="1" w:styleId="ruller400">
    <w:name w:val="ruller40"/>
    <w:basedOn w:val="a"/>
    <w:uiPriority w:val="99"/>
    <w:rsid w:val="00BE0AB3"/>
    <w:pPr>
      <w:overflowPunct w:val="0"/>
      <w:autoSpaceDE w:val="0"/>
      <w:autoSpaceDN w:val="0"/>
      <w:spacing w:line="360" w:lineRule="auto"/>
      <w:jc w:val="both"/>
    </w:pPr>
    <w:rPr>
      <w:rFonts w:ascii="Garamond" w:hAnsi="Garamond" w:cs="Times New Roman"/>
      <w:noProof w:val="0"/>
      <w:spacing w:val="10"/>
    </w:rPr>
  </w:style>
  <w:style w:type="paragraph" w:customStyle="1" w:styleId="BodyRuller">
    <w:name w:val="Body Ruller"/>
    <w:basedOn w:val="a"/>
    <w:uiPriority w:val="99"/>
    <w:rsid w:val="00BE0AB3"/>
    <w:pPr>
      <w:overflowPunct w:val="0"/>
      <w:autoSpaceDE w:val="0"/>
      <w:autoSpaceDN w:val="0"/>
      <w:adjustRightInd w:val="0"/>
    </w:pPr>
    <w:rPr>
      <w:noProof w:val="0"/>
      <w:sz w:val="22"/>
      <w:szCs w:val="28"/>
    </w:rPr>
  </w:style>
  <w:style w:type="paragraph" w:customStyle="1" w:styleId="afb">
    <w:name w:val="a"/>
    <w:basedOn w:val="a"/>
    <w:uiPriority w:val="99"/>
    <w:rsid w:val="00BE0AB3"/>
    <w:pPr>
      <w:spacing w:line="360" w:lineRule="auto"/>
      <w:jc w:val="both"/>
    </w:pPr>
    <w:rPr>
      <w:rFonts w:cs="Times New Roman"/>
      <w:noProof w:val="0"/>
    </w:rPr>
  </w:style>
  <w:style w:type="paragraph" w:customStyle="1" w:styleId="ruller51">
    <w:name w:val="ruller5"/>
    <w:basedOn w:val="a"/>
    <w:uiPriority w:val="99"/>
    <w:rsid w:val="00BE0AB3"/>
    <w:pPr>
      <w:overflowPunct w:val="0"/>
      <w:autoSpaceDE w:val="0"/>
      <w:autoSpaceDN w:val="0"/>
      <w:ind w:left="1642" w:right="1282"/>
      <w:jc w:val="both"/>
    </w:pPr>
    <w:rPr>
      <w:rFonts w:ascii="Arial TUR" w:hAnsi="Arial TUR" w:cs="Arial TUR"/>
      <w:noProof w:val="0"/>
      <w:spacing w:val="10"/>
      <w:sz w:val="22"/>
      <w:szCs w:val="22"/>
    </w:rPr>
  </w:style>
  <w:style w:type="paragraph" w:customStyle="1" w:styleId="31">
    <w:name w:val="פיסקת רשימה3"/>
    <w:basedOn w:val="a"/>
    <w:uiPriority w:val="99"/>
    <w:rsid w:val="00BE0AB3"/>
    <w:pPr>
      <w:spacing w:after="160" w:line="252" w:lineRule="auto"/>
      <w:ind w:left="720"/>
      <w:contextualSpacing/>
    </w:pPr>
    <w:rPr>
      <w:rFonts w:ascii="Calibri" w:eastAsiaTheme="minorHAnsi" w:hAnsi="Calibri" w:cs="Calibri"/>
      <w:noProof w:val="0"/>
      <w:sz w:val="22"/>
      <w:szCs w:val="22"/>
    </w:rPr>
  </w:style>
  <w:style w:type="character" w:styleId="afc">
    <w:name w:val="footnote reference"/>
    <w:uiPriority w:val="99"/>
    <w:semiHidden/>
    <w:unhideWhenUsed/>
    <w:rsid w:val="00BE0AB3"/>
    <w:rPr>
      <w:vertAlign w:val="superscript"/>
    </w:rPr>
  </w:style>
  <w:style w:type="character" w:customStyle="1" w:styleId="default">
    <w:name w:val="default"/>
    <w:basedOn w:val="a0"/>
    <w:rsid w:val="00BE0AB3"/>
  </w:style>
  <w:style w:type="character" w:customStyle="1" w:styleId="hrfix1">
    <w:name w:val="hrfix1"/>
    <w:basedOn w:val="a0"/>
    <w:rsid w:val="00BE0AB3"/>
    <w:rPr>
      <w:vanish/>
      <w:webHidden w:val="0"/>
      <w:specVanish/>
    </w:rPr>
  </w:style>
  <w:style w:type="character" w:customStyle="1" w:styleId="16">
    <w:name w:val="טקסט מציין מיקום1"/>
    <w:rsid w:val="00BE0AB3"/>
    <w:rPr>
      <w:color w:val="808080"/>
    </w:rPr>
  </w:style>
  <w:style w:type="character" w:customStyle="1" w:styleId="big-number">
    <w:name w:val="big-number"/>
    <w:basedOn w:val="a0"/>
    <w:rsid w:val="00BE0AB3"/>
  </w:style>
  <w:style w:type="character" w:customStyle="1" w:styleId="a10">
    <w:name w:val="a1"/>
    <w:basedOn w:val="a0"/>
    <w:rsid w:val="00BE0AB3"/>
  </w:style>
  <w:style w:type="character" w:customStyle="1" w:styleId="charchar2">
    <w:name w:val="charchar2"/>
    <w:basedOn w:val="a0"/>
    <w:rsid w:val="00BE0AB3"/>
    <w:rPr>
      <w:rFonts w:ascii="Cambria" w:hAnsi="Cambria" w:hint="default"/>
      <w:b/>
      <w:bCs/>
    </w:rPr>
  </w:style>
  <w:style w:type="character" w:customStyle="1" w:styleId="term1">
    <w:name w:val="term_1"/>
    <w:basedOn w:val="a0"/>
    <w:rsid w:val="00BE0AB3"/>
  </w:style>
  <w:style w:type="character" w:customStyle="1" w:styleId="highlight">
    <w:name w:val="highlight"/>
    <w:basedOn w:val="a0"/>
    <w:rsid w:val="00BE0AB3"/>
  </w:style>
  <w:style w:type="character" w:customStyle="1" w:styleId="charchar20">
    <w:name w:val="charchar20"/>
    <w:basedOn w:val="a0"/>
    <w:rsid w:val="00BE0AB3"/>
    <w:rPr>
      <w:rFonts w:ascii="Cambria" w:hAnsi="Cambria" w:hint="default"/>
      <w:b/>
      <w:bCs/>
    </w:rPr>
  </w:style>
  <w:style w:type="table" w:customStyle="1" w:styleId="17">
    <w:name w:val="רשת טבלה1"/>
    <w:basedOn w:val="a1"/>
    <w:rsid w:val="00BE0AB3"/>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14942">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7D4267"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7D4267"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TUR">
    <w:altName w:val="Arial"/>
    <w:charset w:val="00"/>
    <w:family w:val="swiss"/>
    <w:pitch w:val="variable"/>
    <w:sig w:usb0="E0002E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7D4267"/>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7974</Words>
  <Characters>39872</Characters>
  <Application>Microsoft Office Word</Application>
  <DocSecurity>4</DocSecurity>
  <Lines>332</Lines>
  <Paragraphs>95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2022-10-19T15:38:00Z</dcterms:created>
  <dcterms:modified xsi:type="dcterms:W3CDTF">2022-10-19T15:38:00Z</dcterms:modified>
</cp:coreProperties>
</file>