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C5A9" w14:textId="77777777"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14:paraId="40AED049" w14:textId="77777777">
        <w:trPr>
          <w:jc w:val="center"/>
        </w:trPr>
        <w:tc>
          <w:tcPr>
            <w:tcW w:w="743" w:type="dxa"/>
          </w:tcPr>
          <w:p w14:paraId="3B21AB94" w14:textId="77777777"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14:paraId="15C015AC" w14:textId="77777777" w:rsidR="0094424E" w:rsidRPr="00DD05A8" w:rsidRDefault="000529D2" w:rsidP="008E4DBB">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עודד שח</w:t>
                </w:r>
                <w:r w:rsidR="008E4DBB">
                  <w:rPr>
                    <w:rFonts w:ascii="Arial" w:hAnsi="Arial" w:hint="cs"/>
                    <w:b/>
                    <w:bCs/>
                    <w:sz w:val="26"/>
                    <w:szCs w:val="26"/>
                    <w:rtl/>
                  </w:rPr>
                  <w:t>ם</w:t>
                </w:r>
                <w:r w:rsidR="008E4DBB">
                  <w:rPr>
                    <w:rFonts w:ascii="Arial" w:hAnsi="Arial"/>
                    <w:b/>
                    <w:bCs/>
                    <w:sz w:val="26"/>
                    <w:szCs w:val="26"/>
                    <w:rtl/>
                  </w:rPr>
                  <w:br/>
                </w:r>
                <w:r w:rsidR="008E4DBB">
                  <w:rPr>
                    <w:rFonts w:ascii="Arial" w:hAnsi="Arial" w:hint="cs"/>
                    <w:b/>
                    <w:bCs/>
                    <w:sz w:val="26"/>
                    <w:szCs w:val="26"/>
                    <w:rtl/>
                  </w:rPr>
                  <w:t>כבוד השופט אברהם רובין</w:t>
                </w:r>
                <w:r w:rsidR="008E4DBB">
                  <w:rPr>
                    <w:rFonts w:ascii="Arial" w:hAnsi="Arial"/>
                    <w:b/>
                    <w:bCs/>
                    <w:sz w:val="26"/>
                    <w:szCs w:val="26"/>
                    <w:rtl/>
                  </w:rPr>
                  <w:br/>
                </w:r>
                <w:r w:rsidR="008E4DBB">
                  <w:rPr>
                    <w:rFonts w:ascii="Arial" w:hAnsi="Arial" w:hint="cs"/>
                    <w:b/>
                    <w:bCs/>
                    <w:sz w:val="26"/>
                    <w:szCs w:val="26"/>
                    <w:rtl/>
                  </w:rPr>
                  <w:t>כבוד השופט נמרוד פלקס</w:t>
                </w:r>
              </w:sdtContent>
            </w:sdt>
          </w:p>
          <w:p w14:paraId="050C3736" w14:textId="77777777" w:rsidR="0094424E" w:rsidRPr="00DD05A8" w:rsidRDefault="0094424E" w:rsidP="00D44968">
            <w:pPr>
              <w:suppressLineNumbers/>
              <w:rPr>
                <w:rFonts w:ascii="Arial" w:hAnsi="Arial" w:cs="FrankRuehl"/>
                <w:sz w:val="26"/>
                <w:szCs w:val="26"/>
                <w:highlight w:val="yellow"/>
              </w:rPr>
            </w:pPr>
          </w:p>
        </w:tc>
      </w:tr>
      <w:tr w:rsidR="0094424E" w14:paraId="43D0FC30" w14:textId="77777777" w:rsidTr="00465D36">
        <w:trPr>
          <w:jc w:val="center"/>
        </w:trPr>
        <w:tc>
          <w:tcPr>
            <w:tcW w:w="3249" w:type="dxa"/>
            <w:gridSpan w:val="2"/>
          </w:tcPr>
          <w:p w14:paraId="0D7946CE" w14:textId="77777777"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14:paraId="009E0EDA" w14:textId="77777777" w:rsidR="0041789E" w:rsidRDefault="00B404B8">
                <w:pPr>
                  <w:suppressLineNumbers/>
                  <w:rPr>
                    <w:rFonts w:ascii="Arial" w:hAnsi="Arial"/>
                    <w:b/>
                    <w:bCs/>
                    <w:noProof w:val="0"/>
                    <w:sz w:val="26"/>
                    <w:szCs w:val="26"/>
                    <w:rtl/>
                  </w:rPr>
                </w:pPr>
                <w:r>
                  <w:rPr>
                    <w:rFonts w:ascii="Arial" w:hAnsi="Arial"/>
                    <w:b/>
                    <w:bCs/>
                    <w:noProof w:val="0"/>
                    <w:sz w:val="26"/>
                    <w:szCs w:val="26"/>
                    <w:rtl/>
                  </w:rPr>
                  <w:t>מערער</w:t>
                </w:r>
                <w:r>
                  <w:rPr>
                    <w:rFonts w:ascii="Arial" w:hAnsi="Arial" w:hint="cs"/>
                    <w:b/>
                    <w:bCs/>
                    <w:noProof w:val="0"/>
                    <w:sz w:val="26"/>
                    <w:szCs w:val="26"/>
                    <w:rtl/>
                  </w:rPr>
                  <w:t>ת</w:t>
                </w:r>
              </w:p>
            </w:sdtContent>
          </w:sdt>
        </w:tc>
        <w:tc>
          <w:tcPr>
            <w:tcW w:w="5571" w:type="dxa"/>
          </w:tcPr>
          <w:p w14:paraId="4AAC75A5" w14:textId="77777777" w:rsidR="0094424E" w:rsidRDefault="0094424E" w:rsidP="00D44968">
            <w:pPr>
              <w:suppressLineNumbers/>
              <w:rPr>
                <w:rFonts w:ascii="Arial" w:hAnsi="Arial"/>
                <w:b/>
                <w:bCs/>
                <w:noProof w:val="0"/>
                <w:sz w:val="26"/>
                <w:szCs w:val="26"/>
                <w:rtl/>
              </w:rPr>
            </w:pPr>
          </w:p>
          <w:p w14:paraId="552A1A7A" w14:textId="77777777" w:rsidR="0094424E" w:rsidRDefault="007C2453" w:rsidP="007C2453">
            <w:pPr>
              <w:suppressLineNumbers/>
              <w:rPr>
                <w:b/>
                <w:bCs/>
                <w:noProof w:val="0"/>
                <w:sz w:val="26"/>
                <w:szCs w:val="26"/>
                <w:rtl/>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404B8">
                  <w:rPr>
                    <w:rFonts w:ascii="Arial" w:hAnsi="Arial" w:hint="cs"/>
                    <w:b/>
                    <w:bCs/>
                    <w:noProof w:val="0"/>
                    <w:sz w:val="26"/>
                    <w:szCs w:val="26"/>
                    <w:rtl/>
                  </w:rPr>
                  <w:t>פלונית</w:t>
                </w:r>
              </w:sdtContent>
            </w:sdt>
            <w:r w:rsidR="00B859C5">
              <w:rPr>
                <w:rFonts w:hint="cs"/>
                <w:rtl/>
              </w:rPr>
              <w:t xml:space="preserve"> </w:t>
            </w:r>
          </w:p>
          <w:p w14:paraId="4B468FF7" w14:textId="77777777" w:rsidR="008E4DBB" w:rsidRDefault="008E4DBB" w:rsidP="007C2453">
            <w:pPr>
              <w:suppressLineNumbers/>
              <w:rPr>
                <w:b/>
                <w:bCs/>
                <w:noProof w:val="0"/>
                <w:sz w:val="26"/>
                <w:szCs w:val="26"/>
                <w:rtl/>
              </w:rPr>
            </w:pPr>
          </w:p>
          <w:p w14:paraId="6D0DC1CE" w14:textId="77777777" w:rsidR="008E4DBB" w:rsidRDefault="008E4DBB" w:rsidP="007C2453">
            <w:pPr>
              <w:suppressLineNumbers/>
              <w:rPr>
                <w:b/>
                <w:bCs/>
                <w:noProof w:val="0"/>
                <w:sz w:val="26"/>
                <w:szCs w:val="26"/>
              </w:rPr>
            </w:pPr>
            <w:r>
              <w:rPr>
                <w:rFonts w:hint="cs"/>
                <w:b/>
                <w:bCs/>
                <w:noProof w:val="0"/>
                <w:sz w:val="26"/>
                <w:szCs w:val="26"/>
                <w:rtl/>
              </w:rPr>
              <w:t>על ידי ש' מור, עו"ד</w:t>
            </w:r>
          </w:p>
        </w:tc>
      </w:tr>
      <w:tr w:rsidR="0094424E" w14:paraId="1A2817E1" w14:textId="77777777">
        <w:trPr>
          <w:jc w:val="center"/>
        </w:trPr>
        <w:tc>
          <w:tcPr>
            <w:tcW w:w="8820" w:type="dxa"/>
            <w:gridSpan w:val="3"/>
          </w:tcPr>
          <w:p w14:paraId="43679D1F" w14:textId="77777777" w:rsidR="0094424E" w:rsidRDefault="0094424E" w:rsidP="00D44968">
            <w:pPr>
              <w:suppressLineNumbers/>
              <w:rPr>
                <w:rFonts w:ascii="Arial" w:hAnsi="Arial"/>
                <w:b/>
                <w:bCs/>
                <w:noProof w:val="0"/>
                <w:sz w:val="26"/>
                <w:szCs w:val="26"/>
                <w:rtl/>
              </w:rPr>
            </w:pPr>
          </w:p>
          <w:p w14:paraId="79038660" w14:textId="77777777"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14:paraId="17470218" w14:textId="77777777" w:rsidR="0094424E" w:rsidRDefault="0094424E" w:rsidP="00D44968">
            <w:pPr>
              <w:suppressLineNumbers/>
              <w:rPr>
                <w:rFonts w:ascii="Arial" w:hAnsi="Arial"/>
                <w:b/>
                <w:bCs/>
                <w:noProof w:val="0"/>
                <w:sz w:val="26"/>
                <w:szCs w:val="26"/>
              </w:rPr>
            </w:pPr>
          </w:p>
        </w:tc>
      </w:tr>
      <w:tr w:rsidR="0094424E" w14:paraId="45DF6795" w14:textId="77777777" w:rsidTr="009E461A">
        <w:trPr>
          <w:jc w:val="center"/>
        </w:trPr>
        <w:tc>
          <w:tcPr>
            <w:tcW w:w="3249" w:type="dxa"/>
            <w:gridSpan w:val="2"/>
          </w:tcPr>
          <w:p w14:paraId="0F28DF51" w14:textId="77777777" w:rsidR="0094424E" w:rsidRDefault="002B50A3" w:rsidP="009E461A">
            <w:pPr>
              <w:suppressLineNumbers/>
              <w:rPr>
                <w:rFonts w:ascii="Arial" w:hAnsi="Arial"/>
                <w:b/>
                <w:bCs/>
                <w:noProof w:val="0"/>
                <w:sz w:val="26"/>
                <w:szCs w:val="26"/>
              </w:rPr>
            </w:pPr>
            <w:sdt>
              <w:sdtPr>
                <w:rPr>
                  <w:rtl/>
                </w:rPr>
                <w:alias w:val="1184"/>
                <w:tag w:val="1184"/>
                <w:id w:val="-340621022"/>
                <w:text w:multiLine="1"/>
              </w:sdtPr>
              <w:sdtEndPr/>
              <w:sdtContent>
                <w:r w:rsidR="00B404B8">
                  <w:rPr>
                    <w:rFonts w:ascii="Arial" w:hAnsi="Arial"/>
                    <w:b/>
                    <w:bCs/>
                    <w:noProof w:val="0"/>
                    <w:sz w:val="26"/>
                    <w:szCs w:val="26"/>
                    <w:rtl/>
                  </w:rPr>
                  <w:t>משיב</w:t>
                </w:r>
              </w:sdtContent>
            </w:sdt>
          </w:p>
        </w:tc>
        <w:tc>
          <w:tcPr>
            <w:tcW w:w="5571" w:type="dxa"/>
          </w:tcPr>
          <w:p w14:paraId="2E0BF254" w14:textId="77777777" w:rsidR="00CF6BB7" w:rsidRDefault="00B404B8" w:rsidP="00B404B8">
            <w:pPr>
              <w:suppressLineNumbers/>
              <w:rPr>
                <w:rFonts w:ascii="Arial" w:hAnsi="Arial"/>
                <w:b/>
                <w:bCs/>
                <w:noProof w:val="0"/>
                <w:sz w:val="26"/>
                <w:szCs w:val="26"/>
                <w:rtl/>
              </w:rPr>
            </w:pPr>
            <w:r>
              <w:rPr>
                <w:rFonts w:ascii="Arial" w:hAnsi="Arial" w:hint="cs"/>
                <w:b/>
                <w:bCs/>
                <w:noProof w:val="0"/>
                <w:sz w:val="26"/>
                <w:szCs w:val="26"/>
                <w:rtl/>
              </w:rPr>
              <w:t>פלוני</w:t>
            </w:r>
          </w:p>
          <w:p w14:paraId="1B5C5A6F" w14:textId="77777777" w:rsidR="008E4DBB" w:rsidRDefault="008E4DBB" w:rsidP="00B404B8">
            <w:pPr>
              <w:suppressLineNumbers/>
              <w:rPr>
                <w:rFonts w:ascii="Arial" w:hAnsi="Arial"/>
                <w:b/>
                <w:bCs/>
                <w:noProof w:val="0"/>
                <w:sz w:val="26"/>
                <w:szCs w:val="26"/>
                <w:rtl/>
              </w:rPr>
            </w:pPr>
          </w:p>
          <w:p w14:paraId="4106069A" w14:textId="77777777" w:rsidR="008E4DBB" w:rsidRDefault="008E4DBB" w:rsidP="00B404B8">
            <w:pPr>
              <w:suppressLineNumbers/>
              <w:rPr>
                <w:rFonts w:ascii="Arial" w:hAnsi="Arial"/>
                <w:b/>
                <w:bCs/>
                <w:noProof w:val="0"/>
                <w:sz w:val="26"/>
                <w:szCs w:val="26"/>
                <w:rtl/>
              </w:rPr>
            </w:pPr>
            <w:r>
              <w:rPr>
                <w:rFonts w:ascii="Arial" w:hAnsi="Arial" w:hint="cs"/>
                <w:b/>
                <w:bCs/>
                <w:noProof w:val="0"/>
                <w:sz w:val="26"/>
                <w:szCs w:val="26"/>
                <w:rtl/>
              </w:rPr>
              <w:t xml:space="preserve">על ידי א' עטרי, עו"ד, וס' </w:t>
            </w:r>
            <w:proofErr w:type="spellStart"/>
            <w:r>
              <w:rPr>
                <w:rFonts w:ascii="Arial" w:hAnsi="Arial" w:hint="cs"/>
                <w:b/>
                <w:bCs/>
                <w:noProof w:val="0"/>
                <w:sz w:val="26"/>
                <w:szCs w:val="26"/>
                <w:rtl/>
              </w:rPr>
              <w:t>דונכין</w:t>
            </w:r>
            <w:proofErr w:type="spellEnd"/>
            <w:r>
              <w:rPr>
                <w:rFonts w:ascii="Arial" w:hAnsi="Arial" w:hint="cs"/>
                <w:b/>
                <w:bCs/>
                <w:noProof w:val="0"/>
                <w:sz w:val="26"/>
                <w:szCs w:val="26"/>
                <w:rtl/>
              </w:rPr>
              <w:t>, עו"ד</w:t>
            </w:r>
          </w:p>
          <w:p w14:paraId="1F381737" w14:textId="77777777" w:rsidR="00B404B8" w:rsidRPr="009E461A" w:rsidRDefault="00B404B8" w:rsidP="00B404B8">
            <w:pPr>
              <w:suppressLineNumbers/>
              <w:rPr>
                <w:rtl/>
              </w:rPr>
            </w:pPr>
          </w:p>
        </w:tc>
      </w:tr>
      <w:tr w:rsidR="00694556" w:rsidRPr="00DE1E7D" w14:paraId="23F558CC" w14:textId="77777777">
        <w:trPr>
          <w:jc w:val="center"/>
        </w:trPr>
        <w:tc>
          <w:tcPr>
            <w:tcW w:w="8820" w:type="dxa"/>
            <w:gridSpan w:val="3"/>
          </w:tcPr>
          <w:p w14:paraId="2695875D" w14:textId="77777777" w:rsidR="00B404B8" w:rsidRDefault="00B404B8">
            <w:pPr>
              <w:bidi w:val="0"/>
              <w:jc w:val="center"/>
              <w:rPr>
                <w:rFonts w:ascii="Arial" w:hAnsi="Arial"/>
                <w:b/>
                <w:bCs/>
                <w:noProof w:val="0"/>
                <w:sz w:val="28"/>
                <w:szCs w:val="28"/>
                <w:u w:val="single"/>
                <w:rtl/>
              </w:rPr>
            </w:pPr>
          </w:p>
          <w:p w14:paraId="5176B228" w14:textId="77777777" w:rsidR="00694556" w:rsidRDefault="003E38C7" w:rsidP="00B404B8">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14:paraId="519D8B49" w14:textId="77777777" w:rsidR="00D44968" w:rsidRPr="00D44968" w:rsidRDefault="00D44968" w:rsidP="00D44968">
            <w:pPr>
              <w:bidi w:val="0"/>
              <w:jc w:val="center"/>
              <w:rPr>
                <w:rFonts w:ascii="Arial" w:hAnsi="Arial"/>
                <w:b/>
                <w:bCs/>
                <w:noProof w:val="0"/>
                <w:sz w:val="28"/>
                <w:szCs w:val="28"/>
                <w:u w:val="single"/>
              </w:rPr>
            </w:pPr>
          </w:p>
        </w:tc>
      </w:tr>
    </w:tbl>
    <w:p w14:paraId="165C4575" w14:textId="77777777" w:rsidR="00694556" w:rsidRPr="00C770E3" w:rsidRDefault="00694556">
      <w:pPr>
        <w:spacing w:line="360" w:lineRule="auto"/>
        <w:jc w:val="both"/>
        <w:rPr>
          <w:rFonts w:ascii="Arial" w:hAnsi="Arial"/>
          <w:noProof w:val="0"/>
          <w:rtl/>
        </w:rPr>
      </w:pPr>
      <w:bookmarkStart w:id="0" w:name="NGCSBookmark"/>
      <w:bookmarkEnd w:id="0"/>
    </w:p>
    <w:p w14:paraId="6CE14795"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14:ligatures w14:val="standardContextual"/>
        </w:rPr>
      </w:pPr>
      <w:r w:rsidRPr="00B404B8">
        <w:rPr>
          <w:rFonts w:ascii="FrankRuehl" w:hAnsi="FrankRuehl" w:cs="FrankRuehl"/>
          <w:noProof w:val="0"/>
          <w:spacing w:val="10"/>
          <w:kern w:val="2"/>
          <w:sz w:val="28"/>
          <w:szCs w:val="28"/>
          <w:rtl/>
          <w14:ligatures w14:val="standardContextual"/>
        </w:rPr>
        <w:t>בפנינו ערעור אזרחי.</w:t>
      </w:r>
    </w:p>
    <w:p w14:paraId="1984142B"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14:ligatures w14:val="standardContextual"/>
        </w:rPr>
      </w:pPr>
    </w:p>
    <w:p w14:paraId="7B0684F8"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1</w:t>
      </w:r>
      <w:r w:rsidRPr="00B404B8">
        <w:rPr>
          <w:rFonts w:ascii="FrankRuehl" w:hAnsi="FrankRuehl" w:cs="FrankRuehl"/>
          <w:noProof w:val="0"/>
          <w:spacing w:val="10"/>
          <w:kern w:val="2"/>
          <w:sz w:val="28"/>
          <w:szCs w:val="28"/>
          <w:rtl/>
          <w14:ligatures w14:val="standardContextual"/>
        </w:rPr>
        <w:t>. הערעור מופנה נגד פסק דינו של בית משפט השלום בירושלים (כבוד השופטת ק' מילר) בת"א 15109-03-21. פסק הדין ניתן ביום 16.1.25. בפסק הדין נדחתה תביעה לפיצויים שהגישה המערערת נגד המשיב. לאחר שנתנו דעתנו לטענות הצדדים, על רקע החומר שבפנינו, החלטנו לדחות את הערעור. נעמוד עתה על הטעמים ביסוד מסקנה זו.</w:t>
      </w:r>
    </w:p>
    <w:p w14:paraId="442805A5"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4E6D65FB"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2</w:t>
      </w:r>
      <w:r w:rsidRPr="00B404B8">
        <w:rPr>
          <w:rFonts w:ascii="FrankRuehl" w:hAnsi="FrankRuehl" w:cs="FrankRuehl"/>
          <w:noProof w:val="0"/>
          <w:spacing w:val="10"/>
          <w:kern w:val="2"/>
          <w:sz w:val="28"/>
          <w:szCs w:val="28"/>
          <w:rtl/>
          <w14:ligatures w14:val="standardContextual"/>
        </w:rPr>
        <w:t>. האירועים מושא ההליך התרחשו בלילה שבין 31.10.13 – 1.11.13. באותה עת המערערת, ילידת 1996, הייתה כבת 17. המשיב היה חייל בשירות סדיר, כבן 18 באותה עת. מן החומר עולה כי השניים הכירו בנסיעה משותפת באוטובוס. לאחר שהתכתבו במשך כשבועיים נפגשו. אין מחלוקת כי במהלך המפגש התקיימו מספר אקטים מיניים בין השניים, כמתואר בתביעה, בתצהירים ובעדויות. טענת המערערת הייתה כי האקטים האמורים היו שלא בהסכמתה, ומכאן התביעה שהגישה. בית משפט קמא האמין לגרעין עדותה של המערערת. עם זאת, קבע כי אף שהמערערת, בתוך תוכה, לא הסכימה למעשים, המשיב לא ידע, ואף לא היה צריך לדעת על כך. בנסיבות אלה, נדחתה התביעה. מכאן הערעור שבפנינו.</w:t>
      </w:r>
    </w:p>
    <w:p w14:paraId="55EE1C42"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2ABEF428"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3</w:t>
      </w:r>
      <w:r w:rsidRPr="00B404B8">
        <w:rPr>
          <w:rFonts w:ascii="FrankRuehl" w:hAnsi="FrankRuehl" w:cs="FrankRuehl"/>
          <w:noProof w:val="0"/>
          <w:spacing w:val="10"/>
          <w:kern w:val="2"/>
          <w:sz w:val="28"/>
          <w:szCs w:val="28"/>
          <w:rtl/>
          <w14:ligatures w14:val="standardContextual"/>
        </w:rPr>
        <w:t xml:space="preserve">. המערערת טוענת כי בית משפט קמא החיל על עניינה רף הוכחה מחמיר, השקול לרף הפלילי. בטענה זו אין ממש. בית משפט קמא הפנה לפסיקה הרלוונטית, אשר על יסודה קבע כי רף ההוכחה החל על העניין הוא הוכחה במאזן הסתברויות, כאשר כמות וטיב הראיות הנדרשות נגזרים מחומרתן המשמעותית של טענות המערערת. בקביעה זו לא נפל כל פגם. היא תואמת את פסיקת בית המשפט העליון, אליה מפנה גם המערערת. ממילא אין בעניין זה עילה להתערבותנו. </w:t>
      </w:r>
    </w:p>
    <w:p w14:paraId="7AA976BF"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523D83E2"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4</w:t>
      </w:r>
      <w:r w:rsidRPr="00B404B8">
        <w:rPr>
          <w:rFonts w:ascii="FrankRuehl" w:hAnsi="FrankRuehl" w:cs="FrankRuehl"/>
          <w:noProof w:val="0"/>
          <w:spacing w:val="10"/>
          <w:kern w:val="2"/>
          <w:sz w:val="28"/>
          <w:szCs w:val="28"/>
          <w:rtl/>
          <w14:ligatures w14:val="standardContextual"/>
        </w:rPr>
        <w:t>. המערערת טוענת כי בית משפט קמא שגה כאשר הפנה מבטו באופן בלעדי לראיות הנוגעות להתנהלות המערערת יומיים לאחר האירוע, במקום להתמקד בתשתית שהונחה בפניו לגבי יום האירוע. אף בטענה זו אין ממש. בפסק הדין דן בית המשפט בראיות הנוגעות ליום המקרה. מקובל עלינו כי ראיות אלה הן המצויות במוקד הדיון. מקובל עלינו גם, לאחר צפייה בסרטונים שהוצגו לעיוננו, כי הראיות הנוגעות להתנהלות יומיים אחר כך אינן בעלות משקל מכריע. אין בכך כדי להוביל לקבלת גרסתה של המערערת לגבי השתלשלות הדברים ביום האירוע. בית משפט קמא, אשר התרשם באופן בלתי אמצעי מן העדויות, סבר כי סימני שאלה שונים, המפורטים בהכרעתו, אינם מאפשרים לקבל את גרסתה של המערערת במלואה. המערערת אינה מפנה לראיות קונקרטיות, העשויות לספק נקודת אחיזה ממשית אשר תאפשר להעדיף את גרסתה לפיה ביקשה מן המשיב להפסיק את מעשיו, והביעה לכל אורך האירוע אי רצון במגע מיני עם המערער, על פני גרסת המשיב אשר הכחיש כי כך היה. בתוך כך, טענותיה העובדתיות של המערערת בערעורה הועלו באופן כוללני. לא למותר להעיר, כי בית משפט קמא ראה לקבל את גרסת המשיב. ב</w:t>
      </w:r>
      <w:r>
        <w:rPr>
          <w:rFonts w:ascii="FrankRuehl" w:hAnsi="FrankRuehl" w:cs="FrankRuehl" w:hint="cs"/>
          <w:noProof w:val="0"/>
          <w:spacing w:val="10"/>
          <w:kern w:val="2"/>
          <w:sz w:val="28"/>
          <w:szCs w:val="28"/>
          <w:rtl/>
          <w14:ligatures w14:val="standardContextual"/>
        </w:rPr>
        <w:t xml:space="preserve">מכלול </w:t>
      </w:r>
      <w:r w:rsidRPr="00B404B8">
        <w:rPr>
          <w:rFonts w:ascii="FrankRuehl" w:hAnsi="FrankRuehl" w:cs="FrankRuehl"/>
          <w:noProof w:val="0"/>
          <w:spacing w:val="10"/>
          <w:kern w:val="2"/>
          <w:sz w:val="28"/>
          <w:szCs w:val="28"/>
          <w:rtl/>
          <w14:ligatures w14:val="standardContextual"/>
        </w:rPr>
        <w:t xml:space="preserve">נסיבות אלה לא מצאנו עילה להתערב בקביעות העובדתיות של בית משפט קמא. </w:t>
      </w:r>
    </w:p>
    <w:p w14:paraId="1CF950BE"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239B421F"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5</w:t>
      </w:r>
      <w:r w:rsidRPr="00B404B8">
        <w:rPr>
          <w:rFonts w:ascii="FrankRuehl" w:hAnsi="FrankRuehl" w:cs="FrankRuehl"/>
          <w:noProof w:val="0"/>
          <w:spacing w:val="10"/>
          <w:kern w:val="2"/>
          <w:sz w:val="28"/>
          <w:szCs w:val="28"/>
          <w:rtl/>
          <w14:ligatures w14:val="standardContextual"/>
        </w:rPr>
        <w:t xml:space="preserve">. המערערת טוענת כי בית משפט קמא התעלם מחוות דעת המומחית מטעם בית המשפט. מעיון בפסק הדין עולה כי טענה זו אינה נכונה. בית משפט קמא נדרש לחוות הדעת, ואף קבע כי התנהגותה של המערערת, באירוע שהתרחש יומיים לאחר מועד האירועים מושא כתב התביעה ניתנת לפרשנויות שונות וניתן ליישב אותה גם עם אירוע אונס שהתרחש קודם לכן (ראו פסקה 54 ואילך לפסק הדין). בה בעת, כאמור, דחה את גרסתה, מטעמים שפורטו ואשר עימם אין המערערת מתמודדת באופן משמעותי. לא למותר לציין, כי חוות הדעת שהוגשו יכולות להצביע על מצבה הנפשי של המערערת, אך אינן יכולות לקבוע מסמרות בשאלה מה התרחש באירועים שבמחלוקת. </w:t>
      </w:r>
    </w:p>
    <w:p w14:paraId="1644627A"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5882932C"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6</w:t>
      </w:r>
      <w:r w:rsidRPr="00B404B8">
        <w:rPr>
          <w:rFonts w:ascii="FrankRuehl" w:hAnsi="FrankRuehl" w:cs="FrankRuehl"/>
          <w:noProof w:val="0"/>
          <w:spacing w:val="10"/>
          <w:kern w:val="2"/>
          <w:sz w:val="28"/>
          <w:szCs w:val="28"/>
          <w:rtl/>
          <w14:ligatures w14:val="standardContextual"/>
        </w:rPr>
        <w:t>. המערערת מפנה בערעורה לספרות, שלטענתה הוגשה בבית משפט קמא. לטענת המערערת, ספרות זו מלמדת על השפעה משמעותית שיש לתקיפות מיניות על יכולת ההשתכרות העתידית של נפגעי העבירה. היא מפנה בטיעוניה גם למחקר המלמד, לטענתה, על קשר בין מצב טראומטי, לבין קיצור תוחלת חיים. בלא שאנו קובעים מסמרות לגופן של טענות אלה, מאליו מובן כי אין בהן כדי להשפיע על ההכרעה במחלוקת העובדתית אודות האירועים מושא כתב התביעה.</w:t>
      </w:r>
    </w:p>
    <w:p w14:paraId="2454E94F"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68874BDF"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7</w:t>
      </w:r>
      <w:r w:rsidRPr="00B404B8">
        <w:rPr>
          <w:rFonts w:ascii="FrankRuehl" w:hAnsi="FrankRuehl" w:cs="FrankRuehl"/>
          <w:noProof w:val="0"/>
          <w:spacing w:val="10"/>
          <w:kern w:val="2"/>
          <w:sz w:val="28"/>
          <w:szCs w:val="28"/>
          <w:rtl/>
          <w14:ligatures w14:val="standardContextual"/>
        </w:rPr>
        <w:t>. המערערת טוענת כי בית משפט קמא התעלם ממאמרים וספרות, המחייבים שימוש בכלי העבודה הראייתיים, המתאימים למטריה הייחודית של תביעות בגין פגיעות מין. אף בטענה זו אין ממש, וראו את הדיון המפורט בפסקאות 17 עד 19 בפסק דינו של בית משפט קמא.</w:t>
      </w:r>
    </w:p>
    <w:p w14:paraId="2976917D"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44B83C54"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8</w:t>
      </w:r>
      <w:r w:rsidRPr="00B404B8">
        <w:rPr>
          <w:rFonts w:ascii="FrankRuehl" w:hAnsi="FrankRuehl" w:cs="FrankRuehl"/>
          <w:noProof w:val="0"/>
          <w:spacing w:val="10"/>
          <w:kern w:val="2"/>
          <w:sz w:val="28"/>
          <w:szCs w:val="28"/>
          <w:rtl/>
          <w14:ligatures w14:val="standardContextual"/>
        </w:rPr>
        <w:t xml:space="preserve">. המערערת טוענת כי המשיב היה באירוע האמור תחת השפעת אלכוהול. לטענה זו יש אחיזה מסוימת בחומר ( ראו הודעת המערער במשטרה, שורה 48; ראו גם הודעת ד' פ' במשטרה, 5.11.13, שורות 10 – 11; בעדות המערער בבית המשפט עלה כי לא שתה אלכוהול באירוע, כי אם רד בול, וזאת נוכח עייפותו (ראו בעמוד 234 ואילך לעדותו)). בית משפט קמא לא קבע ממצא בנקודה זו. נוכח אי ההתאמה בעדויות, ובמצב בו לא הוצג  למשיב בחקירתו הנגדית החלק הרלוונטי בהודעתו במשטרה, אף אנו לא נקבע ממצא. הן עדות המערער, והן עדות המשיבה אודות האירועים שבמחלוקת, אינם מלמדים בכל מקרה כי המערער היה שתוי, או כי התנהגותו הושפעה בדרך ניכרת לעין מצריכת אלכוהול. </w:t>
      </w:r>
    </w:p>
    <w:p w14:paraId="6AEF4D23"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796F23C2"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9</w:t>
      </w:r>
      <w:r w:rsidRPr="00B404B8">
        <w:rPr>
          <w:rFonts w:ascii="FrankRuehl" w:hAnsi="FrankRuehl" w:cs="FrankRuehl"/>
          <w:noProof w:val="0"/>
          <w:spacing w:val="10"/>
          <w:kern w:val="2"/>
          <w:sz w:val="28"/>
          <w:szCs w:val="28"/>
          <w:rtl/>
          <w14:ligatures w14:val="standardContextual"/>
        </w:rPr>
        <w:t>. המערערת מפנה לפסיקה לפיה קורבנות תקיפה מינית לא תמיד מסוגלים להביע התנגדות חיצונית מפורשת. בטענה זו יש ממש. עם זאת, אין היא  מלמדת על פגם בקביעת בית משפט קמא, כי המשיב לא ידע, ולא היה יכול לדעת, על אי הסכמה של המערערת, בין היתר נוכח שיתוף הפעולה הגלוי שלה באקטים שונים, הכול כמתואר בהרחבה בפסק הדין.</w:t>
      </w:r>
    </w:p>
    <w:p w14:paraId="37BBC6FB"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39CD6E9D"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10</w:t>
      </w:r>
      <w:r w:rsidRPr="00B404B8">
        <w:rPr>
          <w:rFonts w:ascii="FrankRuehl" w:hAnsi="FrankRuehl" w:cs="FrankRuehl"/>
          <w:noProof w:val="0"/>
          <w:spacing w:val="10"/>
          <w:kern w:val="2"/>
          <w:sz w:val="28"/>
          <w:szCs w:val="28"/>
          <w:rtl/>
          <w14:ligatures w14:val="standardContextual"/>
        </w:rPr>
        <w:t>. המערערת טוענת בערעורה. כי היא אמרה למשיב באירוע כי היא בתולה, ואינה רוצה לקיים יחסי מין ולאבד את בתוליה. דא עקא, גרסה זו בדבר אמירה של המערערת כי אינה רוצה ביחסי מין, לא התקבלה על ידי בית משפט קמא והוכחשה על ידי המשיב. אין בידינו להעדיף, בנקודה זו, את גרסתה של המערערת.</w:t>
      </w:r>
    </w:p>
    <w:p w14:paraId="1919584D"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7C5D3E96"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11</w:t>
      </w:r>
      <w:r w:rsidRPr="00B404B8">
        <w:rPr>
          <w:rFonts w:ascii="FrankRuehl" w:hAnsi="FrankRuehl" w:cs="FrankRuehl"/>
          <w:noProof w:val="0"/>
          <w:spacing w:val="10"/>
          <w:kern w:val="2"/>
          <w:sz w:val="28"/>
          <w:szCs w:val="28"/>
          <w:rtl/>
          <w14:ligatures w14:val="standardContextual"/>
        </w:rPr>
        <w:t xml:space="preserve">. בסיכומם של דברים, מדובר בתיק שבו קיימות אינדיקציות. העשויות לתמוך בטענותיה של המערערת (ראו פסקאות 47 עד 49 לפסק הדין), וכנגדן אינדיקציות המקשות על קבלת גרסתה. בראיית המכלול, המסקנה אליה הגיע בית משפט קמא מעוגנת בתשתית שעמדה בפניו. אין בערעור טענה של ממש ביחס לתשתית זו, העשויה להביא להתערבות במסקנה האמורה. </w:t>
      </w:r>
    </w:p>
    <w:p w14:paraId="2036FEAC"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78D4E1D3"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12</w:t>
      </w:r>
      <w:r w:rsidRPr="00B404B8">
        <w:rPr>
          <w:rFonts w:ascii="FrankRuehl" w:hAnsi="FrankRuehl" w:cs="FrankRuehl"/>
          <w:noProof w:val="0"/>
          <w:spacing w:val="10"/>
          <w:kern w:val="2"/>
          <w:sz w:val="28"/>
          <w:szCs w:val="28"/>
          <w:rtl/>
          <w14:ligatures w14:val="standardContextual"/>
        </w:rPr>
        <w:t xml:space="preserve">. אכן, במישור האנושי, התוצאה לפיה התביעה נדחית, אף כי נקבע כי בתוך תוכה המערערת לא הסכימה למעשים, אינה תוצאה קלה. ברם, במישור המשפטי, אין בכך כדי לשנות מן התוצאה אליה הגיע בית משפט קמא, נוכח התשתית הראייתית המורכבת שעמדה בפניו. </w:t>
      </w:r>
    </w:p>
    <w:p w14:paraId="19E85796"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p>
    <w:p w14:paraId="0174D9C2" w14:textId="77777777" w:rsidR="00B404B8" w:rsidRPr="00B404B8" w:rsidRDefault="00B404B8" w:rsidP="008E4DBB">
      <w:pPr>
        <w:tabs>
          <w:tab w:val="left" w:pos="800"/>
        </w:tabs>
        <w:overflowPunct w:val="0"/>
        <w:autoSpaceDE w:val="0"/>
        <w:autoSpaceDN w:val="0"/>
        <w:adjustRightInd w:val="0"/>
        <w:spacing w:line="348" w:lineRule="auto"/>
        <w:jc w:val="both"/>
        <w:rPr>
          <w:rFonts w:ascii="FrankRuehl" w:hAnsi="FrankRuehl" w:cs="FrankRuehl"/>
          <w:noProof w:val="0"/>
          <w:spacing w:val="10"/>
          <w:kern w:val="2"/>
          <w:sz w:val="28"/>
          <w:szCs w:val="28"/>
          <w:rtl/>
          <w14:ligatures w14:val="standardContextual"/>
        </w:rPr>
      </w:pPr>
      <w:r>
        <w:rPr>
          <w:rFonts w:ascii="FrankRuehl" w:hAnsi="FrankRuehl" w:cs="FrankRuehl" w:hint="cs"/>
          <w:noProof w:val="0"/>
          <w:spacing w:val="10"/>
          <w:kern w:val="2"/>
          <w:sz w:val="28"/>
          <w:szCs w:val="28"/>
          <w:rtl/>
          <w14:ligatures w14:val="standardContextual"/>
        </w:rPr>
        <w:t>13</w:t>
      </w:r>
      <w:r w:rsidRPr="00B404B8">
        <w:rPr>
          <w:rFonts w:ascii="FrankRuehl" w:hAnsi="FrankRuehl" w:cs="FrankRuehl"/>
          <w:noProof w:val="0"/>
          <w:spacing w:val="10"/>
          <w:kern w:val="2"/>
          <w:sz w:val="28"/>
          <w:szCs w:val="28"/>
          <w:rtl/>
          <w14:ligatures w14:val="standardContextual"/>
        </w:rPr>
        <w:t xml:space="preserve">. הערעור נדחה. בנסיבות העניין, אין צו להוצאות. העירבון שהופקד יושב למערערת באמצעות ב"כ. </w:t>
      </w:r>
      <w:r>
        <w:rPr>
          <w:rFonts w:ascii="FrankRuehl" w:hAnsi="FrankRuehl" w:cs="FrankRuehl" w:hint="cs"/>
          <w:noProof w:val="0"/>
          <w:spacing w:val="10"/>
          <w:kern w:val="2"/>
          <w:sz w:val="28"/>
          <w:szCs w:val="28"/>
          <w:rtl/>
          <w14:ligatures w14:val="standardContextual"/>
        </w:rPr>
        <w:t xml:space="preserve">מטעמים של צנעת הפרט, הושמטו שמותיהם של הצדדים מפסק הדין. </w:t>
      </w:r>
    </w:p>
    <w:p w14:paraId="7AD286CB" w14:textId="77777777" w:rsidR="00694556" w:rsidRPr="00C770E3" w:rsidRDefault="00694556">
      <w:pPr>
        <w:spacing w:line="360" w:lineRule="auto"/>
        <w:jc w:val="both"/>
        <w:rPr>
          <w:rFonts w:ascii="Arial" w:hAnsi="Arial"/>
          <w:noProof w:val="0"/>
          <w:rtl/>
        </w:rPr>
      </w:pPr>
    </w:p>
    <w:p w14:paraId="798A1719" w14:textId="77777777" w:rsidR="00694556" w:rsidRDefault="0043502B" w:rsidP="00312617">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כ"ה אדר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25 מרץ 2025</w:t>
          </w:r>
        </w:sdtContent>
      </w:sdt>
      <w:r w:rsidR="00005C8B">
        <w:rPr>
          <w:rFonts w:ascii="Arial" w:hAnsi="Arial"/>
          <w:noProof w:val="0"/>
          <w:rtl/>
        </w:rPr>
        <w:t>, בהעדר הצדדים.</w:t>
      </w:r>
    </w:p>
    <w:p w14:paraId="41A5217A" w14:textId="77777777" w:rsidR="00C43648" w:rsidRDefault="002B50A3"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14:paraId="770227D9" w14:textId="77777777" w:rsidR="008E4DBB" w:rsidRDefault="008E4DBB" w:rsidP="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54"/>
        <w:gridCol w:w="236"/>
        <w:gridCol w:w="2284"/>
        <w:gridCol w:w="236"/>
        <w:gridCol w:w="2464"/>
      </w:tblGrid>
      <w:tr w:rsidR="008E4DBB" w:rsidRPr="00896687" w14:paraId="335203C7" w14:textId="77777777" w:rsidTr="009D14A6">
        <w:trPr>
          <w:jc w:val="center"/>
        </w:trPr>
        <w:tc>
          <w:tcPr>
            <w:tcW w:w="2654" w:type="dxa"/>
            <w:tcBorders>
              <w:top w:val="nil"/>
              <w:left w:val="nil"/>
              <w:bottom w:val="single" w:sz="4" w:space="0" w:color="auto"/>
              <w:right w:val="nil"/>
            </w:tcBorders>
            <w:vAlign w:val="center"/>
          </w:tcPr>
          <w:p w14:paraId="28BFAA91" w14:textId="77777777" w:rsidR="008E4DBB" w:rsidRPr="00896687" w:rsidRDefault="008E4DBB">
            <w:pPr>
              <w:jc w:val="center"/>
              <w:rPr>
                <w:rFonts w:ascii="Courier New" w:hAnsi="Courier New"/>
                <w:b/>
                <w:bCs/>
              </w:rPr>
            </w:pPr>
            <w:r>
              <w:drawing>
                <wp:inline distT="0" distB="0" distL="0" distR="0" wp14:anchorId="45741D35" wp14:editId="1291439D">
                  <wp:extent cx="731520" cy="476885"/>
                  <wp:effectExtent l="0" t="0" r="0" b="0"/>
                  <wp:docPr id="4" name="Picture 1" descr="058893793"/>
                  <wp:cNvGraphicFramePr/>
                  <a:graphic xmlns:a="http://schemas.openxmlformats.org/drawingml/2006/main">
                    <a:graphicData uri="http://schemas.openxmlformats.org/drawingml/2006/picture">
                      <pic:pic xmlns:pic="http://schemas.openxmlformats.org/drawingml/2006/picture">
                        <pic:nvPicPr>
                          <pic:cNvPr id="4" name="Picture 1" descr="058893793"/>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476885"/>
                          </a:xfrm>
                          <a:prstGeom prst="rect">
                            <a:avLst/>
                          </a:prstGeom>
                          <a:noFill/>
                          <a:ln>
                            <a:noFill/>
                          </a:ln>
                        </pic:spPr>
                      </pic:pic>
                    </a:graphicData>
                  </a:graphic>
                </wp:inline>
              </w:drawing>
            </w:r>
          </w:p>
        </w:tc>
        <w:tc>
          <w:tcPr>
            <w:tcW w:w="236" w:type="dxa"/>
            <w:vAlign w:val="center"/>
          </w:tcPr>
          <w:p w14:paraId="5BFF4488" w14:textId="77777777" w:rsidR="008E4DBB" w:rsidRPr="00896687" w:rsidRDefault="008E4DBB">
            <w:pPr>
              <w:jc w:val="center"/>
              <w:rPr>
                <w:rFonts w:ascii="Courier New" w:hAnsi="Courier New"/>
                <w:b/>
                <w:bCs/>
              </w:rPr>
            </w:pPr>
          </w:p>
        </w:tc>
        <w:tc>
          <w:tcPr>
            <w:tcW w:w="2284" w:type="dxa"/>
            <w:tcBorders>
              <w:top w:val="nil"/>
              <w:left w:val="nil"/>
              <w:bottom w:val="single" w:sz="4" w:space="0" w:color="auto"/>
              <w:right w:val="nil"/>
            </w:tcBorders>
            <w:vAlign w:val="center"/>
          </w:tcPr>
          <w:p w14:paraId="6AF4F6A9" w14:textId="77777777" w:rsidR="008E4DBB" w:rsidRPr="00AF657B" w:rsidRDefault="008E4DBB">
            <w:pPr>
              <w:jc w:val="center"/>
              <w:rPr>
                <w:rFonts w:ascii="Courier New" w:hAnsi="Courier New"/>
                <w:rtl/>
              </w:rPr>
            </w:pPr>
            <w:r>
              <w:drawing>
                <wp:inline distT="0" distB="0" distL="0" distR="0" wp14:anchorId="69DB8AD7" wp14:editId="266A4BC6">
                  <wp:extent cx="1427480" cy="440055"/>
                  <wp:effectExtent l="0" t="0" r="1270" b="0"/>
                  <wp:docPr id="2" name="תמונה 2" descr="C:\Users\ShimiG\AppData\Local\Microsoft\Windows\Temporary Internet Files\Content.Word\058667486.tif"/>
                  <wp:cNvGraphicFramePr/>
                  <a:graphic xmlns:a="http://schemas.openxmlformats.org/drawingml/2006/main">
                    <a:graphicData uri="http://schemas.openxmlformats.org/drawingml/2006/picture">
                      <pic:pic xmlns:pic="http://schemas.openxmlformats.org/drawingml/2006/picture">
                        <pic:nvPicPr>
                          <pic:cNvPr id="2" name="תמונה 2" descr="C:\Users\ShimiG\AppData\Local\Microsoft\Windows\Temporary Internet Files\Content.Word\058667486.tif"/>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7480" cy="440055"/>
                          </a:xfrm>
                          <a:prstGeom prst="rect">
                            <a:avLst/>
                          </a:prstGeom>
                          <a:noFill/>
                          <a:ln>
                            <a:noFill/>
                          </a:ln>
                        </pic:spPr>
                      </pic:pic>
                    </a:graphicData>
                  </a:graphic>
                </wp:inline>
              </w:drawing>
            </w:r>
          </w:p>
        </w:tc>
        <w:tc>
          <w:tcPr>
            <w:tcW w:w="236" w:type="dxa"/>
            <w:vAlign w:val="center"/>
          </w:tcPr>
          <w:p w14:paraId="52A7A8C1" w14:textId="77777777" w:rsidR="008E4DBB" w:rsidRPr="00896687" w:rsidRDefault="008E4DBB">
            <w:pPr>
              <w:jc w:val="center"/>
              <w:rPr>
                <w:rFonts w:ascii="Courier New" w:hAnsi="Courier New"/>
                <w:b/>
                <w:bCs/>
              </w:rPr>
            </w:pPr>
          </w:p>
        </w:tc>
        <w:tc>
          <w:tcPr>
            <w:tcW w:w="2464" w:type="dxa"/>
            <w:tcBorders>
              <w:top w:val="nil"/>
              <w:left w:val="nil"/>
              <w:bottom w:val="single" w:sz="4" w:space="0" w:color="auto"/>
              <w:right w:val="nil"/>
            </w:tcBorders>
            <w:vAlign w:val="center"/>
          </w:tcPr>
          <w:p w14:paraId="0501DB98" w14:textId="77777777" w:rsidR="008E4DBB" w:rsidRPr="00896687" w:rsidRDefault="008E4DBB">
            <w:pPr>
              <w:jc w:val="center"/>
              <w:rPr>
                <w:rFonts w:ascii="Courier New" w:hAnsi="Courier New"/>
                <w:b/>
                <w:bCs/>
              </w:rPr>
            </w:pPr>
            <w:r>
              <w:drawing>
                <wp:inline distT="0" distB="0" distL="0" distR="0" wp14:anchorId="56E9B376" wp14:editId="5E96891C">
                  <wp:extent cx="923027" cy="662389"/>
                  <wp:effectExtent l="0" t="0" r="0" b="4445"/>
                  <wp:docPr id="3" name="תמונה 3" descr="\\ctlnfsv02\Doc_repository\JudgesSignatures\05042006\027838697.TIF"/>
                  <wp:cNvGraphicFramePr/>
                  <a:graphic xmlns:a="http://schemas.openxmlformats.org/drawingml/2006/main">
                    <a:graphicData uri="http://schemas.openxmlformats.org/drawingml/2006/picture">
                      <pic:pic xmlns:pic="http://schemas.openxmlformats.org/drawingml/2006/picture">
                        <pic:nvPicPr>
                          <pic:cNvPr id="1" name="תמונה 1" descr="\\ctlnfsv02\Doc_repository\JudgesSignatures\05042006\027838697.TIF"/>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7703" cy="665745"/>
                          </a:xfrm>
                          <a:prstGeom prst="rect">
                            <a:avLst/>
                          </a:prstGeom>
                          <a:noFill/>
                          <a:ln>
                            <a:noFill/>
                          </a:ln>
                        </pic:spPr>
                      </pic:pic>
                    </a:graphicData>
                  </a:graphic>
                </wp:inline>
              </w:drawing>
            </w:r>
          </w:p>
        </w:tc>
      </w:tr>
      <w:tr w:rsidR="008E4DBB" w:rsidRPr="00896687" w14:paraId="1F1438D3" w14:textId="77777777" w:rsidTr="007074E4">
        <w:trPr>
          <w:jc w:val="center"/>
        </w:trPr>
        <w:tc>
          <w:tcPr>
            <w:tcW w:w="2654" w:type="dxa"/>
            <w:tcBorders>
              <w:top w:val="single" w:sz="4" w:space="0" w:color="auto"/>
              <w:left w:val="nil"/>
              <w:bottom w:val="nil"/>
              <w:right w:val="nil"/>
            </w:tcBorders>
          </w:tcPr>
          <w:p w14:paraId="6C67AD8D" w14:textId="77777777" w:rsidR="008E4DBB" w:rsidRPr="00896687" w:rsidRDefault="008E4DBB" w:rsidP="000D6FB9">
            <w:pPr>
              <w:jc w:val="center"/>
              <w:rPr>
                <w:b/>
                <w:bCs/>
                <w:rtl/>
              </w:rPr>
            </w:pPr>
            <w:r>
              <w:rPr>
                <w:rFonts w:hint="cs"/>
                <w:b/>
                <w:bCs/>
                <w:rtl/>
              </w:rPr>
              <w:t>עודד שחם, שופט</w:t>
            </w:r>
          </w:p>
          <w:p w14:paraId="6079E645" w14:textId="77777777" w:rsidR="008E4DBB" w:rsidRPr="00896687" w:rsidRDefault="008E4DBB">
            <w:pPr>
              <w:jc w:val="center"/>
              <w:rPr>
                <w:b/>
                <w:bCs/>
                <w:sz w:val="28"/>
              </w:rPr>
            </w:pPr>
            <w:r w:rsidRPr="00896687">
              <w:rPr>
                <w:rFonts w:hint="cs"/>
                <w:b/>
                <w:bCs/>
                <w:rtl/>
              </w:rPr>
              <w:t>[אב"ד]</w:t>
            </w:r>
          </w:p>
        </w:tc>
        <w:tc>
          <w:tcPr>
            <w:tcW w:w="236" w:type="dxa"/>
          </w:tcPr>
          <w:p w14:paraId="3F83BC35" w14:textId="77777777" w:rsidR="008E4DBB" w:rsidRPr="00896687" w:rsidRDefault="008E4DBB">
            <w:pPr>
              <w:jc w:val="center"/>
              <w:rPr>
                <w:b/>
                <w:bCs/>
                <w:color w:val="FF0000"/>
                <w:sz w:val="28"/>
              </w:rPr>
            </w:pPr>
          </w:p>
        </w:tc>
        <w:tc>
          <w:tcPr>
            <w:tcW w:w="2284" w:type="dxa"/>
            <w:tcBorders>
              <w:top w:val="single" w:sz="4" w:space="0" w:color="auto"/>
              <w:left w:val="nil"/>
              <w:bottom w:val="nil"/>
              <w:right w:val="nil"/>
            </w:tcBorders>
          </w:tcPr>
          <w:p w14:paraId="3BD8209C" w14:textId="77777777" w:rsidR="008E4DBB" w:rsidRPr="00896687" w:rsidRDefault="008E4DBB" w:rsidP="00BE335C">
            <w:pPr>
              <w:pStyle w:val="3"/>
              <w:spacing w:line="240" w:lineRule="auto"/>
              <w:jc w:val="center"/>
              <w:rPr>
                <w:noProof w:val="0"/>
                <w:sz w:val="28"/>
              </w:rPr>
            </w:pPr>
            <w:r>
              <w:rPr>
                <w:rFonts w:hint="cs"/>
                <w:rtl/>
              </w:rPr>
              <w:t>אברהם רובין</w:t>
            </w:r>
            <w:r w:rsidRPr="00896687">
              <w:rPr>
                <w:rFonts w:ascii="Courier New" w:hAnsi="Courier New" w:hint="cs"/>
                <w:rtl/>
              </w:rPr>
              <w:t>, שופט</w:t>
            </w:r>
          </w:p>
        </w:tc>
        <w:tc>
          <w:tcPr>
            <w:tcW w:w="236" w:type="dxa"/>
          </w:tcPr>
          <w:p w14:paraId="6D67D4F7" w14:textId="77777777" w:rsidR="008E4DBB" w:rsidRPr="00896687" w:rsidRDefault="008E4DBB" w:rsidP="007074E4">
            <w:pPr>
              <w:jc w:val="center"/>
              <w:rPr>
                <w:b/>
                <w:bCs/>
                <w:color w:val="FF0000"/>
                <w:sz w:val="28"/>
              </w:rPr>
            </w:pPr>
          </w:p>
        </w:tc>
        <w:tc>
          <w:tcPr>
            <w:tcW w:w="2464" w:type="dxa"/>
            <w:tcBorders>
              <w:top w:val="single" w:sz="4" w:space="0" w:color="auto"/>
              <w:left w:val="nil"/>
              <w:bottom w:val="nil"/>
              <w:right w:val="nil"/>
            </w:tcBorders>
          </w:tcPr>
          <w:p w14:paraId="4361EED5" w14:textId="77777777" w:rsidR="008E4DBB" w:rsidRPr="00896687" w:rsidRDefault="008E4DBB" w:rsidP="007074E4">
            <w:pPr>
              <w:jc w:val="center"/>
              <w:rPr>
                <w:b/>
                <w:bCs/>
                <w:sz w:val="28"/>
              </w:rPr>
            </w:pPr>
            <w:r>
              <w:rPr>
                <w:rFonts w:hint="cs"/>
                <w:b/>
                <w:bCs/>
                <w:rtl/>
              </w:rPr>
              <w:t>נמרוד פלקס</w:t>
            </w:r>
            <w:r w:rsidRPr="00896687">
              <w:rPr>
                <w:rFonts w:ascii="Courier New" w:hAnsi="Courier New" w:hint="cs"/>
                <w:b/>
                <w:bCs/>
                <w:rtl/>
              </w:rPr>
              <w:t>, שופט</w:t>
            </w:r>
          </w:p>
        </w:tc>
      </w:tr>
    </w:tbl>
    <w:p w14:paraId="65D4A927" w14:textId="77777777" w:rsidR="008E4DBB" w:rsidRDefault="008E4DBB"/>
    <w:p w14:paraId="2A6A2758" w14:textId="77777777"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11BBD" w14:textId="77777777" w:rsidR="002B50A3" w:rsidRDefault="002B50A3">
      <w:r>
        <w:separator/>
      </w:r>
    </w:p>
  </w:endnote>
  <w:endnote w:type="continuationSeparator" w:id="0">
    <w:p w14:paraId="3350F67A" w14:textId="77777777" w:rsidR="002B50A3" w:rsidRDefault="002B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B1EFE" w14:textId="77777777" w:rsidR="00B404B8" w:rsidRDefault="00B404B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C7" w14:textId="77777777"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A4CA5">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A4CA5">
      <w:rPr>
        <w:rStyle w:val="ab"/>
        <w:rFonts w:ascii="David" w:hAnsi="David"/>
        <w:rtl/>
      </w:rPr>
      <w:t>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0B39" w14:textId="77777777" w:rsidR="00B404B8" w:rsidRDefault="00B404B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B0F31" w14:textId="77777777" w:rsidR="002B50A3" w:rsidRDefault="002B50A3">
      <w:r>
        <w:separator/>
      </w:r>
    </w:p>
  </w:footnote>
  <w:footnote w:type="continuationSeparator" w:id="0">
    <w:p w14:paraId="2FD48958" w14:textId="77777777" w:rsidR="002B50A3" w:rsidRDefault="002B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2145" w14:textId="77777777" w:rsidR="00B404B8" w:rsidRDefault="00B404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DF7D" w14:textId="77777777" w:rsidR="00694556" w:rsidRDefault="00DC1259">
    <w:pPr>
      <w:pStyle w:val="a3"/>
      <w:jc w:val="center"/>
      <w:rPr>
        <w:rFonts w:cs="FrankRuehl"/>
        <w:noProof w:val="0"/>
        <w:sz w:val="28"/>
        <w:szCs w:val="28"/>
        <w:rtl/>
      </w:rPr>
    </w:pPr>
    <w:r>
      <w:rPr>
        <w:rFonts w:cs="FrankRuehl"/>
        <w:sz w:val="28"/>
        <w:szCs w:val="28"/>
      </w:rPr>
      <w:drawing>
        <wp:inline distT="0" distB="0" distL="0" distR="0" wp14:anchorId="262E92F6" wp14:editId="63C8BA3C">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14:paraId="05B75B8D" w14:textId="77777777"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14:paraId="7357ADE7" w14:textId="77777777"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 בשבתו כבית-משפט לערעורים אזרחיים</w:t>
              </w:r>
            </w:p>
          </w:tc>
        </w:sdtContent>
      </w:sdt>
    </w:tr>
    <w:tr w:rsidR="00694556" w14:paraId="1AF2E67B" w14:textId="77777777">
      <w:trPr>
        <w:trHeight w:val="337"/>
        <w:jc w:val="center"/>
      </w:trPr>
      <w:tc>
        <w:tcPr>
          <w:tcW w:w="5047" w:type="dxa"/>
        </w:tcPr>
        <w:p w14:paraId="663FE199" w14:textId="77777777" w:rsidR="00694556" w:rsidRDefault="00694556">
          <w:pPr>
            <w:rPr>
              <w:b/>
              <w:bCs/>
              <w:noProof w:val="0"/>
              <w:sz w:val="26"/>
              <w:szCs w:val="26"/>
              <w:rtl/>
            </w:rPr>
          </w:pPr>
        </w:p>
      </w:tc>
      <w:tc>
        <w:tcPr>
          <w:tcW w:w="3674" w:type="dxa"/>
        </w:tcPr>
        <w:p w14:paraId="3BBE9F52" w14:textId="77777777" w:rsidR="00694556" w:rsidRDefault="00694556">
          <w:pPr>
            <w:pStyle w:val="a3"/>
            <w:jc w:val="right"/>
            <w:rPr>
              <w:b/>
              <w:bCs/>
              <w:noProof w:val="0"/>
              <w:sz w:val="26"/>
              <w:szCs w:val="26"/>
              <w:rtl/>
            </w:rPr>
          </w:pPr>
        </w:p>
      </w:tc>
    </w:tr>
    <w:tr w:rsidR="00694556" w14:paraId="31819822" w14:textId="77777777">
      <w:trPr>
        <w:trHeight w:val="337"/>
        <w:jc w:val="center"/>
      </w:trPr>
      <w:tc>
        <w:tcPr>
          <w:tcW w:w="8721" w:type="dxa"/>
          <w:gridSpan w:val="2"/>
        </w:tcPr>
        <w:p w14:paraId="7380C06A" w14:textId="77777777" w:rsidR="007D45E3" w:rsidRDefault="002B50A3"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24913-02-25</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404B8">
                <w:rPr>
                  <w:rFonts w:hint="cs"/>
                  <w:b/>
                  <w:bCs/>
                  <w:noProof w:val="0"/>
                  <w:sz w:val="26"/>
                  <w:szCs w:val="26"/>
                  <w:rtl/>
                </w:rPr>
                <w:t>פלונית</w:t>
              </w:r>
              <w:r w:rsidR="00B404B8">
                <w:rPr>
                  <w:b/>
                  <w:bCs/>
                  <w:noProof w:val="0"/>
                  <w:sz w:val="26"/>
                  <w:szCs w:val="26"/>
                  <w:rtl/>
                </w:rPr>
                <w:t xml:space="preserve"> נ' </w:t>
              </w:r>
              <w:r w:rsidR="00B404B8">
                <w:rPr>
                  <w:rFonts w:hint="cs"/>
                  <w:b/>
                  <w:bCs/>
                  <w:noProof w:val="0"/>
                  <w:sz w:val="26"/>
                  <w:szCs w:val="26"/>
                  <w:rtl/>
                </w:rPr>
                <w:t>פלוני</w:t>
              </w:r>
            </w:sdtContent>
          </w:sdt>
          <w:r w:rsidR="007C2453">
            <w:rPr>
              <w:b/>
              <w:bCs/>
              <w:noProof w:val="0"/>
              <w:sz w:val="26"/>
              <w:szCs w:val="26"/>
              <w:rtl/>
            </w:rPr>
            <w:t xml:space="preserve"> </w:t>
          </w:r>
        </w:p>
        <w:p w14:paraId="2D62AA81" w14:textId="77777777" w:rsidR="007D45E3" w:rsidRPr="007B7765" w:rsidRDefault="007D45E3" w:rsidP="007D45E3">
          <w:pPr>
            <w:rPr>
              <w:b/>
              <w:bCs/>
              <w:noProof w:val="0"/>
              <w:sz w:val="2"/>
              <w:szCs w:val="2"/>
              <w:rtl/>
            </w:rPr>
          </w:pPr>
        </w:p>
        <w:p w14:paraId="3D33E46A" w14:textId="77777777" w:rsidR="007D45E3" w:rsidRDefault="007D45E3" w:rsidP="007D45E3">
          <w:pPr>
            <w:rPr>
              <w:sz w:val="20"/>
              <w:szCs w:val="20"/>
              <w:rtl/>
            </w:rPr>
          </w:pPr>
          <w:r>
            <w:rPr>
              <w:rFonts w:hint="cs"/>
              <w:rtl/>
            </w:rPr>
            <w:t xml:space="preserve">                           </w:t>
          </w:r>
          <w:r>
            <w:rPr>
              <w:rFonts w:hint="cs"/>
              <w:sz w:val="20"/>
              <w:szCs w:val="20"/>
              <w:rtl/>
            </w:rPr>
            <w:t xml:space="preserve">                                       </w:t>
          </w:r>
        </w:p>
        <w:p w14:paraId="0ACE9047" w14:textId="77777777"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14:paraId="53B62DDC" w14:textId="77777777"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2BEAC" w14:textId="77777777" w:rsidR="00B404B8" w:rsidRDefault="00B404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seID" w:val="82400634"/>
    <w:docVar w:name="CourtID" w:val="14"/>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2400634&amp;lt;/CaseID&amp;gt;_x000d__x000a_        &amp;lt;DocumentID&amp;gt;476167157&amp;lt;/DocumentID&amp;gt;_x000d__x000a_      &amp;lt;/dt_DocumentCase&amp;gt;_x000d__x000a_      &amp;lt;dt_Document diffgr:id=&amp;quot;dt_Document1&amp;quot; msdata:rowOrder=&amp;quot;0&amp;quot;&amp;gt;_x000d__x000a_        &amp;lt;DocumentID&amp;gt;476167157&amp;lt;/DocumentID&amp;gt;_x000d__x000a_        &amp;lt;DocumentMainID&amp;gt;0&amp;lt;/DocumentMainID&amp;gt;_x000d__x000a_        &amp;lt;CaseID&amp;gt;82400634&amp;lt;/CaseID&amp;gt;_x000d__x000a_        &amp;lt;DocumentIncludedDate&amp;gt;2025-04-07T08:10:36.75+03:00&amp;lt;/DocumentIncludedDate&amp;gt;_x000d__x000a_        &amp;lt;DocumentDesc&amp;gt;פסק דין  שניתנה ע&amp;quot;י  עודד שחם&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4-07T08:10:36.75+03:00&amp;lt;/DocumentSavingDate&amp;gt;_x000d__x000a_        &amp;lt;DocumentChangeDate&amp;gt;2025-04-07T08:10:37.657+03:00&amp;lt;/DocumentChangeDate&amp;gt;_x000d__x000a_        &amp;lt;IsScanned&amp;gt;false&amp;lt;/IsScanned&amp;gt;_x000d__x000a_        &amp;lt;PageQuantity&amp;gt;0&amp;lt;/PageQuantity&amp;gt;_x000d__x000a_        &amp;lt;DocumentStatusID&amp;gt;2&amp;lt;/DocumentStatusID&amp;gt;_x000d__x000a_        &amp;lt;DocumentStatusChangeDate&amp;gt;2025-04-07T08:10:37.657+03:00&amp;lt;/DocumentStatusChangeDate&amp;gt;_x000d__x000a_        &amp;lt;TemplateVersionID&amp;gt;1&amp;lt;/TemplateVersionID&amp;gt;_x000d__x000a_        &amp;lt;DocumentChangeUserID&amp;gt;058893793@GOV.IL&amp;lt;/DocumentChangeUserID&amp;gt;_x000d__x000a_        &amp;lt;DocumentCreationUserID&amp;gt;058893793@GOV.IL&amp;lt;/DocumentCreationUserID&amp;gt;_x000d__x000a_        &amp;lt;OriginalDocumentID&amp;gt;474736812&amp;lt;/OriginalDocumentID&amp;gt;_x000d__x000a_        &amp;lt;PrivillegeID&amp;gt;2&amp;lt;/PrivillegeID&amp;gt;_x000d__x000a_        &amp;lt;FromPage&amp;gt;0&amp;lt;/FromPage&amp;gt;_x000d__x000a_        &amp;lt;ToPage&amp;gt;0&amp;lt;/ToPage&amp;gt;_x000d__x000a_        &amp;lt;FileID&amp;gt;1f5fa80e96010000090037f6ad7a825c&amp;lt;/FileID&amp;gt;_x000d__x000a_        &amp;lt;URL&amp;gt;\\CTLNFSV02\doc_repository\242\112\c96a5b19a482480fbf93e642ed0a6d5b_copy.docx&amp;lt;/URL&amp;gt;_x000d__x000a_        &amp;lt;OlivePriority&amp;gt;1&amp;lt;/OlivePriority&amp;gt;_x000d__x000a_        &amp;lt;MetaDataTypeID&amp;gt;1&amp;lt;/MetaDataTypeID&amp;gt;_x000d__x000a_        &amp;lt;MetaDataChangeDate&amp;gt;2025-04-07T08:10:37.65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עודד שחם&amp;amp;lt;/anyType&amp;amp;gt;_x000d__x000a_    &amp;amp;lt;anyType xsi:type=&amp;quot;xsd:dateTime&amp;quot;&amp;amp;gt;2025-03-25T15:55:40.1634225&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3-25T15:55:40.16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B50A3"/>
    <w:rsid w:val="002C344E"/>
    <w:rsid w:val="002E75E9"/>
    <w:rsid w:val="002F0B1E"/>
    <w:rsid w:val="00307A6A"/>
    <w:rsid w:val="00307C40"/>
    <w:rsid w:val="00312617"/>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1789E"/>
    <w:rsid w:val="00422BEE"/>
    <w:rsid w:val="00424313"/>
    <w:rsid w:val="00425DE6"/>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26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13330"/>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07721"/>
    <w:rsid w:val="008126A2"/>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8E4DBB"/>
    <w:rsid w:val="00903896"/>
    <w:rsid w:val="00906F3D"/>
    <w:rsid w:val="00936664"/>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335D3"/>
    <w:rsid w:val="00B404B8"/>
    <w:rsid w:val="00B5356E"/>
    <w:rsid w:val="00B809AD"/>
    <w:rsid w:val="00B80CBD"/>
    <w:rsid w:val="00B859C5"/>
    <w:rsid w:val="00B86096"/>
    <w:rsid w:val="00B964D9"/>
    <w:rsid w:val="00BA068F"/>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A4CA5"/>
    <w:rsid w:val="00CC7622"/>
    <w:rsid w:val="00CD608F"/>
    <w:rsid w:val="00CF6BB7"/>
    <w:rsid w:val="00D04AA4"/>
    <w:rsid w:val="00D27982"/>
    <w:rsid w:val="00D33B86"/>
    <w:rsid w:val="00D44968"/>
    <w:rsid w:val="00D53924"/>
    <w:rsid w:val="00D55D0C"/>
    <w:rsid w:val="00D96D8C"/>
    <w:rsid w:val="00DA2495"/>
    <w:rsid w:val="00DA39DB"/>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EE8A9"/>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4423"/>
    <w:pPr>
      <w:bidi/>
    </w:pPr>
    <w:rPr>
      <w:rFonts w:cs="David"/>
      <w:noProof/>
      <w:sz w:val="24"/>
      <w:szCs w:val="24"/>
    </w:rPr>
  </w:style>
  <w:style w:type="paragraph" w:styleId="3">
    <w:name w:val="heading 3"/>
    <w:basedOn w:val="a"/>
    <w:next w:val="a"/>
    <w:link w:val="30"/>
    <w:qFormat/>
    <w:rsid w:val="008E4DBB"/>
    <w:pPr>
      <w:keepNext/>
      <w:spacing w:line="360" w:lineRule="auto"/>
      <w:jc w:val="both"/>
      <w:outlineLvl w:val="2"/>
    </w:pPr>
    <w:rPr>
      <w:b/>
      <w:bCs/>
      <w:sz w:val="20"/>
      <w:lang w:eastAsia="he-IL"/>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30">
    <w:name w:val="כותרת 3 תו"/>
    <w:basedOn w:val="a0"/>
    <w:link w:val="3"/>
    <w:rsid w:val="008E4DBB"/>
    <w:rPr>
      <w:rFonts w:cs="David"/>
      <w:b/>
      <w:bCs/>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99021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8CA"/>
    <w:rsid w:val="000177CC"/>
    <w:rsid w:val="000A44DD"/>
    <w:rsid w:val="000A4ACE"/>
    <w:rsid w:val="001D696D"/>
    <w:rsid w:val="002D02C4"/>
    <w:rsid w:val="00345C9D"/>
    <w:rsid w:val="0048651F"/>
    <w:rsid w:val="005157ED"/>
    <w:rsid w:val="005171E8"/>
    <w:rsid w:val="00556D67"/>
    <w:rsid w:val="006377AB"/>
    <w:rsid w:val="00713330"/>
    <w:rsid w:val="00793995"/>
    <w:rsid w:val="007C6F98"/>
    <w:rsid w:val="007E254A"/>
    <w:rsid w:val="00817811"/>
    <w:rsid w:val="008B4366"/>
    <w:rsid w:val="009133C7"/>
    <w:rsid w:val="009178E4"/>
    <w:rsid w:val="00961B27"/>
    <w:rsid w:val="009A4BEE"/>
    <w:rsid w:val="00A51CA1"/>
    <w:rsid w:val="00AA7CE3"/>
    <w:rsid w:val="00AD53D7"/>
    <w:rsid w:val="00B335D3"/>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962</Words>
  <Characters>4812</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יהונתן גרונר</cp:lastModifiedBy>
  <cp:revision>2</cp:revision>
  <dcterms:created xsi:type="dcterms:W3CDTF">2025-04-09T07:44:00Z</dcterms:created>
  <dcterms:modified xsi:type="dcterms:W3CDTF">2025-04-09T07:44:00Z</dcterms:modified>
</cp:coreProperties>
</file>