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178"/>
        <w:gridCol w:w="4229"/>
      </w:tblGrid>
      <w:tr w:rsidR="008D3050" w14:paraId="0BF46C8E" w14:textId="77777777" w:rsidTr="000903FC">
        <w:tc>
          <w:tcPr>
            <w:tcW w:w="4178" w:type="dxa"/>
          </w:tcPr>
          <w:p w14:paraId="2CFFB00D" w14:textId="77777777" w:rsidR="000903FC" w:rsidRPr="00AD6838" w:rsidRDefault="00151396" w:rsidP="00B02C76">
            <w:pPr>
              <w:jc w:val="both"/>
              <w:rPr>
                <w:rFonts w:ascii="Arial" w:hAnsi="Arial"/>
                <w:b/>
                <w:bCs/>
                <w:sz w:val="30"/>
                <w:szCs w:val="30"/>
                <w:rtl/>
              </w:rPr>
            </w:pPr>
            <w:r w:rsidRPr="00AD6838">
              <w:rPr>
                <w:rFonts w:ascii="Arial" w:hAnsi="Arial" w:hint="cs"/>
                <w:b/>
                <w:bCs/>
                <w:sz w:val="30"/>
                <w:szCs w:val="30"/>
                <w:rtl/>
              </w:rPr>
              <w:t>ל</w:t>
            </w:r>
            <w:r w:rsidRPr="00AD6838">
              <w:rPr>
                <w:rFonts w:ascii="Arial" w:hAnsi="Arial"/>
                <w:b/>
                <w:bCs/>
                <w:sz w:val="30"/>
                <w:szCs w:val="30"/>
                <w:rtl/>
              </w:rPr>
              <w:t>פני</w:t>
            </w:r>
            <w:r w:rsidRPr="00AD6838">
              <w:rPr>
                <w:rFonts w:ascii="Arial" w:hAnsi="Arial" w:hint="cs"/>
                <w:b/>
                <w:bCs/>
                <w:sz w:val="30"/>
                <w:szCs w:val="30"/>
                <w:rtl/>
              </w:rPr>
              <w:t xml:space="preserve"> כבוד ה</w:t>
            </w:r>
            <w:sdt>
              <w:sdtPr>
                <w:rPr>
                  <w:sz w:val="30"/>
                  <w:szCs w:val="30"/>
                  <w:rtl/>
                </w:rPr>
                <w:alias w:val="1574"/>
                <w:tag w:val="1574"/>
                <w:id w:val="414602899"/>
                <w:text w:multiLine="1"/>
              </w:sdtPr>
              <w:sdtEndPr/>
              <w:sdtContent>
                <w:r w:rsidRPr="00AD6838">
                  <w:rPr>
                    <w:rFonts w:ascii="Arial" w:hAnsi="Arial"/>
                    <w:b/>
                    <w:bCs/>
                    <w:sz w:val="30"/>
                    <w:szCs w:val="30"/>
                    <w:rtl/>
                  </w:rPr>
                  <w:t>שופט</w:t>
                </w:r>
              </w:sdtContent>
            </w:sdt>
            <w:r w:rsidRPr="00AD6838">
              <w:rPr>
                <w:rFonts w:ascii="Arial" w:hAnsi="Arial" w:hint="cs"/>
                <w:b/>
                <w:bCs/>
                <w:sz w:val="30"/>
                <w:szCs w:val="30"/>
                <w:rtl/>
              </w:rPr>
              <w:t xml:space="preserve"> </w:t>
            </w:r>
            <w:sdt>
              <w:sdtPr>
                <w:rPr>
                  <w:sz w:val="30"/>
                  <w:szCs w:val="30"/>
                  <w:rtl/>
                </w:rPr>
                <w:alias w:val="1573"/>
                <w:tag w:val="1573"/>
                <w:id w:val="-1751030614"/>
                <w:text w:multiLine="1"/>
              </w:sdtPr>
              <w:sdtEndPr/>
              <w:sdtContent>
                <w:r w:rsidRPr="00AD6838">
                  <w:rPr>
                    <w:rFonts w:ascii="Arial" w:hAnsi="Arial"/>
                    <w:b/>
                    <w:bCs/>
                    <w:sz w:val="30"/>
                    <w:szCs w:val="30"/>
                    <w:rtl/>
                  </w:rPr>
                  <w:t>אביים ברקאי</w:t>
                </w:r>
              </w:sdtContent>
            </w:sdt>
          </w:p>
        </w:tc>
        <w:tc>
          <w:tcPr>
            <w:tcW w:w="4229" w:type="dxa"/>
          </w:tcPr>
          <w:p w14:paraId="6811BFB5" w14:textId="77777777" w:rsidR="000903FC" w:rsidRPr="00314311" w:rsidRDefault="000903FC" w:rsidP="00B02C76">
            <w:pPr>
              <w:jc w:val="both"/>
              <w:rPr>
                <w:rFonts w:ascii="Arial" w:hAnsi="Arial"/>
                <w:b/>
                <w:bCs/>
                <w:sz w:val="26"/>
                <w:szCs w:val="26"/>
              </w:rPr>
            </w:pPr>
          </w:p>
        </w:tc>
      </w:tr>
      <w:tr w:rsidR="008D3050" w14:paraId="56E84076" w14:textId="77777777" w:rsidTr="000903FC">
        <w:tc>
          <w:tcPr>
            <w:tcW w:w="4178" w:type="dxa"/>
          </w:tcPr>
          <w:p w14:paraId="3AF54958" w14:textId="77777777" w:rsidR="00AD6838" w:rsidRDefault="00151396" w:rsidP="00AD6838">
            <w:pPr>
              <w:rPr>
                <w:rFonts w:ascii="Arial" w:hAnsi="Arial"/>
                <w:b/>
                <w:bCs/>
                <w:noProof w:val="0"/>
                <w:sz w:val="26"/>
                <w:szCs w:val="26"/>
                <w:rtl/>
              </w:rPr>
            </w:pPr>
            <w:r w:rsidRPr="002D2705">
              <w:rPr>
                <w:rFonts w:hint="cs"/>
                <w:b/>
                <w:bCs/>
                <w:sz w:val="26"/>
                <w:szCs w:val="26"/>
                <w:rtl/>
              </w:rPr>
              <w:t>ה</w:t>
            </w:r>
            <w:sdt>
              <w:sdtPr>
                <w:rPr>
                  <w:sz w:val="26"/>
                  <w:szCs w:val="26"/>
                  <w:rtl/>
                </w:rPr>
                <w:alias w:val="1180"/>
                <w:tag w:val="1180"/>
                <w:id w:val="637458750"/>
                <w:text w:multiLine="1"/>
              </w:sdtPr>
              <w:sdtEndPr/>
              <w:sdtContent>
                <w:r>
                  <w:rPr>
                    <w:rFonts w:ascii="Arial" w:hAnsi="Arial"/>
                    <w:b/>
                    <w:bCs/>
                    <w:noProof w:val="0"/>
                    <w:sz w:val="26"/>
                    <w:szCs w:val="26"/>
                    <w:rtl/>
                  </w:rPr>
                  <w:t>תובע</w:t>
                </w:r>
                <w:r>
                  <w:rPr>
                    <w:rFonts w:ascii="Arial" w:hAnsi="Arial" w:hint="cs"/>
                    <w:b/>
                    <w:bCs/>
                    <w:noProof w:val="0"/>
                    <w:sz w:val="26"/>
                    <w:szCs w:val="26"/>
                    <w:rtl/>
                  </w:rPr>
                  <w:t xml:space="preserve"> בת"א 22191-01-21</w:t>
                </w:r>
              </w:sdtContent>
            </w:sdt>
          </w:p>
          <w:p w14:paraId="6F0B92ED" w14:textId="77777777" w:rsidR="00B02C76" w:rsidRPr="00FA4EAF" w:rsidRDefault="00151396" w:rsidP="00AD6838">
            <w:pPr>
              <w:rPr>
                <w:rFonts w:ascii="Arial" w:hAnsi="Arial"/>
                <w:b/>
                <w:bCs/>
                <w:noProof w:val="0"/>
                <w:sz w:val="26"/>
                <w:szCs w:val="26"/>
                <w:rtl/>
              </w:rPr>
            </w:pPr>
            <w:r>
              <w:rPr>
                <w:rFonts w:ascii="Arial" w:hAnsi="Arial" w:hint="cs"/>
                <w:b/>
                <w:bCs/>
                <w:noProof w:val="0"/>
                <w:sz w:val="26"/>
                <w:szCs w:val="26"/>
                <w:rtl/>
              </w:rPr>
              <w:t>והנתבע בת"א 62657-10-20:</w:t>
            </w:r>
          </w:p>
        </w:tc>
        <w:tc>
          <w:tcPr>
            <w:tcW w:w="4229" w:type="dxa"/>
          </w:tcPr>
          <w:p w14:paraId="2A1085C3" w14:textId="77777777" w:rsidR="00B02C76" w:rsidRPr="007F09CE" w:rsidRDefault="00151396" w:rsidP="00AD6838">
            <w:pPr>
              <w:suppressLineNumbers/>
            </w:pPr>
            <w:sdt>
              <w:sdtPr>
                <w:rPr>
                  <w:rFonts w:ascii="Arial" w:hAnsi="Arial"/>
                  <w:b/>
                  <w:bCs/>
                  <w:noProof w:val="0"/>
                  <w:sz w:val="26"/>
                  <w:szCs w:val="26"/>
                  <w:rtl/>
                </w:rPr>
                <w:alias w:val="3151"/>
                <w:tag w:val="3151"/>
                <w:id w:val="1166218717"/>
                <w:placeholder>
                  <w:docPart w:val="6E9B64DE82404F9B827427D9CBC581D6"/>
                </w:placeholder>
                <w:text w:multiLine="1"/>
              </w:sdtPr>
              <w:sdtEndPr/>
              <w:sdtContent>
                <w:r w:rsidR="00AD6838">
                  <w:rPr>
                    <w:rFonts w:ascii="Arial" w:hAnsi="Arial"/>
                    <w:b/>
                    <w:bCs/>
                    <w:noProof w:val="0"/>
                    <w:sz w:val="26"/>
                    <w:szCs w:val="26"/>
                    <w:rtl/>
                  </w:rPr>
                  <w:br/>
                </w:r>
                <w:r w:rsidR="0016615E">
                  <w:rPr>
                    <w:rFonts w:ascii="Arial" w:hAnsi="Arial"/>
                    <w:b/>
                    <w:bCs/>
                    <w:noProof w:val="0"/>
                    <w:sz w:val="26"/>
                    <w:szCs w:val="26"/>
                    <w:rtl/>
                  </w:rPr>
                  <w:t>י</w:t>
                </w:r>
                <w:r w:rsidR="00AD6838">
                  <w:rPr>
                    <w:rFonts w:ascii="Arial" w:hAnsi="Arial" w:hint="cs"/>
                    <w:b/>
                    <w:bCs/>
                    <w:noProof w:val="0"/>
                    <w:sz w:val="26"/>
                    <w:szCs w:val="26"/>
                    <w:rtl/>
                  </w:rPr>
                  <w:t>חיאל (חיליק) סופר</w:t>
                </w:r>
              </w:sdtContent>
            </w:sdt>
          </w:p>
        </w:tc>
      </w:tr>
      <w:tr w:rsidR="008D3050" w14:paraId="58E5DEB2" w14:textId="77777777" w:rsidTr="000903FC">
        <w:trPr>
          <w:trHeight w:val="601"/>
        </w:trPr>
        <w:tc>
          <w:tcPr>
            <w:tcW w:w="4178" w:type="dxa"/>
            <w:vAlign w:val="center"/>
          </w:tcPr>
          <w:p w14:paraId="26FDD8AB" w14:textId="77777777" w:rsidR="000903FC" w:rsidRPr="00FA4EAF" w:rsidRDefault="000903FC" w:rsidP="000903FC">
            <w:pPr>
              <w:jc w:val="center"/>
              <w:rPr>
                <w:rFonts w:ascii="Arial" w:hAnsi="Arial"/>
                <w:b/>
                <w:bCs/>
                <w:noProof w:val="0"/>
                <w:sz w:val="26"/>
                <w:szCs w:val="26"/>
                <w:rtl/>
              </w:rPr>
            </w:pPr>
          </w:p>
        </w:tc>
        <w:tc>
          <w:tcPr>
            <w:tcW w:w="4229" w:type="dxa"/>
            <w:vAlign w:val="center"/>
          </w:tcPr>
          <w:p w14:paraId="736DDDE0" w14:textId="77777777" w:rsidR="000903FC" w:rsidRPr="00AA5158" w:rsidRDefault="00151396" w:rsidP="000903FC">
            <w:pPr>
              <w:jc w:val="center"/>
              <w:rPr>
                <w:rFonts w:ascii="Arial" w:hAnsi="Arial"/>
                <w:b/>
                <w:bCs/>
                <w:noProof w:val="0"/>
                <w:sz w:val="16"/>
                <w:szCs w:val="16"/>
              </w:rPr>
            </w:pPr>
            <w:r w:rsidRPr="00FA4EAF">
              <w:rPr>
                <w:rFonts w:ascii="Arial" w:hAnsi="Arial"/>
                <w:b/>
                <w:bCs/>
                <w:noProof w:val="0"/>
                <w:sz w:val="26"/>
                <w:szCs w:val="26"/>
                <w:rtl/>
              </w:rPr>
              <w:t>נגד</w:t>
            </w:r>
          </w:p>
        </w:tc>
      </w:tr>
      <w:tr w:rsidR="008D3050" w14:paraId="1E94334E" w14:textId="77777777" w:rsidTr="000903FC">
        <w:tc>
          <w:tcPr>
            <w:tcW w:w="4178" w:type="dxa"/>
          </w:tcPr>
          <w:p w14:paraId="059D4A7A" w14:textId="77777777" w:rsidR="00B02C76" w:rsidRPr="00FA4EAF" w:rsidRDefault="00151396" w:rsidP="00AD6838">
            <w:pPr>
              <w:rPr>
                <w:rFonts w:ascii="Arial" w:hAnsi="Arial"/>
                <w:b/>
                <w:bCs/>
                <w:noProof w:val="0"/>
                <w:sz w:val="26"/>
                <w:szCs w:val="26"/>
              </w:rPr>
            </w:pPr>
            <w:r w:rsidRPr="00AD6838">
              <w:rPr>
                <w:rFonts w:hint="cs"/>
                <w:b/>
                <w:bCs/>
                <w:sz w:val="26"/>
                <w:szCs w:val="26"/>
                <w:rtl/>
              </w:rPr>
              <w:t>ה</w:t>
            </w:r>
            <w:sdt>
              <w:sdtPr>
                <w:rPr>
                  <w:b/>
                  <w:bCs/>
                  <w:sz w:val="26"/>
                  <w:szCs w:val="26"/>
                  <w:rtl/>
                </w:rPr>
                <w:alias w:val="1184"/>
                <w:tag w:val="1184"/>
                <w:id w:val="-340621022"/>
                <w:text w:multiLine="1"/>
              </w:sdtPr>
              <w:sdtEndPr/>
              <w:sdtContent>
                <w:r w:rsidR="00AD6838" w:rsidRPr="00AD6838">
                  <w:rPr>
                    <w:b/>
                    <w:bCs/>
                    <w:sz w:val="26"/>
                    <w:szCs w:val="26"/>
                    <w:rtl/>
                  </w:rPr>
                  <w:t>נתבע</w:t>
                </w:r>
                <w:r w:rsidR="00AD6838" w:rsidRPr="00AD6838">
                  <w:rPr>
                    <w:rFonts w:hint="cs"/>
                    <w:b/>
                    <w:bCs/>
                    <w:sz w:val="26"/>
                    <w:szCs w:val="26"/>
                    <w:rtl/>
                  </w:rPr>
                  <w:t xml:space="preserve"> </w:t>
                </w:r>
                <w:r w:rsidR="00AD6838" w:rsidRPr="00AD6838">
                  <w:rPr>
                    <w:b/>
                    <w:bCs/>
                    <w:sz w:val="26"/>
                    <w:szCs w:val="26"/>
                    <w:rtl/>
                  </w:rPr>
                  <w:t xml:space="preserve"> בת"א 22191-01-21</w:t>
                </w:r>
                <w:r w:rsidR="00AD6838" w:rsidRPr="00AD6838">
                  <w:rPr>
                    <w:b/>
                    <w:bCs/>
                    <w:sz w:val="26"/>
                    <w:szCs w:val="26"/>
                    <w:rtl/>
                  </w:rPr>
                  <w:br/>
                  <w:t>והת</w:t>
                </w:r>
                <w:r w:rsidR="00AD6838" w:rsidRPr="00AD6838">
                  <w:rPr>
                    <w:rFonts w:hint="cs"/>
                    <w:b/>
                    <w:bCs/>
                    <w:sz w:val="26"/>
                    <w:szCs w:val="26"/>
                    <w:rtl/>
                  </w:rPr>
                  <w:t>ו</w:t>
                </w:r>
                <w:r w:rsidR="00AD6838" w:rsidRPr="00AD6838">
                  <w:rPr>
                    <w:b/>
                    <w:bCs/>
                    <w:sz w:val="26"/>
                    <w:szCs w:val="26"/>
                    <w:rtl/>
                  </w:rPr>
                  <w:t>בע בת"א 62657-10-20</w:t>
                </w:r>
              </w:sdtContent>
            </w:sdt>
            <w:r>
              <w:rPr>
                <w:rFonts w:ascii="Arial" w:hAnsi="Arial" w:hint="cs"/>
                <w:b/>
                <w:bCs/>
                <w:noProof w:val="0"/>
                <w:sz w:val="26"/>
                <w:szCs w:val="26"/>
                <w:rtl/>
              </w:rPr>
              <w:t>:</w:t>
            </w:r>
          </w:p>
        </w:tc>
        <w:tc>
          <w:tcPr>
            <w:tcW w:w="4229" w:type="dxa"/>
          </w:tcPr>
          <w:p w14:paraId="7E3EEECD" w14:textId="77777777" w:rsidR="007F09CE" w:rsidRDefault="00151396" w:rsidP="00AD6838">
            <w:pPr>
              <w:suppressLineNumbers/>
            </w:pPr>
            <w:sdt>
              <w:sdtPr>
                <w:rPr>
                  <w:rFonts w:ascii="Arial" w:hAnsi="Arial"/>
                  <w:b/>
                  <w:bCs/>
                  <w:noProof w:val="0"/>
                  <w:sz w:val="26"/>
                  <w:szCs w:val="26"/>
                  <w:rtl/>
                </w:rPr>
                <w:alias w:val="3152"/>
                <w:tag w:val="3152"/>
                <w:id w:val="-1346628691"/>
                <w:placeholder>
                  <w:docPart w:val="4975FDB7C9824906A8EDDDC584D8F333"/>
                </w:placeholder>
                <w:text w:multiLine="1"/>
              </w:sdtPr>
              <w:sdtEndPr/>
              <w:sdtContent>
                <w:r w:rsidR="00AD6838">
                  <w:rPr>
                    <w:rFonts w:ascii="Arial" w:hAnsi="Arial"/>
                    <w:b/>
                    <w:bCs/>
                    <w:noProof w:val="0"/>
                    <w:sz w:val="26"/>
                    <w:szCs w:val="26"/>
                    <w:rtl/>
                  </w:rPr>
                  <w:br/>
                </w:r>
                <w:r w:rsidR="0016615E">
                  <w:rPr>
                    <w:rFonts w:ascii="Arial" w:hAnsi="Arial"/>
                    <w:b/>
                    <w:bCs/>
                    <w:noProof w:val="0"/>
                    <w:sz w:val="26"/>
                    <w:szCs w:val="26"/>
                    <w:rtl/>
                  </w:rPr>
                  <w:t>י</w:t>
                </w:r>
                <w:r w:rsidR="00AD6838">
                  <w:rPr>
                    <w:rFonts w:ascii="Arial" w:hAnsi="Arial" w:hint="cs"/>
                    <w:b/>
                    <w:bCs/>
                    <w:noProof w:val="0"/>
                    <w:sz w:val="26"/>
                    <w:szCs w:val="26"/>
                    <w:rtl/>
                  </w:rPr>
                  <w:t>שראל כהנא</w:t>
                </w:r>
              </w:sdtContent>
            </w:sdt>
          </w:p>
          <w:p w14:paraId="4F5C2F6C" w14:textId="77777777" w:rsidR="00B02C76" w:rsidRPr="007F09CE" w:rsidRDefault="00B02C76" w:rsidP="007F09CE">
            <w:pPr>
              <w:rPr>
                <w:sz w:val="26"/>
                <w:szCs w:val="26"/>
                <w:rtl/>
              </w:rPr>
            </w:pPr>
          </w:p>
        </w:tc>
      </w:tr>
    </w:tbl>
    <w:p w14:paraId="3680EE7C" w14:textId="77777777" w:rsidR="00AD6838" w:rsidRPr="00AD6838" w:rsidRDefault="00151396" w:rsidP="00AD6838">
      <w:pPr>
        <w:rPr>
          <w:rtl/>
        </w:rPr>
      </w:pPr>
      <w:r>
        <w:drawing>
          <wp:anchor distT="0" distB="0" distL="114300" distR="114300" simplePos="0" relativeHeight="251658240" behindDoc="1" locked="0" layoutInCell="1" allowOverlap="1" wp14:anchorId="01D221E9" wp14:editId="341156AD">
            <wp:simplePos x="0" y="0"/>
            <wp:positionH relativeFrom="margin">
              <wp:align>right</wp:align>
            </wp:positionH>
            <wp:positionV relativeFrom="paragraph">
              <wp:posOffset>-1414780</wp:posOffset>
            </wp:positionV>
            <wp:extent cx="264160" cy="264160"/>
            <wp:effectExtent l="0" t="0" r="2540" b="2540"/>
            <wp:wrapNone/>
            <wp:docPr id="525065019" name="תמונה 1" descr="מסמך זה הונגש">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מסמך זה הונגש">
                      <a:extLst>
                        <a:ext uri="{C183D7F6-B498-43B3-948B-1728B52AA6E4}">
                          <adec:decorative xmlns:adec="http://schemas.microsoft.com/office/drawing/2017/decorative" val="0"/>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70EF" w:rsidRPr="00AD6838">
        <w:rPr>
          <w:rFonts w:hint="cs"/>
          <w:rtl/>
        </w:rPr>
        <w:t xml:space="preserve">ב"כ  </w:t>
      </w:r>
      <w:r w:rsidR="009170EF" w:rsidRPr="00AD6838">
        <w:rPr>
          <w:rtl/>
        </w:rPr>
        <w:t>התובע בת"א 22191-01-21</w:t>
      </w:r>
      <w:r w:rsidR="009170EF" w:rsidRPr="00AD6838">
        <w:rPr>
          <w:rFonts w:hint="cs"/>
          <w:rtl/>
        </w:rPr>
        <w:t xml:space="preserve"> </w:t>
      </w:r>
      <w:r w:rsidR="009170EF" w:rsidRPr="00AD6838">
        <w:rPr>
          <w:rtl/>
        </w:rPr>
        <w:t>והנתבע בת"א 62657-10-20</w:t>
      </w:r>
      <w:r w:rsidR="009170EF" w:rsidRPr="00AD6838">
        <w:rPr>
          <w:rFonts w:hint="cs"/>
          <w:rtl/>
        </w:rPr>
        <w:t>: עו"ד רון לוינטל</w:t>
      </w:r>
    </w:p>
    <w:p w14:paraId="0B49D8E7" w14:textId="77777777" w:rsidR="00AD6838" w:rsidRPr="00AD6838" w:rsidRDefault="00151396" w:rsidP="00AD6838">
      <w:pPr>
        <w:rPr>
          <w:rtl/>
        </w:rPr>
      </w:pPr>
      <w:r w:rsidRPr="00AD6838">
        <w:rPr>
          <w:rFonts w:hint="cs"/>
          <w:rtl/>
        </w:rPr>
        <w:t xml:space="preserve">ב"כ  </w:t>
      </w:r>
      <w:r w:rsidRPr="00AD6838">
        <w:rPr>
          <w:rtl/>
        </w:rPr>
        <w:t>ה</w:t>
      </w:r>
      <w:r w:rsidRPr="00AD6838">
        <w:rPr>
          <w:rFonts w:hint="cs"/>
          <w:rtl/>
        </w:rPr>
        <w:t xml:space="preserve">נתבע </w:t>
      </w:r>
      <w:r w:rsidRPr="00AD6838">
        <w:rPr>
          <w:rtl/>
        </w:rPr>
        <w:t>בת"א 22191-01-21</w:t>
      </w:r>
      <w:r w:rsidRPr="00AD6838">
        <w:rPr>
          <w:rFonts w:hint="cs"/>
          <w:rtl/>
        </w:rPr>
        <w:t xml:space="preserve"> </w:t>
      </w:r>
      <w:r w:rsidRPr="00AD6838">
        <w:rPr>
          <w:rtl/>
        </w:rPr>
        <w:t>וה</w:t>
      </w:r>
      <w:r w:rsidRPr="00AD6838">
        <w:rPr>
          <w:rFonts w:hint="cs"/>
          <w:rtl/>
        </w:rPr>
        <w:t>תובע</w:t>
      </w:r>
      <w:r w:rsidRPr="00AD6838">
        <w:rPr>
          <w:rtl/>
        </w:rPr>
        <w:t xml:space="preserve"> בת"א 62657-10-20</w:t>
      </w:r>
      <w:r w:rsidRPr="00AD6838">
        <w:rPr>
          <w:rFonts w:hint="cs"/>
          <w:rtl/>
        </w:rPr>
        <w:t>: עו"ד מימון פאר</w:t>
      </w:r>
    </w:p>
    <w:p w14:paraId="2B12BED5" w14:textId="77777777" w:rsidR="00694556" w:rsidRDefault="00151396">
      <w:pPr>
        <w:bidi w:val="0"/>
        <w:spacing w:before="354"/>
        <w:jc w:val="center"/>
        <w:outlineLvl w:val="0"/>
        <w:rPr>
          <w:rFonts w:ascii="Arial" w:hAnsi="Arial"/>
          <w:b/>
          <w:bCs/>
          <w:noProof w:val="0"/>
          <w:sz w:val="28"/>
          <w:szCs w:val="28"/>
          <w:u w:val="single"/>
        </w:rPr>
      </w:pPr>
      <w:r w:rsidRPr="00AD6838">
        <w:rPr>
          <w:rFonts w:ascii="Arial" w:hAnsi="Arial" w:hint="cs"/>
          <w:b/>
          <w:bCs/>
          <w:noProof w:val="0"/>
          <w:sz w:val="36"/>
          <w:szCs w:val="36"/>
          <w:u w:val="single"/>
          <w:rtl/>
        </w:rPr>
        <w:t>פסק דין</w:t>
      </w:r>
    </w:p>
    <w:p w14:paraId="092FAB9A" w14:textId="77777777" w:rsidR="001D5CBE" w:rsidRDefault="00151396" w:rsidP="000903FC">
      <w:pPr>
        <w:spacing w:before="480" w:line="360" w:lineRule="auto"/>
        <w:ind w:left="-706"/>
        <w:jc w:val="both"/>
        <w:outlineLvl w:val="1"/>
        <w:rPr>
          <w:rFonts w:ascii="David" w:hAnsi="David"/>
          <w:b/>
          <w:bCs/>
          <w:sz w:val="28"/>
          <w:szCs w:val="28"/>
          <w:u w:val="single"/>
          <w:rtl/>
        </w:rPr>
      </w:pPr>
      <w:bookmarkStart w:id="0" w:name="NGCSBookmark"/>
      <w:bookmarkEnd w:id="0"/>
      <w:r>
        <w:rPr>
          <w:rFonts w:ascii="David" w:hAnsi="David"/>
          <w:b/>
          <w:bCs/>
          <w:sz w:val="28"/>
          <w:szCs w:val="28"/>
          <w:u w:val="single"/>
          <w:rtl/>
        </w:rPr>
        <w:t xml:space="preserve">חלק ראשון – עניינו של פסק הדין; </w:t>
      </w:r>
      <w:r>
        <w:rPr>
          <w:rFonts w:ascii="David" w:hAnsi="David" w:hint="cs"/>
          <w:b/>
          <w:bCs/>
          <w:sz w:val="28"/>
          <w:szCs w:val="28"/>
          <w:u w:val="single"/>
          <w:rtl/>
        </w:rPr>
        <w:t xml:space="preserve">מי ומי בהליך ותיאור </w:t>
      </w:r>
      <w:r>
        <w:rPr>
          <w:rFonts w:ascii="David" w:hAnsi="David"/>
          <w:b/>
          <w:bCs/>
          <w:sz w:val="28"/>
          <w:szCs w:val="28"/>
          <w:u w:val="single"/>
          <w:rtl/>
        </w:rPr>
        <w:t>תמצית המחלוקת; תוצאת פסק הדין</w:t>
      </w:r>
    </w:p>
    <w:p w14:paraId="04D6EB98" w14:textId="77777777" w:rsidR="001D5CBE" w:rsidRDefault="00151396" w:rsidP="000903FC">
      <w:pPr>
        <w:pStyle w:val="ad"/>
        <w:numPr>
          <w:ilvl w:val="0"/>
          <w:numId w:val="1"/>
        </w:numPr>
        <w:spacing w:after="120" w:line="360" w:lineRule="auto"/>
        <w:ind w:left="-173" w:hanging="533"/>
        <w:jc w:val="both"/>
        <w:outlineLvl w:val="2"/>
        <w:rPr>
          <w:rFonts w:ascii="David" w:hAnsi="David" w:cs="David"/>
          <w:sz w:val="26"/>
          <w:szCs w:val="26"/>
          <w:rtl/>
        </w:rPr>
      </w:pPr>
      <w:bookmarkStart w:id="1" w:name="_Hlk193970288"/>
      <w:r>
        <w:rPr>
          <w:rFonts w:ascii="David" w:hAnsi="David" w:cs="David"/>
          <w:b/>
          <w:bCs/>
          <w:sz w:val="26"/>
          <w:szCs w:val="26"/>
          <w:u w:val="single"/>
          <w:rtl/>
        </w:rPr>
        <w:t>עניינו של פסק הדין</w:t>
      </w:r>
    </w:p>
    <w:p w14:paraId="4418E5FC" w14:textId="77777777" w:rsidR="001D5CBE" w:rsidRDefault="00151396" w:rsidP="000D3D31">
      <w:pPr>
        <w:pStyle w:val="ad"/>
        <w:numPr>
          <w:ilvl w:val="1"/>
          <w:numId w:val="1"/>
        </w:numPr>
        <w:spacing w:after="240" w:line="360" w:lineRule="auto"/>
        <w:ind w:left="425" w:hanging="567"/>
        <w:jc w:val="both"/>
        <w:rPr>
          <w:rFonts w:ascii="David" w:hAnsi="David" w:cs="David"/>
          <w:sz w:val="24"/>
          <w:szCs w:val="24"/>
        </w:rPr>
      </w:pPr>
      <w:r>
        <w:rPr>
          <w:rFonts w:ascii="David" w:hAnsi="David" w:cs="David"/>
          <w:sz w:val="24"/>
          <w:szCs w:val="24"/>
          <w:rtl/>
        </w:rPr>
        <w:t xml:space="preserve">עניינו של פסק הדין הוא טענות לניגוד עניינים והתנהלות בפרויקט התחדשות עירונית </w:t>
      </w:r>
      <w:r>
        <w:rPr>
          <w:rFonts w:ascii="David" w:hAnsi="David" w:cs="David"/>
          <w:sz w:val="24"/>
          <w:szCs w:val="24"/>
          <w:u w:val="single"/>
          <w:rtl/>
        </w:rPr>
        <w:t>רחב היקף ורחב ממדים</w:t>
      </w:r>
      <w:r>
        <w:rPr>
          <w:rFonts w:ascii="David" w:hAnsi="David" w:cs="David"/>
          <w:sz w:val="24"/>
          <w:szCs w:val="24"/>
          <w:rtl/>
        </w:rPr>
        <w:t xml:space="preserve"> בעיר חולון, הכולל שבעה עשר (17) בניינים ברחוב חנקין ורחוב קדושי ברגן בלזן בעיר. הפרויקט הוא פרויקט פינוי-בינוי וכולל כנטען כ-215 (מאתיים וחמש עשרה) דירות אשר יפונו. בגין התנהלות זו הוגשו שתי תביעות שנדונו יחדיו, ובשתיהן טענות להוצאת לשון הרע. התביעה האחת הוגשה על הסך של 70,000 ₪ והתביעה השניה, על הסך של 300,000 ₪. </w:t>
      </w:r>
    </w:p>
    <w:p w14:paraId="0A3BBE21" w14:textId="77777777" w:rsidR="001D5CBE" w:rsidRDefault="00151396" w:rsidP="000D3D31">
      <w:pPr>
        <w:pStyle w:val="ad"/>
        <w:numPr>
          <w:ilvl w:val="1"/>
          <w:numId w:val="1"/>
        </w:numPr>
        <w:spacing w:before="480" w:line="360" w:lineRule="auto"/>
        <w:ind w:left="425" w:hanging="567"/>
        <w:contextualSpacing w:val="0"/>
        <w:jc w:val="both"/>
        <w:rPr>
          <w:rFonts w:ascii="David" w:hAnsi="David" w:cs="David"/>
          <w:sz w:val="24"/>
          <w:szCs w:val="24"/>
        </w:rPr>
      </w:pPr>
      <w:r>
        <w:rPr>
          <w:rFonts w:ascii="David" w:hAnsi="David" w:cs="David"/>
          <w:sz w:val="24"/>
          <w:szCs w:val="24"/>
          <w:rtl/>
        </w:rPr>
        <w:t xml:space="preserve">התביעות הוגשו אמנם בטענה להוצאת לשון הרע, ואולם ההכרעה בהן תעסוק בסוגיות של ניגוד עניינים וכן </w:t>
      </w:r>
      <w:r>
        <w:rPr>
          <w:rFonts w:ascii="David" w:hAnsi="David" w:cs="David"/>
          <w:sz w:val="24"/>
          <w:szCs w:val="24"/>
          <w:rtl/>
        </w:rPr>
        <w:t>תתייחס להתנהלות במסגרת פרויקט ההתחדשות העירונית. למען הסר ספק, יובהר שההתייחסות לסוגיות ההתחדשות העירונית תוגבל למחלוקת שהובאה כאן ולא יהיה בה כדי להכריע, כמובן, במחלוקות שונות הנוגעות לפרויקט. כך בכלל וכך בוודאי כאשר ההליך הוא בין בעלי הדין כאן ולא נטלו בו חלק כבעלי דין - החברה היזמית, בעלי הדירות האחרות בפרויקט ועוד.</w:t>
      </w:r>
    </w:p>
    <w:p w14:paraId="30F9B9B4" w14:textId="77777777" w:rsidR="00B73B10" w:rsidRDefault="00151396" w:rsidP="000D3D31">
      <w:pPr>
        <w:pStyle w:val="ad"/>
        <w:numPr>
          <w:ilvl w:val="1"/>
          <w:numId w:val="1"/>
        </w:numPr>
        <w:spacing w:before="480" w:line="360" w:lineRule="auto"/>
        <w:ind w:left="425" w:hanging="567"/>
        <w:contextualSpacing w:val="0"/>
        <w:jc w:val="both"/>
        <w:rPr>
          <w:rFonts w:ascii="David" w:hAnsi="David" w:cs="David"/>
          <w:sz w:val="24"/>
          <w:szCs w:val="24"/>
          <w:rtl/>
        </w:rPr>
      </w:pPr>
      <w:r>
        <w:rPr>
          <w:rFonts w:ascii="David" w:hAnsi="David" w:cs="David"/>
          <w:sz w:val="24"/>
          <w:szCs w:val="24"/>
          <w:rtl/>
        </w:rPr>
        <w:t>ועוד הערה תאמר כבר בתחילה. עניינו של ההליך הוא התנהלותו של ד"ר יחיאל סופר כשלוח של חברה יזמית (</w:t>
      </w:r>
      <w:r>
        <w:rPr>
          <w:rFonts w:ascii="David" w:hAnsi="David" w:cs="David"/>
          <w:b/>
          <w:bCs/>
          <w:sz w:val="24"/>
          <w:szCs w:val="24"/>
          <w:rtl/>
        </w:rPr>
        <w:t>"חברת שפיר"</w:t>
      </w:r>
      <w:r>
        <w:rPr>
          <w:rFonts w:ascii="David" w:hAnsi="David" w:cs="David"/>
          <w:sz w:val="24"/>
          <w:szCs w:val="24"/>
          <w:rtl/>
        </w:rPr>
        <w:t>)</w:t>
      </w:r>
      <w:r>
        <w:rPr>
          <w:rFonts w:ascii="David" w:hAnsi="David" w:cs="David" w:hint="cs"/>
          <w:sz w:val="24"/>
          <w:szCs w:val="24"/>
          <w:rtl/>
        </w:rPr>
        <w:t>,</w:t>
      </w:r>
      <w:r>
        <w:rPr>
          <w:rFonts w:ascii="David" w:hAnsi="David" w:cs="David"/>
          <w:sz w:val="24"/>
          <w:szCs w:val="24"/>
          <w:rtl/>
        </w:rPr>
        <w:t xml:space="preserve"> הפועל עבורה ומקבל ממנה תמורה בעבור החתמת בעלי זכויות במאות הדירות שבפרויקט. ד"ר סופר, כדבריו, נבחר כנציג הדיירים חודשיים לאחר שנקשר בהסכם עם חברת שפיר [ור' סעיף 2.2(ב) להלן].</w:t>
      </w:r>
      <w:r>
        <w:rPr>
          <w:rFonts w:ascii="David" w:hAnsi="David" w:cs="David" w:hint="cs"/>
          <w:sz w:val="24"/>
          <w:szCs w:val="24"/>
          <w:rtl/>
        </w:rPr>
        <w:t xml:space="preserve"> אין כל פסול בכך שד"ר סופר יהיה שלוח של חברת שפיר, אך בוודאי שכשלוח של חברת שפיר, לא מופרך יהיה לטעון שנאמנותו היא לחברת שפיר ומכאן על פניו תקום ניגוד עניינים כאשר נאמנות זו תוצב אל מול הנאמנות לבעלי הדירות.</w:t>
      </w:r>
    </w:p>
    <w:p w14:paraId="7755ED54" w14:textId="77777777" w:rsidR="001D5CBE" w:rsidRDefault="00151396" w:rsidP="000D3D31">
      <w:pPr>
        <w:pStyle w:val="ad"/>
        <w:spacing w:before="480" w:line="360" w:lineRule="auto"/>
        <w:ind w:left="425"/>
        <w:contextualSpacing w:val="0"/>
        <w:jc w:val="both"/>
        <w:rPr>
          <w:rFonts w:ascii="David" w:hAnsi="David" w:cs="David"/>
          <w:sz w:val="24"/>
          <w:szCs w:val="24"/>
          <w:rtl/>
        </w:rPr>
      </w:pPr>
      <w:r>
        <w:rPr>
          <w:rFonts w:ascii="David" w:hAnsi="David" w:cs="David"/>
          <w:sz w:val="24"/>
          <w:szCs w:val="24"/>
          <w:rtl/>
        </w:rPr>
        <w:t xml:space="preserve">אמנם </w:t>
      </w:r>
      <w:r>
        <w:rPr>
          <w:rFonts w:ascii="David" w:hAnsi="David" w:cs="David"/>
          <w:sz w:val="24"/>
          <w:szCs w:val="24"/>
          <w:u w:val="single"/>
          <w:rtl/>
        </w:rPr>
        <w:t>נכון הוא שברגיל, בעלי מקצוע</w:t>
      </w:r>
      <w:r>
        <w:rPr>
          <w:rFonts w:ascii="David" w:hAnsi="David" w:cs="David"/>
          <w:sz w:val="24"/>
          <w:szCs w:val="24"/>
          <w:rtl/>
        </w:rPr>
        <w:t xml:space="preserve"> בפרויקט התחדשות עירונית כגון עורכי דין או אדריכלים – </w:t>
      </w:r>
      <w:r>
        <w:rPr>
          <w:rFonts w:ascii="David" w:hAnsi="David" w:cs="David"/>
          <w:sz w:val="24"/>
          <w:szCs w:val="24"/>
          <w:u w:val="single"/>
          <w:rtl/>
        </w:rPr>
        <w:t>מקבלים את שכרם מהחברה היזמית</w:t>
      </w:r>
      <w:r>
        <w:rPr>
          <w:rFonts w:ascii="David" w:hAnsi="David" w:cs="David"/>
          <w:sz w:val="24"/>
          <w:szCs w:val="24"/>
          <w:rtl/>
        </w:rPr>
        <w:t xml:space="preserve">. ואולם בעניינינו  ד"ר סופר אינו עורך הדין המטפל בפרויקט וגם אינו אדריכל. ד"ר סופר הוא מי שמונה על ידי חברת שפיר על מנת להביא אליה (אל חברת שפיר) </w:t>
      </w:r>
      <w:r>
        <w:rPr>
          <w:rFonts w:ascii="David" w:hAnsi="David" w:cs="David"/>
          <w:sz w:val="24"/>
          <w:szCs w:val="24"/>
          <w:rtl/>
        </w:rPr>
        <w:lastRenderedPageBreak/>
        <w:t xml:space="preserve">את בעלי הזכויות בפרויקט. מכאן גם תתקבל בסופו של פסק הדין הקביעה לפיה התנהלותו של ד"ר סופר, במלוא הכבוד, הציבה אותו בניגוד עניינים מובנה. </w:t>
      </w:r>
    </w:p>
    <w:p w14:paraId="367E9F89" w14:textId="77777777" w:rsidR="001D5CBE" w:rsidRDefault="00151396" w:rsidP="001D5CBE">
      <w:pPr>
        <w:pStyle w:val="ad"/>
        <w:spacing w:before="354" w:line="360" w:lineRule="auto"/>
        <w:ind w:left="425"/>
        <w:contextualSpacing w:val="0"/>
        <w:jc w:val="both"/>
        <w:rPr>
          <w:rFonts w:ascii="David" w:hAnsi="David" w:cs="David"/>
          <w:sz w:val="24"/>
          <w:szCs w:val="24"/>
          <w:rtl/>
        </w:rPr>
      </w:pPr>
      <w:r>
        <w:rPr>
          <w:rFonts w:ascii="David" w:hAnsi="David" w:cs="David"/>
          <w:sz w:val="24"/>
          <w:szCs w:val="24"/>
          <w:rtl/>
        </w:rPr>
        <w:t xml:space="preserve">ד"ר סופר </w:t>
      </w:r>
      <w:r>
        <w:rPr>
          <w:rFonts w:ascii="David" w:hAnsi="David" w:cs="David"/>
          <w:sz w:val="24"/>
          <w:szCs w:val="24"/>
          <w:u w:val="single"/>
          <w:rtl/>
        </w:rPr>
        <w:t>לא מונה</w:t>
      </w:r>
      <w:r>
        <w:rPr>
          <w:rFonts w:ascii="David" w:hAnsi="David" w:cs="David"/>
          <w:sz w:val="24"/>
          <w:szCs w:val="24"/>
          <w:rtl/>
        </w:rPr>
        <w:t xml:space="preserve"> דווקא על מנת לקדם את הפרויקט כשלעצמו, וזאת בניגוד למינויים דומים של אדריכל או עורכי דין – אלא מונה ומקבל תמורה מחברת שפיר על מנת לוודא שהפרויקט יקודם </w:t>
      </w:r>
      <w:r>
        <w:rPr>
          <w:rFonts w:ascii="David" w:hAnsi="David" w:cs="David"/>
          <w:sz w:val="24"/>
          <w:szCs w:val="24"/>
          <w:u w:val="single"/>
          <w:rtl/>
        </w:rPr>
        <w:t>אך ורק עבור חברת שפיר</w:t>
      </w:r>
      <w:r>
        <w:rPr>
          <w:rFonts w:ascii="David" w:hAnsi="David" w:cs="David"/>
          <w:sz w:val="24"/>
          <w:szCs w:val="24"/>
          <w:rtl/>
        </w:rPr>
        <w:t>. ככל שכך לא ייעשה, וככל שאפילו ינהל מו"מ עם חברה שאינה חברת שפיר אזי תישלל מד"ר סופר כל התמורה בגין הפרויקט; הוא ייאלץ להשיב לחברת שפיר כל סכום שקיבל בתוספת הצמדה למדד וריבית שנתית של 7%; ובנוסף "ייקנס" בסך של 150,000 ₪ ויהיה צפוי לתביעות נוספות. על כל אלה עוד יורחב בהמשך פסק הדין. לענין זה ניתן לפנות כבר עתה לפרקי הדיון וההכרעה ב</w:t>
      </w:r>
      <w:r>
        <w:rPr>
          <w:rFonts w:ascii="David" w:hAnsi="David" w:cs="David"/>
          <w:sz w:val="24"/>
          <w:szCs w:val="24"/>
          <w:rtl/>
        </w:rPr>
        <w:t xml:space="preserve">הליך – החל מסעיף 7 ואילך.    </w:t>
      </w:r>
    </w:p>
    <w:p w14:paraId="32BB1387" w14:textId="77777777" w:rsidR="001D5CBE" w:rsidRDefault="00151396" w:rsidP="003E5F21">
      <w:pPr>
        <w:pStyle w:val="ad"/>
        <w:numPr>
          <w:ilvl w:val="0"/>
          <w:numId w:val="1"/>
        </w:numPr>
        <w:spacing w:before="354" w:line="360" w:lineRule="auto"/>
        <w:ind w:left="-173" w:hanging="533"/>
        <w:contextualSpacing w:val="0"/>
        <w:jc w:val="both"/>
        <w:outlineLvl w:val="2"/>
        <w:rPr>
          <w:rFonts w:ascii="David" w:hAnsi="David" w:cs="David"/>
          <w:sz w:val="24"/>
          <w:szCs w:val="24"/>
        </w:rPr>
      </w:pPr>
      <w:r>
        <w:rPr>
          <w:rFonts w:ascii="David" w:hAnsi="David" w:cs="David" w:hint="cs"/>
          <w:b/>
          <w:bCs/>
          <w:sz w:val="24"/>
          <w:szCs w:val="24"/>
          <w:u w:val="single"/>
          <w:rtl/>
        </w:rPr>
        <w:t xml:space="preserve">מי ומי בהליך ותיאור </w:t>
      </w:r>
      <w:r>
        <w:rPr>
          <w:rFonts w:ascii="David" w:hAnsi="David" w:cs="David"/>
          <w:b/>
          <w:bCs/>
          <w:sz w:val="24"/>
          <w:szCs w:val="24"/>
          <w:u w:val="single"/>
          <w:rtl/>
        </w:rPr>
        <w:t>תמצית המחלוקת</w:t>
      </w:r>
    </w:p>
    <w:p w14:paraId="4DE8E3D4" w14:textId="77777777" w:rsidR="001D5CBE" w:rsidRDefault="00151396" w:rsidP="003E5F21">
      <w:pPr>
        <w:pStyle w:val="ad"/>
        <w:numPr>
          <w:ilvl w:val="1"/>
          <w:numId w:val="1"/>
        </w:numPr>
        <w:spacing w:line="360" w:lineRule="auto"/>
        <w:ind w:left="418" w:hanging="562"/>
        <w:jc w:val="both"/>
        <w:outlineLvl w:val="3"/>
        <w:rPr>
          <w:rFonts w:ascii="David" w:hAnsi="David" w:cs="David"/>
          <w:sz w:val="24"/>
          <w:szCs w:val="24"/>
        </w:rPr>
      </w:pPr>
      <w:r>
        <w:rPr>
          <w:rFonts w:ascii="David" w:hAnsi="David" w:cs="David"/>
          <w:b/>
          <w:bCs/>
          <w:sz w:val="24"/>
          <w:szCs w:val="24"/>
          <w:u w:val="single"/>
          <w:rtl/>
        </w:rPr>
        <w:t>התייחסות לחברת שפיר, שאינה בעלת דין כאן</w:t>
      </w:r>
    </w:p>
    <w:p w14:paraId="7A792849" w14:textId="77777777" w:rsidR="001D5CBE" w:rsidRDefault="00151396" w:rsidP="001D5CBE">
      <w:pPr>
        <w:pStyle w:val="ad"/>
        <w:spacing w:line="360" w:lineRule="auto"/>
        <w:ind w:left="425"/>
        <w:jc w:val="both"/>
        <w:rPr>
          <w:rFonts w:ascii="David" w:hAnsi="David" w:cs="David"/>
          <w:sz w:val="24"/>
          <w:szCs w:val="24"/>
        </w:rPr>
      </w:pPr>
      <w:r>
        <w:rPr>
          <w:rFonts w:ascii="David" w:hAnsi="David" w:cs="David"/>
          <w:sz w:val="24"/>
          <w:szCs w:val="24"/>
          <w:rtl/>
        </w:rPr>
        <w:t xml:space="preserve">חברת שפיר מגורים ובנין בע"מ (להלן: </w:t>
      </w:r>
      <w:r>
        <w:rPr>
          <w:rFonts w:ascii="David" w:hAnsi="David" w:cs="David"/>
          <w:b/>
          <w:bCs/>
          <w:sz w:val="24"/>
          <w:szCs w:val="24"/>
          <w:rtl/>
        </w:rPr>
        <w:t>"שפיר"</w:t>
      </w:r>
      <w:r>
        <w:rPr>
          <w:rFonts w:ascii="David" w:hAnsi="David" w:cs="David"/>
          <w:sz w:val="24"/>
          <w:szCs w:val="24"/>
          <w:rtl/>
        </w:rPr>
        <w:t xml:space="preserve">) יזמה בשנת 2013 פרויקט פינוי בינוי במתחם חנקין – קדושי ברגן בלזן בעיר חולון, על כך הצהיר מר גד גרשון, סמנכ"ל ייזום ואחראי על תחום הפינוי-בינוי בחברת שפיר (ר' סעיף 4 לתצהיר עדותו הראשית). חברת שפיר אינה צד להליך כאן, ואולם עניינה עלה רבות ועומד בבסיס המחלוקת בין הצדדים. ד"ר סופר, המלין על כך שייחסו לו ניגוד עניינים – הוא הלכה למעשה שלוח של שפיר או כפי שיוגדר בהמשך - "איש של שפיר". כך על פניו, ובהתאם להסכם שנחתם עימו ור' סעיף 2.2 להלן ובעיקר הדיון הנרחב בסעיף 9 להלן. </w:t>
      </w:r>
    </w:p>
    <w:p w14:paraId="150B646B" w14:textId="77777777" w:rsidR="001D5CBE" w:rsidRDefault="00151396" w:rsidP="003E5F21">
      <w:pPr>
        <w:pStyle w:val="ad"/>
        <w:numPr>
          <w:ilvl w:val="1"/>
          <w:numId w:val="1"/>
        </w:numPr>
        <w:spacing w:before="354" w:line="360" w:lineRule="auto"/>
        <w:ind w:left="418" w:hanging="562"/>
        <w:contextualSpacing w:val="0"/>
        <w:jc w:val="both"/>
        <w:outlineLvl w:val="3"/>
        <w:rPr>
          <w:rFonts w:ascii="David" w:hAnsi="David" w:cs="David"/>
          <w:sz w:val="24"/>
          <w:szCs w:val="24"/>
        </w:rPr>
      </w:pPr>
      <w:r>
        <w:rPr>
          <w:rFonts w:ascii="David" w:hAnsi="David" w:cs="David"/>
          <w:b/>
          <w:bCs/>
          <w:sz w:val="24"/>
          <w:szCs w:val="24"/>
          <w:u w:val="single"/>
          <w:rtl/>
        </w:rPr>
        <w:t>ד"ר סופר והקשר בינו לבין חברת שפיר</w:t>
      </w:r>
    </w:p>
    <w:p w14:paraId="711825EC" w14:textId="77777777" w:rsidR="001D5CBE" w:rsidRDefault="00151396" w:rsidP="001D5CBE">
      <w:pPr>
        <w:pStyle w:val="ad"/>
        <w:numPr>
          <w:ilvl w:val="0"/>
          <w:numId w:val="2"/>
        </w:numPr>
        <w:spacing w:line="360" w:lineRule="auto"/>
        <w:jc w:val="both"/>
        <w:rPr>
          <w:rFonts w:ascii="David" w:hAnsi="David" w:cs="David"/>
          <w:sz w:val="24"/>
          <w:szCs w:val="24"/>
        </w:rPr>
      </w:pPr>
      <w:r>
        <w:rPr>
          <w:rFonts w:ascii="David" w:hAnsi="David" w:cs="David"/>
          <w:sz w:val="24"/>
          <w:szCs w:val="24"/>
          <w:rtl/>
        </w:rPr>
        <w:t xml:space="preserve"> </w:t>
      </w:r>
      <w:r>
        <w:rPr>
          <w:rFonts w:ascii="David" w:hAnsi="David" w:cs="David" w:hint="cs"/>
          <w:b/>
          <w:bCs/>
          <w:sz w:val="24"/>
          <w:szCs w:val="24"/>
          <w:u w:val="single"/>
          <w:rtl/>
        </w:rPr>
        <w:t>הסכם בין חברת שפיר לבין ד"ר סופר</w:t>
      </w:r>
    </w:p>
    <w:p w14:paraId="4673D2C2" w14:textId="77777777" w:rsidR="001D5CBE" w:rsidRDefault="00151396" w:rsidP="001D5CBE">
      <w:pPr>
        <w:pStyle w:val="ad"/>
        <w:spacing w:line="360" w:lineRule="auto"/>
        <w:ind w:left="850"/>
        <w:jc w:val="both"/>
        <w:rPr>
          <w:rFonts w:ascii="David" w:hAnsi="David" w:cs="David"/>
          <w:sz w:val="24"/>
          <w:szCs w:val="24"/>
        </w:rPr>
      </w:pPr>
      <w:r>
        <w:rPr>
          <w:rFonts w:ascii="David" w:hAnsi="David" w:cs="David"/>
          <w:sz w:val="24"/>
          <w:szCs w:val="24"/>
          <w:rtl/>
        </w:rPr>
        <w:t xml:space="preserve">בחודש </w:t>
      </w:r>
      <w:r>
        <w:rPr>
          <w:rFonts w:ascii="David" w:hAnsi="David" w:cs="David"/>
          <w:b/>
          <w:bCs/>
          <w:sz w:val="24"/>
          <w:szCs w:val="24"/>
          <w:u w:val="single"/>
          <w:rtl/>
        </w:rPr>
        <w:t>ספטמבר</w:t>
      </w:r>
      <w:r>
        <w:rPr>
          <w:rFonts w:ascii="David" w:hAnsi="David" w:cs="David"/>
          <w:sz w:val="24"/>
          <w:szCs w:val="24"/>
          <w:rtl/>
        </w:rPr>
        <w:t xml:space="preserve"> 2014, ולמעשה ביום 21/9/2014 נקשר הסכם למתן שירותים בין שפיר לבין חברת שיא דיפנס בע"מ – חברה בבעלותו ובניהולו של ד"ר יחיאל (חיליק) סופר (החברה וכן בעליה ייקראו </w:t>
      </w:r>
      <w:r w:rsidR="00870E0D">
        <w:rPr>
          <w:rFonts w:ascii="David" w:hAnsi="David" w:cs="David" w:hint="cs"/>
          <w:sz w:val="24"/>
          <w:szCs w:val="24"/>
          <w:rtl/>
        </w:rPr>
        <w:t>לעיל ו</w:t>
      </w:r>
      <w:r>
        <w:rPr>
          <w:rFonts w:ascii="David" w:hAnsi="David" w:cs="David"/>
          <w:sz w:val="24"/>
          <w:szCs w:val="24"/>
          <w:rtl/>
        </w:rPr>
        <w:t xml:space="preserve">להלן: </w:t>
      </w:r>
      <w:r>
        <w:rPr>
          <w:rFonts w:ascii="David" w:hAnsi="David" w:cs="David"/>
          <w:b/>
          <w:bCs/>
          <w:sz w:val="24"/>
          <w:szCs w:val="24"/>
          <w:rtl/>
        </w:rPr>
        <w:t>"ד"ר סופר"</w:t>
      </w:r>
      <w:r>
        <w:rPr>
          <w:rFonts w:ascii="David" w:hAnsi="David" w:cs="David"/>
          <w:sz w:val="24"/>
          <w:szCs w:val="24"/>
          <w:rtl/>
        </w:rPr>
        <w:t xml:space="preserve">). במסגרת ההסכם למתן שירותים, הוגדר ד"ר סופר כמי שהוצע על ידי נציגות בעלי הדירות לשמש </w:t>
      </w:r>
      <w:r>
        <w:rPr>
          <w:rFonts w:ascii="David" w:hAnsi="David" w:cs="David"/>
          <w:b/>
          <w:bCs/>
          <w:sz w:val="24"/>
          <w:szCs w:val="24"/>
          <w:rtl/>
        </w:rPr>
        <w:t>"כמנהל הפרויקט מטעמם ומארגן הטיפול  בהחתמת בעלי הזכויות"</w:t>
      </w:r>
      <w:r>
        <w:rPr>
          <w:rFonts w:ascii="David" w:hAnsi="David" w:cs="David"/>
          <w:sz w:val="24"/>
          <w:szCs w:val="24"/>
          <w:rtl/>
        </w:rPr>
        <w:t>.</w:t>
      </w:r>
    </w:p>
    <w:p w14:paraId="64693869" w14:textId="77777777" w:rsidR="001D5CBE" w:rsidRDefault="00151396" w:rsidP="003E5F21">
      <w:pPr>
        <w:pStyle w:val="ad"/>
        <w:numPr>
          <w:ilvl w:val="0"/>
          <w:numId w:val="2"/>
        </w:numPr>
        <w:spacing w:before="354" w:line="360" w:lineRule="auto"/>
        <w:ind w:left="792"/>
        <w:contextualSpacing w:val="0"/>
        <w:jc w:val="both"/>
        <w:rPr>
          <w:rFonts w:ascii="David" w:hAnsi="David" w:cs="David"/>
          <w:sz w:val="24"/>
          <w:szCs w:val="24"/>
        </w:rPr>
      </w:pPr>
      <w:r>
        <w:rPr>
          <w:rFonts w:ascii="David" w:hAnsi="David" w:cs="David"/>
          <w:b/>
          <w:bCs/>
          <w:sz w:val="24"/>
          <w:szCs w:val="24"/>
          <w:u w:val="single"/>
          <w:rtl/>
        </w:rPr>
        <w:t>ד"ר סופר</w:t>
      </w:r>
      <w:r>
        <w:rPr>
          <w:rFonts w:ascii="David" w:hAnsi="David" w:cs="David" w:hint="cs"/>
          <w:b/>
          <w:bCs/>
          <w:sz w:val="24"/>
          <w:szCs w:val="24"/>
          <w:u w:val="single"/>
          <w:rtl/>
        </w:rPr>
        <w:t xml:space="preserve"> חותם על הסכם עם שפיר בספטמבר 2014 וממונה על ידי הדיירים, כדבריו, רק בנובמבר 2014</w:t>
      </w:r>
    </w:p>
    <w:p w14:paraId="33A60F7A" w14:textId="77777777" w:rsidR="001D5CBE" w:rsidRDefault="00151396" w:rsidP="001D5CBE">
      <w:pPr>
        <w:pStyle w:val="ad"/>
        <w:spacing w:line="360" w:lineRule="auto"/>
        <w:ind w:left="850"/>
        <w:jc w:val="both"/>
        <w:rPr>
          <w:rFonts w:ascii="David" w:hAnsi="David" w:cs="David"/>
          <w:sz w:val="24"/>
          <w:szCs w:val="24"/>
        </w:rPr>
      </w:pPr>
      <w:r>
        <w:rPr>
          <w:rFonts w:ascii="David" w:hAnsi="David" w:cs="David"/>
          <w:sz w:val="24"/>
          <w:szCs w:val="24"/>
          <w:rtl/>
        </w:rPr>
        <w:t>כבר מיד ייאמר</w:t>
      </w:r>
      <w:r w:rsidR="00E317A3">
        <w:rPr>
          <w:rFonts w:ascii="David" w:hAnsi="David" w:cs="David" w:hint="cs"/>
          <w:sz w:val="24"/>
          <w:szCs w:val="24"/>
          <w:rtl/>
        </w:rPr>
        <w:t>ו</w:t>
      </w:r>
      <w:r>
        <w:rPr>
          <w:rFonts w:ascii="David" w:hAnsi="David" w:cs="David"/>
          <w:sz w:val="24"/>
          <w:szCs w:val="24"/>
          <w:rtl/>
        </w:rPr>
        <w:t xml:space="preserve"> שתי הערות באשר להסכם בו התחייב ד"ר סופר להעניק שירותים לחברת שפיר:</w:t>
      </w:r>
    </w:p>
    <w:p w14:paraId="04AC946A" w14:textId="77777777" w:rsidR="001D5CBE" w:rsidRDefault="00151396" w:rsidP="001D5CBE">
      <w:pPr>
        <w:pStyle w:val="ad"/>
        <w:numPr>
          <w:ilvl w:val="0"/>
          <w:numId w:val="3"/>
        </w:numPr>
        <w:spacing w:line="360" w:lineRule="auto"/>
        <w:ind w:left="1275"/>
        <w:jc w:val="both"/>
        <w:rPr>
          <w:rFonts w:ascii="David" w:hAnsi="David" w:cs="David"/>
          <w:sz w:val="24"/>
          <w:szCs w:val="24"/>
        </w:rPr>
      </w:pPr>
      <w:r>
        <w:rPr>
          <w:rFonts w:ascii="David" w:hAnsi="David" w:cs="David"/>
          <w:b/>
          <w:bCs/>
          <w:sz w:val="24"/>
          <w:szCs w:val="24"/>
          <w:u w:val="single"/>
          <w:rtl/>
        </w:rPr>
        <w:t>ראשית</w:t>
      </w:r>
      <w:r w:rsidR="009B33AE">
        <w:rPr>
          <w:rFonts w:ascii="David" w:hAnsi="David" w:cs="David"/>
          <w:sz w:val="24"/>
          <w:szCs w:val="24"/>
          <w:rtl/>
        </w:rPr>
        <w:t xml:space="preserve">, </w:t>
      </w:r>
      <w:r>
        <w:rPr>
          <w:rFonts w:ascii="David" w:hAnsi="David" w:cs="David"/>
          <w:sz w:val="24"/>
          <w:szCs w:val="24"/>
          <w:rtl/>
        </w:rPr>
        <w:t xml:space="preserve">לטעמו של מר ישראל כהנא (להלן: </w:t>
      </w:r>
      <w:r w:rsidRPr="00870E0D">
        <w:rPr>
          <w:rFonts w:ascii="David" w:hAnsi="David" w:cs="David"/>
          <w:b/>
          <w:bCs/>
          <w:sz w:val="24"/>
          <w:szCs w:val="24"/>
          <w:rtl/>
        </w:rPr>
        <w:t>"מר כהנא"</w:t>
      </w:r>
      <w:r>
        <w:rPr>
          <w:rFonts w:ascii="David" w:hAnsi="David" w:cs="David"/>
          <w:sz w:val="24"/>
          <w:szCs w:val="24"/>
          <w:rtl/>
        </w:rPr>
        <w:t>) – ד"ר סופר לא נבחר על ידי הדיירים. עוד ייאמר שלא נמצא פרוטוקול מסודר ובו הליך בחירה, תוצאות הב</w:t>
      </w:r>
      <w:r w:rsidR="009B33AE">
        <w:rPr>
          <w:rFonts w:ascii="David" w:hAnsi="David" w:cs="David" w:hint="cs"/>
          <w:sz w:val="24"/>
          <w:szCs w:val="24"/>
          <w:rtl/>
        </w:rPr>
        <w:t>ח</w:t>
      </w:r>
      <w:r>
        <w:rPr>
          <w:rFonts w:ascii="David" w:hAnsi="David" w:cs="David"/>
          <w:sz w:val="24"/>
          <w:szCs w:val="24"/>
          <w:rtl/>
        </w:rPr>
        <w:t>ירה, מספר הדיירים שבחרו בד"ר סופר כמנהל ועוד.</w:t>
      </w:r>
    </w:p>
    <w:p w14:paraId="6BC658DB" w14:textId="77777777" w:rsidR="001D5CBE" w:rsidRDefault="00151396" w:rsidP="00E317A3">
      <w:pPr>
        <w:pStyle w:val="ad"/>
        <w:numPr>
          <w:ilvl w:val="0"/>
          <w:numId w:val="3"/>
        </w:numPr>
        <w:spacing w:before="354" w:line="360" w:lineRule="auto"/>
        <w:ind w:left="1275"/>
        <w:contextualSpacing w:val="0"/>
        <w:jc w:val="both"/>
        <w:rPr>
          <w:rFonts w:ascii="David" w:hAnsi="David" w:cs="David"/>
          <w:sz w:val="24"/>
          <w:szCs w:val="24"/>
        </w:rPr>
      </w:pPr>
      <w:r>
        <w:rPr>
          <w:rFonts w:ascii="David" w:hAnsi="David" w:cs="David"/>
          <w:b/>
          <w:bCs/>
          <w:sz w:val="24"/>
          <w:szCs w:val="24"/>
          <w:u w:val="single"/>
          <w:rtl/>
        </w:rPr>
        <w:lastRenderedPageBreak/>
        <w:t>שנית וחשוב</w:t>
      </w:r>
      <w:r>
        <w:rPr>
          <w:rFonts w:ascii="David" w:hAnsi="David" w:cs="David"/>
          <w:sz w:val="24"/>
          <w:szCs w:val="24"/>
          <w:rtl/>
        </w:rPr>
        <w:t xml:space="preserve">, לדבריו של ד"ר סופר עצמו, הוא נבחר על ידי הדיירים </w:t>
      </w:r>
      <w:r w:rsidR="009B33AE">
        <w:rPr>
          <w:rFonts w:ascii="David" w:hAnsi="David" w:cs="David" w:hint="cs"/>
          <w:sz w:val="24"/>
          <w:szCs w:val="24"/>
          <w:rtl/>
        </w:rPr>
        <w:t xml:space="preserve">רק </w:t>
      </w:r>
      <w:r>
        <w:rPr>
          <w:rFonts w:ascii="David" w:hAnsi="David" w:cs="David"/>
          <w:sz w:val="24"/>
          <w:szCs w:val="24"/>
          <w:rtl/>
        </w:rPr>
        <w:t xml:space="preserve">בחודש </w:t>
      </w:r>
      <w:r>
        <w:rPr>
          <w:rFonts w:ascii="David" w:hAnsi="David" w:cs="David"/>
          <w:b/>
          <w:bCs/>
          <w:sz w:val="24"/>
          <w:szCs w:val="24"/>
          <w:u w:val="single"/>
          <w:rtl/>
        </w:rPr>
        <w:t>נובמבר</w:t>
      </w:r>
      <w:r>
        <w:rPr>
          <w:rFonts w:ascii="David" w:hAnsi="David" w:cs="David"/>
          <w:sz w:val="24"/>
          <w:szCs w:val="24"/>
          <w:rtl/>
        </w:rPr>
        <w:t xml:space="preserve"> 2014  (סעיף 5 לתצהירו). כלומר, אפילו לגרסת</w:t>
      </w:r>
      <w:r w:rsidR="00E317A3">
        <w:rPr>
          <w:rFonts w:ascii="David" w:hAnsi="David" w:cs="David" w:hint="cs"/>
          <w:sz w:val="24"/>
          <w:szCs w:val="24"/>
          <w:rtl/>
        </w:rPr>
        <w:t>ו</w:t>
      </w:r>
      <w:r>
        <w:rPr>
          <w:rFonts w:ascii="David" w:hAnsi="David" w:cs="David"/>
          <w:sz w:val="24"/>
          <w:szCs w:val="24"/>
          <w:rtl/>
        </w:rPr>
        <w:t xml:space="preserve"> </w:t>
      </w:r>
      <w:r w:rsidR="00770E36">
        <w:rPr>
          <w:rFonts w:ascii="David" w:hAnsi="David" w:cs="David"/>
          <w:sz w:val="24"/>
          <w:szCs w:val="24"/>
          <w:rtl/>
        </w:rPr>
        <w:t xml:space="preserve"> - למרות שההסכם ב</w:t>
      </w:r>
      <w:r w:rsidR="00770E36">
        <w:rPr>
          <w:rFonts w:ascii="David" w:hAnsi="David" w:cs="David" w:hint="cs"/>
          <w:sz w:val="24"/>
          <w:szCs w:val="24"/>
          <w:rtl/>
        </w:rPr>
        <w:t>ע</w:t>
      </w:r>
      <w:r>
        <w:rPr>
          <w:rFonts w:ascii="David" w:hAnsi="David" w:cs="David"/>
          <w:sz w:val="24"/>
          <w:szCs w:val="24"/>
          <w:rtl/>
        </w:rPr>
        <w:t xml:space="preserve">ינו לבין שפיר נחתם בחודש </w:t>
      </w:r>
      <w:r>
        <w:rPr>
          <w:rFonts w:ascii="David" w:hAnsi="David" w:cs="David"/>
          <w:b/>
          <w:bCs/>
          <w:sz w:val="24"/>
          <w:szCs w:val="24"/>
          <w:u w:val="single"/>
          <w:rtl/>
        </w:rPr>
        <w:t>ספטמבר</w:t>
      </w:r>
      <w:r>
        <w:rPr>
          <w:rFonts w:ascii="David" w:hAnsi="David" w:cs="David"/>
          <w:sz w:val="24"/>
          <w:szCs w:val="24"/>
          <w:rtl/>
        </w:rPr>
        <w:t xml:space="preserve"> 2014,  הרי הוא נבחר על ידי הדיירים רק</w:t>
      </w:r>
      <w:r w:rsidR="009B33AE">
        <w:rPr>
          <w:rFonts w:ascii="David" w:hAnsi="David" w:cs="David" w:hint="cs"/>
          <w:sz w:val="24"/>
          <w:szCs w:val="24"/>
          <w:rtl/>
        </w:rPr>
        <w:t xml:space="preserve"> לאחריו ו</w:t>
      </w:r>
      <w:r>
        <w:rPr>
          <w:rFonts w:ascii="David" w:hAnsi="David" w:cs="David"/>
          <w:sz w:val="24"/>
          <w:szCs w:val="24"/>
          <w:rtl/>
        </w:rPr>
        <w:t xml:space="preserve">בחודש </w:t>
      </w:r>
      <w:r>
        <w:rPr>
          <w:rFonts w:ascii="David" w:hAnsi="David" w:cs="David"/>
          <w:b/>
          <w:bCs/>
          <w:sz w:val="24"/>
          <w:szCs w:val="24"/>
          <w:u w:val="single"/>
          <w:rtl/>
        </w:rPr>
        <w:t>נובמבר</w:t>
      </w:r>
      <w:r>
        <w:rPr>
          <w:rFonts w:ascii="David" w:hAnsi="David" w:cs="David"/>
          <w:sz w:val="24"/>
          <w:szCs w:val="24"/>
          <w:rtl/>
        </w:rPr>
        <w:t xml:space="preserve"> 2014. למען ההגינות ייאמר שבחודש ספטמבר 2014 הומלץ</w:t>
      </w:r>
      <w:r w:rsidR="009B33AE">
        <w:rPr>
          <w:rFonts w:ascii="David" w:hAnsi="David" w:cs="David" w:hint="cs"/>
          <w:sz w:val="24"/>
          <w:szCs w:val="24"/>
          <w:rtl/>
        </w:rPr>
        <w:t xml:space="preserve"> ד"ר</w:t>
      </w:r>
      <w:r w:rsidR="00E317A3">
        <w:rPr>
          <w:rFonts w:ascii="David" w:hAnsi="David" w:cs="David" w:hint="cs"/>
          <w:sz w:val="24"/>
          <w:szCs w:val="24"/>
          <w:rtl/>
        </w:rPr>
        <w:t xml:space="preserve"> סופר</w:t>
      </w:r>
      <w:r>
        <w:rPr>
          <w:rFonts w:ascii="David" w:hAnsi="David" w:cs="David"/>
          <w:sz w:val="24"/>
          <w:szCs w:val="24"/>
          <w:rtl/>
        </w:rPr>
        <w:t xml:space="preserve"> על ידי הנציגות </w:t>
      </w:r>
      <w:r w:rsidR="00E317A3">
        <w:rPr>
          <w:rFonts w:ascii="David" w:hAnsi="David" w:cs="David" w:hint="cs"/>
          <w:sz w:val="24"/>
          <w:szCs w:val="24"/>
          <w:rtl/>
        </w:rPr>
        <w:t xml:space="preserve">לשמש כמנהל הפרויקט </w:t>
      </w:r>
      <w:r>
        <w:rPr>
          <w:rFonts w:ascii="David" w:hAnsi="David" w:cs="David"/>
          <w:sz w:val="24"/>
          <w:szCs w:val="24"/>
          <w:rtl/>
        </w:rPr>
        <w:t>(כך עולה ל</w:t>
      </w:r>
      <w:r w:rsidR="009B33AE">
        <w:rPr>
          <w:rFonts w:ascii="David" w:hAnsi="David" w:cs="David"/>
          <w:sz w:val="24"/>
          <w:szCs w:val="24"/>
          <w:rtl/>
        </w:rPr>
        <w:t>משל מסעיפים 6-14 לתצהירו של מר</w:t>
      </w:r>
      <w:r w:rsidR="009B33AE">
        <w:rPr>
          <w:rFonts w:ascii="David" w:hAnsi="David" w:cs="David" w:hint="cs"/>
          <w:sz w:val="24"/>
          <w:szCs w:val="24"/>
          <w:rtl/>
        </w:rPr>
        <w:t xml:space="preserve"> </w:t>
      </w:r>
      <w:r>
        <w:rPr>
          <w:rFonts w:ascii="David" w:hAnsi="David" w:cs="David"/>
          <w:sz w:val="24"/>
          <w:szCs w:val="24"/>
          <w:rtl/>
        </w:rPr>
        <w:t xml:space="preserve">ג'קי ביטי, חבר נציגות שהעיד מטעם ד"ר סופר) .  </w:t>
      </w:r>
    </w:p>
    <w:p w14:paraId="334BCC29" w14:textId="77777777" w:rsidR="001D5CBE" w:rsidRDefault="00151396" w:rsidP="003E5F21">
      <w:pPr>
        <w:pStyle w:val="ad"/>
        <w:numPr>
          <w:ilvl w:val="0"/>
          <w:numId w:val="2"/>
        </w:numPr>
        <w:spacing w:before="252" w:line="360" w:lineRule="auto"/>
        <w:ind w:left="792"/>
        <w:contextualSpacing w:val="0"/>
        <w:jc w:val="both"/>
        <w:rPr>
          <w:rFonts w:ascii="David" w:hAnsi="David" w:cs="David"/>
          <w:sz w:val="24"/>
          <w:szCs w:val="24"/>
          <w:rtl/>
        </w:rPr>
      </w:pPr>
      <w:r>
        <w:rPr>
          <w:rFonts w:ascii="David" w:hAnsi="David" w:cs="David"/>
          <w:b/>
          <w:bCs/>
          <w:sz w:val="24"/>
          <w:szCs w:val="24"/>
          <w:u w:val="single"/>
          <w:rtl/>
        </w:rPr>
        <w:t>ההסכם שנחתם בטרם מונה ד"ר סופר על ידי הדיירים כלל התחייבות לתמורה מחברת שפיר</w:t>
      </w:r>
    </w:p>
    <w:p w14:paraId="7DE40B72" w14:textId="77777777" w:rsidR="001D5CBE" w:rsidRDefault="00151396" w:rsidP="001D5CBE">
      <w:pPr>
        <w:pStyle w:val="ad"/>
        <w:spacing w:line="360" w:lineRule="auto"/>
        <w:ind w:left="785"/>
        <w:jc w:val="both"/>
        <w:rPr>
          <w:rFonts w:ascii="David" w:hAnsi="David" w:cs="David"/>
          <w:sz w:val="24"/>
          <w:szCs w:val="24"/>
          <w:rtl/>
        </w:rPr>
      </w:pPr>
      <w:r>
        <w:rPr>
          <w:rFonts w:ascii="David" w:hAnsi="David" w:cs="David"/>
          <w:sz w:val="24"/>
          <w:szCs w:val="24"/>
          <w:rtl/>
        </w:rPr>
        <w:t xml:space="preserve">ההסכם למתן שירותים, התייחס להתחייבויות של ד"ר סופר לפעול להחתמת בעלי הזכויות בפרויקט לעסקה שתהיה אך ורק עם חברת שפיר. </w:t>
      </w:r>
      <w:r>
        <w:rPr>
          <w:rFonts w:ascii="David" w:hAnsi="David" w:cs="David" w:hint="cs"/>
          <w:sz w:val="24"/>
          <w:szCs w:val="24"/>
          <w:rtl/>
        </w:rPr>
        <w:t>מ</w:t>
      </w:r>
      <w:r>
        <w:rPr>
          <w:rFonts w:ascii="David" w:hAnsi="David" w:cs="David"/>
          <w:sz w:val="24"/>
          <w:szCs w:val="24"/>
          <w:rtl/>
        </w:rPr>
        <w:t xml:space="preserve">נגד התחייבה שפיר לשלם לד"ר סופר: </w:t>
      </w:r>
    </w:p>
    <w:p w14:paraId="30980A5A" w14:textId="77777777" w:rsidR="001D5CBE" w:rsidRDefault="00151396" w:rsidP="001D5CBE">
      <w:pPr>
        <w:pStyle w:val="ad"/>
        <w:numPr>
          <w:ilvl w:val="0"/>
          <w:numId w:val="3"/>
        </w:numPr>
        <w:spacing w:before="354" w:line="360" w:lineRule="auto"/>
        <w:ind w:left="1275"/>
        <w:contextualSpacing w:val="0"/>
        <w:jc w:val="both"/>
        <w:rPr>
          <w:rFonts w:ascii="David" w:hAnsi="David" w:cs="David"/>
          <w:sz w:val="24"/>
          <w:szCs w:val="24"/>
        </w:rPr>
      </w:pPr>
      <w:r>
        <w:rPr>
          <w:rFonts w:ascii="David" w:hAnsi="David" w:cs="David"/>
          <w:b/>
          <w:bCs/>
          <w:sz w:val="24"/>
          <w:szCs w:val="24"/>
          <w:u w:val="single"/>
          <w:rtl/>
        </w:rPr>
        <w:t xml:space="preserve">כ-140,000 ₪ </w:t>
      </w:r>
      <w:r>
        <w:rPr>
          <w:rFonts w:ascii="David" w:hAnsi="David" w:cs="David"/>
          <w:sz w:val="24"/>
          <w:szCs w:val="24"/>
          <w:rtl/>
        </w:rPr>
        <w:t xml:space="preserve">- שכר בסך של </w:t>
      </w:r>
      <w:r>
        <w:rPr>
          <w:rFonts w:ascii="David" w:hAnsi="David" w:cs="David"/>
          <w:sz w:val="24"/>
          <w:szCs w:val="24"/>
          <w:u w:val="single"/>
          <w:rtl/>
        </w:rPr>
        <w:t>7,000 ₪</w:t>
      </w:r>
      <w:r>
        <w:rPr>
          <w:rFonts w:ascii="David" w:hAnsi="David" w:cs="David"/>
          <w:sz w:val="24"/>
          <w:szCs w:val="24"/>
          <w:rtl/>
        </w:rPr>
        <w:t xml:space="preserve"> בצירוף מע"מ בגין כל עשר דירות שבעלי הזכויות בהן יחתמו, כלומר – בגין 200 דירות השכר יעמוד על סך של </w:t>
      </w:r>
      <w:r>
        <w:rPr>
          <w:rFonts w:ascii="David" w:hAnsi="David" w:cs="David"/>
          <w:sz w:val="24"/>
          <w:szCs w:val="24"/>
          <w:u w:val="single"/>
          <w:rtl/>
        </w:rPr>
        <w:t>140,000 ₪</w:t>
      </w:r>
      <w:r>
        <w:rPr>
          <w:rFonts w:ascii="David" w:hAnsi="David" w:cs="David"/>
          <w:sz w:val="24"/>
          <w:szCs w:val="24"/>
          <w:rtl/>
        </w:rPr>
        <w:t xml:space="preserve"> בצירוף מע"מ;</w:t>
      </w:r>
    </w:p>
    <w:p w14:paraId="53D1F4F0" w14:textId="77777777" w:rsidR="001D5CBE" w:rsidRDefault="00151396" w:rsidP="001D5CBE">
      <w:pPr>
        <w:pStyle w:val="ad"/>
        <w:numPr>
          <w:ilvl w:val="0"/>
          <w:numId w:val="3"/>
        </w:numPr>
        <w:spacing w:before="354" w:line="360" w:lineRule="auto"/>
        <w:ind w:left="1275"/>
        <w:contextualSpacing w:val="0"/>
        <w:jc w:val="both"/>
        <w:rPr>
          <w:rFonts w:ascii="David" w:hAnsi="David" w:cs="David"/>
          <w:sz w:val="24"/>
          <w:szCs w:val="24"/>
        </w:rPr>
      </w:pPr>
      <w:r>
        <w:rPr>
          <w:rFonts w:ascii="David" w:hAnsi="David" w:cs="David"/>
          <w:b/>
          <w:bCs/>
          <w:sz w:val="24"/>
          <w:szCs w:val="24"/>
          <w:u w:val="single"/>
          <w:rtl/>
        </w:rPr>
        <w:t>220,000 ₪ נוספים</w:t>
      </w:r>
      <w:r>
        <w:rPr>
          <w:rFonts w:ascii="David" w:hAnsi="David" w:cs="David"/>
          <w:sz w:val="24"/>
          <w:szCs w:val="24"/>
          <w:rtl/>
        </w:rPr>
        <w:t xml:space="preserve"> - תשלומי מקדמות נוספים בסך כולל של </w:t>
      </w:r>
      <w:r>
        <w:rPr>
          <w:rFonts w:ascii="David" w:hAnsi="David" w:cs="David"/>
          <w:sz w:val="24"/>
          <w:szCs w:val="24"/>
          <w:u w:val="single"/>
          <w:rtl/>
        </w:rPr>
        <w:t>220,000 ₪</w:t>
      </w:r>
      <w:r>
        <w:rPr>
          <w:rFonts w:ascii="David" w:hAnsi="David" w:cs="David"/>
          <w:sz w:val="24"/>
          <w:szCs w:val="24"/>
          <w:rtl/>
        </w:rPr>
        <w:t xml:space="preserve"> בהתאם לשלבים שנקבעו בהסכם;</w:t>
      </w:r>
    </w:p>
    <w:p w14:paraId="38AE77A6" w14:textId="77777777" w:rsidR="001D5CBE" w:rsidRDefault="00151396" w:rsidP="001D5CBE">
      <w:pPr>
        <w:pStyle w:val="ad"/>
        <w:numPr>
          <w:ilvl w:val="0"/>
          <w:numId w:val="3"/>
        </w:numPr>
        <w:spacing w:before="354" w:line="360" w:lineRule="auto"/>
        <w:ind w:left="1275"/>
        <w:contextualSpacing w:val="0"/>
        <w:jc w:val="both"/>
        <w:rPr>
          <w:rFonts w:ascii="David" w:hAnsi="David" w:cs="David"/>
          <w:sz w:val="24"/>
          <w:szCs w:val="24"/>
        </w:rPr>
      </w:pPr>
      <w:r>
        <w:rPr>
          <w:rFonts w:ascii="David" w:hAnsi="David" w:cs="David"/>
          <w:b/>
          <w:bCs/>
          <w:sz w:val="24"/>
          <w:szCs w:val="24"/>
          <w:u w:val="single"/>
          <w:rtl/>
        </w:rPr>
        <w:t>השלמה לסכום השווה ל-1% מכלל ההכנסות בפרויקט</w:t>
      </w:r>
      <w:r>
        <w:rPr>
          <w:rFonts w:ascii="David" w:hAnsi="David" w:cs="David"/>
          <w:sz w:val="24"/>
          <w:szCs w:val="24"/>
          <w:rtl/>
        </w:rPr>
        <w:t xml:space="preserve"> – ובהמשך, השלמת התמורה דלעיל עד לסך של</w:t>
      </w:r>
      <w:r>
        <w:rPr>
          <w:rFonts w:ascii="David" w:hAnsi="David" w:cs="David"/>
          <w:b/>
          <w:bCs/>
          <w:sz w:val="24"/>
          <w:szCs w:val="24"/>
          <w:u w:val="single"/>
          <w:rtl/>
        </w:rPr>
        <w:t xml:space="preserve"> 1% מהכנסות שפיר בפרויקט</w:t>
      </w:r>
      <w:r>
        <w:rPr>
          <w:rFonts w:ascii="David" w:hAnsi="David" w:cs="David"/>
          <w:sz w:val="24"/>
          <w:szCs w:val="24"/>
          <w:rtl/>
        </w:rPr>
        <w:t xml:space="preserve">  - הכנסות </w:t>
      </w:r>
      <w:r>
        <w:rPr>
          <w:rFonts w:ascii="David" w:hAnsi="David" w:cs="David"/>
          <w:sz w:val="24"/>
          <w:szCs w:val="24"/>
          <w:u w:val="single"/>
          <w:rtl/>
        </w:rPr>
        <w:t>ולא</w:t>
      </w:r>
      <w:r>
        <w:rPr>
          <w:rFonts w:ascii="David" w:hAnsi="David" w:cs="David"/>
          <w:sz w:val="24"/>
          <w:szCs w:val="24"/>
          <w:rtl/>
        </w:rPr>
        <w:t xml:space="preserve"> רווחים. כלומר סכום גבוה יותר מהרווחים, סכום אשר מתעלם מהוצאות שפיר בפרויקט.</w:t>
      </w:r>
    </w:p>
    <w:p w14:paraId="1830FAB1" w14:textId="77777777" w:rsidR="001D5CBE" w:rsidRDefault="00151396" w:rsidP="000D3D31">
      <w:pPr>
        <w:pStyle w:val="ad"/>
        <w:numPr>
          <w:ilvl w:val="0"/>
          <w:numId w:val="3"/>
        </w:numPr>
        <w:spacing w:before="120" w:line="360" w:lineRule="auto"/>
        <w:ind w:left="1275"/>
        <w:contextualSpacing w:val="0"/>
        <w:jc w:val="both"/>
        <w:rPr>
          <w:rFonts w:ascii="David" w:hAnsi="David" w:cs="David"/>
          <w:sz w:val="24"/>
          <w:szCs w:val="24"/>
          <w:rtl/>
        </w:rPr>
      </w:pPr>
      <w:r>
        <w:rPr>
          <w:rFonts w:ascii="David" w:hAnsi="David" w:cs="David"/>
          <w:b/>
          <w:bCs/>
          <w:sz w:val="24"/>
          <w:szCs w:val="24"/>
          <w:u w:val="single"/>
          <w:rtl/>
        </w:rPr>
        <w:t>הפסקת התקשרות ככל שד"ר סופר לא יעמוד ביעדי ההחתמות הרציפים</w:t>
      </w:r>
      <w:r>
        <w:rPr>
          <w:rFonts w:ascii="David" w:hAnsi="David" w:cs="David"/>
          <w:sz w:val="24"/>
          <w:szCs w:val="24"/>
          <w:rtl/>
        </w:rPr>
        <w:t xml:space="preserve"> – ד"ר סופר התחייב להעביר מידי שלושה חודשים, לכל הפחות חמישה עשר (15) הסכמים חתומים. </w:t>
      </w:r>
      <w:r>
        <w:rPr>
          <w:rFonts w:ascii="David" w:hAnsi="David" w:cs="David"/>
          <w:sz w:val="24"/>
          <w:szCs w:val="24"/>
          <w:u w:val="single"/>
          <w:rtl/>
        </w:rPr>
        <w:t>בנוסף</w:t>
      </w:r>
      <w:r w:rsidR="00770E36">
        <w:rPr>
          <w:rFonts w:ascii="David" w:hAnsi="David" w:cs="David" w:hint="cs"/>
          <w:sz w:val="24"/>
          <w:szCs w:val="24"/>
          <w:rtl/>
        </w:rPr>
        <w:t xml:space="preserve"> </w:t>
      </w:r>
      <w:r>
        <w:rPr>
          <w:rFonts w:ascii="David" w:hAnsi="David" w:cs="David"/>
          <w:sz w:val="24"/>
          <w:szCs w:val="24"/>
          <w:rtl/>
        </w:rPr>
        <w:t xml:space="preserve">התחייב ד"ר סופר לא לחדול מהחתמת דיירים לתקופה העולה על 60 ימים קלנדריים. ככל שלא יפעל כך, תוציא חברת שפיר לד"ר סופר התראה ולאחר מכן תוכל לחדול </w:t>
      </w:r>
      <w:r w:rsidR="00770E36">
        <w:rPr>
          <w:rFonts w:ascii="David" w:hAnsi="David" w:cs="David" w:hint="cs"/>
          <w:sz w:val="24"/>
          <w:szCs w:val="24"/>
          <w:rtl/>
        </w:rPr>
        <w:t>מ</w:t>
      </w:r>
      <w:r>
        <w:rPr>
          <w:rFonts w:ascii="David" w:hAnsi="David" w:cs="David"/>
          <w:sz w:val="24"/>
          <w:szCs w:val="24"/>
          <w:rtl/>
        </w:rPr>
        <w:t>לעבוד עימו ולפעול בעצמה להחתמת בעלי הזכויות.</w:t>
      </w:r>
    </w:p>
    <w:p w14:paraId="2A0E148B" w14:textId="77777777" w:rsidR="001D5CBE" w:rsidRDefault="00151396" w:rsidP="000D3D31">
      <w:pPr>
        <w:pStyle w:val="ad"/>
        <w:spacing w:before="252" w:after="120" w:line="360" w:lineRule="auto"/>
        <w:ind w:left="785"/>
        <w:contextualSpacing w:val="0"/>
        <w:jc w:val="both"/>
        <w:rPr>
          <w:rFonts w:ascii="David" w:hAnsi="David" w:cs="David"/>
          <w:sz w:val="24"/>
          <w:szCs w:val="24"/>
          <w:rtl/>
        </w:rPr>
      </w:pPr>
      <w:r>
        <w:rPr>
          <w:rFonts w:ascii="David" w:hAnsi="David" w:cs="David"/>
          <w:sz w:val="24"/>
          <w:szCs w:val="24"/>
          <w:rtl/>
        </w:rPr>
        <w:t>ההסכם למתן שירותים כלל גם התחייבויות דיווח ומנגנון דיווח חודשי של ד"ר סופר וכן התחייבויות נוספות. כך נקבעו למשל סנקציות כנגד ד"ר סופר ככל שפעולותיו לא יהיו בעבור חברת שפיר, אלא בעבור יזם אחר. על כך בפסקה הבאה.</w:t>
      </w:r>
    </w:p>
    <w:p w14:paraId="7936F3D5" w14:textId="77777777" w:rsidR="001D5CBE" w:rsidRDefault="00151396" w:rsidP="000D3D31">
      <w:pPr>
        <w:pStyle w:val="ad"/>
        <w:numPr>
          <w:ilvl w:val="0"/>
          <w:numId w:val="2"/>
        </w:numPr>
        <w:spacing w:before="240" w:line="360" w:lineRule="auto"/>
        <w:ind w:left="792"/>
        <w:contextualSpacing w:val="0"/>
        <w:jc w:val="both"/>
        <w:rPr>
          <w:rFonts w:ascii="David" w:hAnsi="David" w:cs="David"/>
          <w:sz w:val="24"/>
          <w:szCs w:val="24"/>
          <w:rtl/>
        </w:rPr>
      </w:pPr>
      <w:r>
        <w:rPr>
          <w:rFonts w:ascii="David" w:hAnsi="David" w:cs="David"/>
          <w:b/>
          <w:bCs/>
          <w:sz w:val="24"/>
          <w:szCs w:val="24"/>
          <w:u w:val="single"/>
          <w:rtl/>
        </w:rPr>
        <w:t>ההסכם קבע סנקציות שיושתו על ד"ר סופר, ככל שיפעל עם הדיירים אל מול יזם אחר</w:t>
      </w:r>
    </w:p>
    <w:p w14:paraId="4C351C54" w14:textId="77777777" w:rsidR="001D5CBE" w:rsidRDefault="00151396" w:rsidP="00770E36">
      <w:pPr>
        <w:pStyle w:val="ad"/>
        <w:spacing w:line="360" w:lineRule="auto"/>
        <w:ind w:left="785"/>
        <w:jc w:val="both"/>
        <w:rPr>
          <w:rFonts w:ascii="David" w:hAnsi="David" w:cs="David"/>
          <w:sz w:val="24"/>
          <w:szCs w:val="24"/>
          <w:rtl/>
        </w:rPr>
      </w:pPr>
      <w:r>
        <w:rPr>
          <w:rFonts w:ascii="David" w:hAnsi="David" w:cs="David"/>
          <w:sz w:val="24"/>
          <w:szCs w:val="24"/>
          <w:rtl/>
        </w:rPr>
        <w:t>על פניו, ד"ר סופר היה "איש של שפיר" בתוך הפרויקט. כך הוא גם התחייב אל מול שפיר. וכ</w:t>
      </w:r>
      <w:r w:rsidR="00770E36">
        <w:rPr>
          <w:rFonts w:ascii="David" w:hAnsi="David" w:cs="David" w:hint="cs"/>
          <w:sz w:val="24"/>
          <w:szCs w:val="24"/>
          <w:rtl/>
        </w:rPr>
        <w:t>ך</w:t>
      </w:r>
      <w:r>
        <w:rPr>
          <w:rFonts w:ascii="David" w:hAnsi="David" w:cs="David"/>
          <w:sz w:val="24"/>
          <w:szCs w:val="24"/>
          <w:rtl/>
        </w:rPr>
        <w:t xml:space="preserve"> גם נקבע בסעיף 7 להסכם מתן השירותים עם שפיר, שככל שד"ר סופר או מי מטעמו </w:t>
      </w:r>
      <w:r>
        <w:rPr>
          <w:rFonts w:ascii="David" w:hAnsi="David" w:cs="David"/>
          <w:b/>
          <w:bCs/>
          <w:sz w:val="24"/>
          <w:szCs w:val="24"/>
          <w:rtl/>
        </w:rPr>
        <w:t>"ינהל מו"מ ויעניין יזם ו/או קבלן ו/או כל גוף אחר לביצוע הפרויקט"</w:t>
      </w:r>
      <w:r>
        <w:rPr>
          <w:rFonts w:ascii="David" w:hAnsi="David" w:cs="David"/>
          <w:sz w:val="24"/>
          <w:szCs w:val="24"/>
          <w:rtl/>
        </w:rPr>
        <w:t>, יחולו הסנקציות הבאות:</w:t>
      </w:r>
    </w:p>
    <w:p w14:paraId="2C8C965D" w14:textId="77777777" w:rsidR="001D5CBE" w:rsidRDefault="00151396" w:rsidP="00770E36">
      <w:pPr>
        <w:pStyle w:val="ad"/>
        <w:numPr>
          <w:ilvl w:val="0"/>
          <w:numId w:val="3"/>
        </w:numPr>
        <w:spacing w:line="360" w:lineRule="auto"/>
        <w:ind w:left="1275"/>
        <w:jc w:val="both"/>
        <w:rPr>
          <w:rFonts w:ascii="David" w:hAnsi="David" w:cs="David"/>
          <w:sz w:val="24"/>
          <w:szCs w:val="24"/>
          <w:rtl/>
        </w:rPr>
      </w:pPr>
      <w:r>
        <w:rPr>
          <w:rFonts w:ascii="David" w:hAnsi="David" w:cs="David"/>
          <w:sz w:val="24"/>
          <w:szCs w:val="24"/>
          <w:rtl/>
        </w:rPr>
        <w:t>ד"ר סופר ישיב כל ה</w:t>
      </w:r>
      <w:r w:rsidR="00770E36">
        <w:rPr>
          <w:rFonts w:ascii="David" w:hAnsi="David" w:cs="David"/>
          <w:sz w:val="24"/>
          <w:szCs w:val="24"/>
          <w:rtl/>
        </w:rPr>
        <w:t xml:space="preserve">סכומים אותם קיבל, בתוספת הצמדה </w:t>
      </w:r>
      <w:r>
        <w:rPr>
          <w:rFonts w:ascii="David" w:hAnsi="David" w:cs="David"/>
          <w:sz w:val="24"/>
          <w:szCs w:val="24"/>
          <w:rtl/>
        </w:rPr>
        <w:t>למדד ו</w:t>
      </w:r>
      <w:r w:rsidR="00770E36">
        <w:rPr>
          <w:rFonts w:ascii="David" w:hAnsi="David" w:cs="David" w:hint="cs"/>
          <w:sz w:val="24"/>
          <w:szCs w:val="24"/>
          <w:rtl/>
        </w:rPr>
        <w:t>כן ר</w:t>
      </w:r>
      <w:r>
        <w:rPr>
          <w:rFonts w:ascii="David" w:hAnsi="David" w:cs="David"/>
          <w:sz w:val="24"/>
          <w:szCs w:val="24"/>
          <w:rtl/>
        </w:rPr>
        <w:t>יבית שנתית בשיעור של 7%;</w:t>
      </w:r>
    </w:p>
    <w:p w14:paraId="28712B14" w14:textId="77777777" w:rsidR="001D5CBE" w:rsidRDefault="00151396" w:rsidP="001D5CBE">
      <w:pPr>
        <w:pStyle w:val="ad"/>
        <w:numPr>
          <w:ilvl w:val="0"/>
          <w:numId w:val="3"/>
        </w:numPr>
        <w:spacing w:line="360" w:lineRule="auto"/>
        <w:ind w:left="1275"/>
        <w:jc w:val="both"/>
        <w:rPr>
          <w:rFonts w:ascii="David" w:hAnsi="David" w:cs="David"/>
          <w:sz w:val="24"/>
          <w:szCs w:val="24"/>
        </w:rPr>
      </w:pPr>
      <w:r>
        <w:rPr>
          <w:rFonts w:ascii="David" w:hAnsi="David" w:cs="David"/>
          <w:sz w:val="24"/>
          <w:szCs w:val="24"/>
          <w:rtl/>
        </w:rPr>
        <w:lastRenderedPageBreak/>
        <w:t>בנוסף – ד"ר סופר ישלם סך של 150,000 ₪ בתוספת מע"מ;</w:t>
      </w:r>
    </w:p>
    <w:p w14:paraId="188E6813" w14:textId="77777777" w:rsidR="001D5CBE" w:rsidRDefault="00151396" w:rsidP="001D5CBE">
      <w:pPr>
        <w:pStyle w:val="ad"/>
        <w:numPr>
          <w:ilvl w:val="0"/>
          <w:numId w:val="3"/>
        </w:numPr>
        <w:spacing w:line="360" w:lineRule="auto"/>
        <w:ind w:left="1275"/>
        <w:jc w:val="both"/>
        <w:rPr>
          <w:rFonts w:ascii="David" w:hAnsi="David" w:cs="David"/>
          <w:sz w:val="24"/>
          <w:szCs w:val="24"/>
        </w:rPr>
      </w:pPr>
      <w:r>
        <w:rPr>
          <w:rFonts w:ascii="David" w:hAnsi="David" w:cs="David"/>
          <w:sz w:val="24"/>
          <w:szCs w:val="24"/>
          <w:rtl/>
        </w:rPr>
        <w:t>בנוסף – שפיר תהיה זכאית לתבוע כל זכות, פיצוי או שיפוי בגין כך.</w:t>
      </w:r>
    </w:p>
    <w:p w14:paraId="2A3B5128" w14:textId="77777777" w:rsidR="001D5CBE" w:rsidRDefault="00151396" w:rsidP="000903FC">
      <w:pPr>
        <w:pStyle w:val="ad"/>
        <w:numPr>
          <w:ilvl w:val="1"/>
          <w:numId w:val="1"/>
        </w:numPr>
        <w:spacing w:before="354" w:line="360" w:lineRule="auto"/>
        <w:ind w:left="418" w:hanging="562"/>
        <w:contextualSpacing w:val="0"/>
        <w:jc w:val="both"/>
        <w:outlineLvl w:val="3"/>
        <w:rPr>
          <w:rFonts w:ascii="David" w:hAnsi="David" w:cs="David"/>
          <w:b/>
          <w:bCs/>
          <w:sz w:val="24"/>
          <w:szCs w:val="24"/>
          <w:u w:val="single"/>
          <w:rtl/>
        </w:rPr>
      </w:pPr>
      <w:r>
        <w:rPr>
          <w:rFonts w:ascii="David" w:hAnsi="David" w:cs="David"/>
          <w:b/>
          <w:bCs/>
          <w:sz w:val="24"/>
          <w:szCs w:val="24"/>
          <w:u w:val="single"/>
          <w:rtl/>
        </w:rPr>
        <w:t>מר ישראל כהנא</w:t>
      </w:r>
    </w:p>
    <w:p w14:paraId="40A54479" w14:textId="77777777" w:rsidR="001D5CBE" w:rsidRDefault="00151396" w:rsidP="001D5CBE">
      <w:pPr>
        <w:pStyle w:val="ad"/>
        <w:numPr>
          <w:ilvl w:val="0"/>
          <w:numId w:val="4"/>
        </w:numPr>
        <w:spacing w:line="360" w:lineRule="auto"/>
        <w:jc w:val="both"/>
        <w:rPr>
          <w:rFonts w:ascii="David" w:hAnsi="David" w:cs="David"/>
          <w:sz w:val="24"/>
          <w:szCs w:val="24"/>
          <w:rtl/>
        </w:rPr>
      </w:pPr>
      <w:r>
        <w:rPr>
          <w:rFonts w:ascii="David" w:hAnsi="David" w:cs="David"/>
          <w:sz w:val="24"/>
          <w:szCs w:val="24"/>
          <w:rtl/>
        </w:rPr>
        <w:t xml:space="preserve">מר כהנא אינו מתגורר בתחום הפרויקט, אך רעייתו ירשה דירה במתחם מהוריה המנוחים. כך מצא מר כהנא דרכו אל ההתנהלות, כאשר היה פעיל בין דיירי המתחם. מר כהנא אף נבחר כנציג הדיירים בישיבה מיום 11.11.2014. מר כהנא נקט בפרסומים, אשר בגין שמונה עשר מהם הוגשה התביעה כאן. התביעה הוגשה בגין הפרסומים שבעיקרם התייחסו לד"ר סופר, לפועלו ולניגוד העניינים במסגרתו הוא פועל.   </w:t>
      </w:r>
    </w:p>
    <w:p w14:paraId="1F40A0BD" w14:textId="77777777" w:rsidR="001D5CBE" w:rsidRDefault="00151396" w:rsidP="001D5CBE">
      <w:pPr>
        <w:pStyle w:val="ad"/>
        <w:numPr>
          <w:ilvl w:val="0"/>
          <w:numId w:val="4"/>
        </w:numPr>
        <w:spacing w:before="354" w:line="360" w:lineRule="auto"/>
        <w:contextualSpacing w:val="0"/>
        <w:jc w:val="both"/>
        <w:rPr>
          <w:rFonts w:ascii="David" w:hAnsi="David" w:cs="David"/>
          <w:sz w:val="24"/>
          <w:szCs w:val="24"/>
        </w:rPr>
      </w:pPr>
      <w:r>
        <w:rPr>
          <w:rFonts w:ascii="David" w:hAnsi="David" w:cs="David"/>
          <w:sz w:val="24"/>
          <w:szCs w:val="24"/>
          <w:rtl/>
        </w:rPr>
        <w:t xml:space="preserve">מר כהנא נוטל חלק פעיל בהתנהלות הפרויקט. לענין זה הלין סמנכ"ל שפיר, מר גד גרשון, שכבר מכנסים בתחילת בדרך החל מר כהנא </w:t>
      </w:r>
      <w:r>
        <w:rPr>
          <w:rFonts w:ascii="David" w:hAnsi="David" w:cs="David"/>
          <w:b/>
          <w:bCs/>
          <w:sz w:val="24"/>
          <w:szCs w:val="24"/>
          <w:rtl/>
        </w:rPr>
        <w:t>"להפריע ולהשמיץ את עו"ד הדיירים, מנהל הפרויקט מטעם החברה ואת חברי הנציגות וכן דאג להפיץ מכתבים רבים כנגד הגורמים הפעילים בפרויקט"</w:t>
      </w:r>
      <w:r>
        <w:rPr>
          <w:rFonts w:ascii="David" w:hAnsi="David" w:cs="David"/>
          <w:sz w:val="24"/>
          <w:szCs w:val="24"/>
          <w:rtl/>
        </w:rPr>
        <w:t xml:space="preserve"> (סעיף 4 לתצהירו של מר גד גרשון).</w:t>
      </w:r>
    </w:p>
    <w:p w14:paraId="0D6330C7" w14:textId="77777777" w:rsidR="001D5CBE" w:rsidRDefault="00151396" w:rsidP="001D5CBE">
      <w:pPr>
        <w:pStyle w:val="ad"/>
        <w:numPr>
          <w:ilvl w:val="0"/>
          <w:numId w:val="4"/>
        </w:numPr>
        <w:spacing w:before="252" w:line="360" w:lineRule="auto"/>
        <w:contextualSpacing w:val="0"/>
        <w:jc w:val="both"/>
        <w:rPr>
          <w:rFonts w:ascii="David" w:hAnsi="David" w:cs="David"/>
          <w:sz w:val="24"/>
          <w:szCs w:val="24"/>
          <w:rtl/>
        </w:rPr>
      </w:pPr>
      <w:r>
        <w:rPr>
          <w:rFonts w:ascii="David" w:hAnsi="David" w:cs="David"/>
          <w:sz w:val="24"/>
          <w:szCs w:val="24"/>
          <w:rtl/>
        </w:rPr>
        <w:t xml:space="preserve">מר כהנא, הטוען כנגד ד"ר סופר וניגוד ענייניו, הקים בשנת 2015 עמותה שמטרתה "ביצוע מכרז יזמים". הקמת העמותה היא, לטענת ד"ר סופר בכתב תביעתו (סעיף 7) – </w:t>
      </w:r>
      <w:r>
        <w:rPr>
          <w:rFonts w:ascii="David" w:hAnsi="David" w:cs="David"/>
          <w:b/>
          <w:bCs/>
          <w:sz w:val="24"/>
          <w:szCs w:val="24"/>
          <w:rtl/>
        </w:rPr>
        <w:t xml:space="preserve">"במטרה לטרפד את קידום הפרויקט עם היזם שנבחר תוך ביצוע פוטש סמוך להחלפתו ובאופן זה למשל את התובע </w:t>
      </w:r>
      <w:r>
        <w:rPr>
          <w:rFonts w:ascii="David" w:hAnsi="David" w:cs="David"/>
          <w:sz w:val="24"/>
          <w:szCs w:val="24"/>
          <w:rtl/>
        </w:rPr>
        <w:t>[את ד"ר סופר – א.ב]</w:t>
      </w:r>
      <w:r>
        <w:rPr>
          <w:rFonts w:ascii="David" w:hAnsi="David" w:cs="David"/>
          <w:b/>
          <w:bCs/>
          <w:sz w:val="24"/>
          <w:szCs w:val="24"/>
          <w:rtl/>
        </w:rPr>
        <w:t xml:space="preserve"> מקבלת תמורה לעבודתו לאורך השנים"</w:t>
      </w:r>
      <w:r>
        <w:rPr>
          <w:rFonts w:ascii="David" w:hAnsi="David" w:cs="David"/>
          <w:sz w:val="24"/>
          <w:szCs w:val="24"/>
          <w:rtl/>
        </w:rPr>
        <w:t>.</w:t>
      </w:r>
    </w:p>
    <w:p w14:paraId="31530C06" w14:textId="77777777" w:rsidR="001D5CBE" w:rsidRDefault="00151396" w:rsidP="001D5CBE">
      <w:pPr>
        <w:pStyle w:val="ad"/>
        <w:numPr>
          <w:ilvl w:val="0"/>
          <w:numId w:val="4"/>
        </w:numPr>
        <w:spacing w:before="354" w:line="360" w:lineRule="auto"/>
        <w:contextualSpacing w:val="0"/>
        <w:jc w:val="both"/>
        <w:rPr>
          <w:rFonts w:ascii="David" w:hAnsi="David" w:cs="David"/>
          <w:sz w:val="24"/>
          <w:szCs w:val="24"/>
        </w:rPr>
      </w:pPr>
      <w:r>
        <w:rPr>
          <w:rFonts w:ascii="David" w:hAnsi="David" w:cs="David"/>
          <w:sz w:val="24"/>
          <w:szCs w:val="24"/>
          <w:rtl/>
        </w:rPr>
        <w:t xml:space="preserve">מר כהנא </w:t>
      </w:r>
      <w:r>
        <w:rPr>
          <w:rFonts w:ascii="David" w:hAnsi="David" w:cs="David"/>
          <w:sz w:val="24"/>
          <w:szCs w:val="24"/>
          <w:u w:val="single"/>
          <w:rtl/>
        </w:rPr>
        <w:t>לא</w:t>
      </w:r>
      <w:r>
        <w:rPr>
          <w:rFonts w:ascii="David" w:hAnsi="David" w:cs="David"/>
          <w:sz w:val="24"/>
          <w:szCs w:val="24"/>
          <w:rtl/>
        </w:rPr>
        <w:t xml:space="preserve"> חתם על הסכם עם חברת שפיר. ד"ר סופר, מצידו, הפנה לכך שמר כהנא הוא חלק ממה שכינה </w:t>
      </w:r>
      <w:r>
        <w:rPr>
          <w:rFonts w:ascii="David" w:hAnsi="David" w:cs="David"/>
          <w:b/>
          <w:bCs/>
          <w:sz w:val="24"/>
          <w:szCs w:val="24"/>
          <w:rtl/>
        </w:rPr>
        <w:t>"מיעוט מבוטל"</w:t>
      </w:r>
      <w:r>
        <w:rPr>
          <w:rFonts w:ascii="David" w:hAnsi="David" w:cs="David"/>
          <w:sz w:val="24"/>
          <w:szCs w:val="24"/>
          <w:rtl/>
        </w:rPr>
        <w:t xml:space="preserve"> אשר לא חתם הסכם לביצוע הפרויקט (סעיף 12 לתצהירו של ד"ר סופר). מנגד, מתברר שאין מדובר רק במיעוט מבוטל שכן בהמשך תצהירו הבהיר ד"ר סופר שרק למעלה מ-30% מבעלי הזכויות חתמו על הסכם התקשרות עם היזם (סעיף 21 לתצהירו). בהמשך ובשלב דיון ה'הוכחות' כבר נטען לחתימות של כ- 80% מבעלי הזכויות בפרויקט.</w:t>
      </w:r>
    </w:p>
    <w:p w14:paraId="5A0111D4" w14:textId="77777777" w:rsidR="001D5CBE" w:rsidRDefault="00151396" w:rsidP="000903FC">
      <w:pPr>
        <w:pStyle w:val="ad"/>
        <w:numPr>
          <w:ilvl w:val="1"/>
          <w:numId w:val="1"/>
        </w:numPr>
        <w:spacing w:before="354" w:line="360" w:lineRule="auto"/>
        <w:ind w:left="418" w:hanging="562"/>
        <w:contextualSpacing w:val="0"/>
        <w:jc w:val="both"/>
        <w:outlineLvl w:val="3"/>
        <w:rPr>
          <w:rFonts w:ascii="David" w:hAnsi="David" w:cs="David"/>
          <w:sz w:val="24"/>
          <w:szCs w:val="24"/>
        </w:rPr>
      </w:pPr>
      <w:r>
        <w:rPr>
          <w:rFonts w:ascii="David" w:hAnsi="David" w:cs="David"/>
          <w:b/>
          <w:bCs/>
          <w:sz w:val="24"/>
          <w:szCs w:val="24"/>
          <w:u w:val="single"/>
          <w:rtl/>
        </w:rPr>
        <w:t>המחלוקת בין הצדדים הביאה לפרסומים שבבסיס התביעות ההדדיות</w:t>
      </w:r>
    </w:p>
    <w:p w14:paraId="7615CF13" w14:textId="77777777" w:rsidR="001D5CBE" w:rsidRDefault="00151396" w:rsidP="00770E36">
      <w:pPr>
        <w:pStyle w:val="ad"/>
        <w:numPr>
          <w:ilvl w:val="0"/>
          <w:numId w:val="3"/>
        </w:numPr>
        <w:spacing w:line="360" w:lineRule="auto"/>
        <w:jc w:val="both"/>
        <w:rPr>
          <w:rFonts w:ascii="David" w:hAnsi="David" w:cs="David"/>
          <w:sz w:val="24"/>
          <w:szCs w:val="24"/>
        </w:rPr>
      </w:pPr>
      <w:r>
        <w:rPr>
          <w:rFonts w:ascii="David" w:hAnsi="David" w:cs="David"/>
          <w:sz w:val="24"/>
          <w:szCs w:val="24"/>
          <w:rtl/>
        </w:rPr>
        <w:t>במסגרת המחלוקת בין הצדדים, פרסם ד"ר סופר פרסומים שונים אשר כטענת מר כהנא התייחסו אליו (למר כהנא) כאל שקרן ואף הכפישו אותו. פרסומים שלטענת מר כהנא הם בגדר הוצאת לשון הרע. מכאן בסיס התביעה שהגיש מר כהנא במסגרת ת</w:t>
      </w:r>
      <w:r w:rsidR="00770E36">
        <w:rPr>
          <w:rFonts w:ascii="David" w:hAnsi="David" w:cs="David" w:hint="cs"/>
          <w:sz w:val="24"/>
          <w:szCs w:val="24"/>
          <w:rtl/>
        </w:rPr>
        <w:t>"</w:t>
      </w:r>
      <w:r>
        <w:rPr>
          <w:rFonts w:ascii="David" w:hAnsi="David" w:cs="David"/>
          <w:sz w:val="24"/>
          <w:szCs w:val="24"/>
          <w:rtl/>
        </w:rPr>
        <w:t>א 62657-10-20.</w:t>
      </w:r>
    </w:p>
    <w:p w14:paraId="3DB5FCAB" w14:textId="77777777" w:rsidR="001D5CBE" w:rsidRDefault="00151396" w:rsidP="001D5CBE">
      <w:pPr>
        <w:pStyle w:val="ad"/>
        <w:numPr>
          <w:ilvl w:val="0"/>
          <w:numId w:val="3"/>
        </w:numPr>
        <w:spacing w:before="354" w:line="360" w:lineRule="auto"/>
        <w:contextualSpacing w:val="0"/>
        <w:jc w:val="both"/>
        <w:rPr>
          <w:rFonts w:ascii="David" w:hAnsi="David" w:cs="David"/>
          <w:sz w:val="24"/>
          <w:szCs w:val="24"/>
          <w:rtl/>
        </w:rPr>
      </w:pPr>
      <w:r>
        <w:rPr>
          <w:rFonts w:ascii="David" w:hAnsi="David" w:cs="David"/>
          <w:sz w:val="24"/>
          <w:szCs w:val="24"/>
          <w:rtl/>
        </w:rPr>
        <w:t xml:space="preserve">עוד במסגרת המחלוקת בין הצדדים, פרסם מר כהנא פרסומים שונים שכאמור התייחסו לד"ר סופר, לפועלו ולניגוד העניינים במסגרתו הוא פועל. פרסומים שלטענת ד"ר סופר הם בגדר הוצאת לשון הרע. מכאן בסיס התביעה שהגיש ד"ר סופר במסגרת ת"א 22191-01-21. </w:t>
      </w:r>
    </w:p>
    <w:p w14:paraId="09AB1433" w14:textId="77777777" w:rsidR="001D5CBE" w:rsidRDefault="00151396" w:rsidP="000D3D31">
      <w:pPr>
        <w:pStyle w:val="ad"/>
        <w:numPr>
          <w:ilvl w:val="0"/>
          <w:numId w:val="1"/>
        </w:numPr>
        <w:spacing w:before="840" w:line="360" w:lineRule="auto"/>
        <w:ind w:left="-173" w:hanging="533"/>
        <w:contextualSpacing w:val="0"/>
        <w:jc w:val="both"/>
        <w:outlineLvl w:val="2"/>
        <w:rPr>
          <w:rFonts w:ascii="David" w:hAnsi="David" w:cs="David"/>
          <w:sz w:val="24"/>
          <w:szCs w:val="24"/>
        </w:rPr>
      </w:pPr>
      <w:r>
        <w:rPr>
          <w:rFonts w:ascii="David" w:hAnsi="David" w:cs="David"/>
          <w:b/>
          <w:bCs/>
          <w:sz w:val="24"/>
          <w:szCs w:val="24"/>
          <w:u w:val="single"/>
          <w:rtl/>
        </w:rPr>
        <w:lastRenderedPageBreak/>
        <w:t>תוצאת פסק הדין</w:t>
      </w:r>
    </w:p>
    <w:p w14:paraId="0332A779" w14:textId="77777777" w:rsidR="001D5CBE" w:rsidRDefault="00151396" w:rsidP="00770E36">
      <w:pPr>
        <w:pStyle w:val="ad"/>
        <w:spacing w:line="360" w:lineRule="auto"/>
        <w:ind w:left="-172"/>
        <w:jc w:val="both"/>
        <w:rPr>
          <w:rFonts w:ascii="David" w:hAnsi="David" w:cs="David"/>
          <w:sz w:val="24"/>
          <w:szCs w:val="24"/>
        </w:rPr>
      </w:pPr>
      <w:r>
        <w:rPr>
          <w:rFonts w:ascii="David" w:hAnsi="David" w:cs="David"/>
          <w:sz w:val="24"/>
          <w:szCs w:val="24"/>
          <w:rtl/>
        </w:rPr>
        <w:t>בסיומו של פסק הדין יידחו שתי התב</w:t>
      </w:r>
      <w:r w:rsidR="00770E36">
        <w:rPr>
          <w:rFonts w:ascii="David" w:hAnsi="David" w:cs="David"/>
          <w:sz w:val="24"/>
          <w:szCs w:val="24"/>
          <w:rtl/>
        </w:rPr>
        <w:t>יעות. וכן ייקבעו סכומי הוצאות ו</w:t>
      </w:r>
      <w:r w:rsidR="00770E36">
        <w:rPr>
          <w:rFonts w:ascii="David" w:hAnsi="David" w:cs="David" w:hint="cs"/>
          <w:sz w:val="24"/>
          <w:szCs w:val="24"/>
          <w:rtl/>
        </w:rPr>
        <w:t>ש</w:t>
      </w:r>
      <w:r>
        <w:rPr>
          <w:rFonts w:ascii="David" w:hAnsi="David" w:cs="David"/>
          <w:sz w:val="24"/>
          <w:szCs w:val="24"/>
          <w:rtl/>
        </w:rPr>
        <w:t>כר טרחה בגין שני ההליכים. חיובים ה</w:t>
      </w:r>
      <w:r w:rsidR="00770E36">
        <w:rPr>
          <w:rFonts w:ascii="David" w:hAnsi="David" w:cs="David"/>
          <w:sz w:val="24"/>
          <w:szCs w:val="24"/>
          <w:rtl/>
        </w:rPr>
        <w:t xml:space="preserve">דדיים שיביאו לקביעה סופית לפיה </w:t>
      </w:r>
      <w:r>
        <w:rPr>
          <w:rFonts w:ascii="David" w:hAnsi="David" w:cs="David"/>
          <w:sz w:val="24"/>
          <w:szCs w:val="24"/>
          <w:rtl/>
        </w:rPr>
        <w:t xml:space="preserve">חויב ד"ר סופר בתשלום הוצאות משפט ושכר טרחת עו"ד בסך של </w:t>
      </w:r>
      <w:r>
        <w:rPr>
          <w:rFonts w:ascii="David" w:hAnsi="David" w:cs="David"/>
          <w:b/>
          <w:bCs/>
          <w:sz w:val="24"/>
          <w:szCs w:val="24"/>
          <w:u w:val="single"/>
          <w:rtl/>
        </w:rPr>
        <w:t>15,000 ₪</w:t>
      </w:r>
      <w:r>
        <w:rPr>
          <w:rFonts w:ascii="David" w:hAnsi="David" w:cs="David"/>
          <w:sz w:val="24"/>
          <w:szCs w:val="24"/>
          <w:rtl/>
        </w:rPr>
        <w:t xml:space="preserve"> בתוספת הפרשי הצמדה וריבית כחוק ממועד פסק הדין ועד למועד התשלום בפועל. </w:t>
      </w:r>
    </w:p>
    <w:p w14:paraId="494F703F" w14:textId="77777777" w:rsidR="001D5CBE" w:rsidRDefault="00151396" w:rsidP="000903FC">
      <w:pPr>
        <w:pStyle w:val="David"/>
        <w:spacing w:before="354"/>
        <w:ind w:left="-706"/>
        <w:outlineLvl w:val="1"/>
        <w:rPr>
          <w:rFonts w:ascii="David" w:hAnsi="David"/>
          <w:rtl/>
        </w:rPr>
      </w:pPr>
      <w:r>
        <w:rPr>
          <w:rFonts w:ascii="David" w:hAnsi="David"/>
          <w:b/>
          <w:bCs/>
          <w:sz w:val="28"/>
          <w:szCs w:val="28"/>
          <w:u w:val="single"/>
          <w:rtl/>
        </w:rPr>
        <w:t>חלק שני – העדים שנשמעו בהליך וכן תמצית טענות הצדדים</w:t>
      </w:r>
    </w:p>
    <w:p w14:paraId="07920FF0" w14:textId="77777777" w:rsidR="001D5CBE" w:rsidRDefault="00151396" w:rsidP="000903FC">
      <w:pPr>
        <w:pStyle w:val="ad"/>
        <w:numPr>
          <w:ilvl w:val="0"/>
          <w:numId w:val="1"/>
        </w:numPr>
        <w:spacing w:before="354" w:line="360" w:lineRule="auto"/>
        <w:ind w:left="-173" w:hanging="533"/>
        <w:contextualSpacing w:val="0"/>
        <w:jc w:val="both"/>
        <w:outlineLvl w:val="2"/>
        <w:rPr>
          <w:rFonts w:ascii="David" w:hAnsi="David" w:cs="David"/>
          <w:sz w:val="24"/>
          <w:szCs w:val="24"/>
          <w:rtl/>
        </w:rPr>
      </w:pPr>
      <w:r>
        <w:rPr>
          <w:rFonts w:ascii="David" w:hAnsi="David" w:cs="David"/>
          <w:b/>
          <w:bCs/>
          <w:sz w:val="24"/>
          <w:szCs w:val="24"/>
          <w:u w:val="single"/>
          <w:rtl/>
        </w:rPr>
        <w:t>העדים שנשמעו בהליך</w:t>
      </w:r>
    </w:p>
    <w:p w14:paraId="097A15A6" w14:textId="77777777" w:rsidR="001D5CBE" w:rsidRDefault="00151396" w:rsidP="001D5CBE">
      <w:pPr>
        <w:pStyle w:val="ad"/>
        <w:spacing w:line="360" w:lineRule="auto"/>
        <w:ind w:left="-172"/>
        <w:jc w:val="both"/>
        <w:rPr>
          <w:rFonts w:ascii="David" w:hAnsi="David" w:cs="David"/>
          <w:sz w:val="24"/>
          <w:szCs w:val="24"/>
        </w:rPr>
      </w:pPr>
      <w:r>
        <w:rPr>
          <w:rFonts w:ascii="David" w:hAnsi="David" w:cs="David"/>
          <w:sz w:val="24"/>
          <w:szCs w:val="24"/>
          <w:rtl/>
        </w:rPr>
        <w:t xml:space="preserve">במסגרת ההליך נשמעו שמונה עדים, כמפורט להלן: </w:t>
      </w:r>
    </w:p>
    <w:p w14:paraId="2B9D4245" w14:textId="77777777" w:rsidR="001D5CBE" w:rsidRDefault="00151396" w:rsidP="001D5CBE">
      <w:pPr>
        <w:pStyle w:val="ad"/>
        <w:numPr>
          <w:ilvl w:val="1"/>
          <w:numId w:val="1"/>
        </w:numPr>
        <w:spacing w:line="360" w:lineRule="auto"/>
        <w:ind w:left="566" w:hanging="567"/>
        <w:jc w:val="both"/>
        <w:rPr>
          <w:rFonts w:ascii="David" w:hAnsi="David" w:cs="David"/>
          <w:sz w:val="24"/>
          <w:szCs w:val="24"/>
          <w:u w:val="single"/>
        </w:rPr>
      </w:pPr>
      <w:r>
        <w:rPr>
          <w:rFonts w:ascii="David" w:hAnsi="David" w:cs="David"/>
          <w:sz w:val="24"/>
          <w:szCs w:val="24"/>
          <w:u w:val="single"/>
          <w:rtl/>
        </w:rPr>
        <w:t>מטעם ד"ר סופר העידו ארבעה:</w:t>
      </w:r>
    </w:p>
    <w:p w14:paraId="4B04170D" w14:textId="77777777" w:rsidR="001D5CBE" w:rsidRDefault="00151396" w:rsidP="001D5CBE">
      <w:pPr>
        <w:pStyle w:val="ad"/>
        <w:numPr>
          <w:ilvl w:val="0"/>
          <w:numId w:val="3"/>
        </w:numPr>
        <w:spacing w:line="360" w:lineRule="auto"/>
        <w:ind w:left="992" w:hanging="426"/>
        <w:jc w:val="both"/>
        <w:rPr>
          <w:rFonts w:ascii="David" w:hAnsi="David" w:cs="David"/>
          <w:sz w:val="24"/>
          <w:szCs w:val="24"/>
        </w:rPr>
      </w:pPr>
      <w:r>
        <w:rPr>
          <w:rFonts w:ascii="David" w:hAnsi="David" w:cs="David"/>
          <w:sz w:val="24"/>
          <w:szCs w:val="24"/>
          <w:rtl/>
        </w:rPr>
        <w:t>ד"ר סופר עצמו;</w:t>
      </w:r>
    </w:p>
    <w:p w14:paraId="76F51A39" w14:textId="77777777" w:rsidR="001D5CBE" w:rsidRDefault="00151396" w:rsidP="001D5CBE">
      <w:pPr>
        <w:pStyle w:val="ad"/>
        <w:numPr>
          <w:ilvl w:val="0"/>
          <w:numId w:val="3"/>
        </w:numPr>
        <w:spacing w:line="360" w:lineRule="auto"/>
        <w:ind w:left="992" w:hanging="426"/>
        <w:jc w:val="both"/>
        <w:rPr>
          <w:rFonts w:ascii="David" w:hAnsi="David" w:cs="David"/>
          <w:sz w:val="24"/>
          <w:szCs w:val="24"/>
        </w:rPr>
      </w:pPr>
      <w:r>
        <w:rPr>
          <w:rFonts w:ascii="David" w:hAnsi="David" w:cs="David"/>
          <w:sz w:val="24"/>
          <w:szCs w:val="24"/>
          <w:rtl/>
        </w:rPr>
        <w:t>עו"ד יניב סולמי, שהגדיר עצמו כב"כ בעלי הדירות בפרויקט;</w:t>
      </w:r>
    </w:p>
    <w:p w14:paraId="33FBE801" w14:textId="77777777" w:rsidR="001D5CBE" w:rsidRDefault="00151396" w:rsidP="001D5CBE">
      <w:pPr>
        <w:pStyle w:val="ad"/>
        <w:numPr>
          <w:ilvl w:val="0"/>
          <w:numId w:val="3"/>
        </w:numPr>
        <w:spacing w:line="360" w:lineRule="auto"/>
        <w:ind w:left="992" w:hanging="426"/>
        <w:jc w:val="both"/>
        <w:rPr>
          <w:rFonts w:ascii="David" w:hAnsi="David" w:cs="David"/>
          <w:sz w:val="24"/>
          <w:szCs w:val="24"/>
        </w:rPr>
      </w:pPr>
      <w:r>
        <w:rPr>
          <w:rFonts w:ascii="David" w:hAnsi="David" w:cs="David"/>
          <w:sz w:val="24"/>
          <w:szCs w:val="24"/>
          <w:rtl/>
        </w:rPr>
        <w:t>מר גד גרשון, סמנכ"ל יזום נדל"ן ואחראי על תחום פינוי בינוי בחברת שפיר מגורים ובניין בע"מ;</w:t>
      </w:r>
    </w:p>
    <w:p w14:paraId="62004C66" w14:textId="77777777" w:rsidR="001D5CBE" w:rsidRDefault="00151396" w:rsidP="001D5CBE">
      <w:pPr>
        <w:pStyle w:val="ad"/>
        <w:numPr>
          <w:ilvl w:val="0"/>
          <w:numId w:val="3"/>
        </w:numPr>
        <w:spacing w:line="360" w:lineRule="auto"/>
        <w:ind w:left="992" w:hanging="426"/>
        <w:jc w:val="both"/>
        <w:rPr>
          <w:rFonts w:ascii="David" w:hAnsi="David" w:cs="David"/>
          <w:sz w:val="24"/>
          <w:szCs w:val="24"/>
        </w:rPr>
      </w:pPr>
      <w:r>
        <w:rPr>
          <w:rFonts w:ascii="David" w:hAnsi="David" w:cs="David"/>
          <w:sz w:val="24"/>
          <w:szCs w:val="24"/>
          <w:rtl/>
        </w:rPr>
        <w:t>מר ג'קי ביטי, חבר נציגות הדיירים.</w:t>
      </w:r>
    </w:p>
    <w:p w14:paraId="407FBD52" w14:textId="77777777" w:rsidR="001D5CBE" w:rsidRDefault="00151396" w:rsidP="001D5CBE">
      <w:pPr>
        <w:pStyle w:val="ad"/>
        <w:numPr>
          <w:ilvl w:val="1"/>
          <w:numId w:val="1"/>
        </w:numPr>
        <w:spacing w:before="354" w:line="360" w:lineRule="auto"/>
        <w:ind w:left="566" w:hanging="567"/>
        <w:contextualSpacing w:val="0"/>
        <w:jc w:val="both"/>
        <w:rPr>
          <w:rFonts w:ascii="David" w:hAnsi="David" w:cs="David"/>
          <w:sz w:val="24"/>
          <w:szCs w:val="24"/>
          <w:u w:val="single"/>
        </w:rPr>
      </w:pPr>
      <w:r>
        <w:rPr>
          <w:rFonts w:ascii="David" w:hAnsi="David" w:cs="David"/>
          <w:sz w:val="24"/>
          <w:szCs w:val="24"/>
          <w:u w:val="single"/>
          <w:rtl/>
        </w:rPr>
        <w:t>מטעם מר כהנא העידו ארבעה:</w:t>
      </w:r>
    </w:p>
    <w:p w14:paraId="7F8ECB93" w14:textId="77777777" w:rsidR="001D5CBE" w:rsidRDefault="00151396" w:rsidP="001D5CBE">
      <w:pPr>
        <w:pStyle w:val="ad"/>
        <w:numPr>
          <w:ilvl w:val="0"/>
          <w:numId w:val="3"/>
        </w:numPr>
        <w:spacing w:line="360" w:lineRule="auto"/>
        <w:ind w:left="992" w:hanging="426"/>
        <w:jc w:val="both"/>
        <w:rPr>
          <w:rFonts w:ascii="David" w:hAnsi="David" w:cs="David"/>
          <w:sz w:val="24"/>
          <w:szCs w:val="24"/>
        </w:rPr>
      </w:pPr>
      <w:r>
        <w:rPr>
          <w:rFonts w:ascii="David" w:hAnsi="David" w:cs="David"/>
          <w:sz w:val="24"/>
          <w:szCs w:val="24"/>
          <w:rtl/>
        </w:rPr>
        <w:t>מר כהנא עצמו;</w:t>
      </w:r>
    </w:p>
    <w:p w14:paraId="2424CFF9" w14:textId="77777777" w:rsidR="001D5CBE" w:rsidRDefault="00151396" w:rsidP="001D5CBE">
      <w:pPr>
        <w:pStyle w:val="ad"/>
        <w:numPr>
          <w:ilvl w:val="0"/>
          <w:numId w:val="3"/>
        </w:numPr>
        <w:spacing w:line="360" w:lineRule="auto"/>
        <w:ind w:left="992" w:hanging="426"/>
        <w:jc w:val="both"/>
        <w:rPr>
          <w:rFonts w:ascii="David" w:hAnsi="David" w:cs="David"/>
          <w:sz w:val="24"/>
          <w:szCs w:val="24"/>
        </w:rPr>
      </w:pPr>
      <w:r>
        <w:rPr>
          <w:rFonts w:ascii="David" w:hAnsi="David" w:cs="David"/>
          <w:sz w:val="24"/>
          <w:szCs w:val="24"/>
          <w:rtl/>
        </w:rPr>
        <w:t>מר גדליהו שליט – חבר נציגות הדיירים;</w:t>
      </w:r>
    </w:p>
    <w:p w14:paraId="334B49D1" w14:textId="77777777" w:rsidR="001D5CBE" w:rsidRDefault="00151396" w:rsidP="001D5CBE">
      <w:pPr>
        <w:pStyle w:val="ad"/>
        <w:numPr>
          <w:ilvl w:val="0"/>
          <w:numId w:val="3"/>
        </w:numPr>
        <w:spacing w:line="360" w:lineRule="auto"/>
        <w:ind w:left="992" w:hanging="426"/>
        <w:jc w:val="both"/>
        <w:rPr>
          <w:rFonts w:ascii="David" w:hAnsi="David" w:cs="David"/>
          <w:sz w:val="24"/>
          <w:szCs w:val="24"/>
        </w:rPr>
      </w:pPr>
      <w:r>
        <w:rPr>
          <w:rFonts w:ascii="David" w:hAnsi="David" w:cs="David"/>
          <w:sz w:val="24"/>
          <w:szCs w:val="24"/>
          <w:rtl/>
        </w:rPr>
        <w:t>מר עובדיה בן נון – בעל זכויות בדירה בפרויקט;</w:t>
      </w:r>
    </w:p>
    <w:p w14:paraId="6A5B9FE7" w14:textId="77777777" w:rsidR="001D5CBE" w:rsidRDefault="00151396" w:rsidP="001D5CBE">
      <w:pPr>
        <w:pStyle w:val="ad"/>
        <w:numPr>
          <w:ilvl w:val="0"/>
          <w:numId w:val="3"/>
        </w:numPr>
        <w:spacing w:line="360" w:lineRule="auto"/>
        <w:ind w:left="992" w:hanging="426"/>
        <w:jc w:val="both"/>
        <w:rPr>
          <w:rFonts w:ascii="David" w:hAnsi="David" w:cs="David"/>
          <w:sz w:val="24"/>
          <w:szCs w:val="24"/>
        </w:rPr>
      </w:pPr>
      <w:r>
        <w:rPr>
          <w:rFonts w:ascii="David" w:hAnsi="David" w:cs="David"/>
          <w:sz w:val="24"/>
          <w:szCs w:val="24"/>
          <w:rtl/>
        </w:rPr>
        <w:t>מר דניאל פאר כהן – בעל זכויות אשר חתם על הסכם אל מול שפיר, לאחר שלדבריו "רדף" אחרי</w:t>
      </w:r>
      <w:r w:rsidR="00770E36">
        <w:rPr>
          <w:rFonts w:ascii="David" w:hAnsi="David" w:cs="David"/>
          <w:sz w:val="24"/>
          <w:szCs w:val="24"/>
          <w:rtl/>
        </w:rPr>
        <w:t>ו ד"ר סופר במשך שנים. מר פאר כה</w:t>
      </w:r>
      <w:r w:rsidR="00770E36">
        <w:rPr>
          <w:rFonts w:ascii="David" w:hAnsi="David" w:cs="David" w:hint="cs"/>
          <w:sz w:val="24"/>
          <w:szCs w:val="24"/>
          <w:rtl/>
        </w:rPr>
        <w:t>ן</w:t>
      </w:r>
      <w:r>
        <w:rPr>
          <w:rFonts w:ascii="David" w:hAnsi="David" w:cs="David"/>
          <w:sz w:val="24"/>
          <w:szCs w:val="24"/>
          <w:rtl/>
        </w:rPr>
        <w:t xml:space="preserve"> מגדיר את חתימתו כ</w:t>
      </w:r>
      <w:r>
        <w:rPr>
          <w:rFonts w:ascii="David" w:hAnsi="David" w:cs="David"/>
          <w:b/>
          <w:bCs/>
          <w:sz w:val="24"/>
          <w:szCs w:val="24"/>
          <w:rtl/>
        </w:rPr>
        <w:t>"מעשה לא שקול עליו מצטערים כאמור עד היום הזה"</w:t>
      </w:r>
      <w:r>
        <w:rPr>
          <w:rFonts w:ascii="David" w:hAnsi="David" w:cs="David"/>
          <w:sz w:val="24"/>
          <w:szCs w:val="24"/>
          <w:rtl/>
        </w:rPr>
        <w:t xml:space="preserve">.  </w:t>
      </w:r>
    </w:p>
    <w:p w14:paraId="58125DF9" w14:textId="77777777" w:rsidR="001D5CBE" w:rsidRDefault="00151396" w:rsidP="000903FC">
      <w:pPr>
        <w:pStyle w:val="ad"/>
        <w:numPr>
          <w:ilvl w:val="0"/>
          <w:numId w:val="1"/>
        </w:numPr>
        <w:spacing w:before="606" w:line="360" w:lineRule="auto"/>
        <w:ind w:left="-173" w:hanging="533"/>
        <w:contextualSpacing w:val="0"/>
        <w:jc w:val="both"/>
        <w:outlineLvl w:val="2"/>
        <w:rPr>
          <w:rFonts w:ascii="David" w:hAnsi="David" w:cs="David"/>
          <w:sz w:val="24"/>
          <w:szCs w:val="24"/>
          <w:rtl/>
        </w:rPr>
      </w:pPr>
      <w:r>
        <w:rPr>
          <w:rFonts w:ascii="David" w:hAnsi="David" w:cs="David"/>
          <w:b/>
          <w:bCs/>
          <w:sz w:val="24"/>
          <w:szCs w:val="24"/>
          <w:u w:val="single"/>
          <w:rtl/>
        </w:rPr>
        <w:t>טענות הצדדים בתביעת ד"ר סופר נ' מר כהנא (ת.א 22191-01-21)</w:t>
      </w:r>
    </w:p>
    <w:p w14:paraId="53ABF95D" w14:textId="77777777" w:rsidR="001D5CBE" w:rsidRDefault="00151396" w:rsidP="000903FC">
      <w:pPr>
        <w:pStyle w:val="ad"/>
        <w:numPr>
          <w:ilvl w:val="1"/>
          <w:numId w:val="1"/>
        </w:numPr>
        <w:spacing w:before="354" w:line="360" w:lineRule="auto"/>
        <w:ind w:left="288" w:hanging="432"/>
        <w:contextualSpacing w:val="0"/>
        <w:jc w:val="both"/>
        <w:outlineLvl w:val="3"/>
        <w:rPr>
          <w:rFonts w:ascii="David" w:hAnsi="David" w:cs="David"/>
          <w:sz w:val="24"/>
          <w:szCs w:val="24"/>
        </w:rPr>
      </w:pPr>
      <w:r>
        <w:rPr>
          <w:rFonts w:ascii="David" w:hAnsi="David" w:cs="David"/>
          <w:b/>
          <w:bCs/>
          <w:sz w:val="24"/>
          <w:szCs w:val="24"/>
          <w:u w:val="single"/>
          <w:rtl/>
        </w:rPr>
        <w:t>טענות ד"ר סופר כתובע ושמונה עשר הפרסומים בגינם הוגשה תביעת</w:t>
      </w:r>
      <w:r w:rsidRPr="00770E36">
        <w:rPr>
          <w:rFonts w:ascii="David" w:hAnsi="David" w:cs="David"/>
          <w:b/>
          <w:bCs/>
          <w:sz w:val="24"/>
          <w:szCs w:val="24"/>
          <w:rtl/>
        </w:rPr>
        <w:t>ו</w:t>
      </w:r>
    </w:p>
    <w:p w14:paraId="078A51CF" w14:textId="77777777" w:rsidR="001D5CBE" w:rsidRDefault="00151396" w:rsidP="001D5CBE">
      <w:pPr>
        <w:pStyle w:val="ad"/>
        <w:numPr>
          <w:ilvl w:val="0"/>
          <w:numId w:val="5"/>
        </w:numPr>
        <w:spacing w:after="0" w:line="360" w:lineRule="auto"/>
        <w:jc w:val="both"/>
        <w:rPr>
          <w:rFonts w:ascii="David" w:hAnsi="David" w:cs="David"/>
          <w:sz w:val="24"/>
          <w:szCs w:val="24"/>
        </w:rPr>
      </w:pPr>
      <w:r>
        <w:rPr>
          <w:rFonts w:ascii="David" w:hAnsi="David" w:cs="David"/>
          <w:sz w:val="24"/>
          <w:szCs w:val="24"/>
          <w:rtl/>
        </w:rPr>
        <w:t xml:space="preserve">בשנת 2011 הקים ד"ר סופר את חברת שיא דיפנס המתמחה בניהול פרויקטים של תמ"א 38 ופינוי בינוי, יעוץ בנושא התגוננות אזרחית ומוכנות לחירום. מספר שנים לפני הגשת התביעה נבחר לקדם פרויקט פינוי בינוי בעיר חולון. הדיירים בפרויקט בחרו בחברה היזמית כשנתיים לפני בחירתו של ד"ר סופר לניהול הפרויקט ולד"ר סופר לא היה חלק בבחירתה. בהמשך נבחר משרד אדריכלים והפרויקט החל להתקדם בהתאם ללוח הזמנים הנהוג בפרויקטים מסוג זה. בכל העת עודכנו הדיירים בהתקדמות הפרויקט ולעיתים הצביעו על החלטות שונות. </w:t>
      </w:r>
    </w:p>
    <w:p w14:paraId="607130B0" w14:textId="77777777" w:rsidR="001D5CBE" w:rsidRDefault="00151396" w:rsidP="001D5CBE">
      <w:pPr>
        <w:pStyle w:val="ad"/>
        <w:numPr>
          <w:ilvl w:val="0"/>
          <w:numId w:val="5"/>
        </w:numPr>
        <w:spacing w:before="354" w:after="0" w:line="360" w:lineRule="auto"/>
        <w:contextualSpacing w:val="0"/>
        <w:jc w:val="both"/>
        <w:rPr>
          <w:rFonts w:ascii="David" w:hAnsi="David" w:cs="David"/>
          <w:sz w:val="24"/>
          <w:szCs w:val="24"/>
          <w:rtl/>
        </w:rPr>
      </w:pPr>
      <w:r>
        <w:rPr>
          <w:rFonts w:ascii="David" w:hAnsi="David" w:cs="David"/>
          <w:sz w:val="24"/>
          <w:szCs w:val="24"/>
          <w:rtl/>
        </w:rPr>
        <w:lastRenderedPageBreak/>
        <w:t>מספר חודשים לפני הגשת התביעה החל מר כהנא, שהיה פאסיבי למדי במשך ארבע שנים, לנסות לעורר מהומה ולחתור תחת החברה היזמית וצדדים נוספים הקשורים בפרויקט. כמו כן, החל לטעון טענות סרק שקריות כנגד ד"ר סופר כאילו הוא בעל אינטרסים ומצוי בניגוד עניינים. מר  כהנא עשה כן באמצעות שליחת הודעות</w:t>
      </w:r>
      <w:r>
        <w:rPr>
          <w:rFonts w:ascii="David" w:hAnsi="David" w:cs="David"/>
          <w:sz w:val="24"/>
          <w:szCs w:val="24"/>
        </w:rPr>
        <w:t xml:space="preserve">WhatsApp </w:t>
      </w:r>
      <w:r>
        <w:rPr>
          <w:rFonts w:ascii="David" w:hAnsi="David" w:cs="David"/>
          <w:sz w:val="24"/>
          <w:szCs w:val="24"/>
          <w:rtl/>
        </w:rPr>
        <w:t xml:space="preserve"> בקבוצה רבת משתתפים, על דרך של פרסום מכתבים ובאופן כפייתי. </w:t>
      </w:r>
    </w:p>
    <w:p w14:paraId="7165BC82" w14:textId="77777777" w:rsidR="001D5CBE" w:rsidRDefault="00151396" w:rsidP="00B73B10">
      <w:pPr>
        <w:pStyle w:val="ad"/>
        <w:numPr>
          <w:ilvl w:val="0"/>
          <w:numId w:val="5"/>
        </w:numPr>
        <w:spacing w:before="252" w:after="0" w:line="360" w:lineRule="auto"/>
        <w:contextualSpacing w:val="0"/>
        <w:jc w:val="both"/>
        <w:rPr>
          <w:rFonts w:ascii="David" w:hAnsi="David" w:cs="David"/>
          <w:sz w:val="24"/>
          <w:szCs w:val="24"/>
          <w:rtl/>
        </w:rPr>
      </w:pPr>
      <w:r>
        <w:rPr>
          <w:rFonts w:ascii="David" w:hAnsi="David" w:cs="David"/>
          <w:sz w:val="24"/>
          <w:szCs w:val="24"/>
          <w:rtl/>
        </w:rPr>
        <w:t>לטענת ד"ר סופר, הקים מר כהנא בשנת 2015 עמותה שמטרתה "ביצוע מכרז יזמים" וזאת במטרה לטרפד את הפרויקט עם היזם שנבחר ולנשל את ד"ר סופר מקבלת תמורה לעבודתו.</w:t>
      </w:r>
    </w:p>
    <w:p w14:paraId="66FDA8A2" w14:textId="77777777" w:rsidR="001D5CBE" w:rsidRDefault="00151396" w:rsidP="00770E36">
      <w:pPr>
        <w:pStyle w:val="ad"/>
        <w:numPr>
          <w:ilvl w:val="0"/>
          <w:numId w:val="5"/>
        </w:numPr>
        <w:spacing w:before="252" w:after="0" w:line="360" w:lineRule="auto"/>
        <w:contextualSpacing w:val="0"/>
        <w:jc w:val="both"/>
        <w:rPr>
          <w:rFonts w:ascii="David" w:hAnsi="David" w:cs="David"/>
          <w:sz w:val="24"/>
          <w:szCs w:val="24"/>
          <w:rtl/>
        </w:rPr>
      </w:pPr>
      <w:r>
        <w:rPr>
          <w:rFonts w:ascii="David" w:hAnsi="David" w:cs="David"/>
          <w:sz w:val="24"/>
          <w:szCs w:val="24"/>
          <w:rtl/>
        </w:rPr>
        <w:t xml:space="preserve">מספר ההשמצות הרב מעיד על כוונת מר כהנא לפגוע בד"ר סופר. מר כהנא בכסות חושף שחיתויות, ביקש להציג את ד"ר סופר כשקרן, נוכל, בעל אינטרסים ופועל בניגוד עניינים וכמי שמסתיר מבעלי הזכויות מידע רב ורלוונטי. בנוסף, רמז לקשרים בינו לבין </w:t>
      </w:r>
      <w:r w:rsidR="00770E36">
        <w:rPr>
          <w:rFonts w:ascii="David" w:hAnsi="David" w:cs="David" w:hint="cs"/>
          <w:sz w:val="24"/>
          <w:szCs w:val="24"/>
          <w:rtl/>
        </w:rPr>
        <w:t>חברת שפיר</w:t>
      </w:r>
      <w:r>
        <w:rPr>
          <w:rFonts w:ascii="David" w:hAnsi="David" w:cs="David"/>
          <w:sz w:val="24"/>
          <w:szCs w:val="24"/>
          <w:rtl/>
        </w:rPr>
        <w:t xml:space="preserve">. </w:t>
      </w:r>
    </w:p>
    <w:p w14:paraId="2C3B2DCA" w14:textId="77777777" w:rsidR="001D5CBE" w:rsidRDefault="00151396" w:rsidP="001D5CBE">
      <w:pPr>
        <w:pStyle w:val="ad"/>
        <w:numPr>
          <w:ilvl w:val="0"/>
          <w:numId w:val="5"/>
        </w:numPr>
        <w:spacing w:before="252" w:after="0" w:line="360" w:lineRule="auto"/>
        <w:contextualSpacing w:val="0"/>
        <w:jc w:val="both"/>
        <w:rPr>
          <w:rFonts w:ascii="David" w:hAnsi="David" w:cs="David"/>
          <w:sz w:val="24"/>
          <w:szCs w:val="24"/>
          <w:rtl/>
        </w:rPr>
      </w:pPr>
      <w:r>
        <w:rPr>
          <w:rFonts w:ascii="David" w:hAnsi="David" w:cs="David"/>
          <w:b/>
          <w:bCs/>
          <w:sz w:val="24"/>
          <w:szCs w:val="24"/>
          <w:u w:val="single"/>
          <w:rtl/>
        </w:rPr>
        <w:t xml:space="preserve">להלן שמונה עשר הפרסומים אשר פרסם מר כהנא המהווים לטענת ד"ר סופר </w:t>
      </w:r>
      <w:r>
        <w:rPr>
          <w:rFonts w:ascii="David" w:hAnsi="David" w:cs="David"/>
          <w:b/>
          <w:bCs/>
          <w:sz w:val="24"/>
          <w:szCs w:val="24"/>
          <w:u w:val="single"/>
          <w:rtl/>
        </w:rPr>
        <w:t>לשון הרע</w:t>
      </w:r>
      <w:r>
        <w:rPr>
          <w:rFonts w:ascii="David" w:hAnsi="David" w:cs="David"/>
          <w:sz w:val="24"/>
          <w:szCs w:val="24"/>
          <w:rtl/>
        </w:rPr>
        <w:t>:</w:t>
      </w:r>
    </w:p>
    <w:p w14:paraId="7558572D" w14:textId="77777777" w:rsidR="001D5CBE" w:rsidRDefault="00151396" w:rsidP="00104CC2">
      <w:pPr>
        <w:pStyle w:val="ad"/>
        <w:numPr>
          <w:ilvl w:val="0"/>
          <w:numId w:val="6"/>
        </w:numPr>
        <w:spacing w:after="0" w:line="360" w:lineRule="auto"/>
        <w:jc w:val="both"/>
        <w:rPr>
          <w:rFonts w:ascii="David" w:hAnsi="David" w:cs="David"/>
          <w:sz w:val="24"/>
          <w:szCs w:val="24"/>
          <w:rtl/>
        </w:rPr>
      </w:pPr>
      <w:r>
        <w:rPr>
          <w:rFonts w:ascii="David" w:hAnsi="David" w:cs="David"/>
          <w:b/>
          <w:bCs/>
          <w:sz w:val="24"/>
          <w:szCs w:val="24"/>
          <w:u w:val="single"/>
          <w:rtl/>
        </w:rPr>
        <w:t>פרסום ראשון</w:t>
      </w:r>
      <w:r>
        <w:rPr>
          <w:rFonts w:ascii="David" w:hAnsi="David" w:cs="David"/>
          <w:sz w:val="24"/>
          <w:szCs w:val="24"/>
          <w:rtl/>
        </w:rPr>
        <w:t xml:space="preserve"> - ביום 21.9.2020 </w:t>
      </w:r>
      <w:r w:rsidR="00104CC2">
        <w:rPr>
          <w:rFonts w:ascii="David" w:hAnsi="David" w:cs="David" w:hint="cs"/>
          <w:sz w:val="24"/>
          <w:szCs w:val="24"/>
          <w:rtl/>
        </w:rPr>
        <w:t xml:space="preserve">כתב מר כהנא </w:t>
      </w:r>
      <w:r>
        <w:rPr>
          <w:rFonts w:ascii="David" w:hAnsi="David" w:cs="David"/>
          <w:sz w:val="24"/>
          <w:szCs w:val="24"/>
          <w:rtl/>
        </w:rPr>
        <w:t>ב-</w:t>
      </w:r>
      <w:r>
        <w:rPr>
          <w:rFonts w:ascii="David" w:hAnsi="David" w:cs="David"/>
          <w:sz w:val="24"/>
          <w:szCs w:val="24"/>
        </w:rPr>
        <w:t>WhatsApp</w:t>
      </w:r>
      <w:r>
        <w:rPr>
          <w:rFonts w:ascii="David" w:hAnsi="David" w:cs="David"/>
          <w:sz w:val="24"/>
          <w:szCs w:val="24"/>
          <w:rtl/>
        </w:rPr>
        <w:t xml:space="preserve"> </w:t>
      </w:r>
      <w:r>
        <w:rPr>
          <w:rFonts w:ascii="David" w:hAnsi="David" w:cs="David" w:hint="cs"/>
          <w:sz w:val="24"/>
          <w:szCs w:val="24"/>
          <w:rtl/>
        </w:rPr>
        <w:t>בקבוצת נציגות המתחם שבה 27 חברים</w:t>
      </w:r>
      <w:r w:rsidR="00104CC2">
        <w:rPr>
          <w:rFonts w:ascii="David" w:hAnsi="David" w:cs="David" w:hint="cs"/>
          <w:sz w:val="24"/>
          <w:szCs w:val="24"/>
          <w:rtl/>
        </w:rPr>
        <w:t xml:space="preserve"> - </w:t>
      </w:r>
      <w:r>
        <w:rPr>
          <w:rFonts w:ascii="David" w:hAnsi="David" w:cs="David" w:hint="cs"/>
          <w:sz w:val="24"/>
          <w:szCs w:val="24"/>
          <w:rtl/>
        </w:rPr>
        <w:t>"</w:t>
      </w:r>
      <w:r>
        <w:rPr>
          <w:rFonts w:ascii="David" w:hAnsi="David" w:cs="David" w:hint="cs"/>
          <w:b/>
          <w:bCs/>
          <w:sz w:val="24"/>
          <w:szCs w:val="24"/>
          <w:rtl/>
        </w:rPr>
        <w:t>לעניות שיפוטי יש כאן מנהל לא תקין וטעם קשה לפגם (בלשון המעטה) של כלל הגופים המעורים ומובילים הפרויקט ובראשם מנהל הפרויקט עצמו חיליק סופר אשר מתפקידו לדעת ולהבין כל מה שזז בפרויקט אחרי 6 שנים! לצערי הרב הנכם נוכחים להבין כעת שכל אשר הזהרתי מסרתי וטענתי מתחילת הפרויקט אמת לאמיתה וכנראה שההפתעות עוד לפנינו</w:t>
      </w:r>
      <w:r>
        <w:rPr>
          <w:rFonts w:ascii="David" w:hAnsi="David" w:cs="David" w:hint="cs"/>
          <w:sz w:val="24"/>
          <w:szCs w:val="24"/>
          <w:rtl/>
        </w:rPr>
        <w:t>."</w:t>
      </w:r>
    </w:p>
    <w:p w14:paraId="59154D69" w14:textId="77777777" w:rsidR="001D5CBE" w:rsidRDefault="00151396" w:rsidP="001D5CBE">
      <w:pPr>
        <w:pStyle w:val="ad"/>
        <w:numPr>
          <w:ilvl w:val="0"/>
          <w:numId w:val="6"/>
        </w:numPr>
        <w:spacing w:before="354" w:after="0" w:line="360" w:lineRule="auto"/>
        <w:contextualSpacing w:val="0"/>
        <w:jc w:val="both"/>
        <w:rPr>
          <w:rFonts w:ascii="David" w:hAnsi="David" w:cs="David"/>
          <w:sz w:val="24"/>
          <w:szCs w:val="24"/>
          <w:rtl/>
        </w:rPr>
      </w:pPr>
      <w:r>
        <w:rPr>
          <w:rFonts w:ascii="David" w:hAnsi="David" w:cs="David"/>
          <w:b/>
          <w:bCs/>
          <w:sz w:val="24"/>
          <w:szCs w:val="24"/>
          <w:u w:val="single"/>
          <w:rtl/>
        </w:rPr>
        <w:t>פרסום שני</w:t>
      </w:r>
      <w:r>
        <w:rPr>
          <w:rFonts w:ascii="David" w:hAnsi="David" w:cs="David"/>
          <w:sz w:val="24"/>
          <w:szCs w:val="24"/>
          <w:rtl/>
        </w:rPr>
        <w:t xml:space="preserve"> - ביום 6.10.2020 שב וביקש מר כהנא לרמוז על איזו "אמת נוראה" שיש בהסכם של סופר מול היזם. וכך כתב בקבוצת ה</w:t>
      </w:r>
      <w:r>
        <w:rPr>
          <w:rFonts w:ascii="David" w:hAnsi="David" w:cs="David"/>
          <w:sz w:val="24"/>
          <w:szCs w:val="24"/>
        </w:rPr>
        <w:t>WhatsApp</w:t>
      </w:r>
      <w:r>
        <w:rPr>
          <w:rFonts w:ascii="David" w:hAnsi="David" w:cs="David"/>
          <w:sz w:val="24"/>
          <w:szCs w:val="24"/>
          <w:rtl/>
        </w:rPr>
        <w:t>: "</w:t>
      </w:r>
      <w:r>
        <w:rPr>
          <w:rFonts w:ascii="David" w:hAnsi="David" w:cs="David"/>
          <w:b/>
          <w:bCs/>
          <w:sz w:val="24"/>
          <w:szCs w:val="24"/>
          <w:rtl/>
        </w:rPr>
        <w:t>חברים, זו תשובה מתחמקת ומתפתלת נוספת בסדרה ארוכה של התפתלויות מטעם מנהל הפרויקט לפנייתי השלישית אליו לחשוף ברבים הסכם העסקתו מול היזם. לכל אחד הזכות הלגיטימית לראות ולעיין בו, בלי סיפורים בסגנון 'רבים ראו...', הוא מתבקש לנהוג בשקיפות מלאה, יושרה וגילוי נאות כפי שהוא אוהב להגדיר פעולותיו ואת עצמו!</w:t>
      </w:r>
      <w:r>
        <w:rPr>
          <w:rFonts w:ascii="David" w:hAnsi="David" w:cs="David"/>
          <w:sz w:val="24"/>
          <w:szCs w:val="24"/>
          <w:rtl/>
        </w:rPr>
        <w:t>"</w:t>
      </w:r>
    </w:p>
    <w:p w14:paraId="21479CEC" w14:textId="77777777" w:rsidR="001D5CBE" w:rsidRDefault="00151396" w:rsidP="00274F7E">
      <w:pPr>
        <w:pStyle w:val="ad"/>
        <w:numPr>
          <w:ilvl w:val="0"/>
          <w:numId w:val="6"/>
        </w:numPr>
        <w:spacing w:before="252" w:after="0" w:line="360" w:lineRule="auto"/>
        <w:contextualSpacing w:val="0"/>
        <w:jc w:val="both"/>
        <w:rPr>
          <w:rFonts w:ascii="David" w:hAnsi="David" w:cs="David"/>
          <w:sz w:val="24"/>
          <w:szCs w:val="24"/>
          <w:rtl/>
        </w:rPr>
      </w:pPr>
      <w:r>
        <w:rPr>
          <w:rFonts w:ascii="David" w:hAnsi="David" w:cs="David"/>
          <w:b/>
          <w:bCs/>
          <w:sz w:val="24"/>
          <w:szCs w:val="24"/>
          <w:u w:val="single"/>
          <w:rtl/>
        </w:rPr>
        <w:t>פרסום שלישי</w:t>
      </w:r>
      <w:r>
        <w:rPr>
          <w:rFonts w:ascii="David" w:hAnsi="David" w:cs="David"/>
          <w:sz w:val="24"/>
          <w:szCs w:val="24"/>
          <w:rtl/>
        </w:rPr>
        <w:t xml:space="preserve"> - ביום 12.10.2020 ה</w:t>
      </w:r>
      <w:r w:rsidR="00274F7E">
        <w:rPr>
          <w:rFonts w:ascii="David" w:hAnsi="David" w:cs="David" w:hint="cs"/>
          <w:sz w:val="24"/>
          <w:szCs w:val="24"/>
          <w:rtl/>
        </w:rPr>
        <w:t xml:space="preserve">שיב </w:t>
      </w:r>
      <w:r>
        <w:rPr>
          <w:rFonts w:ascii="David" w:hAnsi="David" w:cs="David"/>
          <w:sz w:val="24"/>
          <w:szCs w:val="24"/>
          <w:rtl/>
        </w:rPr>
        <w:t>מר כהנא להודעת הדוא"ל</w:t>
      </w:r>
      <w:r w:rsidR="00274F7E">
        <w:rPr>
          <w:rFonts w:ascii="David" w:hAnsi="David" w:cs="David"/>
          <w:sz w:val="24"/>
          <w:szCs w:val="24"/>
          <w:rtl/>
        </w:rPr>
        <w:t xml:space="preserve"> ש</w:t>
      </w:r>
      <w:r>
        <w:rPr>
          <w:rFonts w:ascii="David" w:hAnsi="David" w:cs="David"/>
          <w:sz w:val="24"/>
          <w:szCs w:val="24"/>
          <w:rtl/>
        </w:rPr>
        <w:t xml:space="preserve">שלח ד"ר סופר בתפוצת חברי הנציגות, ועשה כן במכתב שנשלח לחברי הנציגות ובעלי הזכויות במתחם. שם, הטיח מר כהנא בד"ר סופר </w:t>
      </w:r>
      <w:r w:rsidR="00274F7E">
        <w:rPr>
          <w:rFonts w:ascii="David" w:hAnsi="David" w:cs="David" w:hint="cs"/>
          <w:sz w:val="24"/>
          <w:szCs w:val="24"/>
          <w:rtl/>
        </w:rPr>
        <w:t xml:space="preserve">וציין </w:t>
      </w:r>
      <w:r>
        <w:rPr>
          <w:rFonts w:ascii="David" w:hAnsi="David" w:cs="David"/>
          <w:sz w:val="24"/>
          <w:szCs w:val="24"/>
          <w:rtl/>
        </w:rPr>
        <w:t>"</w:t>
      </w:r>
      <w:r>
        <w:rPr>
          <w:rFonts w:ascii="David" w:hAnsi="David" w:cs="David"/>
          <w:b/>
          <w:bCs/>
          <w:sz w:val="24"/>
          <w:szCs w:val="24"/>
          <w:rtl/>
        </w:rPr>
        <w:t>לא חשפת לדיירים</w:t>
      </w:r>
      <w:r>
        <w:rPr>
          <w:rFonts w:ascii="David" w:hAnsi="David" w:cs="David"/>
          <w:sz w:val="24"/>
          <w:szCs w:val="24"/>
          <w:rtl/>
        </w:rPr>
        <w:t>" תוך ניסיון לפקפק ביושרו.</w:t>
      </w:r>
    </w:p>
    <w:p w14:paraId="535BD32A" w14:textId="77777777" w:rsidR="001D5CBE" w:rsidRDefault="00151396" w:rsidP="001D5CBE">
      <w:pPr>
        <w:pStyle w:val="ad"/>
        <w:numPr>
          <w:ilvl w:val="0"/>
          <w:numId w:val="6"/>
        </w:numPr>
        <w:spacing w:before="252" w:after="0" w:line="360" w:lineRule="auto"/>
        <w:contextualSpacing w:val="0"/>
        <w:jc w:val="both"/>
        <w:rPr>
          <w:rFonts w:ascii="David" w:hAnsi="David" w:cs="David"/>
          <w:sz w:val="24"/>
          <w:szCs w:val="24"/>
          <w:rtl/>
        </w:rPr>
      </w:pPr>
      <w:r>
        <w:rPr>
          <w:rFonts w:ascii="David" w:hAnsi="David" w:cs="David"/>
          <w:b/>
          <w:bCs/>
          <w:sz w:val="24"/>
          <w:szCs w:val="24"/>
          <w:u w:val="single"/>
          <w:rtl/>
        </w:rPr>
        <w:t>פרסום רביעי</w:t>
      </w:r>
      <w:r>
        <w:rPr>
          <w:rFonts w:ascii="David" w:hAnsi="David" w:cs="David"/>
          <w:sz w:val="24"/>
          <w:szCs w:val="24"/>
          <w:rtl/>
        </w:rPr>
        <w:t xml:space="preserve"> - ביום 13.10.2020 כתב מר כהנא "</w:t>
      </w:r>
      <w:r>
        <w:rPr>
          <w:rFonts w:ascii="David" w:hAnsi="David" w:cs="David"/>
          <w:b/>
          <w:bCs/>
          <w:sz w:val="24"/>
          <w:szCs w:val="24"/>
          <w:rtl/>
        </w:rPr>
        <w:t>תחקיר</w:t>
      </w:r>
      <w:r>
        <w:rPr>
          <w:rFonts w:ascii="David" w:hAnsi="David" w:cs="David"/>
          <w:sz w:val="24"/>
          <w:szCs w:val="24"/>
          <w:rtl/>
        </w:rPr>
        <w:t>" על אודות "</w:t>
      </w:r>
      <w:r>
        <w:rPr>
          <w:rFonts w:ascii="David" w:hAnsi="David" w:cs="David"/>
          <w:b/>
          <w:bCs/>
          <w:sz w:val="24"/>
          <w:szCs w:val="24"/>
          <w:rtl/>
        </w:rPr>
        <w:t>ניגוד אינטרסים מוחלט בהסכם שכ"ט</w:t>
      </w:r>
      <w:r>
        <w:rPr>
          <w:rFonts w:ascii="David" w:hAnsi="David" w:cs="David"/>
          <w:sz w:val="24"/>
          <w:szCs w:val="24"/>
          <w:rtl/>
        </w:rPr>
        <w:t>" בין שיא דיפנס לשפיר מגורים. "תחקיר" זה הופץ בקרב חברי נציגות ובעלי זכויות (למעלה מ-100 חברים). תחת הכותרת "</w:t>
      </w:r>
      <w:r>
        <w:rPr>
          <w:rFonts w:ascii="David" w:hAnsi="David" w:cs="David"/>
          <w:b/>
          <w:bCs/>
          <w:sz w:val="24"/>
          <w:szCs w:val="24"/>
          <w:rtl/>
        </w:rPr>
        <w:t>השיטה</w:t>
      </w:r>
      <w:r>
        <w:rPr>
          <w:rFonts w:ascii="David" w:hAnsi="David" w:cs="David"/>
          <w:sz w:val="24"/>
          <w:szCs w:val="24"/>
          <w:rtl/>
        </w:rPr>
        <w:t>" ציין מר כהנא: "</w:t>
      </w:r>
      <w:r>
        <w:rPr>
          <w:rFonts w:ascii="David" w:hAnsi="David" w:cs="David"/>
          <w:b/>
          <w:bCs/>
          <w:sz w:val="24"/>
          <w:szCs w:val="24"/>
          <w:rtl/>
        </w:rPr>
        <w:t xml:space="preserve">1. כיצד הסכם זה התהווה, נרקם וגובש בחטא, תוך ניגוד אינטרסים מוחלט. 2. מהות הגדרת תפקידו של ד"ר סופר ולמרות מי הוא סר. 3. נחיצותו לאורך חיי הפרויקט, מטעם מי הוא </w:t>
      </w:r>
      <w:r>
        <w:rPr>
          <w:rFonts w:ascii="David" w:hAnsi="David" w:cs="David"/>
          <w:b/>
          <w:bCs/>
          <w:sz w:val="24"/>
          <w:szCs w:val="24"/>
          <w:rtl/>
        </w:rPr>
        <w:lastRenderedPageBreak/>
        <w:t>פועל ולמי נתונה נאמנותו, לדיירים או ליזם</w:t>
      </w:r>
      <w:r>
        <w:rPr>
          <w:rFonts w:ascii="David" w:hAnsi="David" w:cs="David"/>
          <w:sz w:val="24"/>
          <w:szCs w:val="24"/>
          <w:rtl/>
        </w:rPr>
        <w:t>." תחת "</w:t>
      </w:r>
      <w:r>
        <w:rPr>
          <w:rFonts w:ascii="David" w:hAnsi="David" w:cs="David"/>
          <w:b/>
          <w:bCs/>
          <w:sz w:val="24"/>
          <w:szCs w:val="24"/>
          <w:rtl/>
        </w:rPr>
        <w:t>פירוט העובדות</w:t>
      </w:r>
      <w:r>
        <w:rPr>
          <w:rFonts w:ascii="David" w:hAnsi="David" w:cs="David"/>
          <w:sz w:val="24"/>
          <w:szCs w:val="24"/>
          <w:rtl/>
        </w:rPr>
        <w:t>" הציג מר כהנא את ד"ר סופר כמי שהוצע כמנהל הפרויקט בידי דיירים מסוימים שלא היו ר</w:t>
      </w:r>
      <w:r>
        <w:rPr>
          <w:rFonts w:ascii="David" w:hAnsi="David" w:cs="David"/>
          <w:sz w:val="24"/>
          <w:szCs w:val="24"/>
          <w:rtl/>
        </w:rPr>
        <w:t>שאים ומוסמכים לפעול מטעם בעלי הזכויות במתחם, וחרף כך, "</w:t>
      </w:r>
      <w:r>
        <w:rPr>
          <w:rFonts w:ascii="David" w:hAnsi="David" w:cs="David"/>
          <w:b/>
          <w:bCs/>
          <w:sz w:val="24"/>
          <w:szCs w:val="24"/>
          <w:rtl/>
        </w:rPr>
        <w:t>חתם מראש וללא כל היסוס</w:t>
      </w:r>
      <w:r>
        <w:rPr>
          <w:rFonts w:ascii="David" w:hAnsi="David" w:cs="David"/>
          <w:sz w:val="24"/>
          <w:szCs w:val="24"/>
          <w:rtl/>
        </w:rPr>
        <w:t>" על ההסכם. לאחר מכן הציג מר כהנא את סופר כמי שהסתיר מהדיירים את ניגוד העניינים בו הוא מצוי: "</w:t>
      </w:r>
      <w:r>
        <w:rPr>
          <w:rFonts w:ascii="David" w:hAnsi="David" w:cs="David"/>
          <w:b/>
          <w:bCs/>
          <w:sz w:val="24"/>
          <w:szCs w:val="24"/>
          <w:rtl/>
        </w:rPr>
        <w:t>הופיע בכנסי היכרות במכללה, הציג עצמו ולא טרח להדגיש שחתום כבר זמן מה לפני כן על הסכם שכ"ט עם היזם. בכנסים אף ציין שמטרתו לקדם את הפרויקט מהר, מבלי להדגיש ולהבהיר שאחריותו והתחייבותו המרכזית מתמקדת בעצם בתהליך החתמת הדיירים על הסכם מול היזם, ללא זכות חרטה, עם יעדי חתימות ברורים לרבעון</w:t>
      </w:r>
      <w:r>
        <w:rPr>
          <w:rFonts w:ascii="David" w:hAnsi="David" w:cs="David"/>
          <w:sz w:val="24"/>
          <w:szCs w:val="24"/>
          <w:rtl/>
        </w:rPr>
        <w:t>." בהמשך טען כי ד"ר סופר הציג: "</w:t>
      </w:r>
      <w:r>
        <w:rPr>
          <w:rFonts w:ascii="David" w:hAnsi="David" w:cs="David"/>
          <w:b/>
          <w:bCs/>
          <w:sz w:val="24"/>
          <w:szCs w:val="24"/>
          <w:rtl/>
        </w:rPr>
        <w:t>מצג מדומה כביכול של השיגי</w:t>
      </w:r>
      <w:r>
        <w:rPr>
          <w:rFonts w:ascii="David" w:hAnsi="David" w:cs="David"/>
          <w:b/>
          <w:bCs/>
          <w:sz w:val="24"/>
          <w:szCs w:val="24"/>
          <w:rtl/>
        </w:rPr>
        <w:t>ם מרשימים במו"מ מול היזם!</w:t>
      </w:r>
      <w:r>
        <w:rPr>
          <w:rFonts w:ascii="David" w:hAnsi="David" w:cs="David"/>
          <w:sz w:val="24"/>
          <w:szCs w:val="24"/>
          <w:rtl/>
        </w:rPr>
        <w:t>" ושאל: "</w:t>
      </w:r>
      <w:r>
        <w:rPr>
          <w:rFonts w:ascii="David" w:hAnsi="David" w:cs="David"/>
          <w:b/>
          <w:bCs/>
          <w:sz w:val="24"/>
          <w:szCs w:val="24"/>
          <w:rtl/>
        </w:rPr>
        <w:t>כיצד הוא העז? הרי היזם הוא בפועל מעסיקו!</w:t>
      </w:r>
      <w:r>
        <w:rPr>
          <w:rFonts w:ascii="David" w:hAnsi="David" w:cs="David"/>
          <w:sz w:val="24"/>
          <w:szCs w:val="24"/>
          <w:rtl/>
        </w:rPr>
        <w:t>". לאחר מכן קבע: "</w:t>
      </w:r>
      <w:r>
        <w:rPr>
          <w:rFonts w:ascii="David" w:hAnsi="David" w:cs="David"/>
          <w:b/>
          <w:bCs/>
          <w:sz w:val="24"/>
          <w:szCs w:val="24"/>
          <w:rtl/>
        </w:rPr>
        <w:t>ניתן לומר בביטחון רב שדבקותו במטרה ונאמנותו ליזם, עד עצם היום הזה, הינה מוחלטת</w:t>
      </w:r>
      <w:r>
        <w:rPr>
          <w:rFonts w:ascii="David" w:hAnsi="David" w:cs="David"/>
          <w:sz w:val="24"/>
          <w:szCs w:val="24"/>
          <w:rtl/>
        </w:rPr>
        <w:t>."</w:t>
      </w:r>
    </w:p>
    <w:p w14:paraId="04C0CC67" w14:textId="77777777" w:rsidR="001D5CBE" w:rsidRDefault="00151396" w:rsidP="001D5CBE">
      <w:pPr>
        <w:pStyle w:val="ad"/>
        <w:spacing w:before="354" w:line="360" w:lineRule="auto"/>
        <w:ind w:left="1080"/>
        <w:contextualSpacing w:val="0"/>
        <w:jc w:val="both"/>
        <w:rPr>
          <w:rFonts w:ascii="David" w:hAnsi="David" w:cs="David"/>
          <w:sz w:val="24"/>
          <w:szCs w:val="24"/>
          <w:rtl/>
        </w:rPr>
      </w:pPr>
      <w:r>
        <w:rPr>
          <w:rFonts w:ascii="David" w:hAnsi="David" w:cs="David"/>
          <w:sz w:val="24"/>
          <w:szCs w:val="24"/>
          <w:rtl/>
        </w:rPr>
        <w:t>בהמשך הציג את ד"ר סופר כמי שיש לו מה להסתיר בהצגת הסכם שכ"ט בפני הדיירים: "</w:t>
      </w:r>
      <w:r>
        <w:rPr>
          <w:rFonts w:ascii="David" w:hAnsi="David" w:cs="David"/>
          <w:b/>
          <w:bCs/>
          <w:sz w:val="24"/>
          <w:szCs w:val="24"/>
          <w:rtl/>
        </w:rPr>
        <w:t>תמיד התחמק כאשר נתבקש להציג הסכם שכ"ט וניסה להסביר הסיבות המוצדקות לכאורה להתנגדותו</w:t>
      </w:r>
      <w:r>
        <w:rPr>
          <w:rFonts w:ascii="David" w:hAnsi="David" w:cs="David"/>
          <w:sz w:val="24"/>
          <w:szCs w:val="24"/>
          <w:rtl/>
        </w:rPr>
        <w:t>." וכן: "</w:t>
      </w:r>
      <w:r>
        <w:rPr>
          <w:rFonts w:ascii="David" w:hAnsi="David" w:cs="David"/>
          <w:b/>
          <w:bCs/>
          <w:sz w:val="24"/>
          <w:szCs w:val="24"/>
          <w:rtl/>
        </w:rPr>
        <w:t>ד"ר סופר העדיף מטעמיו ומטבע הדברים להציג ההסכם למקורבים שיוכל לסמוך עליהם שלא יגלו פרטיו</w:t>
      </w:r>
      <w:r>
        <w:rPr>
          <w:rFonts w:ascii="David" w:hAnsi="David" w:cs="David"/>
          <w:sz w:val="24"/>
          <w:szCs w:val="24"/>
          <w:rtl/>
        </w:rPr>
        <w:t>." עוד קבע: "</w:t>
      </w:r>
      <w:r>
        <w:rPr>
          <w:rFonts w:ascii="David" w:hAnsi="David" w:cs="David"/>
          <w:b/>
          <w:bCs/>
          <w:sz w:val="24"/>
          <w:szCs w:val="24"/>
          <w:rtl/>
        </w:rPr>
        <w:t>ד"ר סופר התחייב בחתימתו על פי סעיף זה שבעת מחלוקת על סעיף זה או אחר המבוקש ע"י הדיירים, הוא לא יוכל להילחם לטובתם אלא ייאלץ בסופו של דבר לקבל מלוא תכתיביו ופסיקותיו של היזם</w:t>
      </w:r>
      <w:r>
        <w:rPr>
          <w:rFonts w:ascii="David" w:hAnsi="David" w:cs="David"/>
          <w:sz w:val="24"/>
          <w:szCs w:val="24"/>
          <w:rtl/>
        </w:rPr>
        <w:t>." עוד ציין את ה"אינטרסים" של סופר בהותרת נוסח ההסכם על כנו: "</w:t>
      </w:r>
      <w:r>
        <w:rPr>
          <w:rFonts w:ascii="David" w:hAnsi="David" w:cs="David"/>
          <w:b/>
          <w:bCs/>
          <w:sz w:val="24"/>
          <w:szCs w:val="24"/>
          <w:rtl/>
        </w:rPr>
        <w:t>ד"ר סופר גם מגן מסיבה זאת בחירוף נפש על סעיפי הסכם הדיירים וסעיפיו, מנסה לגייס כל נימ</w:t>
      </w:r>
      <w:r>
        <w:rPr>
          <w:rFonts w:ascii="David" w:hAnsi="David" w:cs="David"/>
          <w:b/>
          <w:bCs/>
          <w:sz w:val="24"/>
          <w:szCs w:val="24"/>
          <w:rtl/>
        </w:rPr>
        <w:t>וק אפשרי כדי להרגיע ולשכנע הדיירים שההסכם מעולה, מאחר וברור שיתקל ב-וטו של היזם כבחומה בצורה, ופרנסתו תלויה הרי בהמשך ההחתמות."</w:t>
      </w:r>
    </w:p>
    <w:p w14:paraId="736E2C3C" w14:textId="77777777" w:rsidR="001D5CBE" w:rsidRDefault="00151396" w:rsidP="001D5CBE">
      <w:pPr>
        <w:pStyle w:val="ad"/>
        <w:spacing w:before="354" w:line="360" w:lineRule="auto"/>
        <w:ind w:left="1080"/>
        <w:contextualSpacing w:val="0"/>
        <w:jc w:val="both"/>
        <w:rPr>
          <w:rFonts w:ascii="David" w:hAnsi="David" w:cs="David"/>
          <w:sz w:val="24"/>
          <w:szCs w:val="24"/>
          <w:rtl/>
        </w:rPr>
      </w:pPr>
      <w:r>
        <w:rPr>
          <w:rFonts w:ascii="David" w:hAnsi="David" w:cs="David"/>
          <w:sz w:val="24"/>
          <w:szCs w:val="24"/>
          <w:rtl/>
        </w:rPr>
        <w:t>עוד טען כי סופר מסתיר עובדות רלוונטיות ומשקר לגבי נתונים קריטיים לדיירים: "</w:t>
      </w:r>
      <w:r>
        <w:rPr>
          <w:rFonts w:ascii="David" w:hAnsi="David" w:cs="David"/>
          <w:b/>
          <w:bCs/>
          <w:sz w:val="24"/>
          <w:szCs w:val="24"/>
          <w:rtl/>
        </w:rPr>
        <w:t>הסכמתו של ד"ר סופר לסעיף כזה בחתימתו היא בעצם התחייבות ברורה לחוסר שקיפות במלוא מובן המילה! זו גם הסיבה נתונים לא מחמיאים על התקדמות הפרויקט מפורסמים ע"י ד"ר סופר רק לאחר שאני מגלה ומציף אותם</w:t>
      </w:r>
      <w:r>
        <w:rPr>
          <w:rFonts w:ascii="David" w:hAnsi="David" w:cs="David"/>
          <w:sz w:val="24"/>
          <w:szCs w:val="24"/>
          <w:rtl/>
        </w:rPr>
        <w:t xml:space="preserve">."  </w:t>
      </w:r>
    </w:p>
    <w:p w14:paraId="64A3E910" w14:textId="77777777" w:rsidR="001D5CBE" w:rsidRDefault="00151396" w:rsidP="001D5CBE">
      <w:pPr>
        <w:pStyle w:val="ad"/>
        <w:spacing w:line="360" w:lineRule="auto"/>
        <w:ind w:left="1080"/>
        <w:jc w:val="both"/>
        <w:rPr>
          <w:rFonts w:ascii="David" w:hAnsi="David" w:cs="David"/>
          <w:sz w:val="24"/>
          <w:szCs w:val="24"/>
          <w:rtl/>
        </w:rPr>
      </w:pPr>
      <w:r>
        <w:rPr>
          <w:rFonts w:ascii="David" w:hAnsi="David" w:cs="David"/>
          <w:sz w:val="24"/>
          <w:szCs w:val="24"/>
          <w:rtl/>
        </w:rPr>
        <w:t>תחת הכותרת "</w:t>
      </w:r>
      <w:r>
        <w:rPr>
          <w:rFonts w:ascii="David" w:hAnsi="David" w:cs="David"/>
          <w:b/>
          <w:bCs/>
          <w:sz w:val="24"/>
          <w:szCs w:val="24"/>
          <w:rtl/>
        </w:rPr>
        <w:t>חברת סי דיפנס</w:t>
      </w:r>
      <w:r>
        <w:rPr>
          <w:rFonts w:ascii="David" w:hAnsi="David" w:cs="David"/>
          <w:sz w:val="24"/>
          <w:szCs w:val="24"/>
          <w:rtl/>
        </w:rPr>
        <w:t>" כתב מר כהנא: "</w:t>
      </w:r>
      <w:r>
        <w:rPr>
          <w:rFonts w:ascii="David" w:hAnsi="David" w:cs="David"/>
          <w:b/>
          <w:bCs/>
          <w:sz w:val="24"/>
          <w:szCs w:val="24"/>
          <w:rtl/>
        </w:rPr>
        <w:t>המוצע ע"י ד"ר סופר באתר שלו איננו נכון , איננו הגיוני, מנוגד לשכל הישר ואף עלול להוביל להליכים לא תקינים, למחלוקות שונות וניגוד חמור של אינטרסים</w:t>
      </w:r>
      <w:r>
        <w:rPr>
          <w:rFonts w:ascii="David" w:hAnsi="David" w:cs="David"/>
          <w:sz w:val="24"/>
          <w:szCs w:val="24"/>
          <w:rtl/>
        </w:rPr>
        <w:t>." תחת הכותרת "</w:t>
      </w:r>
      <w:r>
        <w:rPr>
          <w:rFonts w:ascii="David" w:hAnsi="David" w:cs="David"/>
          <w:b/>
          <w:bCs/>
          <w:sz w:val="24"/>
          <w:szCs w:val="24"/>
          <w:rtl/>
        </w:rPr>
        <w:t>כישורים, הכשרות וניסיון מעשי</w:t>
      </w:r>
      <w:r>
        <w:rPr>
          <w:rFonts w:ascii="David" w:hAnsi="David" w:cs="David"/>
          <w:sz w:val="24"/>
          <w:szCs w:val="24"/>
          <w:rtl/>
        </w:rPr>
        <w:t>" כתב מר כהנא: "</w:t>
      </w:r>
      <w:r>
        <w:rPr>
          <w:rFonts w:ascii="David" w:hAnsi="David" w:cs="David"/>
          <w:b/>
          <w:bCs/>
          <w:sz w:val="24"/>
          <w:szCs w:val="24"/>
          <w:rtl/>
        </w:rPr>
        <w:t>כל תוכן הסכם שכ"ט עליו ד"ר סופר חתום, מצביע על נאמנותו ליזם!</w:t>
      </w:r>
      <w:r>
        <w:rPr>
          <w:rFonts w:ascii="David" w:hAnsi="David" w:cs="David"/>
          <w:sz w:val="24"/>
          <w:szCs w:val="24"/>
          <w:rtl/>
        </w:rPr>
        <w:t>". תחת "</w:t>
      </w:r>
      <w:r>
        <w:rPr>
          <w:rFonts w:ascii="David" w:hAnsi="David" w:cs="David"/>
          <w:b/>
          <w:bCs/>
          <w:sz w:val="24"/>
          <w:szCs w:val="24"/>
          <w:rtl/>
        </w:rPr>
        <w:t>מסקנות והסיכום</w:t>
      </w:r>
      <w:r>
        <w:rPr>
          <w:rFonts w:ascii="David" w:hAnsi="David" w:cs="David"/>
          <w:sz w:val="24"/>
          <w:szCs w:val="24"/>
          <w:rtl/>
        </w:rPr>
        <w:t>" רמז מר כהנא שה"תחקיר" חלקי בלבד וכי: "</w:t>
      </w:r>
      <w:r>
        <w:rPr>
          <w:rFonts w:ascii="David" w:hAnsi="David" w:cs="David"/>
          <w:b/>
          <w:bCs/>
          <w:sz w:val="24"/>
          <w:szCs w:val="24"/>
          <w:rtl/>
        </w:rPr>
        <w:t>קיימים פרטים נוספים שנמנעתי בשלב זה מלהזכיר</w:t>
      </w:r>
      <w:r>
        <w:rPr>
          <w:rFonts w:ascii="David" w:hAnsi="David" w:cs="David"/>
          <w:sz w:val="24"/>
          <w:szCs w:val="24"/>
          <w:rtl/>
        </w:rPr>
        <w:t>." כמו כן, קבע מר כהנא כי: "ד</w:t>
      </w:r>
      <w:r>
        <w:rPr>
          <w:rFonts w:ascii="David" w:hAnsi="David" w:cs="David"/>
          <w:b/>
          <w:bCs/>
          <w:sz w:val="24"/>
          <w:szCs w:val="24"/>
          <w:rtl/>
        </w:rPr>
        <w:t>"ר סופר איננו משמש כ'מנהל הפרויקט מטעם הדיירים' אלא כ'מנהל החתמות מטעם היזם', תפקיד או</w:t>
      </w:r>
      <w:r>
        <w:rPr>
          <w:rFonts w:ascii="David" w:hAnsi="David" w:cs="David"/>
          <w:b/>
          <w:bCs/>
          <w:sz w:val="24"/>
          <w:szCs w:val="24"/>
          <w:rtl/>
        </w:rPr>
        <w:t>תו בו הוא גם זוכה ביושר רב</w:t>
      </w:r>
      <w:r>
        <w:rPr>
          <w:rFonts w:ascii="David" w:hAnsi="David" w:cs="David"/>
          <w:sz w:val="24"/>
          <w:szCs w:val="24"/>
          <w:rtl/>
        </w:rPr>
        <w:t>."</w:t>
      </w:r>
    </w:p>
    <w:p w14:paraId="7F3100F9" w14:textId="77777777" w:rsidR="001D5CBE" w:rsidRDefault="00151396" w:rsidP="001D5CBE">
      <w:pPr>
        <w:pStyle w:val="ad"/>
        <w:numPr>
          <w:ilvl w:val="0"/>
          <w:numId w:val="6"/>
        </w:numPr>
        <w:spacing w:before="354" w:after="0" w:line="360" w:lineRule="auto"/>
        <w:contextualSpacing w:val="0"/>
        <w:jc w:val="both"/>
        <w:rPr>
          <w:rFonts w:ascii="David" w:hAnsi="David" w:cs="David"/>
          <w:sz w:val="24"/>
          <w:szCs w:val="24"/>
          <w:rtl/>
        </w:rPr>
      </w:pPr>
      <w:r>
        <w:rPr>
          <w:rFonts w:ascii="David" w:hAnsi="David" w:cs="David"/>
          <w:b/>
          <w:bCs/>
          <w:sz w:val="24"/>
          <w:szCs w:val="24"/>
          <w:u w:val="single"/>
          <w:rtl/>
        </w:rPr>
        <w:lastRenderedPageBreak/>
        <w:t>פרסום חמישי</w:t>
      </w:r>
      <w:r>
        <w:rPr>
          <w:rFonts w:ascii="David" w:hAnsi="David" w:cs="David"/>
          <w:sz w:val="24"/>
          <w:szCs w:val="24"/>
          <w:rtl/>
        </w:rPr>
        <w:t xml:space="preserve"> - ביום 14.10.2020 שלח מר כהנא מכתב המיועד לחברי נציגות ובעלי זכויות במתחם. בפתח מכתבו השמיץ את ד"ר סופר: "</w:t>
      </w:r>
      <w:r>
        <w:rPr>
          <w:rFonts w:ascii="David" w:hAnsi="David" w:cs="David"/>
          <w:b/>
          <w:bCs/>
          <w:sz w:val="24"/>
          <w:szCs w:val="24"/>
          <w:rtl/>
        </w:rPr>
        <w:t>לאור ריבוי תגובות העידוד שאני מקבל בגלוי, ישירות ובשיחות טלפוניות על תחקיר ניגוד העניינים בעניין שכ"ט של ד"ר סופר</w:t>
      </w:r>
      <w:r>
        <w:rPr>
          <w:rFonts w:ascii="David" w:hAnsi="David" w:cs="David"/>
          <w:sz w:val="24"/>
          <w:szCs w:val="24"/>
          <w:rtl/>
        </w:rPr>
        <w:t>..." בהמשך כתב: "</w:t>
      </w:r>
      <w:r>
        <w:rPr>
          <w:rFonts w:ascii="David" w:hAnsi="David" w:cs="David"/>
          <w:b/>
          <w:bCs/>
          <w:sz w:val="24"/>
          <w:szCs w:val="24"/>
          <w:rtl/>
        </w:rPr>
        <w:t>התחקיר אינו מתמקד בסעיף 24, אלא בתפקודו של ד"ר סופר, בניגוד העניינים המשתקף בהסכם שכ"ט שלו מול 'שפיר מגורים' ועיסוקו הכפייתי בהחתמת דיירים, בטענה שזה מעכב הפרויקט. בסודיות שלא פרסם מסמכים שחובה היה</w:t>
      </w:r>
      <w:r>
        <w:rPr>
          <w:rFonts w:ascii="David" w:hAnsi="David" w:cs="David"/>
          <w:sz w:val="24"/>
          <w:szCs w:val="24"/>
          <w:rtl/>
        </w:rPr>
        <w:t>." את מכתבו חתם במסקנה: "</w:t>
      </w:r>
      <w:r>
        <w:rPr>
          <w:rFonts w:ascii="David" w:hAnsi="David" w:cs="David"/>
          <w:b/>
          <w:bCs/>
          <w:sz w:val="24"/>
          <w:szCs w:val="24"/>
          <w:rtl/>
        </w:rPr>
        <w:t>אין להעביר יותר לד"ר סופר כל הערות על שינויי ההסכם, כ</w:t>
      </w:r>
      <w:r>
        <w:rPr>
          <w:rFonts w:ascii="David" w:hAnsi="David" w:cs="David"/>
          <w:b/>
          <w:bCs/>
          <w:sz w:val="24"/>
          <w:szCs w:val="24"/>
          <w:rtl/>
        </w:rPr>
        <w:t>י הוא לא נטל חלק גם בדיונים הקודמים אצל עו"ד סולמי, הרי נוכחנו שגם כיום עיקר עיסוקו בהחתמות וכנסים</w:t>
      </w:r>
      <w:r>
        <w:rPr>
          <w:rFonts w:ascii="David" w:hAnsi="David" w:cs="David"/>
          <w:sz w:val="24"/>
          <w:szCs w:val="24"/>
          <w:rtl/>
        </w:rPr>
        <w:t xml:space="preserve">." </w:t>
      </w:r>
    </w:p>
    <w:p w14:paraId="15FF3B75" w14:textId="77777777" w:rsidR="001D5CBE" w:rsidRDefault="00151396" w:rsidP="000D3D31">
      <w:pPr>
        <w:pStyle w:val="ad"/>
        <w:numPr>
          <w:ilvl w:val="0"/>
          <w:numId w:val="6"/>
        </w:numPr>
        <w:spacing w:before="240" w:after="0" w:line="360" w:lineRule="auto"/>
        <w:contextualSpacing w:val="0"/>
        <w:jc w:val="both"/>
        <w:rPr>
          <w:rFonts w:ascii="David" w:hAnsi="David" w:cs="David"/>
          <w:sz w:val="24"/>
          <w:szCs w:val="24"/>
        </w:rPr>
      </w:pPr>
      <w:r>
        <w:rPr>
          <w:rFonts w:ascii="David" w:hAnsi="David" w:cs="David"/>
          <w:b/>
          <w:bCs/>
          <w:sz w:val="24"/>
          <w:szCs w:val="24"/>
          <w:u w:val="single"/>
          <w:rtl/>
        </w:rPr>
        <w:t>פרסום שישי</w:t>
      </w:r>
      <w:r>
        <w:rPr>
          <w:rFonts w:ascii="David" w:hAnsi="David" w:cs="David"/>
          <w:sz w:val="24"/>
          <w:szCs w:val="24"/>
          <w:rtl/>
        </w:rPr>
        <w:t xml:space="preserve"> - ביום 18.10.2020, פרסם מר כהנא "תחקיר קצר", הבוחן "האם מר בוסתן נדל"ניסט". את התחקיר ייעד אל חברי נציגות ובעלי הזכויות במתחם. בתחקיר ניסה להציג את מר בוסתן כמי ש"חצה את הקווים", וייחס לסופר מעשי שחיתות. כך נכתב בין היתר: "</w:t>
      </w:r>
      <w:r>
        <w:rPr>
          <w:rFonts w:ascii="David" w:hAnsi="David" w:cs="David"/>
          <w:b/>
          <w:bCs/>
          <w:sz w:val="24"/>
          <w:szCs w:val="24"/>
          <w:rtl/>
        </w:rPr>
        <w:t>מר בוסתן נהנה מיחס מיוחד מצידו של ד"ר סופר ופועל בתאום מלא וההדוק עמו להחתמת דיירים, מעל ומתחת לפני השטח, במסרים ושכנועים אישיים. בשל כך אף תוגמל וקודם ע"י ד"ר סופר כמשתתף בעל זכויות של מנהל ב'קבוצה שלו', כזכור</w:t>
      </w:r>
      <w:r>
        <w:rPr>
          <w:rFonts w:ascii="David" w:hAnsi="David" w:cs="David"/>
          <w:sz w:val="24"/>
          <w:szCs w:val="24"/>
          <w:rtl/>
        </w:rPr>
        <w:t>."</w:t>
      </w:r>
    </w:p>
    <w:p w14:paraId="7B98B9AA"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t>פרסום שביעי</w:t>
      </w:r>
      <w:r>
        <w:rPr>
          <w:rFonts w:ascii="David" w:hAnsi="David" w:cs="David"/>
          <w:sz w:val="24"/>
          <w:szCs w:val="24"/>
          <w:rtl/>
        </w:rPr>
        <w:t xml:space="preserve"> - ביום 22.10.2020 שלח מר כהנא מכתב נוסף אשר הוכתר כ"</w:t>
      </w:r>
      <w:r>
        <w:rPr>
          <w:rFonts w:ascii="David" w:hAnsi="David" w:cs="David"/>
          <w:b/>
          <w:bCs/>
          <w:sz w:val="24"/>
          <w:szCs w:val="24"/>
          <w:rtl/>
        </w:rPr>
        <w:t>פנייה אישית לד"ר סופר</w:t>
      </w:r>
      <w:r>
        <w:rPr>
          <w:rFonts w:ascii="David" w:hAnsi="David" w:cs="David"/>
          <w:sz w:val="24"/>
          <w:szCs w:val="24"/>
          <w:rtl/>
        </w:rPr>
        <w:t>", אך בפועל נשלח גם אל חברי נציגות ובעלי זכויות במתחם. במכתב הדורש את "החזרתו המיידית את מר גדליה שליט לנציגות הבעלים הרשמית", ביקש מר כהנא לרמוז על קשר לא תקין בין ד"ר סופר לבין גורמים נוספים המעורבים בפרויקט: "</w:t>
      </w:r>
      <w:r>
        <w:rPr>
          <w:rFonts w:ascii="David" w:hAnsi="David" w:cs="David"/>
          <w:b/>
          <w:bCs/>
          <w:sz w:val="24"/>
          <w:szCs w:val="24"/>
          <w:rtl/>
        </w:rPr>
        <w:t>בדיקה קצרה מראה שלטענה המשפטי אין רגליים. ממליץ להיוועץ שוב. אולי תיעזר במר בוסתן שמכיר את עו"ד חסידים, וודאי ישמח לסייע. אפשר גם לפנות למפקחת על המקרקעין בסוגיה.</w:t>
      </w:r>
      <w:r>
        <w:rPr>
          <w:rFonts w:ascii="David" w:hAnsi="David" w:cs="David"/>
          <w:sz w:val="24"/>
          <w:szCs w:val="24"/>
          <w:rtl/>
        </w:rPr>
        <w:t>.." ובהמשך רמז שוב לשיקולים פסולים המנחים את ד"ר סופר בניהול הפר</w:t>
      </w:r>
      <w:r>
        <w:rPr>
          <w:rFonts w:ascii="David" w:hAnsi="David" w:cs="David"/>
          <w:sz w:val="24"/>
          <w:szCs w:val="24"/>
          <w:rtl/>
        </w:rPr>
        <w:t>ויקט: "</w:t>
      </w:r>
      <w:r>
        <w:rPr>
          <w:rFonts w:ascii="David" w:hAnsi="David" w:cs="David"/>
          <w:b/>
          <w:bCs/>
          <w:sz w:val="24"/>
          <w:szCs w:val="24"/>
          <w:rtl/>
        </w:rPr>
        <w:t>אין לי ספק שאילו מדובר היה בעדכון סעיף מסוים בהסכם הדיירים (מהותי פי כמה מהחזרת גדליה לנספח יד') אשר היה בכוחו לזרז משמעותית את הסיכוי להחתמות נוספות, לא היית נח וישן אלא פועל מיד. כל התמהמהות נוספת מצידך ומצד חבריך להנהלת הפרויקט אחרי 6 שנים לתקן שגיאה פשוטה כ"כ, על רקע הנאמר, תתפרש כסירוב מחוסר תום לב, משיקולים זרים, מהלך לא צודק ולא תקין בעליל</w:t>
      </w:r>
      <w:r>
        <w:rPr>
          <w:rFonts w:ascii="David" w:hAnsi="David" w:cs="David"/>
          <w:sz w:val="24"/>
          <w:szCs w:val="24"/>
          <w:rtl/>
        </w:rPr>
        <w:t xml:space="preserve">." </w:t>
      </w:r>
    </w:p>
    <w:p w14:paraId="2D179782"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t>פרסום שמיני</w:t>
      </w:r>
      <w:r>
        <w:rPr>
          <w:rFonts w:ascii="David" w:hAnsi="David" w:cs="David"/>
          <w:sz w:val="24"/>
          <w:szCs w:val="24"/>
          <w:rtl/>
        </w:rPr>
        <w:t xml:space="preserve"> - ביום 1.11.2020 פנה מר כהנא אל חבר הנציגות ג'קי ביטי ועשה כן באופן פומבי דרך קבוצת ה</w:t>
      </w:r>
      <w:r>
        <w:rPr>
          <w:rFonts w:ascii="David" w:hAnsi="David" w:cs="David"/>
          <w:sz w:val="24"/>
          <w:szCs w:val="24"/>
        </w:rPr>
        <w:t>WhatsApp</w:t>
      </w:r>
      <w:r>
        <w:rPr>
          <w:rFonts w:ascii="David" w:hAnsi="David" w:cs="David"/>
          <w:sz w:val="24"/>
          <w:szCs w:val="24"/>
          <w:rtl/>
        </w:rPr>
        <w:t xml:space="preserve"> של נציגות המתחם. וכך כתב: "</w:t>
      </w:r>
      <w:r>
        <w:rPr>
          <w:rFonts w:ascii="David" w:hAnsi="David" w:cs="David"/>
          <w:b/>
          <w:bCs/>
          <w:sz w:val="24"/>
          <w:szCs w:val="24"/>
          <w:rtl/>
        </w:rPr>
        <w:t>1 (האם לא היה מחובתך להעיר למר סופר במהלך הישיבה בה השתתפת בעירייה ב5/2019 בפורום עצום ש80% ההחתמות המדווח רחוק מהאמת? כך אתה ממלא בנאמנות תפקידך כנציג הדיירים? 2 האם לא היה מחובתך לדווח ולעדכן על חתימת תוכן הסכם שכ"ט של מר סופר ב21/9/2024, שנחתם טרום בחירת חברי הנציגות, הסכם המשופע ניגודי עניינים שרק אחרי 6 שנים נחשף ורק בלחץ שלי?</w:t>
      </w:r>
      <w:r>
        <w:rPr>
          <w:rFonts w:ascii="David" w:hAnsi="David" w:cs="David"/>
          <w:sz w:val="24"/>
          <w:szCs w:val="24"/>
          <w:rtl/>
        </w:rPr>
        <w:t>"</w:t>
      </w:r>
    </w:p>
    <w:p w14:paraId="7D1C2DAA"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lastRenderedPageBreak/>
        <w:t>פרסום תשיעי</w:t>
      </w:r>
      <w:r>
        <w:rPr>
          <w:rFonts w:ascii="David" w:hAnsi="David" w:cs="David"/>
          <w:sz w:val="24"/>
          <w:szCs w:val="24"/>
          <w:rtl/>
        </w:rPr>
        <w:t xml:space="preserve"> - ביום 2.11.2020 כתב מר כהנא מכתב נוסף הפעם מוען לגד גרשון, עו"ד סולמי ולתפוצת הנציגות ובעלי הזכויות. במכתב ניסה להציג את ד"ר סופר כדובר שקר: "</w:t>
      </w:r>
      <w:r>
        <w:rPr>
          <w:rFonts w:ascii="David" w:hAnsi="David" w:cs="David"/>
          <w:b/>
          <w:bCs/>
          <w:sz w:val="24"/>
          <w:szCs w:val="24"/>
          <w:rtl/>
        </w:rPr>
        <w:t>הוכח שאין כל אמת עובדתית ואף סתירות בחלק מדיווחי % ההחתמות והמועד בו דווחו</w:t>
      </w:r>
      <w:r>
        <w:rPr>
          <w:rFonts w:ascii="David" w:hAnsi="David" w:cs="David"/>
          <w:sz w:val="24"/>
          <w:szCs w:val="24"/>
          <w:rtl/>
        </w:rPr>
        <w:t xml:space="preserve">." </w:t>
      </w:r>
    </w:p>
    <w:p w14:paraId="3D10D1FD"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t>פרסום עשירי</w:t>
      </w:r>
      <w:r>
        <w:rPr>
          <w:rFonts w:ascii="David" w:hAnsi="David" w:cs="David"/>
          <w:sz w:val="24"/>
          <w:szCs w:val="24"/>
          <w:rtl/>
        </w:rPr>
        <w:t xml:space="preserve"> - ביום 3.11.2020 הפיץ מר כהנא מכתב נוסף לחברי הנציגות ובעלי הזכויות במתחם הנושא את הכותרת: "</w:t>
      </w:r>
      <w:r>
        <w:rPr>
          <w:rFonts w:ascii="David" w:hAnsi="David" w:cs="David"/>
          <w:b/>
          <w:bCs/>
          <w:sz w:val="24"/>
          <w:szCs w:val="24"/>
          <w:rtl/>
        </w:rPr>
        <w:t>מופע הקסמים של מר בוסתן – מבזקי הקטעים החלקיים – 'ללא פרשנות'</w:t>
      </w:r>
      <w:r>
        <w:rPr>
          <w:rFonts w:ascii="David" w:hAnsi="David" w:cs="David"/>
          <w:sz w:val="24"/>
          <w:szCs w:val="24"/>
          <w:rtl/>
        </w:rPr>
        <w:t>" וכך כתב בתוכן המכתב ביחס לד"ר סופר: "</w:t>
      </w:r>
      <w:r>
        <w:rPr>
          <w:rFonts w:ascii="David" w:hAnsi="David" w:cs="David"/>
          <w:b/>
          <w:bCs/>
          <w:sz w:val="24"/>
          <w:szCs w:val="24"/>
          <w:rtl/>
        </w:rPr>
        <w:t>בתאריך 6/10/2020 (13:01) אף כתב מר בוסתן: '...אני ועוד רבים ראינו את החוזה של חיליק סופר...הוא יפורסם...'. מכך הרי משתמש באופן הברור ביותר שראה, קרא, הבין ולטעמו הכל תקין. לכן אני שואל אתכם: האם סביר בעיניכם שאדם בעל רישיון של מתווך נדל"ן, המעיד על עצמו כמקושר לכל העולם ואחותו במוסדות השונים, בעל ניסיון רב שנים בהסכמי</w:t>
      </w:r>
      <w:r>
        <w:rPr>
          <w:rFonts w:ascii="David" w:hAnsi="David" w:cs="David"/>
          <w:b/>
          <w:bCs/>
          <w:sz w:val="24"/>
          <w:szCs w:val="24"/>
          <w:rtl/>
        </w:rPr>
        <w:t xml:space="preserve"> נדל"ן ובפינוי בינוי, מדלג בכזאת קלילות לסדר היום? לא מבחין ולא מציף ניגוד העניינים שזועק לשמיים? זה נמרח 6+ שנים ולולא הלחץ שלי זה לא היה נחשף לעולם? היכן נעלמה לה השקיפות בה הוא דוגל וחובת האחריות</w:t>
      </w:r>
      <w:r>
        <w:rPr>
          <w:rFonts w:ascii="David" w:hAnsi="David" w:cs="David"/>
          <w:sz w:val="24"/>
          <w:szCs w:val="24"/>
          <w:rtl/>
        </w:rPr>
        <w:t>?"</w:t>
      </w:r>
    </w:p>
    <w:p w14:paraId="49549ADF"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t>פרסום אחד עשר</w:t>
      </w:r>
      <w:r>
        <w:rPr>
          <w:rFonts w:ascii="David" w:hAnsi="David" w:cs="David"/>
          <w:sz w:val="24"/>
          <w:szCs w:val="24"/>
          <w:rtl/>
        </w:rPr>
        <w:t xml:space="preserve"> - ביום 8.11.2020 שלח מר כהנא מכתב נוסף שהועבר ליזם, לעו"ד הדיירים ולבעלי הזכויות. במכתב ניסה מר כהנא לעדכן שני סעיפים בהסכם הדיירים בשל "העדר היתכנות כלכלית". את המכתב חתם בתזכורת: "</w:t>
      </w:r>
      <w:r>
        <w:rPr>
          <w:rFonts w:ascii="David" w:hAnsi="David" w:cs="David"/>
          <w:b/>
          <w:bCs/>
          <w:sz w:val="24"/>
          <w:szCs w:val="24"/>
          <w:rtl/>
        </w:rPr>
        <w:t>מזכיר לכולם כיצד הסכם זה התהווה, נרקם, גובש ונחתם בחטא, במשך חודשים רבים, בין 'שפיר', עו"ד סולמי ומר סופר בלבד, ללא כל זכר של שיתוף בעלי הזכויות</w:t>
      </w:r>
      <w:r>
        <w:rPr>
          <w:rFonts w:ascii="David" w:hAnsi="David" w:cs="David"/>
          <w:sz w:val="24"/>
          <w:szCs w:val="24"/>
          <w:rtl/>
        </w:rPr>
        <w:t>." עוד הוסיף "</w:t>
      </w:r>
      <w:r>
        <w:rPr>
          <w:rFonts w:ascii="David" w:hAnsi="David" w:cs="David"/>
          <w:b/>
          <w:bCs/>
          <w:sz w:val="24"/>
          <w:szCs w:val="24"/>
          <w:rtl/>
        </w:rPr>
        <w:t>להתעורר ולהבין לאן זה מוביל אותנו, כי זה לרעתנו</w:t>
      </w:r>
      <w:r>
        <w:rPr>
          <w:rFonts w:ascii="David" w:hAnsi="David" w:cs="David"/>
          <w:sz w:val="24"/>
          <w:szCs w:val="24"/>
          <w:rtl/>
        </w:rPr>
        <w:t>."</w:t>
      </w:r>
    </w:p>
    <w:p w14:paraId="4DC62D2F"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t>פרסום שניים עשר</w:t>
      </w:r>
      <w:r>
        <w:rPr>
          <w:rFonts w:ascii="David" w:hAnsi="David" w:cs="David"/>
          <w:sz w:val="24"/>
          <w:szCs w:val="24"/>
          <w:rtl/>
        </w:rPr>
        <w:t xml:space="preserve"> -בו ביום שלח מכתב נוסף שעניינו התייחסות להערות ג'קי ביטי חבר הנציגות. במכתב פומבי שיועד לחברי הנציגות ובעלי הזכויות, טען מר כהנא שביטי מתעסק בטפל במקום להתעסק בעיקר והוא ד"ר סופר. כך כתב: "</w:t>
      </w:r>
      <w:r>
        <w:rPr>
          <w:rFonts w:ascii="David" w:hAnsi="David" w:cs="David"/>
          <w:b/>
          <w:bCs/>
          <w:sz w:val="24"/>
          <w:szCs w:val="24"/>
          <w:rtl/>
        </w:rPr>
        <w:t>מוזר עד מאוד שג'קי לא היסס כלל ולא גילה אותה התרגשות ודאגה כאשר: 1. לא דווח כמתחייב מראש לדיירים על חתימת הסכמי שכ"ט של מר סופר ועו"ד סולמי ב-9/2014. 2. פעל יחד עם אחרים בדיעבד להכשיר בניגוד למתחייב ומצופה הסכמי שכ"ט אלו בקרב הדיירים. 3. לא חשף ולא דרש כמתחייב לגלות הסכם שכ"ט של מר סופר למרות שהבין ניגוד העניינים שבו. 4.</w:t>
      </w:r>
      <w:r>
        <w:rPr>
          <w:rFonts w:ascii="David" w:hAnsi="David" w:cs="David"/>
          <w:b/>
          <w:bCs/>
          <w:sz w:val="24"/>
          <w:szCs w:val="24"/>
          <w:rtl/>
        </w:rPr>
        <w:t xml:space="preserve"> נמנע מלהעיר ולעדכן שהדיווח של מר סופר על 80% החתמה נטול אמת בישיבה רחבת היקף בה השתתף בעיריית חולון (5/2019)</w:t>
      </w:r>
      <w:r>
        <w:rPr>
          <w:rFonts w:ascii="David" w:hAnsi="David" w:cs="David"/>
          <w:sz w:val="24"/>
          <w:szCs w:val="24"/>
          <w:rtl/>
        </w:rPr>
        <w:t>."</w:t>
      </w:r>
    </w:p>
    <w:p w14:paraId="46C04B8D"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t>פרסום שלושה עשר</w:t>
      </w:r>
      <w:r>
        <w:rPr>
          <w:rFonts w:ascii="David" w:hAnsi="David" w:cs="David"/>
          <w:sz w:val="24"/>
          <w:szCs w:val="24"/>
          <w:rtl/>
        </w:rPr>
        <w:t xml:space="preserve"> -ביום 12.11.2020 שלח מר כהנא מכתב לחברי הנציגות ובעלי הזכויות במתחם בו ביקש "</w:t>
      </w:r>
      <w:r>
        <w:rPr>
          <w:rFonts w:ascii="David" w:hAnsi="David" w:cs="David"/>
          <w:b/>
          <w:bCs/>
          <w:sz w:val="24"/>
          <w:szCs w:val="24"/>
          <w:rtl/>
        </w:rPr>
        <w:t>לתאר את הליך בחירת ושילוב עו"ד סולמי יחד עם מר סופר וגיבוש ההסכם שנולד בחטא</w:t>
      </w:r>
      <w:r>
        <w:rPr>
          <w:rFonts w:ascii="David" w:hAnsi="David" w:cs="David"/>
          <w:sz w:val="24"/>
          <w:szCs w:val="24"/>
          <w:rtl/>
        </w:rPr>
        <w:t>". שוב טען כי סופר פעל ב"</w:t>
      </w:r>
      <w:r>
        <w:rPr>
          <w:rFonts w:ascii="David" w:hAnsi="David" w:cs="David"/>
          <w:b/>
          <w:bCs/>
          <w:sz w:val="24"/>
          <w:szCs w:val="24"/>
          <w:rtl/>
        </w:rPr>
        <w:t>היעדר גילוי נאות</w:t>
      </w:r>
      <w:r>
        <w:rPr>
          <w:rFonts w:ascii="David" w:hAnsi="David" w:cs="David"/>
          <w:sz w:val="24"/>
          <w:szCs w:val="24"/>
          <w:rtl/>
        </w:rPr>
        <w:t>" כביכול לגבי כך שברשותו הסכם שכ"ט חתום עם היזם.</w:t>
      </w:r>
    </w:p>
    <w:p w14:paraId="5A1F3424"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lastRenderedPageBreak/>
        <w:t>פרסום ארבעה עשר</w:t>
      </w:r>
      <w:r>
        <w:rPr>
          <w:rFonts w:ascii="David" w:hAnsi="David" w:cs="David"/>
          <w:sz w:val="24"/>
          <w:szCs w:val="24"/>
          <w:rtl/>
        </w:rPr>
        <w:t xml:space="preserve"> - ביום 13.11.2020 שלח מכתב נוסף בדרישה לשנות או לעדכן עוד דבר מה בהסכם הדיירים. הפעם ביחס לסעיף 24.2 להסכם העוסק במינוי מפקח מטעם הבעלים ומכתב ציין: "</w:t>
      </w:r>
      <w:r>
        <w:rPr>
          <w:rFonts w:ascii="David" w:hAnsi="David" w:cs="David"/>
          <w:b/>
          <w:bCs/>
          <w:sz w:val="24"/>
          <w:szCs w:val="24"/>
          <w:rtl/>
        </w:rPr>
        <w:t>הכיצד נאפשר בקלילות כזאת למר סופר לבחור ולמנות אותו? כדי שנקבל עוד דמות 'מטעם הדיירים'</w:t>
      </w:r>
      <w:r>
        <w:rPr>
          <w:rFonts w:ascii="David" w:hAnsi="David" w:cs="David"/>
          <w:sz w:val="24"/>
          <w:szCs w:val="24"/>
          <w:rtl/>
        </w:rPr>
        <w:t>". "</w:t>
      </w:r>
      <w:r>
        <w:rPr>
          <w:rFonts w:ascii="David" w:hAnsi="David" w:cs="David"/>
          <w:b/>
          <w:bCs/>
          <w:sz w:val="24"/>
          <w:szCs w:val="24"/>
          <w:rtl/>
        </w:rPr>
        <w:t>המשמעות המעשית של הסעיף</w:t>
      </w:r>
      <w:r>
        <w:rPr>
          <w:rFonts w:ascii="David" w:hAnsi="David" w:cs="David"/>
          <w:sz w:val="24"/>
          <w:szCs w:val="24"/>
          <w:rtl/>
        </w:rPr>
        <w:t>" היא "</w:t>
      </w:r>
      <w:r>
        <w:rPr>
          <w:rFonts w:ascii="David" w:hAnsi="David" w:cs="David"/>
          <w:b/>
          <w:bCs/>
          <w:sz w:val="24"/>
          <w:szCs w:val="24"/>
          <w:rtl/>
        </w:rPr>
        <w:t xml:space="preserve">כפיפות בלעדית </w:t>
      </w:r>
      <w:r>
        <w:rPr>
          <w:rFonts w:ascii="David" w:hAnsi="David" w:cs="David"/>
          <w:b/>
          <w:bCs/>
          <w:sz w:val="24"/>
          <w:szCs w:val="24"/>
          <w:rtl/>
        </w:rPr>
        <w:t>למלוא שיקוליו של מר סופר בבחירת המפקח על הבניה ובאופן שידווח לו על המתרחש</w:t>
      </w:r>
      <w:r>
        <w:rPr>
          <w:rFonts w:ascii="David" w:hAnsi="David" w:cs="David"/>
          <w:sz w:val="24"/>
          <w:szCs w:val="24"/>
          <w:rtl/>
        </w:rPr>
        <w:t>." בהמשך פרש את השיקולים שמנחים כביכול את סופר: "</w:t>
      </w:r>
      <w:r>
        <w:rPr>
          <w:rFonts w:ascii="David" w:hAnsi="David" w:cs="David"/>
          <w:b/>
          <w:bCs/>
          <w:sz w:val="24"/>
          <w:szCs w:val="24"/>
          <w:rtl/>
        </w:rPr>
        <w:t>כיום דרישה זו עולה אף ביתר נחרצות וחריפות. כבר הבנתם שמר סופר המוצג כ'מנהל הפרויקט מטעם הבעלים' חתום על הסכם שכ"ט בעייתי מלא ניגודי עניינים, אף הוכיח שבמשך 6+ שנים שעיסוקו העיקרי והכמעט יחיד הוא בנושא כנסים והחתמות</w:t>
      </w:r>
      <w:r>
        <w:rPr>
          <w:rFonts w:ascii="David" w:hAnsi="David" w:cs="David"/>
          <w:sz w:val="24"/>
          <w:szCs w:val="24"/>
          <w:rtl/>
        </w:rPr>
        <w:t>."</w:t>
      </w:r>
    </w:p>
    <w:p w14:paraId="7A2033B3"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t>פרסום חמישה עשר</w:t>
      </w:r>
      <w:r>
        <w:rPr>
          <w:rFonts w:ascii="David" w:hAnsi="David" w:cs="David"/>
          <w:sz w:val="24"/>
          <w:szCs w:val="24"/>
          <w:rtl/>
        </w:rPr>
        <w:t xml:space="preserve"> - ביום 17.11.2020 ביקש מר כהנא לשנות סעיפים נוספים בהסכם הדיירים: "נעסוק בסעיף 8.12 הדן בכל מחלוקת בתכנון הפרויקט" בסעיף נקבע כי בכל מחלוקת יכריעו ביחד אדריכל הפרויקט ומנהל הפרויקט וכי זו תהיה הכרעה סופית ומוחלטת וכי ככל שלא תושג הכרעה בין הצדדים יכריע מומחה מקצועי. כך כתב מר כהנא: "</w:t>
      </w:r>
      <w:r>
        <w:rPr>
          <w:rFonts w:ascii="David" w:hAnsi="David" w:cs="David"/>
          <w:b/>
          <w:bCs/>
          <w:sz w:val="24"/>
          <w:szCs w:val="24"/>
          <w:rtl/>
        </w:rPr>
        <w:t>האם אי פעם יש אפשרות עלולה להיווצר מחלוקת מקצועית ביניהם? לדעתי זוהי הגדרה דמיונית: לא סביר מצב בו משרד האדריכלים המועסק ע"י היזם, ימצא במחלוקת מקצועית לא פתירה כלשהי עם מנהל הפרויקט, שגם הוא חתום בהסכם שכ"ט עם היזם (וניגוד עני</w:t>
      </w:r>
      <w:r>
        <w:rPr>
          <w:rFonts w:ascii="David" w:hAnsi="David" w:cs="David"/>
          <w:b/>
          <w:bCs/>
          <w:sz w:val="24"/>
          <w:szCs w:val="24"/>
          <w:rtl/>
        </w:rPr>
        <w:t>ינים כפי שכבר נטען). לכן נראה על פניו שזו מעין 'משחק בעל תוצאות ידועות מראש'</w:t>
      </w:r>
      <w:r>
        <w:rPr>
          <w:rFonts w:ascii="David" w:hAnsi="David" w:cs="David"/>
          <w:sz w:val="24"/>
          <w:szCs w:val="24"/>
          <w:rtl/>
        </w:rPr>
        <w:t>". בשלב המסקנות למכתבו, הסיק מר כהנא כי: "</w:t>
      </w:r>
      <w:r>
        <w:rPr>
          <w:rFonts w:ascii="David" w:hAnsi="David" w:cs="David"/>
          <w:b/>
          <w:bCs/>
          <w:sz w:val="24"/>
          <w:szCs w:val="24"/>
          <w:rtl/>
        </w:rPr>
        <w:t>הנציג מטעם הבעלים בשלב התכנון חייב להיות דמות נפרדת, שאיננה מצויה בניגוד עניינים ולחצים מצד היזם, הפועלת בשם הבעלים ולטובתם הבלעדית בלבד</w:t>
      </w:r>
      <w:r>
        <w:rPr>
          <w:rFonts w:ascii="David" w:hAnsi="David" w:cs="David"/>
          <w:sz w:val="24"/>
          <w:szCs w:val="24"/>
          <w:rtl/>
        </w:rPr>
        <w:t xml:space="preserve">." </w:t>
      </w:r>
    </w:p>
    <w:p w14:paraId="406C4613"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t>פרסום שישה עשר</w:t>
      </w:r>
      <w:r>
        <w:rPr>
          <w:rFonts w:ascii="David" w:hAnsi="David" w:cs="David"/>
          <w:sz w:val="24"/>
          <w:szCs w:val="24"/>
          <w:rtl/>
        </w:rPr>
        <w:t xml:space="preserve"> - ביום 18.11.2020 במכתב אשר ביקש להודות לצחי דוד ואשר הופץ גם בנציגות ובעלי הזכויות, התייחס מר כהנא אל ד"ר סופר: "</w:t>
      </w:r>
      <w:r>
        <w:rPr>
          <w:rFonts w:ascii="David" w:hAnsi="David" w:cs="David"/>
          <w:b/>
          <w:bCs/>
          <w:sz w:val="24"/>
          <w:szCs w:val="24"/>
          <w:rtl/>
        </w:rPr>
        <w:t>מפקח נדרש כאן ועכשיו! כיסיתי בהרחבה הנושא בלפחות שני מסרים שהפצתי בשבוע האחרון. אתם מבינים היטב את גודל הטעות אם נחכה למר סופר לבחור ולמנות אדם כזה בעיתוי הנוח ליזם</w:t>
      </w:r>
      <w:r>
        <w:rPr>
          <w:rFonts w:ascii="David" w:hAnsi="David" w:cs="David"/>
          <w:sz w:val="24"/>
          <w:szCs w:val="24"/>
          <w:rtl/>
        </w:rPr>
        <w:t>!"</w:t>
      </w:r>
    </w:p>
    <w:p w14:paraId="14C91E0C"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t>פרסום שבעה עשר</w:t>
      </w:r>
      <w:r>
        <w:rPr>
          <w:rFonts w:ascii="David" w:hAnsi="David" w:cs="David"/>
          <w:sz w:val="24"/>
          <w:szCs w:val="24"/>
          <w:rtl/>
        </w:rPr>
        <w:t xml:space="preserve"> - ביום 25.11.2020 שלח מר כהנא מכתב שמוען ליזם, לעו"ד סולמי, לחברי הנציגות ולכל הדיירים המבקש לבחון סעיפים בהסכם הדיירים בטענה שהתנאים המתלים בהם לא התקיימו. גם במכתב זה הכפיש את ד"ר סופר: "</w:t>
      </w:r>
      <w:r>
        <w:rPr>
          <w:rFonts w:ascii="David" w:hAnsi="David" w:cs="David"/>
          <w:b/>
          <w:bCs/>
          <w:sz w:val="24"/>
          <w:szCs w:val="24"/>
          <w:rtl/>
        </w:rPr>
        <w:t>הסעיף קובע: 'תוך 5 (חמש) שנים ממועד הגשת הבקשה לאישור התב"ע החדשה, תאושר התב"ע החדשה למתן תוקף. ככל שהיזם הוכיח לנציגות בעלי הזכויות במתחם ולמנהל הפרויקט כי פעל באופן סביר לקידומה של התב"ע...תהיה לו הזכות להאריך תוקפו של תנאי זה למשך שנה ושנה נוספת...ככל שהיזם לא הצליח להשלים את הליכי התב"ע ושכנע הנציגות' (נ.ב שימו לב למ</w:t>
      </w:r>
      <w:r>
        <w:rPr>
          <w:rFonts w:ascii="David" w:hAnsi="David" w:cs="David"/>
          <w:b/>
          <w:bCs/>
          <w:sz w:val="24"/>
          <w:szCs w:val="24"/>
          <w:rtl/>
        </w:rPr>
        <w:t>י צריך היזם להוכיח, למנהל הפרויקט המצוי לדעת רבים בניגוד עניינים, האם יש מצב שמר סופר לא ישתכנע?).</w:t>
      </w:r>
      <w:r>
        <w:rPr>
          <w:rFonts w:ascii="David" w:hAnsi="David" w:cs="David"/>
          <w:sz w:val="24"/>
          <w:szCs w:val="24"/>
          <w:rtl/>
        </w:rPr>
        <w:t>"</w:t>
      </w:r>
    </w:p>
    <w:p w14:paraId="02926F5B" w14:textId="77777777" w:rsidR="001D5CBE" w:rsidRDefault="00151396" w:rsidP="001D5CBE">
      <w:pPr>
        <w:pStyle w:val="ad"/>
        <w:numPr>
          <w:ilvl w:val="0"/>
          <w:numId w:val="6"/>
        </w:numPr>
        <w:spacing w:before="252" w:after="0" w:line="360" w:lineRule="auto"/>
        <w:ind w:hanging="571"/>
        <w:contextualSpacing w:val="0"/>
        <w:jc w:val="both"/>
        <w:rPr>
          <w:rFonts w:ascii="David" w:hAnsi="David" w:cs="David"/>
          <w:sz w:val="24"/>
          <w:szCs w:val="24"/>
          <w:rtl/>
        </w:rPr>
      </w:pPr>
      <w:r>
        <w:rPr>
          <w:rFonts w:ascii="David" w:hAnsi="David" w:cs="David"/>
          <w:b/>
          <w:bCs/>
          <w:sz w:val="24"/>
          <w:szCs w:val="24"/>
          <w:u w:val="single"/>
          <w:rtl/>
        </w:rPr>
        <w:lastRenderedPageBreak/>
        <w:t>פרסום שמונה עשר</w:t>
      </w:r>
      <w:r>
        <w:rPr>
          <w:rFonts w:ascii="David" w:hAnsi="David" w:cs="David"/>
          <w:sz w:val="24"/>
          <w:szCs w:val="24"/>
          <w:rtl/>
        </w:rPr>
        <w:t xml:space="preserve"> - סמוך להגשת כתב התביעה פרסם מר כהנא פרסום נוסף אשר הובלע במענה לדיירת אשר סברה שנכון להחליף את עו"ד סולמי. כך כתב מר כהנא: "</w:t>
      </w:r>
      <w:r>
        <w:rPr>
          <w:rFonts w:ascii="David" w:hAnsi="David" w:cs="David"/>
          <w:b/>
          <w:bCs/>
          <w:sz w:val="24"/>
          <w:szCs w:val="24"/>
          <w:rtl/>
        </w:rPr>
        <w:t xml:space="preserve">*אנו צריכים לשלם על תוצאות ולא על מאמצים כבירים יומם וליל, כפי שהיזם ציין* ואם כבר מדברים על תוצאות שאין נכון לעכשיו, חובה גם להוריד משמעותית שכר הטרחה של מר סופר ועו"ד </w:t>
      </w:r>
      <w:r>
        <w:rPr>
          <w:rFonts w:ascii="David" w:hAnsi="David" w:cs="David"/>
          <w:sz w:val="24"/>
          <w:szCs w:val="24"/>
          <w:rtl/>
        </w:rPr>
        <w:t>סולמי* כאשר אין מה לאכול, כולם אוכלים פחות. והם נושאים באחריות ואשמה שאנו</w:t>
      </w:r>
      <w:r>
        <w:rPr>
          <w:rFonts w:ascii="David" w:hAnsi="David" w:cs="David"/>
          <w:b/>
          <w:bCs/>
          <w:sz w:val="24"/>
          <w:szCs w:val="24"/>
          <w:rtl/>
        </w:rPr>
        <w:t xml:space="preserve"> נמצאים במקום בו נמצאים כיום. אז יצטמצמו גם הם בתמורה. נציע להם פיצוי כספי סמלי, כמו שמנסים להציע לנו בתמורה על דירה עם תוספת 12 מ"ר במקום 28 מ"</w:t>
      </w:r>
      <w:r>
        <w:rPr>
          <w:rFonts w:ascii="David" w:hAnsi="David" w:cs="David"/>
          <w:b/>
          <w:bCs/>
          <w:sz w:val="24"/>
          <w:szCs w:val="24"/>
          <w:rtl/>
        </w:rPr>
        <w:t>ר, בלבד ואף גם שתהיה בלי ממ"ד*. ועוד</w:t>
      </w:r>
      <w:r>
        <w:rPr>
          <w:rFonts w:ascii="David" w:hAnsi="David" w:cs="David"/>
          <w:sz w:val="24"/>
          <w:szCs w:val="24"/>
          <w:rtl/>
        </w:rPr>
        <w:t>..."</w:t>
      </w:r>
    </w:p>
    <w:p w14:paraId="46C6A3FD" w14:textId="77777777" w:rsidR="001D5CBE" w:rsidRPr="00104CC2" w:rsidRDefault="00151396" w:rsidP="000903FC">
      <w:pPr>
        <w:pStyle w:val="ad"/>
        <w:numPr>
          <w:ilvl w:val="1"/>
          <w:numId w:val="1"/>
        </w:numPr>
        <w:spacing w:before="354" w:line="360" w:lineRule="auto"/>
        <w:ind w:left="288" w:hanging="432"/>
        <w:contextualSpacing w:val="0"/>
        <w:jc w:val="both"/>
        <w:outlineLvl w:val="3"/>
        <w:rPr>
          <w:rFonts w:ascii="David" w:hAnsi="David" w:cs="David"/>
          <w:b/>
          <w:bCs/>
          <w:sz w:val="24"/>
          <w:szCs w:val="24"/>
          <w:u w:val="single"/>
          <w:rtl/>
        </w:rPr>
      </w:pPr>
      <w:r w:rsidRPr="00104CC2">
        <w:rPr>
          <w:rFonts w:ascii="David" w:hAnsi="David" w:cs="David"/>
          <w:b/>
          <w:bCs/>
          <w:sz w:val="24"/>
          <w:szCs w:val="24"/>
          <w:u w:val="single"/>
          <w:rtl/>
        </w:rPr>
        <w:t>טענות ההגנה של מר כהנא בת"א 22191-01-21</w:t>
      </w:r>
    </w:p>
    <w:p w14:paraId="4D8E0803" w14:textId="77777777" w:rsidR="001D5CBE" w:rsidRDefault="00151396" w:rsidP="00104CC2">
      <w:pPr>
        <w:pStyle w:val="ad"/>
        <w:numPr>
          <w:ilvl w:val="0"/>
          <w:numId w:val="7"/>
        </w:numPr>
        <w:spacing w:line="360" w:lineRule="auto"/>
        <w:jc w:val="both"/>
        <w:rPr>
          <w:rFonts w:ascii="David" w:hAnsi="David" w:cs="David"/>
          <w:sz w:val="24"/>
          <w:szCs w:val="24"/>
        </w:rPr>
      </w:pPr>
      <w:r>
        <w:rPr>
          <w:rFonts w:ascii="David" w:hAnsi="David" w:cs="David"/>
          <w:sz w:val="24"/>
          <w:szCs w:val="24"/>
          <w:rtl/>
        </w:rPr>
        <w:t xml:space="preserve">ד"ר סופר חתם עם חברת שפיר על הסכם לקידום החתמת הדיירים במתחם, הסכם הצפוי להניב לו הכנסה של מיליוני ש"ח. מר כהנא פעיל בנציגות הדיירים וככזה פועל לייצג נאמנה את הדיירים ומבקש לקבל מידע, בודק בעצמו ואף מותח ביקורת לגיטימית ועניינית. ד"ר סופר שאינו אוהב את הביקורת של מר כהנא עושה מאמצים לשלול את הלגיטימציה שלו בקרב כלל בעלי הדירות ומציג אותו כמי שמפיץ שקרים וכל רצונו לחבל במיזם. מטרת התביעה היא הפחדה והשתקה. </w:t>
      </w:r>
    </w:p>
    <w:p w14:paraId="5CD64988" w14:textId="77777777" w:rsidR="001D5CBE" w:rsidRDefault="00151396" w:rsidP="001D5CBE">
      <w:pPr>
        <w:pStyle w:val="ad"/>
        <w:numPr>
          <w:ilvl w:val="0"/>
          <w:numId w:val="7"/>
        </w:numPr>
        <w:spacing w:before="354" w:after="0" w:line="360" w:lineRule="auto"/>
        <w:contextualSpacing w:val="0"/>
        <w:jc w:val="both"/>
        <w:rPr>
          <w:rFonts w:ascii="David" w:hAnsi="David" w:cs="David"/>
          <w:sz w:val="24"/>
          <w:szCs w:val="24"/>
          <w:rtl/>
        </w:rPr>
      </w:pPr>
      <w:r>
        <w:rPr>
          <w:rFonts w:ascii="David" w:hAnsi="David" w:cs="David"/>
          <w:sz w:val="24"/>
          <w:szCs w:val="24"/>
          <w:rtl/>
        </w:rPr>
        <w:t xml:space="preserve">כל טענות התביעה והפרסומים הם הבעת דעה לגיטימית שלא חרגה ממתחם בעלי הדירות שלהם עניין במיזם. עוד מפנה מר כהנא לכתבת ערוץ 12 בטלוויזיה מיום 4.9.2018 בה נחשף שד"ר סופר התנהל באופן בעייתי כאשר ניסה לקדם מכרזים ברשויות מקומיות כשהוא מצוי בניגוד עניינים. על אף שד"ר סופר טען כי כל האמור בכתבה שקרים הוא נמנע מלהגיש תביעת לשון הרע נגד הערוץ. </w:t>
      </w:r>
    </w:p>
    <w:p w14:paraId="23CFDC92" w14:textId="77777777" w:rsidR="001D5CBE" w:rsidRDefault="00151396" w:rsidP="001D5CBE">
      <w:pPr>
        <w:pStyle w:val="ad"/>
        <w:numPr>
          <w:ilvl w:val="0"/>
          <w:numId w:val="7"/>
        </w:numPr>
        <w:spacing w:before="354" w:after="0" w:line="360" w:lineRule="auto"/>
        <w:contextualSpacing w:val="0"/>
        <w:jc w:val="both"/>
        <w:rPr>
          <w:rFonts w:ascii="David" w:hAnsi="David" w:cs="David"/>
          <w:sz w:val="24"/>
          <w:szCs w:val="24"/>
          <w:rtl/>
        </w:rPr>
      </w:pPr>
      <w:r>
        <w:rPr>
          <w:rFonts w:ascii="David" w:hAnsi="David" w:cs="David"/>
          <w:sz w:val="24"/>
          <w:szCs w:val="24"/>
          <w:rtl/>
        </w:rPr>
        <w:t xml:space="preserve">לטענת מר כהנא יש לראות בד"ר סופר "דמות ציבורית" לעניין תביעה זו. </w:t>
      </w:r>
    </w:p>
    <w:p w14:paraId="784D91AC" w14:textId="77777777" w:rsidR="001D5CBE" w:rsidRDefault="00151396" w:rsidP="001D5CBE">
      <w:pPr>
        <w:pStyle w:val="ad"/>
        <w:numPr>
          <w:ilvl w:val="0"/>
          <w:numId w:val="7"/>
        </w:numPr>
        <w:spacing w:before="252" w:after="0" w:line="360" w:lineRule="auto"/>
        <w:contextualSpacing w:val="0"/>
        <w:jc w:val="both"/>
        <w:rPr>
          <w:rFonts w:ascii="David" w:hAnsi="David" w:cs="David"/>
          <w:sz w:val="24"/>
          <w:szCs w:val="24"/>
          <w:rtl/>
        </w:rPr>
      </w:pPr>
      <w:r>
        <w:rPr>
          <w:rFonts w:ascii="David" w:hAnsi="David" w:cs="David"/>
          <w:sz w:val="24"/>
          <w:szCs w:val="24"/>
          <w:rtl/>
        </w:rPr>
        <w:t xml:space="preserve">ד"ר סופר נקשר בהסכם עם היזם כבר בשנת 2014 אך ההסכם לא הוצג בפני נציגות הדיירים ולא אושר על ידה. עוד הסתבר כי ד"ר סופר חתם על ההסכם עוד לפני שבא בדברים עם הנציגות. בקשות הנציגות לעיין בהסכם נדחו במשך 6 שנים. רק מאבק עיקש של מר כהנא גרם לחשיפת ההסכם באוקטובר 2020. כל הפרסומים של מר כהנא נעשו ממחויבות לתפקידו מתוך חובתו הציבורית לפרסמם ולהביאם לדיון ציבורי בפני הנציגות. בנוסף - הפרסומים נעשו בקבוצה סגורה וקטנה בה כולם בעלי עניין, באופן ענייני בהקשר למיזם, כנציג ציבור. </w:t>
      </w:r>
    </w:p>
    <w:p w14:paraId="52DA5C02" w14:textId="77777777" w:rsidR="001D5CBE" w:rsidRDefault="00151396" w:rsidP="001D5CBE">
      <w:pPr>
        <w:pStyle w:val="ad"/>
        <w:numPr>
          <w:ilvl w:val="0"/>
          <w:numId w:val="7"/>
        </w:numPr>
        <w:spacing w:before="252" w:after="0" w:line="360" w:lineRule="auto"/>
        <w:contextualSpacing w:val="0"/>
        <w:jc w:val="both"/>
        <w:rPr>
          <w:rFonts w:ascii="David" w:hAnsi="David" w:cs="David"/>
          <w:sz w:val="24"/>
          <w:szCs w:val="24"/>
          <w:rtl/>
        </w:rPr>
      </w:pPr>
      <w:r>
        <w:rPr>
          <w:rFonts w:ascii="David" w:hAnsi="David" w:cs="David"/>
          <w:sz w:val="24"/>
          <w:szCs w:val="24"/>
          <w:rtl/>
        </w:rPr>
        <w:t xml:space="preserve">לטענת מר כהנא, מדרבן ד"ר סופר את הדיירים לחתום על הסכם תוך הפעלת לחץ, איומים והשתקת כל מי שיש לו שאלות שאינן נוחות וביקורת על ההתנהלות. מר כהנא פעל בשירות ציבור בעלי הדירות. הוא פעל כמעין עיתונאי, שאל שאלות ענייניות, חקר והציג בכתב את מסקנותיו ודעותיו. לטענתו הוא עשה עבודת קודש ציבורית עבור בעלי הזכויות, דרש לשפר את עמדתם </w:t>
      </w:r>
      <w:r>
        <w:rPr>
          <w:rFonts w:ascii="David" w:hAnsi="David" w:cs="David"/>
          <w:sz w:val="24"/>
          <w:szCs w:val="24"/>
          <w:rtl/>
        </w:rPr>
        <w:lastRenderedPageBreak/>
        <w:t>ומעשה עשה מה שד"ר סופר צריך היה לעשות ולא עשה. בפועל המיזם לא התקדם במשך 8 שנים ומתוכן 6.5 שנים בניהול ד"ר סופר, זאת כאשר לא הוגשו לוועדות התכנון מסמכים או תכניות ורוב הפעילות נעשית בחוסר שקיפות.</w:t>
      </w:r>
    </w:p>
    <w:p w14:paraId="1E08A18E" w14:textId="77777777" w:rsidR="001D5CBE" w:rsidRDefault="00151396" w:rsidP="001D5CBE">
      <w:pPr>
        <w:pStyle w:val="ad"/>
        <w:numPr>
          <w:ilvl w:val="0"/>
          <w:numId w:val="7"/>
        </w:numPr>
        <w:spacing w:before="252" w:after="0" w:line="360" w:lineRule="auto"/>
        <w:contextualSpacing w:val="0"/>
        <w:jc w:val="both"/>
        <w:rPr>
          <w:rFonts w:ascii="David" w:hAnsi="David" w:cs="David"/>
          <w:sz w:val="24"/>
          <w:szCs w:val="24"/>
          <w:rtl/>
        </w:rPr>
      </w:pPr>
      <w:r>
        <w:rPr>
          <w:rFonts w:ascii="David" w:hAnsi="David" w:cs="David"/>
          <w:sz w:val="24"/>
          <w:szCs w:val="24"/>
          <w:rtl/>
        </w:rPr>
        <w:t>מר כהנא טען שלא היתה החלטה מסודרת למינוי ד"ר סופר ומעולם לא הופץ פרוטוקול על בחירתו. ד"ר סופר חתם על הסכם עם שפיר בחודש ספטמבר 2014 עוד בטרם הוצג לראשונה בפגישות הדיירים בחודש נובמבר 2014. פגישות בהן גם נבחרה נציגות הדיירים. ד"ר סופר היה מעורה בפרויקט כבר משנת 2013 באמצעות דיירים אחרים. מר כהנא ובעלי זכויות נוספים במתחם שהעלו שאלות והעירו הערות  - זכו להשמצות, הסתת הדיירים נגדם והרחקה מקבוצות ה</w:t>
      </w:r>
      <w:r>
        <w:rPr>
          <w:rFonts w:ascii="David" w:hAnsi="David" w:cs="David"/>
          <w:sz w:val="24"/>
          <w:szCs w:val="24"/>
        </w:rPr>
        <w:t>WhatsApp</w:t>
      </w:r>
      <w:r>
        <w:rPr>
          <w:rFonts w:ascii="David" w:hAnsi="David" w:cs="David"/>
          <w:sz w:val="24"/>
          <w:szCs w:val="24"/>
          <w:rtl/>
        </w:rPr>
        <w:t xml:space="preserve"> שד"ר סופר וזוגתו ניהלו כמו גם איומים בהגשת תביעות משפטיות. </w:t>
      </w:r>
    </w:p>
    <w:p w14:paraId="4C2A7C7B" w14:textId="77777777" w:rsidR="001D5CBE" w:rsidRDefault="00151396" w:rsidP="001D5CBE">
      <w:pPr>
        <w:pStyle w:val="ad"/>
        <w:numPr>
          <w:ilvl w:val="0"/>
          <w:numId w:val="7"/>
        </w:numPr>
        <w:spacing w:before="252" w:after="0" w:line="360" w:lineRule="auto"/>
        <w:contextualSpacing w:val="0"/>
        <w:jc w:val="both"/>
        <w:rPr>
          <w:rFonts w:ascii="David" w:hAnsi="David" w:cs="David"/>
          <w:sz w:val="24"/>
          <w:szCs w:val="24"/>
          <w:rtl/>
        </w:rPr>
      </w:pPr>
      <w:r>
        <w:rPr>
          <w:rFonts w:ascii="David" w:hAnsi="David" w:cs="David"/>
          <w:sz w:val="24"/>
          <w:szCs w:val="24"/>
          <w:rtl/>
        </w:rPr>
        <w:t>ביחס לעמותה טוען מר כהנא שזו הוקמה על ידי קבוצת דיירים על מנת להתגונן מפני איום בתביעות השתקה מצד משרד עו"ד המעורב במיזם. הדיירים שביקשו לדעת יותר והותקפו החליטו להתאגד על מנת להתגונן מפני איומים ורצון לקדם את האינטרסים של בעלי הדירות. מר כהנא התפטר מהעמותה כבר בשנת 2016, וככל הידוע לו היא אינה פעילה.</w:t>
      </w:r>
    </w:p>
    <w:p w14:paraId="14F667DB" w14:textId="77777777" w:rsidR="001D5CBE" w:rsidRDefault="00151396" w:rsidP="001D5CBE">
      <w:pPr>
        <w:pStyle w:val="ad"/>
        <w:numPr>
          <w:ilvl w:val="0"/>
          <w:numId w:val="7"/>
        </w:numPr>
        <w:spacing w:before="252" w:after="0" w:line="360" w:lineRule="auto"/>
        <w:contextualSpacing w:val="0"/>
        <w:jc w:val="both"/>
        <w:rPr>
          <w:rFonts w:ascii="David" w:hAnsi="David" w:cs="David"/>
          <w:sz w:val="24"/>
          <w:szCs w:val="24"/>
          <w:rtl/>
        </w:rPr>
      </w:pPr>
      <w:r>
        <w:rPr>
          <w:rFonts w:ascii="David" w:hAnsi="David" w:cs="David"/>
          <w:sz w:val="24"/>
          <w:szCs w:val="24"/>
          <w:rtl/>
        </w:rPr>
        <w:t xml:space="preserve">מר כהנא טען שדבריו הם ביקורת עניינית ולגיטימית ללא מניעים זרים. עיסוקו של ד"ר סופר בפרויקט הוא החתמת דיירים על הסכם שמעולם לא אושר על ידי נציגות הדיירים דבר המתחייב במיזמים מסוג זה. </w:t>
      </w:r>
    </w:p>
    <w:p w14:paraId="4BFB08FC" w14:textId="77777777" w:rsidR="001D5CBE" w:rsidRDefault="00151396" w:rsidP="00274F7E">
      <w:pPr>
        <w:pStyle w:val="ad"/>
        <w:numPr>
          <w:ilvl w:val="0"/>
          <w:numId w:val="7"/>
        </w:numPr>
        <w:spacing w:before="252" w:after="0" w:line="360" w:lineRule="auto"/>
        <w:contextualSpacing w:val="0"/>
        <w:jc w:val="both"/>
        <w:rPr>
          <w:rFonts w:ascii="David" w:hAnsi="David" w:cs="David"/>
          <w:sz w:val="24"/>
          <w:szCs w:val="24"/>
          <w:rtl/>
        </w:rPr>
      </w:pPr>
      <w:r>
        <w:rPr>
          <w:rFonts w:ascii="David" w:hAnsi="David" w:cs="David"/>
          <w:sz w:val="24"/>
          <w:szCs w:val="24"/>
          <w:rtl/>
        </w:rPr>
        <w:t>מר כהנא ציין שהוא חסר השכלה משפטית ולכן יש לבחון את אמירותיו כאמירות של הדיוט משפטי והבעת דעה ולא כחוות דעת משפטית. רוב המשתתפים מכירים את כהנא ויודעים שאינו בעל השכלה משפטית, וכך תופשים את אמירותיו. דעותיו מתקבלות כביקורת לגיטימית על ידי חלק מהמשתתפים וחלק רואה בהם טרחנות יתר, אך בשום מקרה לא דברי השמצות ולשון הרע. כל הפרסומים בכתב התביעה מציגים קטע קטן מתכתובות ארוכות יותר ויש להביט על הפרסומים בהקשר הכללי של הפרסום כולו. לחילופין, וככל שיקבע שמדובר בלשון הרע, טוען כהנא כי עומדות לו ההגנות בס</w:t>
      </w:r>
      <w:r w:rsidR="00274F7E">
        <w:rPr>
          <w:rFonts w:ascii="David" w:hAnsi="David" w:cs="David" w:hint="cs"/>
          <w:sz w:val="24"/>
          <w:szCs w:val="24"/>
          <w:rtl/>
        </w:rPr>
        <w:t>'</w:t>
      </w:r>
      <w:r>
        <w:rPr>
          <w:rFonts w:ascii="David" w:hAnsi="David" w:cs="David"/>
          <w:sz w:val="24"/>
          <w:szCs w:val="24"/>
          <w:rtl/>
        </w:rPr>
        <w:t xml:space="preserve"> 14 ו-15 (2), (3), (4), (6), (7), (8), (9) ו-(10) לחוק איסור לשון הרע.</w:t>
      </w:r>
    </w:p>
    <w:p w14:paraId="78948FDF" w14:textId="77777777" w:rsidR="001D5CBE" w:rsidRDefault="00151396" w:rsidP="000903FC">
      <w:pPr>
        <w:pStyle w:val="ad"/>
        <w:numPr>
          <w:ilvl w:val="0"/>
          <w:numId w:val="1"/>
        </w:numPr>
        <w:spacing w:before="354" w:line="360" w:lineRule="auto"/>
        <w:ind w:left="-173" w:hanging="533"/>
        <w:contextualSpacing w:val="0"/>
        <w:jc w:val="both"/>
        <w:outlineLvl w:val="2"/>
        <w:rPr>
          <w:rFonts w:ascii="David" w:hAnsi="David" w:cs="David"/>
          <w:sz w:val="24"/>
          <w:szCs w:val="24"/>
          <w:rtl/>
        </w:rPr>
      </w:pPr>
      <w:r>
        <w:rPr>
          <w:rFonts w:ascii="David" w:hAnsi="David" w:cs="David"/>
          <w:b/>
          <w:bCs/>
          <w:sz w:val="24"/>
          <w:szCs w:val="24"/>
          <w:u w:val="single"/>
          <w:rtl/>
        </w:rPr>
        <w:t>טענות הצדדים בתביעת מר כהנא נ' ד"ר סופר (ת.א 62657-10-20)</w:t>
      </w:r>
    </w:p>
    <w:p w14:paraId="76606687" w14:textId="77777777" w:rsidR="001D5CBE" w:rsidRDefault="00151396" w:rsidP="000903FC">
      <w:pPr>
        <w:pStyle w:val="ad"/>
        <w:numPr>
          <w:ilvl w:val="1"/>
          <w:numId w:val="1"/>
        </w:numPr>
        <w:spacing w:line="360" w:lineRule="auto"/>
        <w:ind w:left="418" w:hanging="562"/>
        <w:jc w:val="both"/>
        <w:outlineLvl w:val="3"/>
        <w:rPr>
          <w:rFonts w:ascii="David" w:hAnsi="David" w:cs="David"/>
          <w:sz w:val="24"/>
          <w:szCs w:val="24"/>
        </w:rPr>
      </w:pPr>
      <w:r>
        <w:rPr>
          <w:rFonts w:ascii="David" w:hAnsi="David" w:cs="David"/>
          <w:b/>
          <w:bCs/>
          <w:sz w:val="24"/>
          <w:szCs w:val="24"/>
          <w:u w:val="single"/>
          <w:rtl/>
        </w:rPr>
        <w:t>טענות מר כהנא כתובע וארבעת הפרסומים בגינם הוגשה תביעתו</w:t>
      </w:r>
    </w:p>
    <w:p w14:paraId="6B4A4772" w14:textId="77777777" w:rsidR="001D5CBE" w:rsidRDefault="00151396" w:rsidP="001D5CBE">
      <w:pPr>
        <w:pStyle w:val="ad"/>
        <w:numPr>
          <w:ilvl w:val="0"/>
          <w:numId w:val="8"/>
        </w:numPr>
        <w:spacing w:line="360" w:lineRule="auto"/>
        <w:jc w:val="both"/>
        <w:rPr>
          <w:rFonts w:ascii="David" w:hAnsi="David" w:cs="David"/>
          <w:sz w:val="24"/>
          <w:szCs w:val="24"/>
        </w:rPr>
      </w:pPr>
      <w:r>
        <w:rPr>
          <w:rFonts w:ascii="David" w:hAnsi="David" w:cs="David"/>
          <w:sz w:val="24"/>
          <w:szCs w:val="24"/>
          <w:rtl/>
        </w:rPr>
        <w:t xml:space="preserve">ביום 2.9.2020 הוציאה עיריית חולון מכתב בחתימת אדריכל העיר, המתייחס לתכנית הפרויקט ובו נכתב כך (ההדגשות לא במקור) - </w:t>
      </w:r>
      <w:r>
        <w:rPr>
          <w:rFonts w:ascii="David" w:hAnsi="David" w:cs="David"/>
          <w:b/>
          <w:bCs/>
          <w:sz w:val="24"/>
          <w:szCs w:val="24"/>
          <w:rtl/>
        </w:rPr>
        <w:t xml:space="preserve">"התכנון המוצע אינו תואם את תכנית המתאר 2030 המופקדת.. ואינו תואם את תכנית ההתחדשות העירונית ח/619 שנקלטה בלשכת התכנון. לאור זאת </w:t>
      </w:r>
      <w:r>
        <w:rPr>
          <w:rFonts w:ascii="David" w:hAnsi="David" w:cs="David"/>
          <w:b/>
          <w:bCs/>
          <w:sz w:val="24"/>
          <w:szCs w:val="24"/>
          <w:u w:val="single"/>
          <w:rtl/>
        </w:rPr>
        <w:t>המלצותינו לוועדה המקומית ליוזמה שהוגשה הינה שלילית</w:t>
      </w:r>
      <w:r>
        <w:rPr>
          <w:rFonts w:ascii="David" w:hAnsi="David" w:cs="David"/>
          <w:b/>
          <w:bCs/>
          <w:sz w:val="24"/>
          <w:szCs w:val="24"/>
          <w:rtl/>
        </w:rPr>
        <w:t>"</w:t>
      </w:r>
      <w:r>
        <w:rPr>
          <w:rFonts w:ascii="David" w:hAnsi="David" w:cs="David"/>
          <w:sz w:val="24"/>
          <w:szCs w:val="24"/>
          <w:rtl/>
        </w:rPr>
        <w:t>.</w:t>
      </w:r>
    </w:p>
    <w:p w14:paraId="1BA3CABD" w14:textId="77777777" w:rsidR="001D5CBE" w:rsidRDefault="00151396" w:rsidP="001D5CBE">
      <w:pPr>
        <w:pStyle w:val="ad"/>
        <w:spacing w:after="0" w:line="360" w:lineRule="auto"/>
        <w:jc w:val="both"/>
        <w:rPr>
          <w:rFonts w:ascii="David" w:hAnsi="David" w:cs="David"/>
          <w:sz w:val="24"/>
          <w:szCs w:val="24"/>
        </w:rPr>
      </w:pPr>
      <w:r>
        <w:rPr>
          <w:rFonts w:ascii="David" w:hAnsi="David" w:cs="David"/>
          <w:sz w:val="24"/>
          <w:szCs w:val="24"/>
          <w:rtl/>
        </w:rPr>
        <w:t xml:space="preserve">בהמשך וביום 14.9.2020, פנתה ענת אהרוני, אדריכלית ראשית בחברת שפיר, בהודעת דוא"ל לוועדה המחוזית לתכנון ובניה בת"א בנוגע לחומר לא רשמי שהועבר לפני כן ע"י עדי ממשרד האדריכלים דרמן ורבקל לצורך תיאום ישיבה תכנונית בוועדה המחוזית. מיד לאחר מכן השיב </w:t>
      </w:r>
      <w:r>
        <w:rPr>
          <w:rFonts w:ascii="David" w:hAnsi="David" w:cs="David"/>
          <w:sz w:val="24"/>
          <w:szCs w:val="24"/>
          <w:rtl/>
        </w:rPr>
        <w:lastRenderedPageBreak/>
        <w:t xml:space="preserve">אסף יקואל, מוביל תכנית בוועדה המחוזית, כי </w:t>
      </w:r>
      <w:r>
        <w:rPr>
          <w:rFonts w:ascii="David" w:hAnsi="David" w:cs="David"/>
          <w:sz w:val="24"/>
          <w:szCs w:val="24"/>
          <w:u w:val="single"/>
          <w:rtl/>
        </w:rPr>
        <w:t>אין מקום לקיים ישיבה תכנונית כשאין אופק לקידום התכנית</w:t>
      </w:r>
      <w:r>
        <w:rPr>
          <w:rFonts w:ascii="David" w:hAnsi="David" w:cs="David"/>
          <w:sz w:val="24"/>
          <w:szCs w:val="24"/>
          <w:rtl/>
        </w:rPr>
        <w:t>. מכאן שבשלב זה היה ברור להנהלת הפרויקט שתנאי הסף לקיומו של הפרויקט בספטמבר 2020 אינם מתקיימים והתקדמותו בשלב זה אינה אפשרית.</w:t>
      </w:r>
    </w:p>
    <w:p w14:paraId="75A584E8" w14:textId="77777777" w:rsidR="001D5CBE" w:rsidRDefault="00151396" w:rsidP="001D5CBE">
      <w:pPr>
        <w:pStyle w:val="ad"/>
        <w:numPr>
          <w:ilvl w:val="0"/>
          <w:numId w:val="8"/>
        </w:numPr>
        <w:spacing w:before="354" w:line="360" w:lineRule="auto"/>
        <w:contextualSpacing w:val="0"/>
        <w:jc w:val="both"/>
        <w:rPr>
          <w:rFonts w:ascii="David" w:hAnsi="David" w:cs="David"/>
          <w:sz w:val="24"/>
          <w:szCs w:val="24"/>
          <w:rtl/>
        </w:rPr>
      </w:pPr>
      <w:r>
        <w:rPr>
          <w:rFonts w:ascii="David" w:hAnsi="David" w:cs="David"/>
          <w:sz w:val="24"/>
          <w:szCs w:val="24"/>
          <w:rtl/>
        </w:rPr>
        <w:t>למרות כל אלה - ביום 16.9.2020, הפיץ ד"ר סופר בשתי קבוצות</w:t>
      </w:r>
      <w:r>
        <w:rPr>
          <w:rFonts w:ascii="David" w:hAnsi="David" w:cs="David"/>
          <w:sz w:val="24"/>
          <w:szCs w:val="24"/>
        </w:rPr>
        <w:t xml:space="preserve">WhatsApp </w:t>
      </w:r>
      <w:r>
        <w:rPr>
          <w:rFonts w:ascii="David" w:hAnsi="David" w:cs="David"/>
          <w:sz w:val="24"/>
          <w:szCs w:val="24"/>
          <w:rtl/>
        </w:rPr>
        <w:t xml:space="preserve"> אותן הוא מנהל, הן של הנציגות בה היו 32 חברים במועד הפרסום והן בקבוצה של כלל הדיירים בה היו 168 חברים במועד הפרסום, הודעה ובה טיוטת נספח בינוי המכונה - </w:t>
      </w:r>
      <w:r>
        <w:rPr>
          <w:rFonts w:ascii="David" w:hAnsi="David" w:cs="David"/>
          <w:b/>
          <w:bCs/>
          <w:sz w:val="24"/>
          <w:szCs w:val="24"/>
          <w:rtl/>
        </w:rPr>
        <w:t>"נספח בינוי לקראת תב"ע מתחם חנקין-בלזן"</w:t>
      </w:r>
      <w:r>
        <w:rPr>
          <w:rFonts w:ascii="David" w:hAnsi="David" w:cs="David"/>
          <w:sz w:val="24"/>
          <w:szCs w:val="24"/>
          <w:rtl/>
        </w:rPr>
        <w:t xml:space="preserve">. </w:t>
      </w:r>
    </w:p>
    <w:p w14:paraId="69E8A6B9" w14:textId="77777777" w:rsidR="001D5CBE" w:rsidRDefault="00151396" w:rsidP="001D5CBE">
      <w:pPr>
        <w:pStyle w:val="ad"/>
        <w:spacing w:after="0" w:line="360" w:lineRule="auto"/>
        <w:jc w:val="both"/>
        <w:rPr>
          <w:rFonts w:ascii="David" w:hAnsi="David" w:cs="David"/>
          <w:sz w:val="24"/>
          <w:szCs w:val="24"/>
        </w:rPr>
      </w:pPr>
      <w:r>
        <w:rPr>
          <w:rFonts w:ascii="David" w:hAnsi="David" w:cs="David"/>
          <w:sz w:val="24"/>
          <w:szCs w:val="24"/>
          <w:rtl/>
        </w:rPr>
        <w:t xml:space="preserve">עוד נוספו דברי הסבר: </w:t>
      </w:r>
      <w:r>
        <w:rPr>
          <w:rFonts w:ascii="David" w:hAnsi="David" w:cs="David"/>
          <w:b/>
          <w:bCs/>
          <w:sz w:val="24"/>
          <w:szCs w:val="24"/>
          <w:rtl/>
        </w:rPr>
        <w:t>"מצ"ב טיוטת נספח לתב"ע שעומדת להיות מוגשת ע"י שפיר לוועדה המחוזית, ככל שיש לכם שאלות/הערות אנא העבירו אלי"</w:t>
      </w:r>
      <w:r>
        <w:rPr>
          <w:rFonts w:ascii="David" w:hAnsi="David" w:cs="David"/>
          <w:sz w:val="24"/>
          <w:szCs w:val="24"/>
          <w:rtl/>
        </w:rPr>
        <w:t xml:space="preserve"> וכן - </w:t>
      </w:r>
      <w:r>
        <w:rPr>
          <w:rFonts w:ascii="David" w:hAnsi="David" w:cs="David"/>
          <w:b/>
          <w:bCs/>
          <w:sz w:val="24"/>
          <w:szCs w:val="24"/>
          <w:rtl/>
        </w:rPr>
        <w:t>"מי שטרם חתם על הסכם נא ליצור איתו קשר לחתימה"</w:t>
      </w:r>
      <w:r>
        <w:rPr>
          <w:rFonts w:ascii="David" w:hAnsi="David" w:cs="David"/>
          <w:sz w:val="24"/>
          <w:szCs w:val="24"/>
          <w:rtl/>
        </w:rPr>
        <w:t>.</w:t>
      </w:r>
    </w:p>
    <w:p w14:paraId="1D50FD85" w14:textId="77777777" w:rsidR="001D5CBE" w:rsidRDefault="00151396" w:rsidP="001D5CBE">
      <w:pPr>
        <w:pStyle w:val="ad"/>
        <w:spacing w:after="0" w:line="360" w:lineRule="auto"/>
        <w:jc w:val="both"/>
        <w:rPr>
          <w:rFonts w:ascii="David" w:hAnsi="David" w:cs="David"/>
          <w:sz w:val="24"/>
          <w:szCs w:val="24"/>
          <w:rtl/>
        </w:rPr>
      </w:pPr>
      <w:r>
        <w:rPr>
          <w:rFonts w:ascii="David" w:hAnsi="David" w:cs="David"/>
          <w:sz w:val="24"/>
          <w:szCs w:val="24"/>
          <w:rtl/>
        </w:rPr>
        <w:t xml:space="preserve">ד"ר סופר </w:t>
      </w:r>
      <w:r>
        <w:rPr>
          <w:rFonts w:ascii="David" w:hAnsi="David" w:cs="David"/>
          <w:sz w:val="24"/>
          <w:szCs w:val="24"/>
          <w:u w:val="single"/>
          <w:rtl/>
        </w:rPr>
        <w:t>לא עדכן</w:t>
      </w:r>
      <w:r>
        <w:rPr>
          <w:rFonts w:ascii="David" w:hAnsi="David" w:cs="David"/>
          <w:sz w:val="24"/>
          <w:szCs w:val="24"/>
          <w:rtl/>
        </w:rPr>
        <w:t xml:space="preserve"> בהתפתחות שהתרחשה בימים קודם לכן ואשר תוארה בס"ק (א) לעיל.</w:t>
      </w:r>
    </w:p>
    <w:p w14:paraId="471AA9E3" w14:textId="77777777" w:rsidR="001D5CBE" w:rsidRDefault="00151396" w:rsidP="001D5CBE">
      <w:pPr>
        <w:pStyle w:val="ad"/>
        <w:numPr>
          <w:ilvl w:val="0"/>
          <w:numId w:val="8"/>
        </w:numPr>
        <w:spacing w:before="354" w:line="360" w:lineRule="auto"/>
        <w:contextualSpacing w:val="0"/>
        <w:jc w:val="both"/>
        <w:rPr>
          <w:rFonts w:ascii="David" w:hAnsi="David" w:cs="David"/>
          <w:sz w:val="24"/>
          <w:szCs w:val="24"/>
          <w:rtl/>
        </w:rPr>
      </w:pPr>
      <w:r>
        <w:rPr>
          <w:rFonts w:ascii="David" w:hAnsi="David" w:cs="David"/>
          <w:sz w:val="24"/>
          <w:szCs w:val="24"/>
          <w:rtl/>
        </w:rPr>
        <w:t xml:space="preserve">עם קבלת הודעות ד"ר סופר ובאותו היום, פנה מר כהנא לד"ר סופר בהודעה אישית וביקש לצרף להודעותיו גם מסמכים נלווים שיבהירו את מהותו של הנספח ששלח. בתגובה כתב ד"ר סופר למר כהנא בהודעה פרטית כי הנספח נשלח כבר לכולם וביקש ממנו לא להפיץ שקרים בקבוצה. הודעה זו נשלחה ללא סיבה נראית לעין. </w:t>
      </w:r>
    </w:p>
    <w:p w14:paraId="64F449BF" w14:textId="77777777" w:rsidR="001D5CBE" w:rsidRDefault="00151396" w:rsidP="001D5CBE">
      <w:pPr>
        <w:pStyle w:val="ad"/>
        <w:numPr>
          <w:ilvl w:val="0"/>
          <w:numId w:val="8"/>
        </w:numPr>
        <w:spacing w:before="252" w:line="360" w:lineRule="auto"/>
        <w:contextualSpacing w:val="0"/>
        <w:jc w:val="both"/>
        <w:rPr>
          <w:rFonts w:ascii="David" w:hAnsi="David" w:cs="David"/>
          <w:sz w:val="24"/>
          <w:szCs w:val="24"/>
          <w:rtl/>
        </w:rPr>
      </w:pPr>
      <w:r>
        <w:rPr>
          <w:rFonts w:ascii="David" w:hAnsi="David" w:cs="David"/>
          <w:sz w:val="24"/>
          <w:szCs w:val="24"/>
          <w:rtl/>
        </w:rPr>
        <w:t>מר כהנא המשיך בשיחה הפרטית ומשראה שאינו מקבל מד"ר סופר תשובות ענייניות פנה למשרד האדריכלים דרמן ורבקל ושוחח עם עדי עצמה אשר מוזכרת בהודעת הדוא"ל של חברת שפיר וביקש ממנה לקבל חומרים משלימים. עדי השיבה כי כל החומר מצוי בידי הנהלת הפרויקט, קרי אצל ד"ר סופר וכי יש לפנות אליו.</w:t>
      </w:r>
    </w:p>
    <w:p w14:paraId="0ABE0DE4" w14:textId="77777777" w:rsidR="001D5CBE" w:rsidRDefault="00151396" w:rsidP="001D5CBE">
      <w:pPr>
        <w:pStyle w:val="ad"/>
        <w:numPr>
          <w:ilvl w:val="0"/>
          <w:numId w:val="8"/>
        </w:numPr>
        <w:spacing w:before="252" w:line="360" w:lineRule="auto"/>
        <w:contextualSpacing w:val="0"/>
        <w:jc w:val="both"/>
        <w:rPr>
          <w:rFonts w:ascii="David" w:hAnsi="David" w:cs="David"/>
          <w:sz w:val="24"/>
          <w:szCs w:val="24"/>
          <w:rtl/>
        </w:rPr>
      </w:pPr>
      <w:r>
        <w:rPr>
          <w:rFonts w:ascii="David" w:hAnsi="David" w:cs="David"/>
          <w:sz w:val="24"/>
          <w:szCs w:val="24"/>
          <w:rtl/>
        </w:rPr>
        <w:t xml:space="preserve">מר כהנא המשיך בבירורים ובבדיקה נוספת נמסר לו שבנוסף לטיוטת נספח בינוי, היזם אכן העביר גם תשריט והוראות. זה היה החומר המשלים שביקש לקבל מד"ר סופר. עקב המידע החדש פנה שוב מר כהנא לד"ר סופר והעיר וביקש לפעול בשקיפות ולהעביר את החומר על מנת שהדיירים יבינו מה סטטוס הפרויקט. ד"ר סופר המשיך בסגנון בוטה, האשים את מר כהנא בניסיונות לחבל בפרויקט ובהפצת שקרים. מכאן הפיץ מר כהנא את אותה הודעה בקבוצת הדיירים כשהוא מקדים דברי הסבר בדבר הצורך לקבל את מלוא המידע. </w:t>
      </w:r>
    </w:p>
    <w:p w14:paraId="38278DB7" w14:textId="77777777" w:rsidR="001D5CBE" w:rsidRDefault="00151396" w:rsidP="001D5CBE">
      <w:pPr>
        <w:pStyle w:val="ad"/>
        <w:numPr>
          <w:ilvl w:val="0"/>
          <w:numId w:val="8"/>
        </w:numPr>
        <w:spacing w:before="252" w:line="360" w:lineRule="auto"/>
        <w:contextualSpacing w:val="0"/>
        <w:jc w:val="both"/>
        <w:rPr>
          <w:rFonts w:ascii="David" w:hAnsi="David" w:cs="David"/>
          <w:sz w:val="24"/>
          <w:szCs w:val="24"/>
          <w:rtl/>
        </w:rPr>
      </w:pPr>
      <w:r>
        <w:rPr>
          <w:rFonts w:ascii="David" w:hAnsi="David" w:cs="David"/>
          <w:b/>
          <w:bCs/>
          <w:sz w:val="24"/>
          <w:szCs w:val="24"/>
          <w:u w:val="single"/>
          <w:rtl/>
        </w:rPr>
        <w:t>פרסום סופר הראשון בגינו הוגשה התביעה</w:t>
      </w:r>
      <w:r>
        <w:rPr>
          <w:rFonts w:ascii="David" w:hAnsi="David" w:cs="David"/>
          <w:sz w:val="24"/>
          <w:szCs w:val="24"/>
          <w:rtl/>
        </w:rPr>
        <w:t xml:space="preserve"> – </w:t>
      </w:r>
    </w:p>
    <w:p w14:paraId="60746D8F" w14:textId="77777777" w:rsidR="001D5CBE" w:rsidRDefault="00151396" w:rsidP="001D5CBE">
      <w:pPr>
        <w:pStyle w:val="ad"/>
        <w:spacing w:after="0" w:line="360" w:lineRule="auto"/>
        <w:jc w:val="both"/>
        <w:rPr>
          <w:rFonts w:ascii="David" w:hAnsi="David" w:cs="David"/>
          <w:sz w:val="24"/>
          <w:szCs w:val="24"/>
        </w:rPr>
      </w:pPr>
      <w:r>
        <w:rPr>
          <w:rFonts w:ascii="David" w:hAnsi="David" w:cs="David"/>
          <w:sz w:val="24"/>
          <w:szCs w:val="24"/>
          <w:rtl/>
        </w:rPr>
        <w:t>בתגובה כתב ד"ר סופר הודעה פרטית למר כהנא בה כינה אותו מפיץ שקרים ומטעה. מספר דקות לאחר מכן פרסם את אותה הודעה גם בקבוצה הכללית של כלל בעלי הדירות וכתב: "</w:t>
      </w:r>
      <w:r>
        <w:rPr>
          <w:rFonts w:ascii="David" w:hAnsi="David" w:cs="David"/>
          <w:b/>
          <w:bCs/>
          <w:sz w:val="24"/>
          <w:szCs w:val="24"/>
          <w:u w:val="single"/>
          <w:rtl/>
        </w:rPr>
        <w:t>תמשיך לשקר ולהטעות את כולם</w:t>
      </w:r>
      <w:r>
        <w:rPr>
          <w:rFonts w:ascii="David" w:hAnsi="David" w:cs="David"/>
          <w:b/>
          <w:bCs/>
          <w:sz w:val="24"/>
          <w:szCs w:val="24"/>
          <w:rtl/>
        </w:rPr>
        <w:t>...</w:t>
      </w:r>
      <w:r>
        <w:rPr>
          <w:rFonts w:ascii="David" w:hAnsi="David" w:cs="David"/>
          <w:b/>
          <w:bCs/>
          <w:sz w:val="24"/>
          <w:szCs w:val="24"/>
          <w:u w:val="single"/>
          <w:rtl/>
        </w:rPr>
        <w:t>בניגוד אליך שכל מטרתך היא לחבל בפרויקט</w:t>
      </w:r>
      <w:r>
        <w:rPr>
          <w:rFonts w:ascii="David" w:hAnsi="David" w:cs="David"/>
          <w:b/>
          <w:bCs/>
          <w:sz w:val="24"/>
          <w:szCs w:val="24"/>
          <w:rtl/>
        </w:rPr>
        <w:t xml:space="preserve">... עד היום לא טרחת להעיר הערה אחת קונקרטית. </w:t>
      </w:r>
      <w:r>
        <w:rPr>
          <w:rFonts w:ascii="David" w:hAnsi="David" w:cs="David"/>
          <w:b/>
          <w:bCs/>
          <w:sz w:val="24"/>
          <w:szCs w:val="24"/>
          <w:u w:val="single"/>
          <w:rtl/>
        </w:rPr>
        <w:t>למעט הפצת שקרים ורעל</w:t>
      </w:r>
      <w:r>
        <w:rPr>
          <w:rFonts w:ascii="David" w:hAnsi="David" w:cs="David"/>
          <w:b/>
          <w:bCs/>
          <w:sz w:val="24"/>
          <w:szCs w:val="24"/>
          <w:rtl/>
        </w:rPr>
        <w:t>. ולא עשית כלום. אני בטוח שהדיירים קצת יותר חכמים ממך ויבינו לאן אתה מנסה להוביל אותם</w:t>
      </w:r>
      <w:r>
        <w:rPr>
          <w:rFonts w:ascii="David" w:hAnsi="David" w:cs="David"/>
          <w:sz w:val="24"/>
          <w:szCs w:val="24"/>
          <w:rtl/>
        </w:rPr>
        <w:t>" (להלן: "</w:t>
      </w:r>
      <w:r>
        <w:rPr>
          <w:rFonts w:ascii="David" w:hAnsi="David" w:cs="David"/>
          <w:b/>
          <w:bCs/>
          <w:sz w:val="24"/>
          <w:szCs w:val="24"/>
          <w:rtl/>
        </w:rPr>
        <w:t>פרסום סופר הראשון</w:t>
      </w:r>
      <w:r>
        <w:rPr>
          <w:rFonts w:ascii="David" w:hAnsi="David" w:cs="David"/>
          <w:sz w:val="24"/>
          <w:szCs w:val="24"/>
          <w:rtl/>
        </w:rPr>
        <w:t>").</w:t>
      </w:r>
    </w:p>
    <w:p w14:paraId="6D9BFD1C" w14:textId="77777777" w:rsidR="001D5CBE" w:rsidRDefault="00151396" w:rsidP="001D5CBE">
      <w:pPr>
        <w:pStyle w:val="ad"/>
        <w:numPr>
          <w:ilvl w:val="0"/>
          <w:numId w:val="8"/>
        </w:numPr>
        <w:spacing w:before="504" w:line="360" w:lineRule="auto"/>
        <w:contextualSpacing w:val="0"/>
        <w:jc w:val="both"/>
        <w:rPr>
          <w:rFonts w:ascii="David" w:hAnsi="David" w:cs="David"/>
          <w:sz w:val="24"/>
          <w:szCs w:val="24"/>
          <w:rtl/>
        </w:rPr>
      </w:pPr>
      <w:r>
        <w:rPr>
          <w:rFonts w:ascii="David" w:hAnsi="David" w:cs="David"/>
          <w:b/>
          <w:bCs/>
          <w:sz w:val="24"/>
          <w:szCs w:val="24"/>
          <w:u w:val="single"/>
          <w:rtl/>
        </w:rPr>
        <w:lastRenderedPageBreak/>
        <w:t>פרסום סופר השני בגינו הוגשה התביעה</w:t>
      </w:r>
      <w:r>
        <w:rPr>
          <w:rFonts w:ascii="David" w:hAnsi="David" w:cs="David"/>
          <w:sz w:val="24"/>
          <w:szCs w:val="24"/>
          <w:rtl/>
        </w:rPr>
        <w:t xml:space="preserve"> - </w:t>
      </w:r>
    </w:p>
    <w:p w14:paraId="144A062C" w14:textId="77777777" w:rsidR="001D5CBE" w:rsidRDefault="00151396" w:rsidP="001D5CBE">
      <w:pPr>
        <w:pStyle w:val="ad"/>
        <w:spacing w:after="0" w:line="360" w:lineRule="auto"/>
        <w:jc w:val="both"/>
        <w:rPr>
          <w:rFonts w:ascii="David" w:hAnsi="David" w:cs="David"/>
          <w:sz w:val="24"/>
          <w:szCs w:val="24"/>
        </w:rPr>
      </w:pPr>
      <w:r>
        <w:rPr>
          <w:rFonts w:ascii="David" w:hAnsi="David" w:cs="David"/>
          <w:sz w:val="24"/>
          <w:szCs w:val="24"/>
          <w:rtl/>
        </w:rPr>
        <w:t xml:space="preserve">בהמשך ולאחר שאחת הדיירות כתבה הודעה בקבוצת הנציגות בה סיפרה על שיחתה עם מר כהנא, ועל כך שהוא </w:t>
      </w:r>
      <w:r>
        <w:rPr>
          <w:rFonts w:ascii="David" w:hAnsi="David" w:cs="David"/>
          <w:sz w:val="24"/>
          <w:szCs w:val="24"/>
          <w:rtl/>
        </w:rPr>
        <w:t>סיפר לה שביקש מסמכים מד"ר סופר, כתב ד"ר סופר בקבוצת ה</w:t>
      </w:r>
      <w:r>
        <w:rPr>
          <w:rFonts w:ascii="David" w:hAnsi="David" w:cs="David"/>
          <w:sz w:val="24"/>
          <w:szCs w:val="24"/>
        </w:rPr>
        <w:t>WhatsApp</w:t>
      </w:r>
      <w:r>
        <w:rPr>
          <w:rFonts w:ascii="David" w:hAnsi="David" w:cs="David"/>
          <w:sz w:val="24"/>
          <w:szCs w:val="24"/>
          <w:rtl/>
        </w:rPr>
        <w:t xml:space="preserve"> של הדיירים "</w:t>
      </w:r>
      <w:r>
        <w:rPr>
          <w:rFonts w:ascii="David" w:hAnsi="David" w:cs="David"/>
          <w:b/>
          <w:bCs/>
          <w:sz w:val="24"/>
          <w:szCs w:val="24"/>
          <w:rtl/>
        </w:rPr>
        <w:t>אני לא מתכוון להתייחס לשקרים שהאיש הזה מפיץ</w:t>
      </w:r>
      <w:r>
        <w:rPr>
          <w:rFonts w:ascii="David" w:hAnsi="David" w:cs="David"/>
          <w:sz w:val="24"/>
          <w:szCs w:val="24"/>
          <w:rtl/>
        </w:rPr>
        <w:t>" (להלן: "</w:t>
      </w:r>
      <w:r>
        <w:rPr>
          <w:rFonts w:ascii="David" w:hAnsi="David" w:cs="David"/>
          <w:b/>
          <w:bCs/>
          <w:sz w:val="24"/>
          <w:szCs w:val="24"/>
          <w:rtl/>
        </w:rPr>
        <w:t>פרסום סופר השני</w:t>
      </w:r>
      <w:r>
        <w:rPr>
          <w:rFonts w:ascii="David" w:hAnsi="David" w:cs="David"/>
          <w:sz w:val="24"/>
          <w:szCs w:val="24"/>
          <w:rtl/>
        </w:rPr>
        <w:t xml:space="preserve">"). </w:t>
      </w:r>
    </w:p>
    <w:p w14:paraId="76DB8825" w14:textId="77777777" w:rsidR="001D5CBE" w:rsidRDefault="00151396" w:rsidP="000D3D31">
      <w:pPr>
        <w:pStyle w:val="ad"/>
        <w:numPr>
          <w:ilvl w:val="0"/>
          <w:numId w:val="8"/>
        </w:numPr>
        <w:spacing w:before="120" w:line="360" w:lineRule="auto"/>
        <w:contextualSpacing w:val="0"/>
        <w:jc w:val="both"/>
        <w:rPr>
          <w:rFonts w:ascii="David" w:hAnsi="David" w:cs="David"/>
          <w:sz w:val="24"/>
          <w:szCs w:val="24"/>
          <w:rtl/>
        </w:rPr>
      </w:pPr>
      <w:r>
        <w:rPr>
          <w:rFonts w:ascii="David" w:hAnsi="David" w:cs="David"/>
          <w:b/>
          <w:bCs/>
          <w:sz w:val="24"/>
          <w:szCs w:val="24"/>
          <w:u w:val="single"/>
          <w:rtl/>
        </w:rPr>
        <w:t>פרסום סופר השלישי בגינו הוגשה התביעה</w:t>
      </w:r>
      <w:r>
        <w:rPr>
          <w:rFonts w:ascii="David" w:hAnsi="David" w:cs="David"/>
          <w:sz w:val="24"/>
          <w:szCs w:val="24"/>
          <w:rtl/>
        </w:rPr>
        <w:t xml:space="preserve"> – </w:t>
      </w:r>
    </w:p>
    <w:p w14:paraId="5F02DC31" w14:textId="77777777" w:rsidR="001D5CBE" w:rsidRDefault="00151396" w:rsidP="001D5CBE">
      <w:pPr>
        <w:pStyle w:val="ad"/>
        <w:spacing w:after="0" w:line="360" w:lineRule="auto"/>
        <w:jc w:val="both"/>
        <w:rPr>
          <w:rFonts w:ascii="David" w:hAnsi="David" w:cs="David"/>
          <w:sz w:val="24"/>
          <w:szCs w:val="24"/>
        </w:rPr>
      </w:pPr>
      <w:r>
        <w:rPr>
          <w:rFonts w:ascii="David" w:hAnsi="David" w:cs="David"/>
          <w:sz w:val="24"/>
          <w:szCs w:val="24"/>
          <w:rtl/>
        </w:rPr>
        <w:t>ביום 11.10.2020 שלח מר כהנא שני מסמכים ובהם עדכון סטטוס התכנית בוועדה המחוזית. בתגובה שלח סופר הודעת דוא"ל בתפוצה של כלל חברי הנציגות. בהודעה כתב: "</w:t>
      </w:r>
      <w:r>
        <w:rPr>
          <w:rFonts w:ascii="David" w:hAnsi="David" w:cs="David"/>
          <w:b/>
          <w:bCs/>
          <w:sz w:val="24"/>
          <w:szCs w:val="24"/>
          <w:rtl/>
        </w:rPr>
        <w:t>אינני מתכוון להתייחס לכל מאן דהוא שמפיץ מסמכים שאינם רלוונטיים חצאי אמיתות ואף שקרים והכפשות</w:t>
      </w:r>
      <w:r>
        <w:rPr>
          <w:rFonts w:ascii="David" w:hAnsi="David" w:cs="David"/>
          <w:sz w:val="24"/>
          <w:szCs w:val="24"/>
          <w:rtl/>
        </w:rPr>
        <w:t>." (להלן: "</w:t>
      </w:r>
      <w:r>
        <w:rPr>
          <w:rFonts w:ascii="David" w:hAnsi="David" w:cs="David"/>
          <w:b/>
          <w:bCs/>
          <w:sz w:val="24"/>
          <w:szCs w:val="24"/>
          <w:rtl/>
        </w:rPr>
        <w:t>פרסום סופר השלישי</w:t>
      </w:r>
      <w:r>
        <w:rPr>
          <w:rFonts w:ascii="David" w:hAnsi="David" w:cs="David"/>
          <w:sz w:val="24"/>
          <w:szCs w:val="24"/>
          <w:rtl/>
        </w:rPr>
        <w:t>") זאת כשברור שהכוונה למר כהנא. את אותה הודעה העתיק סופר ושלח בקבוצת ה</w:t>
      </w:r>
      <w:r>
        <w:rPr>
          <w:rFonts w:ascii="David" w:hAnsi="David" w:cs="David"/>
          <w:sz w:val="24"/>
          <w:szCs w:val="24"/>
        </w:rPr>
        <w:t>WhatsApp</w:t>
      </w:r>
      <w:r>
        <w:rPr>
          <w:rFonts w:ascii="David" w:hAnsi="David" w:cs="David"/>
          <w:sz w:val="24"/>
          <w:szCs w:val="24"/>
          <w:rtl/>
        </w:rPr>
        <w:t xml:space="preserve"> של כלל הדיירים. </w:t>
      </w:r>
    </w:p>
    <w:p w14:paraId="0BC61B3F" w14:textId="77777777" w:rsidR="001D5CBE" w:rsidRDefault="00151396" w:rsidP="001D5CBE">
      <w:pPr>
        <w:pStyle w:val="ad"/>
        <w:numPr>
          <w:ilvl w:val="0"/>
          <w:numId w:val="8"/>
        </w:numPr>
        <w:spacing w:before="252" w:line="360" w:lineRule="auto"/>
        <w:contextualSpacing w:val="0"/>
        <w:jc w:val="both"/>
        <w:rPr>
          <w:rFonts w:ascii="David" w:hAnsi="David" w:cs="David"/>
          <w:sz w:val="24"/>
          <w:szCs w:val="24"/>
          <w:rtl/>
        </w:rPr>
      </w:pPr>
      <w:r>
        <w:rPr>
          <w:rFonts w:ascii="David" w:hAnsi="David" w:cs="David"/>
          <w:b/>
          <w:bCs/>
          <w:sz w:val="24"/>
          <w:szCs w:val="24"/>
          <w:u w:val="single"/>
          <w:rtl/>
        </w:rPr>
        <w:t>פרסום סופר הרביעי בגינו הוגשה התביעה</w:t>
      </w:r>
      <w:r>
        <w:rPr>
          <w:rFonts w:ascii="David" w:hAnsi="David" w:cs="David"/>
          <w:sz w:val="24"/>
          <w:szCs w:val="24"/>
          <w:rtl/>
        </w:rPr>
        <w:t xml:space="preserve"> – </w:t>
      </w:r>
    </w:p>
    <w:p w14:paraId="4A0FF263" w14:textId="77777777" w:rsidR="001D5CBE" w:rsidRDefault="00151396" w:rsidP="001D5CBE">
      <w:pPr>
        <w:pStyle w:val="ad"/>
        <w:spacing w:after="0" w:line="360" w:lineRule="auto"/>
        <w:jc w:val="both"/>
        <w:rPr>
          <w:rFonts w:ascii="David" w:hAnsi="David" w:cs="David"/>
          <w:sz w:val="24"/>
          <w:szCs w:val="24"/>
        </w:rPr>
      </w:pPr>
      <w:r>
        <w:rPr>
          <w:rFonts w:ascii="David" w:hAnsi="David" w:cs="David"/>
          <w:sz w:val="24"/>
          <w:szCs w:val="24"/>
          <w:rtl/>
        </w:rPr>
        <w:t>בהודעה נוספת בקבוצת הנציגות של הפרויקט כתב: "</w:t>
      </w:r>
      <w:r>
        <w:rPr>
          <w:rFonts w:ascii="David" w:hAnsi="David" w:cs="David"/>
          <w:b/>
          <w:bCs/>
          <w:sz w:val="24"/>
          <w:szCs w:val="24"/>
          <w:rtl/>
        </w:rPr>
        <w:t>מר כהנא לא בוחל בשום אמצעי כדי להכפיש אותי וחמור מזה לסכל את הפרויקט</w:t>
      </w:r>
      <w:r>
        <w:rPr>
          <w:rFonts w:ascii="David" w:hAnsi="David" w:cs="David"/>
          <w:sz w:val="24"/>
          <w:szCs w:val="24"/>
          <w:rtl/>
        </w:rPr>
        <w:t>." (להלן: "</w:t>
      </w:r>
      <w:r>
        <w:rPr>
          <w:rFonts w:ascii="David" w:hAnsi="David" w:cs="David"/>
          <w:b/>
          <w:bCs/>
          <w:sz w:val="24"/>
          <w:szCs w:val="24"/>
          <w:rtl/>
        </w:rPr>
        <w:t>פרסום סופר הרביעי</w:t>
      </w:r>
      <w:r>
        <w:rPr>
          <w:rFonts w:ascii="David" w:hAnsi="David" w:cs="David"/>
          <w:sz w:val="24"/>
          <w:szCs w:val="24"/>
          <w:rtl/>
        </w:rPr>
        <w:t>").</w:t>
      </w:r>
    </w:p>
    <w:p w14:paraId="60D2AA23" w14:textId="77777777" w:rsidR="001D5CBE" w:rsidRDefault="00151396" w:rsidP="000D3D31">
      <w:pPr>
        <w:pStyle w:val="ad"/>
        <w:numPr>
          <w:ilvl w:val="0"/>
          <w:numId w:val="8"/>
        </w:numPr>
        <w:spacing w:before="120" w:line="360" w:lineRule="auto"/>
        <w:contextualSpacing w:val="0"/>
        <w:jc w:val="both"/>
        <w:rPr>
          <w:rFonts w:ascii="David" w:hAnsi="David" w:cs="David"/>
          <w:sz w:val="24"/>
          <w:szCs w:val="24"/>
          <w:rtl/>
        </w:rPr>
      </w:pPr>
      <w:r>
        <w:rPr>
          <w:rFonts w:ascii="David" w:hAnsi="David" w:cs="David"/>
          <w:sz w:val="24"/>
          <w:szCs w:val="24"/>
          <w:rtl/>
        </w:rPr>
        <w:t>כתוצאה מדברי סופר שביקש להציג את מר כהנא כשקרן וכאילו הוא מבקש לחבל ולסכל את הפרויקט וכמי שמפיץ רעל והכפשות, החלו דיירים להתנפל על מר כהנא ולהפנות אליו האשמות ועלבונות. לבסוף מציין מר כהנא כי הסגנון הבוטה והמאיים כלפיו החל עוד בשלבים קודמים של הפרויקט.</w:t>
      </w:r>
    </w:p>
    <w:p w14:paraId="0CD5E951" w14:textId="77777777" w:rsidR="001D5CBE" w:rsidRDefault="00151396" w:rsidP="000D3D31">
      <w:pPr>
        <w:pStyle w:val="ad"/>
        <w:numPr>
          <w:ilvl w:val="0"/>
          <w:numId w:val="8"/>
        </w:numPr>
        <w:spacing w:before="240" w:line="360" w:lineRule="auto"/>
        <w:ind w:hanging="502"/>
        <w:contextualSpacing w:val="0"/>
        <w:jc w:val="both"/>
        <w:rPr>
          <w:rFonts w:ascii="David" w:hAnsi="David" w:cs="David"/>
          <w:sz w:val="24"/>
          <w:szCs w:val="24"/>
        </w:rPr>
      </w:pPr>
      <w:r>
        <w:rPr>
          <w:rFonts w:ascii="David" w:hAnsi="David" w:cs="David"/>
          <w:sz w:val="24"/>
          <w:szCs w:val="24"/>
          <w:rtl/>
        </w:rPr>
        <w:t xml:space="preserve">במסגרת כתב תשובה שהגיש מר </w:t>
      </w:r>
      <w:r>
        <w:rPr>
          <w:rFonts w:ascii="David" w:hAnsi="David" w:cs="David"/>
          <w:sz w:val="24"/>
          <w:szCs w:val="24"/>
          <w:rtl/>
        </w:rPr>
        <w:t>כהנא, הוא התייחס בין היתר לדברים הבאים:</w:t>
      </w:r>
    </w:p>
    <w:p w14:paraId="056491C9" w14:textId="77777777" w:rsidR="001D5CBE" w:rsidRDefault="00151396" w:rsidP="000D3D31">
      <w:pPr>
        <w:pStyle w:val="ad"/>
        <w:numPr>
          <w:ilvl w:val="0"/>
          <w:numId w:val="3"/>
        </w:numPr>
        <w:spacing w:before="240" w:after="240" w:line="360" w:lineRule="auto"/>
        <w:ind w:left="1133" w:hanging="283"/>
        <w:contextualSpacing w:val="0"/>
        <w:jc w:val="both"/>
        <w:rPr>
          <w:rFonts w:ascii="David" w:hAnsi="David" w:cs="David"/>
          <w:sz w:val="24"/>
          <w:szCs w:val="24"/>
          <w:rtl/>
        </w:rPr>
      </w:pPr>
      <w:r>
        <w:rPr>
          <w:rFonts w:ascii="David" w:hAnsi="David" w:cs="David"/>
          <w:sz w:val="24"/>
          <w:szCs w:val="24"/>
          <w:rtl/>
        </w:rPr>
        <w:t xml:space="preserve">באשר להתקשרות בין ד"ר סופר וחברת שפיר אותה הזכיר ד"ר סופר בכתב ההגנה, טען מר כהנא שאליו ואל מבקרים אחרים הגיע מידע לפיו הפרויקט 'תקוע' ולא קודם במשך למעלה מ-6 שנים באף וועדה. הביקורות והחשדנות כלפי ד"ר סופר התעוררו עוד מתחילת הפרויקט כאשר זה יחד עם הנהלת הפרויקט גיבשו לבדם הסכם דיירים מבלי לשתף את בעלי הזכויות בהליך. ד"ר סופר אף התחמק ולא חשף בפני כלל הבעלים את הסכם שכר הטרחה עם היזם במשך 6 שנים. נוסף על כך, הפנה מר כהנא לכתבת תחקיר שפורסמה בערוץ 12 ביום 4.9.2018 בה נחשף כי ד"ר סופר התנהל באופן בעייתי כאשר </w:t>
      </w:r>
      <w:r>
        <w:rPr>
          <w:rFonts w:ascii="David" w:hAnsi="David" w:cs="David"/>
          <w:sz w:val="24"/>
          <w:szCs w:val="24"/>
          <w:rtl/>
        </w:rPr>
        <w:t>ניסה לקדם מכרזים ברשויות מקומיות תוך שהוא מצוי בניגוד עניינים. כתוצאה מכך עלו חששות בנוגע לפרויקט זה.</w:t>
      </w:r>
    </w:p>
    <w:p w14:paraId="7E3978D3" w14:textId="77777777" w:rsidR="001D5CBE" w:rsidRDefault="00151396" w:rsidP="000D3D31">
      <w:pPr>
        <w:pStyle w:val="ad"/>
        <w:numPr>
          <w:ilvl w:val="0"/>
          <w:numId w:val="3"/>
        </w:numPr>
        <w:spacing w:after="0" w:line="360" w:lineRule="auto"/>
        <w:ind w:left="1138" w:hanging="288"/>
        <w:jc w:val="both"/>
        <w:rPr>
          <w:rFonts w:ascii="David" w:hAnsi="David" w:cs="David"/>
          <w:sz w:val="24"/>
          <w:szCs w:val="24"/>
        </w:rPr>
      </w:pPr>
      <w:r>
        <w:rPr>
          <w:rFonts w:ascii="David" w:hAnsi="David" w:cs="David"/>
          <w:sz w:val="24"/>
          <w:szCs w:val="24"/>
          <w:rtl/>
        </w:rPr>
        <w:t>באשר להקמת עמ</w:t>
      </w:r>
      <w:r w:rsidR="00104CC2">
        <w:rPr>
          <w:rFonts w:ascii="David" w:hAnsi="David" w:cs="David"/>
          <w:sz w:val="24"/>
          <w:szCs w:val="24"/>
          <w:rtl/>
        </w:rPr>
        <w:t>ותה על ידו (על ידי מר כהנא) שנו</w:t>
      </w:r>
      <w:r>
        <w:rPr>
          <w:rFonts w:ascii="David" w:hAnsi="David" w:cs="David"/>
          <w:sz w:val="24"/>
          <w:szCs w:val="24"/>
          <w:rtl/>
        </w:rPr>
        <w:t>ע</w:t>
      </w:r>
      <w:r w:rsidR="00104CC2">
        <w:rPr>
          <w:rFonts w:ascii="David" w:hAnsi="David" w:cs="David" w:hint="cs"/>
          <w:sz w:val="24"/>
          <w:szCs w:val="24"/>
          <w:rtl/>
        </w:rPr>
        <w:t>ד</w:t>
      </w:r>
      <w:r>
        <w:rPr>
          <w:rFonts w:ascii="David" w:hAnsi="David" w:cs="David"/>
          <w:sz w:val="24"/>
          <w:szCs w:val="24"/>
          <w:rtl/>
        </w:rPr>
        <w:t xml:space="preserve">ה לדברי ד"ר סופר לפגוע בפרוייקט ובשכרו – הרי העמותה הוקמה על ידי קבוצת חברי נציגות ודיירים במתחם ולא על ידי מר  כהנא לבדו. זאת ועוד, אין פסול בכך שדיירים במתחם פינוי בינוי יתאגדו בעמותה כדי לייצג </w:t>
      </w:r>
      <w:r>
        <w:rPr>
          <w:rFonts w:ascii="David" w:hAnsi="David" w:cs="David"/>
          <w:sz w:val="24"/>
          <w:szCs w:val="24"/>
          <w:rtl/>
        </w:rPr>
        <w:lastRenderedPageBreak/>
        <w:t xml:space="preserve">באופן מאורגן את האינטרסים של כלל הדיירים וינסו להשיג תמורה מקסימלית לדיירים. </w:t>
      </w:r>
      <w:r>
        <w:rPr>
          <w:rFonts w:ascii="David" w:hAnsi="David" w:cs="David"/>
          <w:sz w:val="24"/>
          <w:szCs w:val="24"/>
          <w:u w:val="single"/>
          <w:rtl/>
        </w:rPr>
        <w:t>בנוסף</w:t>
      </w:r>
      <w:r>
        <w:rPr>
          <w:rFonts w:ascii="David" w:hAnsi="David" w:cs="David"/>
          <w:sz w:val="24"/>
          <w:szCs w:val="24"/>
          <w:rtl/>
        </w:rPr>
        <w:t xml:space="preserve"> – הדגיש מר כהנא שהתפטר מהעמותה כבר בשנת 2016 וספק אם היא פעילה כיום. </w:t>
      </w:r>
    </w:p>
    <w:p w14:paraId="7DDD2851" w14:textId="77777777" w:rsidR="001D5CBE" w:rsidRDefault="00151396" w:rsidP="000903FC">
      <w:pPr>
        <w:pStyle w:val="ad"/>
        <w:numPr>
          <w:ilvl w:val="1"/>
          <w:numId w:val="1"/>
        </w:numPr>
        <w:spacing w:before="252" w:line="360" w:lineRule="auto"/>
        <w:ind w:left="418" w:hanging="562"/>
        <w:contextualSpacing w:val="0"/>
        <w:jc w:val="both"/>
        <w:outlineLvl w:val="3"/>
        <w:rPr>
          <w:rFonts w:ascii="David" w:hAnsi="David" w:cs="David"/>
          <w:b/>
          <w:bCs/>
          <w:sz w:val="24"/>
          <w:szCs w:val="24"/>
          <w:u w:val="single"/>
          <w:rtl/>
        </w:rPr>
      </w:pPr>
      <w:r>
        <w:rPr>
          <w:rFonts w:ascii="David" w:hAnsi="David" w:cs="David"/>
          <w:b/>
          <w:bCs/>
          <w:sz w:val="24"/>
          <w:szCs w:val="24"/>
          <w:u w:val="single"/>
          <w:rtl/>
        </w:rPr>
        <w:t>טענות ההגנה של ד"ר סופר</w:t>
      </w:r>
      <w:r w:rsidR="00274F7E">
        <w:rPr>
          <w:rFonts w:ascii="David" w:hAnsi="David" w:cs="David" w:hint="cs"/>
          <w:b/>
          <w:bCs/>
          <w:sz w:val="24"/>
          <w:szCs w:val="24"/>
          <w:u w:val="single"/>
          <w:rtl/>
        </w:rPr>
        <w:t xml:space="preserve"> בתביעה כנגדו</w:t>
      </w:r>
    </w:p>
    <w:p w14:paraId="28609A65" w14:textId="77777777" w:rsidR="001D5CBE" w:rsidRDefault="00151396" w:rsidP="001D5CBE">
      <w:pPr>
        <w:pStyle w:val="ad"/>
        <w:numPr>
          <w:ilvl w:val="0"/>
          <w:numId w:val="9"/>
        </w:numPr>
        <w:spacing w:line="360" w:lineRule="auto"/>
        <w:jc w:val="both"/>
        <w:rPr>
          <w:rFonts w:ascii="David" w:hAnsi="David" w:cs="David"/>
          <w:sz w:val="24"/>
          <w:szCs w:val="24"/>
          <w:u w:val="single"/>
        </w:rPr>
      </w:pPr>
      <w:r>
        <w:rPr>
          <w:rFonts w:ascii="David" w:hAnsi="David" w:cs="David"/>
          <w:sz w:val="24"/>
          <w:szCs w:val="24"/>
          <w:rtl/>
        </w:rPr>
        <w:t xml:space="preserve">לטענת ד"ר סופר מדובר בזוטי דברים והתביעה היא טרדנית ונקמנית. מר כהנא רודף אותו ומטריד אותו זמן רב. מר כהנא קנטר את ד"ר סופר באופן שמצדיק שלילת אחריות. הפרסום נושא התביעה כלל אינו עולה כדי </w:t>
      </w:r>
      <w:r>
        <w:rPr>
          <w:rFonts w:ascii="David" w:hAnsi="David" w:cs="David"/>
          <w:sz w:val="24"/>
          <w:szCs w:val="24"/>
          <w:rtl/>
        </w:rPr>
        <w:t>לשון הרע. ספק אם המילה שקרן מהווה עילה לתביעת לשון הרע. כמו כן, ספק אם פרסום חד פעמי, ברף הנמוך מהווה עילה.</w:t>
      </w:r>
    </w:p>
    <w:p w14:paraId="1D0FEEFC" w14:textId="77777777" w:rsidR="001D5CBE" w:rsidRDefault="00151396" w:rsidP="001D5CBE">
      <w:pPr>
        <w:pStyle w:val="ad"/>
        <w:numPr>
          <w:ilvl w:val="0"/>
          <w:numId w:val="9"/>
        </w:numPr>
        <w:spacing w:before="252" w:line="360" w:lineRule="auto"/>
        <w:contextualSpacing w:val="0"/>
        <w:jc w:val="both"/>
        <w:rPr>
          <w:rFonts w:ascii="David" w:hAnsi="David" w:cs="David"/>
          <w:sz w:val="24"/>
          <w:szCs w:val="24"/>
          <w:rtl/>
        </w:rPr>
      </w:pPr>
      <w:r>
        <w:rPr>
          <w:rFonts w:ascii="David" w:hAnsi="David" w:cs="David"/>
          <w:sz w:val="24"/>
          <w:szCs w:val="24"/>
          <w:rtl/>
        </w:rPr>
        <w:t xml:space="preserve">לטענת ד"ר סופר, מדובר בהבעת דעה שהיא, לכל היותר, גידוף שנכתב בלהט הוויכוח. מר כהנא לא הראה שנגרם לו נזק. בנוסף, מדובר בתביעה הפחדה והשתקה. יתרה מכך, מדובר באמת. </w:t>
      </w:r>
    </w:p>
    <w:p w14:paraId="074FE84E" w14:textId="77777777" w:rsidR="001D5CBE" w:rsidRDefault="00151396" w:rsidP="001D5CBE">
      <w:pPr>
        <w:pStyle w:val="ad"/>
        <w:numPr>
          <w:ilvl w:val="0"/>
          <w:numId w:val="9"/>
        </w:numPr>
        <w:spacing w:before="252" w:line="360" w:lineRule="auto"/>
        <w:contextualSpacing w:val="0"/>
        <w:jc w:val="both"/>
        <w:rPr>
          <w:rFonts w:ascii="David" w:hAnsi="David" w:cs="David"/>
          <w:sz w:val="24"/>
          <w:szCs w:val="24"/>
          <w:rtl/>
        </w:rPr>
      </w:pPr>
      <w:r>
        <w:rPr>
          <w:rFonts w:ascii="David" w:hAnsi="David" w:cs="David"/>
          <w:sz w:val="24"/>
          <w:szCs w:val="24"/>
          <w:rtl/>
        </w:rPr>
        <w:t>ד"ר סופר טוען כי קמות לו ההגנות הקבועות בסעיפים 14, 15 (2), 15(3), 15(6), 15(7) ו-15(10) ל</w:t>
      </w:r>
      <w:r>
        <w:rPr>
          <w:rFonts w:ascii="David" w:hAnsi="David" w:cs="David"/>
          <w:sz w:val="24"/>
          <w:szCs w:val="24"/>
          <w:u w:val="single"/>
          <w:rtl/>
        </w:rPr>
        <w:t>חוק איסור לשון הרע</w:t>
      </w:r>
      <w:r>
        <w:rPr>
          <w:rFonts w:ascii="David" w:hAnsi="David" w:cs="David"/>
          <w:sz w:val="24"/>
          <w:szCs w:val="24"/>
          <w:rtl/>
        </w:rPr>
        <w:t xml:space="preserve">. </w:t>
      </w:r>
    </w:p>
    <w:p w14:paraId="1F8FB900" w14:textId="77777777" w:rsidR="001D5CBE" w:rsidRDefault="00151396" w:rsidP="00104CC2">
      <w:pPr>
        <w:pStyle w:val="ad"/>
        <w:numPr>
          <w:ilvl w:val="0"/>
          <w:numId w:val="9"/>
        </w:numPr>
        <w:spacing w:before="252" w:line="360" w:lineRule="auto"/>
        <w:contextualSpacing w:val="0"/>
        <w:jc w:val="both"/>
        <w:rPr>
          <w:rFonts w:ascii="David" w:hAnsi="David" w:cs="David"/>
          <w:sz w:val="24"/>
          <w:szCs w:val="24"/>
          <w:rtl/>
        </w:rPr>
      </w:pPr>
      <w:r>
        <w:rPr>
          <w:rFonts w:ascii="David" w:hAnsi="David" w:cs="David"/>
          <w:sz w:val="24"/>
          <w:szCs w:val="24"/>
          <w:rtl/>
        </w:rPr>
        <w:t xml:space="preserve">ד"ר סופר ציין שהוא מספר שנים לפני הגשת כתב ההגנה כמי שיקדם פרויקט פינוי בינוי במתחם ופעל לקידום הפרויקט. הדיירים בחרו בחברה יזמית לביצוע העבודה, כשנתיים לפני בחירתו של ד"ר סופר לנהל את הפרויקט מטעמם. בהמשך נבחר משרד אדריכלים והפרויקט החל להתקדם. בכל העת עודכנו בעלי הדירות ובהם מר כהנא בהתקדמות הפרויקט. מספר חודשים טרם הגשת התביעה, החל מר כהנא שלטענתו היה פאסיבי במהלך </w:t>
      </w:r>
      <w:r w:rsidR="00104CC2">
        <w:rPr>
          <w:rFonts w:ascii="David" w:hAnsi="David" w:cs="David"/>
          <w:sz w:val="24"/>
          <w:szCs w:val="24"/>
          <w:rtl/>
        </w:rPr>
        <w:t>ארבע שנים טרם הגשתה, לחתור תחת חבר</w:t>
      </w:r>
      <w:r w:rsidR="00104CC2">
        <w:rPr>
          <w:rFonts w:ascii="David" w:hAnsi="David" w:cs="David" w:hint="cs"/>
          <w:sz w:val="24"/>
          <w:szCs w:val="24"/>
          <w:rtl/>
        </w:rPr>
        <w:t>ת שפיר</w:t>
      </w:r>
      <w:r>
        <w:rPr>
          <w:rFonts w:ascii="David" w:hAnsi="David" w:cs="David"/>
          <w:sz w:val="24"/>
          <w:szCs w:val="24"/>
          <w:rtl/>
        </w:rPr>
        <w:t xml:space="preserve">, לטעון כנגד עו"ד הדיירים ולטעון טענות סרק שקריות ולא מבוססות לפיהן סופר בעל אינטרסים ופועל בניגוד עניינים ורמז לקשרים בין ד"ר סופר לבין </w:t>
      </w:r>
      <w:r w:rsidR="00104CC2">
        <w:rPr>
          <w:rFonts w:ascii="David" w:hAnsi="David" w:cs="David" w:hint="cs"/>
          <w:sz w:val="24"/>
          <w:szCs w:val="24"/>
          <w:rtl/>
        </w:rPr>
        <w:t>חברת שפיר</w:t>
      </w:r>
      <w:r>
        <w:rPr>
          <w:rFonts w:ascii="David" w:hAnsi="David" w:cs="David"/>
          <w:sz w:val="24"/>
          <w:szCs w:val="24"/>
          <w:rtl/>
        </w:rPr>
        <w:t xml:space="preserve">. כל זאת, תוך שהוא משמיץ את ד"ר סופר, פוגע בשמו ובתדמיתו. </w:t>
      </w:r>
    </w:p>
    <w:p w14:paraId="67B90579" w14:textId="77777777" w:rsidR="001D5CBE" w:rsidRDefault="00151396" w:rsidP="001D5CBE">
      <w:pPr>
        <w:pStyle w:val="ad"/>
        <w:numPr>
          <w:ilvl w:val="0"/>
          <w:numId w:val="9"/>
        </w:numPr>
        <w:spacing w:before="252" w:line="360" w:lineRule="auto"/>
        <w:contextualSpacing w:val="0"/>
        <w:jc w:val="both"/>
        <w:rPr>
          <w:rFonts w:ascii="David" w:hAnsi="David" w:cs="David"/>
          <w:sz w:val="24"/>
          <w:szCs w:val="24"/>
          <w:rtl/>
        </w:rPr>
      </w:pPr>
      <w:r>
        <w:rPr>
          <w:rFonts w:ascii="David" w:hAnsi="David" w:cs="David"/>
          <w:sz w:val="24"/>
          <w:szCs w:val="24"/>
          <w:rtl/>
        </w:rPr>
        <w:t xml:space="preserve">לטענת ד"ר סופר, דווקא מר כהנא הוא בעל אינטרס מאחר ובשנת 2015 הקים עמותה שמטרתה לבצע מכרז יזמים. הקמת העמותה מעידה על התנהלות שלא בתום לב במטרה לטרפד את הפרויקט עם היזם שנבחר ולהחליפו, וכן לנשל את ד"ר סופר מקבלת תמורה לעבודתו. </w:t>
      </w:r>
    </w:p>
    <w:p w14:paraId="4013CFF2" w14:textId="77777777" w:rsidR="001D5CBE" w:rsidRDefault="00151396" w:rsidP="00104CC2">
      <w:pPr>
        <w:pStyle w:val="ad"/>
        <w:numPr>
          <w:ilvl w:val="0"/>
          <w:numId w:val="9"/>
        </w:numPr>
        <w:spacing w:before="252" w:line="360" w:lineRule="auto"/>
        <w:contextualSpacing w:val="0"/>
        <w:jc w:val="both"/>
        <w:rPr>
          <w:rFonts w:ascii="David" w:hAnsi="David" w:cs="David"/>
          <w:sz w:val="24"/>
          <w:szCs w:val="24"/>
          <w:rtl/>
        </w:rPr>
      </w:pPr>
      <w:r>
        <w:rPr>
          <w:rFonts w:ascii="David" w:hAnsi="David" w:cs="David"/>
          <w:sz w:val="24"/>
          <w:szCs w:val="24"/>
          <w:rtl/>
        </w:rPr>
        <w:t>מר</w:t>
      </w:r>
      <w:r w:rsidR="00104CC2">
        <w:rPr>
          <w:rFonts w:ascii="David" w:hAnsi="David" w:cs="David" w:hint="cs"/>
          <w:sz w:val="24"/>
          <w:szCs w:val="24"/>
          <w:rtl/>
        </w:rPr>
        <w:t xml:space="preserve"> כהנא </w:t>
      </w:r>
      <w:r>
        <w:rPr>
          <w:rFonts w:ascii="David" w:hAnsi="David" w:cs="David"/>
          <w:sz w:val="24"/>
          <w:szCs w:val="24"/>
          <w:rtl/>
        </w:rPr>
        <w:t xml:space="preserve">פועל בצורה אובססיבית, בטרדנות, גרפומניה וקנטור כשהוא מתקשר לגורמים שונים ומנסה להוציא מהם מידע, במקביל כותב מכתבים רבים ובהם מנתח ומפרש סעיפים בהסכמים. </w:t>
      </w:r>
    </w:p>
    <w:p w14:paraId="531D3A59" w14:textId="77777777" w:rsidR="001D5CBE" w:rsidRDefault="00151396" w:rsidP="001D5CBE">
      <w:pPr>
        <w:pStyle w:val="ad"/>
        <w:numPr>
          <w:ilvl w:val="0"/>
          <w:numId w:val="9"/>
        </w:numPr>
        <w:spacing w:before="252" w:line="360" w:lineRule="auto"/>
        <w:contextualSpacing w:val="0"/>
        <w:jc w:val="both"/>
        <w:rPr>
          <w:rFonts w:ascii="David" w:hAnsi="David" w:cs="David"/>
          <w:sz w:val="24"/>
          <w:szCs w:val="24"/>
          <w:rtl/>
        </w:rPr>
      </w:pPr>
      <w:r>
        <w:rPr>
          <w:rFonts w:ascii="David" w:hAnsi="David" w:cs="David"/>
          <w:sz w:val="24"/>
          <w:szCs w:val="24"/>
          <w:rtl/>
        </w:rPr>
        <w:t xml:space="preserve">ד"ר סופר מוסיף שמר כהנא אכן שקרן, שכן שיקר כשקבע שבידי ד"ר סופר מסמכים נוספים שלא היו בידיו. מר כהנא הכריז שהופקד דבר מה בעירייה בעוד שזה כלל לא הופקד. מר כהנא תיאר כיצד שוחח עם אדריכלית וזו אמרה ששלחה חומרים, אך האדריכלית מכחישה קיומה של השיחה. </w:t>
      </w:r>
    </w:p>
    <w:p w14:paraId="23545475" w14:textId="77777777" w:rsidR="001D5CBE" w:rsidRDefault="00151396" w:rsidP="001D5CBE">
      <w:pPr>
        <w:pStyle w:val="ad"/>
        <w:numPr>
          <w:ilvl w:val="0"/>
          <w:numId w:val="9"/>
        </w:numPr>
        <w:spacing w:before="252" w:line="360" w:lineRule="auto"/>
        <w:contextualSpacing w:val="0"/>
        <w:jc w:val="both"/>
        <w:rPr>
          <w:rFonts w:ascii="David" w:hAnsi="David" w:cs="David"/>
          <w:sz w:val="24"/>
          <w:szCs w:val="24"/>
          <w:rtl/>
        </w:rPr>
      </w:pPr>
      <w:r>
        <w:rPr>
          <w:rFonts w:ascii="David" w:hAnsi="David" w:cs="David"/>
          <w:sz w:val="24"/>
          <w:szCs w:val="24"/>
          <w:rtl/>
        </w:rPr>
        <w:t xml:space="preserve">לטענת ד"ר סופר, הודה מר כהנא כבר בכתב התביעה שאין לו ידיעה, ולא היתה לו בזמן שכתב את הודעתו, כי ד"ר סופר בהכרח יודע או מכיר את "המסמך" שלשיטת מר כהנא לא נשלח. </w:t>
      </w:r>
    </w:p>
    <w:p w14:paraId="7538C419" w14:textId="77777777" w:rsidR="001D5CBE" w:rsidRDefault="00151396" w:rsidP="001D5CBE">
      <w:pPr>
        <w:pStyle w:val="ad"/>
        <w:numPr>
          <w:ilvl w:val="0"/>
          <w:numId w:val="9"/>
        </w:numPr>
        <w:spacing w:before="252" w:line="360" w:lineRule="auto"/>
        <w:contextualSpacing w:val="0"/>
        <w:jc w:val="both"/>
        <w:rPr>
          <w:rFonts w:ascii="David" w:hAnsi="David" w:cs="David"/>
          <w:sz w:val="24"/>
          <w:szCs w:val="24"/>
          <w:rtl/>
        </w:rPr>
      </w:pPr>
      <w:r>
        <w:rPr>
          <w:rFonts w:ascii="David" w:hAnsi="David" w:cs="David"/>
          <w:sz w:val="24"/>
          <w:szCs w:val="24"/>
          <w:rtl/>
        </w:rPr>
        <w:lastRenderedPageBreak/>
        <w:t>עוד טוען ד"ר סופר שמאחר ומר כהנא שלח אינספור הודעות - הטריד והטריח את הדיירים בפרויקט, אכן כתבו לו דיירים כי הוא טרדן.</w:t>
      </w:r>
    </w:p>
    <w:p w14:paraId="1DC7EABF" w14:textId="77777777" w:rsidR="001D5CBE" w:rsidRDefault="00151396" w:rsidP="001D5CBE">
      <w:pPr>
        <w:pStyle w:val="ad"/>
        <w:numPr>
          <w:ilvl w:val="0"/>
          <w:numId w:val="9"/>
        </w:numPr>
        <w:spacing w:before="252" w:line="360" w:lineRule="auto"/>
        <w:contextualSpacing w:val="0"/>
        <w:jc w:val="both"/>
        <w:rPr>
          <w:rFonts w:ascii="David" w:hAnsi="David" w:cs="David"/>
          <w:sz w:val="24"/>
          <w:szCs w:val="24"/>
          <w:rtl/>
        </w:rPr>
      </w:pPr>
      <w:r>
        <w:rPr>
          <w:rFonts w:ascii="David" w:hAnsi="David" w:cs="David"/>
          <w:sz w:val="24"/>
          <w:szCs w:val="24"/>
          <w:rtl/>
        </w:rPr>
        <w:t>לבסוף טוען ד"ר סופר כי קשה להאמין כי תיק כזה יתנהל סביב השאלה האם מר כהנא שיקר או לא. הרי מר כהנא צריך להוכיח שלד"ר סופר היה מסמך שלא נמסר במכוון. ד"ר סופר מכחיש זאת וקשה לראות כיצד יוכח אחרת.</w:t>
      </w:r>
    </w:p>
    <w:p w14:paraId="19855803" w14:textId="77777777" w:rsidR="001D5CBE" w:rsidRDefault="00151396" w:rsidP="000903FC">
      <w:pPr>
        <w:pStyle w:val="David"/>
        <w:spacing w:before="412"/>
        <w:ind w:left="-706"/>
        <w:outlineLvl w:val="1"/>
        <w:rPr>
          <w:rFonts w:ascii="David" w:hAnsi="David"/>
          <w:rtl/>
        </w:rPr>
      </w:pPr>
      <w:r>
        <w:rPr>
          <w:rFonts w:ascii="David" w:hAnsi="David"/>
          <w:b/>
          <w:bCs/>
          <w:sz w:val="28"/>
          <w:szCs w:val="28"/>
          <w:u w:val="single"/>
          <w:rtl/>
        </w:rPr>
        <w:t>חלק שלישי – דיון והכרעה</w:t>
      </w:r>
    </w:p>
    <w:p w14:paraId="2B8E2E87" w14:textId="77777777" w:rsidR="001D5CBE" w:rsidRDefault="00151396" w:rsidP="000903FC">
      <w:pPr>
        <w:pStyle w:val="ad"/>
        <w:numPr>
          <w:ilvl w:val="0"/>
          <w:numId w:val="1"/>
        </w:numPr>
        <w:spacing w:before="354" w:after="0" w:line="360" w:lineRule="auto"/>
        <w:ind w:left="-173" w:hanging="533"/>
        <w:contextualSpacing w:val="0"/>
        <w:jc w:val="both"/>
        <w:outlineLvl w:val="2"/>
        <w:rPr>
          <w:rFonts w:ascii="David" w:hAnsi="David" w:cs="David"/>
          <w:sz w:val="24"/>
          <w:szCs w:val="24"/>
          <w:rtl/>
        </w:rPr>
      </w:pPr>
      <w:r>
        <w:rPr>
          <w:rFonts w:ascii="David" w:hAnsi="David" w:cs="David"/>
          <w:b/>
          <w:bCs/>
          <w:sz w:val="24"/>
          <w:szCs w:val="24"/>
          <w:u w:val="single"/>
          <w:rtl/>
        </w:rPr>
        <w:t>דרך הדיון וההכרעה בהליך – ארבעה נושאים אליהם יתייחס פסק הדין</w:t>
      </w:r>
    </w:p>
    <w:p w14:paraId="089BB6CE" w14:textId="77777777" w:rsidR="001D5CBE" w:rsidRDefault="00151396" w:rsidP="001D5CBE">
      <w:pPr>
        <w:pStyle w:val="ad"/>
        <w:numPr>
          <w:ilvl w:val="1"/>
          <w:numId w:val="1"/>
        </w:numPr>
        <w:spacing w:after="0" w:line="360" w:lineRule="auto"/>
        <w:ind w:left="283" w:hanging="425"/>
        <w:jc w:val="both"/>
        <w:rPr>
          <w:rFonts w:ascii="David" w:hAnsi="David" w:cs="David"/>
          <w:sz w:val="24"/>
          <w:szCs w:val="24"/>
        </w:rPr>
      </w:pPr>
      <w:r>
        <w:rPr>
          <w:rFonts w:ascii="David" w:hAnsi="David" w:cs="David"/>
          <w:sz w:val="24"/>
          <w:szCs w:val="24"/>
          <w:rtl/>
        </w:rPr>
        <w:t xml:space="preserve">עיקרו של ההליך נובע מטענות להתנהלותו של ד"ר סופר כאשר הוא מצוי </w:t>
      </w:r>
      <w:r>
        <w:rPr>
          <w:rFonts w:ascii="David" w:hAnsi="David" w:cs="David"/>
          <w:sz w:val="24"/>
          <w:szCs w:val="24"/>
          <w:rtl/>
        </w:rPr>
        <w:t>במצב של ניגוד עניינים. מר כהנא חזר והתריע והפנה לאותו ניגוד עניינים נטען של ד"ר סופר כאשר מנגד, הדגיש ד"ר סופר שפעל לטובת הדיירים, ואף ציין גם בסיכומיו שנהוג בהסכמי התחדשות עירונית ששכרו של מנהל הפרויקט משולם על ידי החברה היזמית וכן שאין כל הוכחה שנהג בחוסר יושרה.</w:t>
      </w:r>
    </w:p>
    <w:p w14:paraId="58C0B46E" w14:textId="77777777" w:rsidR="001D5CBE" w:rsidRDefault="00151396" w:rsidP="00104CC2">
      <w:pPr>
        <w:pStyle w:val="ad"/>
        <w:numPr>
          <w:ilvl w:val="1"/>
          <w:numId w:val="1"/>
        </w:numPr>
        <w:spacing w:before="354" w:after="0" w:line="360" w:lineRule="auto"/>
        <w:ind w:left="283" w:hanging="425"/>
        <w:contextualSpacing w:val="0"/>
        <w:jc w:val="both"/>
        <w:rPr>
          <w:rFonts w:ascii="David" w:hAnsi="David" w:cs="David"/>
          <w:sz w:val="24"/>
          <w:szCs w:val="24"/>
        </w:rPr>
      </w:pPr>
      <w:r>
        <w:rPr>
          <w:rFonts w:ascii="David" w:hAnsi="David" w:cs="David"/>
          <w:sz w:val="24"/>
          <w:szCs w:val="24"/>
          <w:rtl/>
        </w:rPr>
        <w:t>במסגרת הדיון</w:t>
      </w:r>
      <w:r w:rsidR="00104CC2">
        <w:rPr>
          <w:rFonts w:ascii="David" w:hAnsi="David" w:cs="David" w:hint="cs"/>
          <w:sz w:val="24"/>
          <w:szCs w:val="24"/>
          <w:rtl/>
        </w:rPr>
        <w:t xml:space="preserve"> בפסק הדין</w:t>
      </w:r>
      <w:r>
        <w:rPr>
          <w:rFonts w:ascii="David" w:hAnsi="David" w:cs="David"/>
          <w:sz w:val="24"/>
          <w:szCs w:val="24"/>
          <w:rtl/>
        </w:rPr>
        <w:t>, אתייחס לארבעת הנושאים הבאים:</w:t>
      </w:r>
    </w:p>
    <w:p w14:paraId="73D6D79E" w14:textId="77777777" w:rsidR="001D5CBE" w:rsidRDefault="00151396" w:rsidP="00104CC2">
      <w:pPr>
        <w:pStyle w:val="ad"/>
        <w:numPr>
          <w:ilvl w:val="0"/>
          <w:numId w:val="10"/>
        </w:numPr>
        <w:spacing w:before="252" w:after="0" w:line="360" w:lineRule="auto"/>
        <w:contextualSpacing w:val="0"/>
        <w:jc w:val="both"/>
        <w:rPr>
          <w:rFonts w:ascii="David" w:hAnsi="David" w:cs="David"/>
          <w:sz w:val="24"/>
          <w:szCs w:val="24"/>
          <w:rtl/>
        </w:rPr>
      </w:pPr>
      <w:r>
        <w:rPr>
          <w:rFonts w:ascii="David" w:hAnsi="David" w:cs="David"/>
          <w:b/>
          <w:bCs/>
          <w:sz w:val="24"/>
          <w:szCs w:val="24"/>
          <w:u w:val="single"/>
          <w:rtl/>
        </w:rPr>
        <w:t>נושא ראשון מארבעה, המסגרת הנורמטיבית לדיון בסוגיית ניגוד עניינים</w:t>
      </w:r>
      <w:r>
        <w:rPr>
          <w:rFonts w:ascii="David" w:hAnsi="David" w:cs="David"/>
          <w:sz w:val="24"/>
          <w:szCs w:val="24"/>
          <w:rtl/>
        </w:rPr>
        <w:t xml:space="preserve"> – כיצד יש לבחון ניגוד עניינים? האם יש צורך בהוכחת משוא פנים או בהוכחת פעולה המנוגדת לאינטרס הדיירים, או שמא די בהוכחת ממצב של חשש לניגוד עניינים? על כך אדון בסעיף 8 להלן.</w:t>
      </w:r>
    </w:p>
    <w:p w14:paraId="141ACBAD" w14:textId="77777777" w:rsidR="001D5CBE" w:rsidRDefault="00151396" w:rsidP="00104CC2">
      <w:pPr>
        <w:pStyle w:val="ad"/>
        <w:numPr>
          <w:ilvl w:val="0"/>
          <w:numId w:val="10"/>
        </w:numPr>
        <w:spacing w:before="354" w:after="0" w:line="360" w:lineRule="auto"/>
        <w:contextualSpacing w:val="0"/>
        <w:jc w:val="both"/>
        <w:rPr>
          <w:rFonts w:ascii="David" w:hAnsi="David" w:cs="David"/>
          <w:sz w:val="24"/>
          <w:szCs w:val="24"/>
        </w:rPr>
      </w:pPr>
      <w:r>
        <w:rPr>
          <w:rFonts w:ascii="David" w:hAnsi="David" w:cs="David"/>
          <w:b/>
          <w:bCs/>
          <w:sz w:val="24"/>
          <w:szCs w:val="24"/>
          <w:u w:val="single"/>
          <w:rtl/>
        </w:rPr>
        <w:t>נושא שני מארבעה, יישום המסגרת הנורמטיבית לעניינינו</w:t>
      </w:r>
      <w:r>
        <w:rPr>
          <w:rFonts w:ascii="David" w:hAnsi="David" w:cs="David"/>
          <w:sz w:val="24"/>
          <w:szCs w:val="24"/>
          <w:rtl/>
        </w:rPr>
        <w:t xml:space="preserve"> – האם ד"ר סופר פועל בניגוד עניינים? על כך אדון בסעיף 9 להלן.</w:t>
      </w:r>
    </w:p>
    <w:p w14:paraId="63046850" w14:textId="77777777" w:rsidR="001D5CBE" w:rsidRDefault="00151396" w:rsidP="00104CC2">
      <w:pPr>
        <w:pStyle w:val="ad"/>
        <w:numPr>
          <w:ilvl w:val="0"/>
          <w:numId w:val="10"/>
        </w:numPr>
        <w:spacing w:before="252" w:after="0" w:line="360" w:lineRule="auto"/>
        <w:contextualSpacing w:val="0"/>
        <w:jc w:val="both"/>
        <w:rPr>
          <w:rFonts w:ascii="David" w:hAnsi="David" w:cs="David"/>
          <w:sz w:val="24"/>
          <w:szCs w:val="24"/>
          <w:rtl/>
        </w:rPr>
      </w:pPr>
      <w:r>
        <w:rPr>
          <w:rFonts w:ascii="David" w:hAnsi="David" w:cs="David"/>
          <w:b/>
          <w:bCs/>
          <w:sz w:val="24"/>
          <w:szCs w:val="24"/>
          <w:u w:val="single"/>
          <w:rtl/>
        </w:rPr>
        <w:t>נושא שלישי מארבעה, לאחר הקביעה האם ד"ר סופר פועל בניגוד עניינים</w:t>
      </w:r>
      <w:r>
        <w:rPr>
          <w:rFonts w:ascii="David" w:hAnsi="David" w:cs="David"/>
          <w:sz w:val="24"/>
          <w:szCs w:val="24"/>
          <w:rtl/>
        </w:rPr>
        <w:t xml:space="preserve"> - התייחסות לפרסומי מר כהנא והאם הם בגדר לשון הרע? על כך אדון בסעיף 10 להלן.</w:t>
      </w:r>
    </w:p>
    <w:p w14:paraId="3B22B54E" w14:textId="77777777" w:rsidR="001D5CBE" w:rsidRDefault="00151396" w:rsidP="001D5CBE">
      <w:pPr>
        <w:pStyle w:val="ad"/>
        <w:numPr>
          <w:ilvl w:val="0"/>
          <w:numId w:val="10"/>
        </w:numPr>
        <w:spacing w:before="252" w:after="0" w:line="360" w:lineRule="auto"/>
        <w:contextualSpacing w:val="0"/>
        <w:jc w:val="both"/>
        <w:rPr>
          <w:rFonts w:ascii="David" w:hAnsi="David" w:cs="David"/>
          <w:sz w:val="24"/>
          <w:szCs w:val="24"/>
          <w:rtl/>
        </w:rPr>
      </w:pPr>
      <w:r>
        <w:rPr>
          <w:rFonts w:ascii="David" w:hAnsi="David" w:cs="David"/>
          <w:b/>
          <w:bCs/>
          <w:sz w:val="24"/>
          <w:szCs w:val="24"/>
          <w:u w:val="single"/>
          <w:rtl/>
        </w:rPr>
        <w:t>נושא רביעי מארבעה, תביעת מר כהנא</w:t>
      </w:r>
      <w:r>
        <w:rPr>
          <w:rFonts w:ascii="David" w:hAnsi="David" w:cs="David"/>
          <w:sz w:val="24"/>
          <w:szCs w:val="24"/>
          <w:rtl/>
        </w:rPr>
        <w:t xml:space="preserve"> – התייחסות לפרסומים בגינם הוגשה התביעה כנגד ד"ר סופר, על כך בסעיף 11 לפסק הדין.</w:t>
      </w:r>
    </w:p>
    <w:p w14:paraId="3D924EEC" w14:textId="77777777" w:rsidR="001D5CBE" w:rsidRDefault="00151396" w:rsidP="000903FC">
      <w:pPr>
        <w:pStyle w:val="ad"/>
        <w:numPr>
          <w:ilvl w:val="0"/>
          <w:numId w:val="1"/>
        </w:numPr>
        <w:spacing w:before="504" w:after="0" w:line="360" w:lineRule="auto"/>
        <w:ind w:left="-173" w:hanging="533"/>
        <w:contextualSpacing w:val="0"/>
        <w:jc w:val="both"/>
        <w:outlineLvl w:val="2"/>
        <w:rPr>
          <w:rFonts w:ascii="David" w:hAnsi="David" w:cs="David"/>
          <w:sz w:val="26"/>
          <w:szCs w:val="26"/>
          <w:rtl/>
        </w:rPr>
      </w:pPr>
      <w:r>
        <w:rPr>
          <w:rFonts w:ascii="David" w:hAnsi="David" w:cs="David"/>
          <w:b/>
          <w:bCs/>
          <w:sz w:val="26"/>
          <w:szCs w:val="26"/>
          <w:u w:val="single"/>
          <w:rtl/>
        </w:rPr>
        <w:t>דיון בנושא ראשון מארבעה בפסק הדין – ניגוד עניינים, המסגרת הנורמטיבית</w:t>
      </w:r>
    </w:p>
    <w:bookmarkEnd w:id="1"/>
    <w:p w14:paraId="30EA888E" w14:textId="77777777" w:rsidR="001D5CBE" w:rsidRDefault="00151396" w:rsidP="000903FC">
      <w:pPr>
        <w:pStyle w:val="ad"/>
        <w:numPr>
          <w:ilvl w:val="1"/>
          <w:numId w:val="1"/>
        </w:numPr>
        <w:spacing w:before="354" w:after="0" w:line="360" w:lineRule="auto"/>
        <w:ind w:left="288" w:hanging="432"/>
        <w:contextualSpacing w:val="0"/>
        <w:jc w:val="both"/>
        <w:outlineLvl w:val="3"/>
        <w:rPr>
          <w:rFonts w:ascii="David" w:hAnsi="David" w:cs="David"/>
          <w:sz w:val="24"/>
          <w:szCs w:val="24"/>
        </w:rPr>
      </w:pPr>
      <w:r>
        <w:rPr>
          <w:rFonts w:ascii="David" w:hAnsi="David" w:cs="David"/>
          <w:b/>
          <w:bCs/>
          <w:sz w:val="24"/>
          <w:szCs w:val="24"/>
          <w:u w:val="single"/>
          <w:rtl/>
        </w:rPr>
        <w:t>כללי – ניגוד עניינים ייחשב ככזה גם כאשר קיים ניגוד עניינים בכח (פוטנציאלי) ולאו דווקא בפועל</w:t>
      </w:r>
    </w:p>
    <w:p w14:paraId="30857ABE" w14:textId="77777777" w:rsidR="001D5CBE" w:rsidRDefault="00151396" w:rsidP="001D5CBE">
      <w:pPr>
        <w:pStyle w:val="ad"/>
        <w:spacing w:after="0" w:line="360" w:lineRule="auto"/>
        <w:ind w:left="283"/>
        <w:jc w:val="both"/>
        <w:rPr>
          <w:rFonts w:ascii="David" w:hAnsi="David" w:cs="David"/>
          <w:sz w:val="24"/>
          <w:szCs w:val="24"/>
        </w:rPr>
      </w:pPr>
      <w:r>
        <w:rPr>
          <w:rFonts w:ascii="David" w:hAnsi="David" w:cs="David"/>
          <w:sz w:val="24"/>
          <w:szCs w:val="24"/>
          <w:rtl/>
        </w:rPr>
        <w:t xml:space="preserve">בפתח הדיון במסגרת הנורמטיבית להגדרת "ניגוד עניינים" אבהיר שאין חובה להוכיח שאדם פעל במשוא פנים, או גרם נזק למאן דהוא – על מנת לקבוע שאותו אדם פועל ב"ניגוד עניינים". הגדרת התנהלות של אדם ככזו שבניגוד עניינים, מבהירה שנאמנותו של האדם, המחויבות שלו וגם </w:t>
      </w:r>
      <w:r>
        <w:rPr>
          <w:rFonts w:ascii="David" w:hAnsi="David" w:cs="David"/>
          <w:sz w:val="24"/>
          <w:szCs w:val="24"/>
          <w:rtl/>
        </w:rPr>
        <w:lastRenderedPageBreak/>
        <w:t>האינטרסים מכוחם הוא פועל – כל אלה אינם נתונים רק לצד אחד. ובמילים פשוטות – מצבו של אדם בניגוד עניינים, מעלה באופן מיידי את החשש באשר לתקינות פעולותיו. כל זאת, אפילו כאשר בפועל לא מוכחת פעולה שגרמה לנזק למי מהצדדים המנוגדים שנאמנותו של אותו אדם נתונה להם.</w:t>
      </w:r>
    </w:p>
    <w:p w14:paraId="0BC2859F" w14:textId="77777777" w:rsidR="001D5CBE" w:rsidRDefault="00151396" w:rsidP="000903FC">
      <w:pPr>
        <w:pStyle w:val="ad"/>
        <w:numPr>
          <w:ilvl w:val="1"/>
          <w:numId w:val="1"/>
        </w:numPr>
        <w:spacing w:before="354" w:after="0" w:line="360" w:lineRule="auto"/>
        <w:ind w:left="288" w:hanging="432"/>
        <w:contextualSpacing w:val="0"/>
        <w:jc w:val="both"/>
        <w:outlineLvl w:val="3"/>
        <w:rPr>
          <w:rFonts w:ascii="Times New Roman" w:eastAsia="Times New Roman" w:hAnsi="Times New Roman" w:cs="Times New Roman"/>
          <w:color w:val="000000"/>
          <w:sz w:val="24"/>
          <w:szCs w:val="24"/>
        </w:rPr>
      </w:pPr>
      <w:r>
        <w:rPr>
          <w:rFonts w:ascii="David" w:hAnsi="David" w:cs="David"/>
          <w:b/>
          <w:bCs/>
          <w:sz w:val="24"/>
          <w:szCs w:val="24"/>
          <w:u w:val="single"/>
          <w:rtl/>
        </w:rPr>
        <w:t>התייחסות למצבי 'ניגוד עניינים' במסגרת הוראות חקיקה ישירות והוראות חקיקה כלליות</w:t>
      </w:r>
    </w:p>
    <w:p w14:paraId="408CD9E3" w14:textId="77777777" w:rsidR="001D5CBE" w:rsidRDefault="00151396" w:rsidP="001D5CBE">
      <w:pPr>
        <w:pStyle w:val="ad"/>
        <w:numPr>
          <w:ilvl w:val="0"/>
          <w:numId w:val="11"/>
        </w:numPr>
        <w:spacing w:after="0" w:line="360" w:lineRule="auto"/>
        <w:jc w:val="both"/>
        <w:rPr>
          <w:rFonts w:ascii="David" w:eastAsia="Times New Roman" w:hAnsi="David" w:cs="David"/>
          <w:color w:val="000000"/>
          <w:sz w:val="24"/>
          <w:szCs w:val="24"/>
        </w:rPr>
      </w:pPr>
      <w:r>
        <w:rPr>
          <w:rFonts w:ascii="David" w:hAnsi="David" w:cs="David"/>
          <w:sz w:val="24"/>
          <w:szCs w:val="24"/>
          <w:rtl/>
        </w:rPr>
        <w:t>הדין מכיר בהוראות חקיקה ישירות אשר קבעו ניגוד עניינים סטטוטורי ור' לענין זה למשל סעיף 254(א)  ל</w:t>
      </w:r>
      <w:r>
        <w:rPr>
          <w:rFonts w:ascii="David" w:hAnsi="David" w:cs="David"/>
          <w:sz w:val="24"/>
          <w:szCs w:val="24"/>
          <w:u w:val="single"/>
          <w:rtl/>
        </w:rPr>
        <w:t>חוק החברות</w:t>
      </w:r>
      <w:r>
        <w:rPr>
          <w:rFonts w:ascii="David" w:hAnsi="David" w:cs="David"/>
          <w:sz w:val="24"/>
          <w:szCs w:val="24"/>
          <w:rtl/>
        </w:rPr>
        <w:t xml:space="preserve">, תשנ"ט - 1999 אשר קובע שנושא משרה חב חובת אמונים לחברה וכך, בין היתר – </w:t>
      </w:r>
      <w:r>
        <w:rPr>
          <w:rFonts w:ascii="FrankRuehl" w:eastAsia="Times New Roman" w:hAnsi="FrankRuehl" w:cs="David"/>
          <w:b/>
          <w:bCs/>
          <w:color w:val="000000"/>
          <w:sz w:val="24"/>
          <w:szCs w:val="24"/>
          <w:rtl/>
        </w:rPr>
        <w:t xml:space="preserve">"יימנע מכל פעולה שיש בה ניגוד ענינים בין מילוי תפקידו בחברה לבין מילוי </w:t>
      </w:r>
      <w:r>
        <w:rPr>
          <w:rFonts w:ascii="FrankRuehl" w:eastAsia="Times New Roman" w:hAnsi="FrankRuehl" w:cs="David"/>
          <w:b/>
          <w:bCs/>
          <w:color w:val="000000"/>
          <w:sz w:val="24"/>
          <w:szCs w:val="24"/>
          <w:rtl/>
        </w:rPr>
        <w:t>תפקיד אחר שלו או לבין עניניו האישיים"</w:t>
      </w:r>
      <w:r>
        <w:rPr>
          <w:rFonts w:ascii="FrankRuehl" w:eastAsia="Times New Roman" w:hAnsi="FrankRuehl" w:cs="David"/>
          <w:color w:val="000000"/>
          <w:sz w:val="24"/>
          <w:szCs w:val="24"/>
          <w:rtl/>
        </w:rPr>
        <w:t xml:space="preserve"> וכן </w:t>
      </w:r>
      <w:r>
        <w:rPr>
          <w:rFonts w:ascii="FrankRuehl" w:eastAsia="Times New Roman" w:hAnsi="FrankRuehl" w:cs="David"/>
          <w:b/>
          <w:bCs/>
          <w:color w:val="000000"/>
          <w:sz w:val="24"/>
          <w:szCs w:val="24"/>
          <w:rtl/>
        </w:rPr>
        <w:t>"יימנע מכל פעולה שיש בה תחרות עם עסקי החברה"</w:t>
      </w:r>
      <w:r>
        <w:rPr>
          <w:rFonts w:ascii="Times New Roman" w:eastAsia="Times New Roman" w:hAnsi="Times New Roman" w:cs="David"/>
          <w:color w:val="000000"/>
          <w:sz w:val="24"/>
          <w:szCs w:val="24"/>
          <w:rtl/>
        </w:rPr>
        <w:t>.</w:t>
      </w:r>
      <w:r>
        <w:rPr>
          <w:rFonts w:ascii="Times New Roman" w:eastAsia="Times New Roman" w:hAnsi="Times New Roman" w:cs="Times New Roman"/>
          <w:color w:val="000000"/>
          <w:sz w:val="24"/>
          <w:szCs w:val="24"/>
          <w:rtl/>
        </w:rPr>
        <w:t xml:space="preserve"> </w:t>
      </w:r>
      <w:r>
        <w:rPr>
          <w:rFonts w:ascii="David" w:eastAsia="Times New Roman" w:hAnsi="David" w:cs="David"/>
          <w:color w:val="000000"/>
          <w:sz w:val="24"/>
          <w:szCs w:val="24"/>
          <w:rtl/>
        </w:rPr>
        <w:t xml:space="preserve">להרחבה לענין זה ר'  למשל </w:t>
      </w:r>
      <w:r>
        <w:rPr>
          <w:rFonts w:ascii="David" w:hAnsi="David" w:cs="David"/>
          <w:color w:val="000000"/>
          <w:sz w:val="24"/>
          <w:szCs w:val="24"/>
          <w:rtl/>
        </w:rPr>
        <w:t xml:space="preserve">ע"א 1137/23, </w:t>
      </w:r>
      <w:r>
        <w:rPr>
          <w:rFonts w:ascii="David" w:hAnsi="David" w:cs="David"/>
          <w:color w:val="000000"/>
          <w:sz w:val="24"/>
          <w:szCs w:val="24"/>
          <w:u w:val="single"/>
          <w:rtl/>
        </w:rPr>
        <w:t>‏אליהו דרעי נ' קרן קיימת לישראל</w:t>
      </w:r>
      <w:r>
        <w:rPr>
          <w:rFonts w:ascii="David" w:hAnsi="David" w:cs="David"/>
          <w:b/>
          <w:bCs/>
          <w:color w:val="000000"/>
          <w:sz w:val="24"/>
          <w:szCs w:val="24"/>
          <w:rtl/>
        </w:rPr>
        <w:t xml:space="preserve">‏ </w:t>
      </w:r>
      <w:r>
        <w:rPr>
          <w:rFonts w:ascii="David" w:hAnsi="David" w:cs="David"/>
          <w:color w:val="000000"/>
          <w:sz w:val="24"/>
          <w:szCs w:val="24"/>
          <w:rtl/>
        </w:rPr>
        <w:t>(5.5.2025, הנשיא י' עמית, השופטת י' וילנר, הש' ח' כבוב)</w:t>
      </w:r>
      <w:r w:rsidR="00104CC2">
        <w:rPr>
          <w:rFonts w:ascii="David" w:eastAsia="Times New Roman" w:hAnsi="David" w:cs="David" w:hint="cs"/>
          <w:color w:val="000000"/>
          <w:sz w:val="24"/>
          <w:szCs w:val="24"/>
          <w:rtl/>
        </w:rPr>
        <w:t>.</w:t>
      </w:r>
    </w:p>
    <w:p w14:paraId="768FAAFC" w14:textId="77777777" w:rsidR="00FA63FB" w:rsidRPr="00FA63FB" w:rsidRDefault="00151396" w:rsidP="00FA63FB">
      <w:pPr>
        <w:pStyle w:val="ad"/>
        <w:spacing w:before="252" w:after="0" w:line="360" w:lineRule="auto"/>
        <w:ind w:left="643"/>
        <w:contextualSpacing w:val="0"/>
        <w:jc w:val="both"/>
        <w:rPr>
          <w:rFonts w:ascii="Arial" w:hAnsi="Arial" w:cs="David"/>
          <w:color w:val="333333"/>
          <w:sz w:val="27"/>
          <w:szCs w:val="27"/>
        </w:rPr>
      </w:pPr>
      <w:r w:rsidRPr="00FA63FB">
        <w:rPr>
          <w:rFonts w:ascii="David" w:hAnsi="David" w:cs="David" w:hint="cs"/>
          <w:color w:val="000000"/>
          <w:sz w:val="24"/>
          <w:szCs w:val="24"/>
          <w:u w:val="single"/>
          <w:rtl/>
        </w:rPr>
        <w:t>כדוגמא נוספת</w:t>
      </w:r>
      <w:r>
        <w:rPr>
          <w:rFonts w:ascii="David" w:hAnsi="David" w:cs="David" w:hint="cs"/>
          <w:color w:val="000000"/>
          <w:sz w:val="24"/>
          <w:szCs w:val="24"/>
          <w:rtl/>
        </w:rPr>
        <w:t xml:space="preserve"> לחקיקה המתייחסת למצבי ניגוד עניינים - </w:t>
      </w:r>
      <w:r w:rsidRPr="00FA63FB">
        <w:rPr>
          <w:rFonts w:ascii="David" w:hAnsi="David" w:cs="David"/>
          <w:color w:val="000000"/>
          <w:sz w:val="24"/>
          <w:szCs w:val="24"/>
          <w:rtl/>
        </w:rPr>
        <w:t xml:space="preserve">ר' למשל גם סעיף 48 לחוק הכשרות המשפטית והאפוטרופסות, תשכ"ב – 1962 </w:t>
      </w:r>
      <w:r w:rsidRPr="00FA63FB">
        <w:rPr>
          <w:rFonts w:ascii="Calibri" w:hAnsi="Calibri" w:cs="David" w:hint="cs"/>
          <w:color w:val="000000"/>
          <w:sz w:val="24"/>
          <w:szCs w:val="24"/>
          <w:rtl/>
        </w:rPr>
        <w:t xml:space="preserve">המתייחס לפעולות בניגוד אינטרסים. </w:t>
      </w:r>
    </w:p>
    <w:p w14:paraId="009F775E" w14:textId="77777777" w:rsidR="001D5CBE" w:rsidRDefault="00151396" w:rsidP="001D5CBE">
      <w:pPr>
        <w:pStyle w:val="ad"/>
        <w:spacing w:before="504" w:after="0" w:line="360" w:lineRule="auto"/>
        <w:ind w:left="643"/>
        <w:contextualSpacing w:val="0"/>
        <w:jc w:val="both"/>
        <w:rPr>
          <w:rFonts w:ascii="Calibri" w:hAnsi="Calibri" w:cs="Calibri"/>
          <w:color w:val="000000"/>
          <w:sz w:val="24"/>
          <w:szCs w:val="24"/>
          <w:rtl/>
        </w:rPr>
      </w:pPr>
      <w:r w:rsidRPr="00FA63FB">
        <w:rPr>
          <w:rFonts w:ascii="David" w:eastAsia="Times New Roman" w:hAnsi="David" w:cs="David"/>
          <w:color w:val="000000"/>
          <w:sz w:val="24"/>
          <w:szCs w:val="24"/>
          <w:u w:val="single"/>
          <w:rtl/>
        </w:rPr>
        <w:t>עוד ניתן להפנות</w:t>
      </w:r>
      <w:r>
        <w:rPr>
          <w:rFonts w:ascii="David" w:eastAsia="Times New Roman" w:hAnsi="David" w:cs="David"/>
          <w:color w:val="000000"/>
          <w:sz w:val="24"/>
          <w:szCs w:val="24"/>
          <w:rtl/>
        </w:rPr>
        <w:t>, למשל, לסעיף 14(א) ל</w:t>
      </w:r>
      <w:r>
        <w:rPr>
          <w:rFonts w:ascii="David" w:eastAsia="Times New Roman" w:hAnsi="David" w:cs="David"/>
          <w:color w:val="000000"/>
          <w:sz w:val="24"/>
          <w:szCs w:val="24"/>
          <w:u w:val="single"/>
          <w:rtl/>
        </w:rPr>
        <w:t>כללי לשכת עורכי הדין (אתיקה מקצועית)</w:t>
      </w:r>
      <w:r>
        <w:rPr>
          <w:rFonts w:ascii="David" w:eastAsia="Times New Roman" w:hAnsi="David" w:cs="David"/>
          <w:color w:val="000000"/>
          <w:sz w:val="24"/>
          <w:szCs w:val="24"/>
          <w:rtl/>
        </w:rPr>
        <w:t xml:space="preserve">, התשמ"ו – 1985 שם נקבע כך (ההדגשות לא במקור) - </w:t>
      </w:r>
      <w:r>
        <w:rPr>
          <w:rFonts w:ascii="David" w:hAnsi="David" w:cs="David"/>
          <w:color w:val="000000"/>
          <w:sz w:val="24"/>
          <w:szCs w:val="24"/>
          <w:rtl/>
        </w:rPr>
        <w:t>"</w:t>
      </w:r>
      <w:r>
        <w:rPr>
          <w:rFonts w:ascii="David" w:hAnsi="David" w:cs="David"/>
          <w:b/>
          <w:bCs/>
          <w:color w:val="000000"/>
          <w:sz w:val="24"/>
          <w:szCs w:val="24"/>
          <w:rtl/>
        </w:rPr>
        <w:t xml:space="preserve">לא ייצג עורך דין לקוח, לא יקבל על עצמו לייצגו ולא ימשיך בייצוגו, אם קיים חשש שלא יוכל למלא את חובתו המקצועית כלפיו, בשל עניין אישי שלו, או </w:t>
      </w:r>
      <w:r>
        <w:rPr>
          <w:rFonts w:ascii="David" w:hAnsi="David" w:cs="David"/>
          <w:b/>
          <w:bCs/>
          <w:color w:val="000000"/>
          <w:sz w:val="24"/>
          <w:szCs w:val="24"/>
          <w:u w:val="single"/>
          <w:rtl/>
        </w:rPr>
        <w:t>בשל התחייבות או חובת נאמנות שיש לו כלפי אחר</w:t>
      </w:r>
      <w:r>
        <w:rPr>
          <w:rFonts w:ascii="David" w:hAnsi="David" w:cs="David"/>
          <w:b/>
          <w:bCs/>
          <w:color w:val="000000"/>
          <w:sz w:val="24"/>
          <w:szCs w:val="24"/>
          <w:rtl/>
        </w:rPr>
        <w:t xml:space="preserve"> או בשל עומס עבודה או בשל סיבה דומה אחרת</w:t>
      </w:r>
      <w:r>
        <w:rPr>
          <w:rFonts w:ascii="David" w:hAnsi="David" w:cs="David"/>
          <w:color w:val="000000"/>
          <w:sz w:val="24"/>
          <w:szCs w:val="24"/>
          <w:rtl/>
        </w:rPr>
        <w:t>"</w:t>
      </w:r>
      <w:r>
        <w:rPr>
          <w:rFonts w:ascii="Calibri" w:hAnsi="Calibri" w:cs="Calibri" w:hint="cs"/>
          <w:color w:val="000000"/>
          <w:sz w:val="24"/>
          <w:szCs w:val="24"/>
          <w:rtl/>
        </w:rPr>
        <w:t>.</w:t>
      </w:r>
    </w:p>
    <w:p w14:paraId="00B30155" w14:textId="77777777" w:rsidR="001D5CBE" w:rsidRDefault="00151396" w:rsidP="000D3D31">
      <w:pPr>
        <w:pStyle w:val="ad"/>
        <w:numPr>
          <w:ilvl w:val="0"/>
          <w:numId w:val="11"/>
        </w:numPr>
        <w:spacing w:before="240" w:after="0" w:line="360" w:lineRule="auto"/>
        <w:contextualSpacing w:val="0"/>
        <w:jc w:val="both"/>
        <w:rPr>
          <w:rFonts w:ascii="David" w:hAnsi="David" w:cs="David"/>
          <w:color w:val="000000"/>
          <w:sz w:val="24"/>
          <w:szCs w:val="24"/>
          <w:rtl/>
        </w:rPr>
      </w:pPr>
      <w:r>
        <w:rPr>
          <w:rFonts w:ascii="David" w:hAnsi="David" w:cs="David"/>
          <w:color w:val="000000"/>
          <w:sz w:val="24"/>
          <w:szCs w:val="24"/>
          <w:rtl/>
        </w:rPr>
        <w:t xml:space="preserve">ההתייחסות למצבים של </w:t>
      </w:r>
      <w:r>
        <w:rPr>
          <w:rFonts w:ascii="David" w:hAnsi="David" w:cs="David"/>
          <w:color w:val="000000"/>
          <w:sz w:val="24"/>
          <w:szCs w:val="24"/>
          <w:rtl/>
        </w:rPr>
        <w:t>ניגוד עניינים, אינה מוגבלת להוראות חקיקה ישירות והיא נובעת גם באופן כללי משורה של הוראות כלליות. כך למשל ניתן להפנות אל:</w:t>
      </w:r>
    </w:p>
    <w:p w14:paraId="6E46C57C" w14:textId="77777777" w:rsidR="001D5CBE" w:rsidRDefault="00151396" w:rsidP="000D3D31">
      <w:pPr>
        <w:pStyle w:val="ad"/>
        <w:numPr>
          <w:ilvl w:val="0"/>
          <w:numId w:val="3"/>
        </w:numPr>
        <w:spacing w:before="240" w:after="0" w:line="360" w:lineRule="auto"/>
        <w:ind w:left="992"/>
        <w:contextualSpacing w:val="0"/>
        <w:jc w:val="both"/>
        <w:rPr>
          <w:rFonts w:ascii="David" w:hAnsi="David" w:cs="David"/>
          <w:color w:val="000000"/>
          <w:sz w:val="24"/>
          <w:szCs w:val="24"/>
        </w:rPr>
      </w:pPr>
      <w:r>
        <w:rPr>
          <w:rFonts w:ascii="David" w:hAnsi="David" w:cs="David"/>
          <w:b/>
          <w:bCs/>
          <w:color w:val="000000"/>
          <w:sz w:val="24"/>
          <w:szCs w:val="24"/>
          <w:u w:val="single"/>
          <w:rtl/>
        </w:rPr>
        <w:t>חוק השליחות</w:t>
      </w:r>
      <w:r>
        <w:rPr>
          <w:rFonts w:ascii="David" w:hAnsi="David" w:cs="David"/>
          <w:color w:val="000000"/>
          <w:sz w:val="24"/>
          <w:szCs w:val="24"/>
          <w:rtl/>
        </w:rPr>
        <w:t xml:space="preserve"> - הוראות </w:t>
      </w:r>
      <w:r>
        <w:rPr>
          <w:rFonts w:ascii="David" w:hAnsi="David" w:cs="David"/>
          <w:color w:val="000000"/>
          <w:sz w:val="24"/>
          <w:szCs w:val="24"/>
          <w:u w:val="single"/>
          <w:rtl/>
        </w:rPr>
        <w:t>חוק השליחות</w:t>
      </w:r>
      <w:r>
        <w:rPr>
          <w:rFonts w:ascii="David" w:hAnsi="David" w:cs="David"/>
          <w:color w:val="000000"/>
          <w:sz w:val="24"/>
          <w:szCs w:val="24"/>
          <w:rtl/>
        </w:rPr>
        <w:t>, תשכ"ה – 1965 אליהן עוד אתייחס ארוכות בהמשך. לענין זה קובע סעיף 8 ל</w:t>
      </w:r>
      <w:r>
        <w:rPr>
          <w:rFonts w:ascii="David" w:hAnsi="David" w:cs="David"/>
          <w:color w:val="000000"/>
          <w:sz w:val="24"/>
          <w:szCs w:val="24"/>
          <w:u w:val="single"/>
          <w:rtl/>
        </w:rPr>
        <w:t>חוק השליחות</w:t>
      </w:r>
      <w:r>
        <w:rPr>
          <w:rFonts w:ascii="David" w:hAnsi="David" w:cs="David"/>
          <w:color w:val="000000"/>
          <w:sz w:val="24"/>
          <w:szCs w:val="24"/>
          <w:rtl/>
        </w:rPr>
        <w:t xml:space="preserve"> כך -</w:t>
      </w:r>
      <w:r>
        <w:rPr>
          <w:rFonts w:ascii="Miriam" w:hAnsi="Miriam" w:cs="Miriam"/>
          <w:color w:val="000000"/>
          <w:sz w:val="24"/>
          <w:szCs w:val="24"/>
          <w:rtl/>
        </w:rPr>
        <w:t xml:space="preserve"> </w:t>
      </w:r>
      <w:r>
        <w:rPr>
          <w:rFonts w:ascii="David" w:hAnsi="David" w:cs="David"/>
          <w:b/>
          <w:bCs/>
          <w:color w:val="000000"/>
          <w:sz w:val="24"/>
          <w:szCs w:val="24"/>
          <w:rtl/>
        </w:rPr>
        <w:t>"קיבל אדם עליו להיות שלוח, חייב הוא לנהוג כלפי השולח בנאמנות ולפעול בהתאם להוראותיו"</w:t>
      </w:r>
      <w:r>
        <w:rPr>
          <w:rFonts w:ascii="David" w:hAnsi="David" w:cs="David"/>
          <w:color w:val="000000"/>
          <w:sz w:val="24"/>
          <w:szCs w:val="24"/>
          <w:rtl/>
        </w:rPr>
        <w:t>. ו</w:t>
      </w:r>
      <w:r>
        <w:rPr>
          <w:rFonts w:ascii="David" w:hAnsi="David" w:cs="David"/>
          <w:color w:val="000000"/>
          <w:spacing w:val="10"/>
          <w:sz w:val="24"/>
          <w:szCs w:val="24"/>
          <w:rtl/>
        </w:rPr>
        <w:t xml:space="preserve">לענין זה </w:t>
      </w:r>
      <w:r>
        <w:rPr>
          <w:rFonts w:ascii="David" w:hAnsi="David" w:cs="David"/>
          <w:color w:val="000000"/>
          <w:sz w:val="24"/>
          <w:szCs w:val="24"/>
          <w:rtl/>
        </w:rPr>
        <w:t xml:space="preserve">הובהר כך (ההדגשות לא במקור) - </w:t>
      </w:r>
      <w:r>
        <w:rPr>
          <w:rFonts w:ascii="David" w:hAnsi="David" w:cs="David"/>
          <w:b/>
          <w:bCs/>
          <w:sz w:val="24"/>
          <w:szCs w:val="24"/>
          <w:rtl/>
        </w:rPr>
        <w:t>"חובת הנאמנות הכללית של השלוח היא ל</w:t>
      </w:r>
      <w:r>
        <w:rPr>
          <w:rFonts w:ascii="David" w:hAnsi="David" w:cs="David"/>
          <w:b/>
          <w:bCs/>
          <w:sz w:val="24"/>
          <w:szCs w:val="24"/>
          <w:u w:val="single"/>
          <w:rtl/>
        </w:rPr>
        <w:t>ראות תמיד את אינטרס השולח כאינטרס המכריע ולהעדיפו על האינטרס האישי של עצמו</w:t>
      </w:r>
      <w:r>
        <w:rPr>
          <w:rFonts w:ascii="David" w:hAnsi="David" w:cs="David"/>
          <w:b/>
          <w:bCs/>
          <w:sz w:val="24"/>
          <w:szCs w:val="24"/>
          <w:rtl/>
        </w:rPr>
        <w:t>. עליו להיות מסור לשלוח ולפעול לטובתו, ולטובתו בלבד"</w:t>
      </w:r>
      <w:r>
        <w:rPr>
          <w:rFonts w:ascii="David" w:hAnsi="David" w:cs="David"/>
          <w:color w:val="000000"/>
          <w:sz w:val="24"/>
          <w:szCs w:val="24"/>
          <w:rtl/>
        </w:rPr>
        <w:t xml:space="preserve"> [א' ברק, </w:t>
      </w:r>
      <w:r>
        <w:rPr>
          <w:rFonts w:ascii="David" w:hAnsi="David" w:cs="David"/>
          <w:color w:val="000000"/>
          <w:sz w:val="24"/>
          <w:szCs w:val="24"/>
          <w:u w:val="single"/>
          <w:rtl/>
        </w:rPr>
        <w:t>חוק השליחות</w:t>
      </w:r>
      <w:r>
        <w:rPr>
          <w:rFonts w:ascii="David" w:hAnsi="David" w:cs="David"/>
          <w:color w:val="000000"/>
          <w:sz w:val="24"/>
          <w:szCs w:val="24"/>
          <w:rtl/>
        </w:rPr>
        <w:t xml:space="preserve"> – כרך שני, 1036 (1996)]. להרחבה בפסיקת בתי המשפט ר' למשל ע"א 4998/11, </w:t>
      </w:r>
      <w:r>
        <w:rPr>
          <w:rFonts w:ascii="David" w:hAnsi="David" w:cs="David"/>
          <w:color w:val="000000"/>
          <w:sz w:val="24"/>
          <w:szCs w:val="24"/>
          <w:u w:val="single"/>
          <w:rtl/>
        </w:rPr>
        <w:t>סמי חליו נ' אברהם כהן</w:t>
      </w:r>
      <w:r>
        <w:rPr>
          <w:rFonts w:ascii="David" w:hAnsi="David" w:cs="David"/>
          <w:color w:val="000000"/>
          <w:sz w:val="24"/>
          <w:szCs w:val="24"/>
          <w:rtl/>
        </w:rPr>
        <w:t xml:space="preserve"> (מיום 26.1.2014, הש'  דנציגר, ע' פוגלמן, נ' סולברג) וכן ע"א 8098/09, </w:t>
      </w:r>
      <w:r>
        <w:rPr>
          <w:rFonts w:ascii="David" w:hAnsi="David" w:cs="David"/>
          <w:color w:val="000000"/>
          <w:sz w:val="24"/>
          <w:szCs w:val="24"/>
          <w:u w:val="single"/>
          <w:rtl/>
        </w:rPr>
        <w:t>אורה כהן נ' בנק איגוד לישראל בע"מ - סניף חדרה</w:t>
      </w:r>
      <w:r>
        <w:rPr>
          <w:rFonts w:ascii="David" w:hAnsi="David" w:cs="David"/>
          <w:color w:val="000000"/>
          <w:sz w:val="24"/>
          <w:szCs w:val="24"/>
          <w:rtl/>
        </w:rPr>
        <w:t>‏, (3.1.2012, המ"מ לנשיאה ריבלין, השופטת ע' ארבל, הש' נ' הנדל).</w:t>
      </w:r>
    </w:p>
    <w:p w14:paraId="2C1326CF" w14:textId="77777777" w:rsidR="001D5CBE" w:rsidRDefault="00151396" w:rsidP="009338BD">
      <w:pPr>
        <w:pStyle w:val="ad"/>
        <w:numPr>
          <w:ilvl w:val="0"/>
          <w:numId w:val="3"/>
        </w:numPr>
        <w:spacing w:before="354" w:after="0" w:line="360" w:lineRule="auto"/>
        <w:ind w:left="992"/>
        <w:contextualSpacing w:val="0"/>
        <w:jc w:val="both"/>
        <w:rPr>
          <w:rFonts w:ascii="David" w:hAnsi="David" w:cs="David"/>
          <w:color w:val="000000"/>
          <w:sz w:val="24"/>
          <w:szCs w:val="24"/>
        </w:rPr>
      </w:pPr>
      <w:r>
        <w:rPr>
          <w:rFonts w:ascii="David" w:hAnsi="David" w:cs="David"/>
          <w:b/>
          <w:bCs/>
          <w:color w:val="000000"/>
          <w:sz w:val="24"/>
          <w:szCs w:val="24"/>
          <w:u w:val="single"/>
          <w:rtl/>
        </w:rPr>
        <w:t>חוק הנאמנות</w:t>
      </w:r>
      <w:r>
        <w:rPr>
          <w:rFonts w:ascii="David" w:hAnsi="David" w:cs="David"/>
          <w:color w:val="000000"/>
          <w:sz w:val="24"/>
          <w:szCs w:val="24"/>
          <w:rtl/>
        </w:rPr>
        <w:t xml:space="preserve"> - הוראות </w:t>
      </w:r>
      <w:r>
        <w:rPr>
          <w:rFonts w:ascii="David" w:hAnsi="David" w:cs="David"/>
          <w:color w:val="000000"/>
          <w:sz w:val="24"/>
          <w:szCs w:val="24"/>
          <w:u w:val="single"/>
          <w:rtl/>
        </w:rPr>
        <w:t>חוק הנאמנות</w:t>
      </w:r>
      <w:r>
        <w:rPr>
          <w:rFonts w:ascii="David" w:hAnsi="David" w:cs="David"/>
          <w:color w:val="000000"/>
          <w:sz w:val="24"/>
          <w:szCs w:val="24"/>
          <w:rtl/>
        </w:rPr>
        <w:t xml:space="preserve">, תשל"ט – 1979, המתייחס לחובת הנאמנות לצד אחד בלבד ומאפשר ביטול פעולות שנעשו בהפרת חובת נאמנות כאשר הוא קובע בסעיף 14 לו כך -  </w:t>
      </w:r>
      <w:r>
        <w:rPr>
          <w:rFonts w:ascii="David" w:hAnsi="David" w:cs="David"/>
          <w:b/>
          <w:bCs/>
          <w:color w:val="000000"/>
          <w:sz w:val="24"/>
          <w:szCs w:val="24"/>
          <w:rtl/>
        </w:rPr>
        <w:lastRenderedPageBreak/>
        <w:t>"</w:t>
      </w:r>
      <w:r>
        <w:rPr>
          <w:rFonts w:ascii="David" w:hAnsi="David" w:cs="David"/>
          <w:b/>
          <w:bCs/>
          <w:sz w:val="24"/>
          <w:szCs w:val="24"/>
          <w:rtl/>
        </w:rPr>
        <w:t>פעולה שנעשתה בהפרת חובת הנאמנות והצד השלישי ידע או היה עליו לדעת על ההפרה, או שנעשתה ללא תמורה, רשאי בית המשפט לבטלה, ועל הצד השלישי יחולו אחריות וחובות כשל נאמן; ידיעה על קיום הנאמנות, אין בה בלבד משום ידיעה על הפרת חובת הנאמנות"</w:t>
      </w:r>
      <w:r>
        <w:rPr>
          <w:rFonts w:ascii="David" w:hAnsi="David" w:cs="David"/>
          <w:sz w:val="24"/>
          <w:szCs w:val="24"/>
          <w:rtl/>
        </w:rPr>
        <w:t>.</w:t>
      </w:r>
      <w:r>
        <w:rPr>
          <w:rFonts w:ascii="David" w:hAnsi="David" w:cs="David"/>
          <w:color w:val="000000"/>
          <w:sz w:val="24"/>
          <w:szCs w:val="24"/>
          <w:rtl/>
        </w:rPr>
        <w:t xml:space="preserve"> הפרת חובת הנאמנות פורשה גם כפעולה בניגוד עניינים, אשר הביאה לרווחים לצד שלישי ור' לענין זה ע"א 3640/22 </w:t>
      </w:r>
      <w:r>
        <w:rPr>
          <w:rFonts w:ascii="David" w:hAnsi="David" w:cs="David"/>
          <w:sz w:val="24"/>
          <w:szCs w:val="24"/>
          <w:u w:val="single"/>
          <w:rtl/>
        </w:rPr>
        <w:t>עו"ד יורם ל. כהן נ' רבקה בוכ</w:t>
      </w:r>
      <w:r>
        <w:rPr>
          <w:rFonts w:ascii="David" w:hAnsi="David" w:cs="David"/>
          <w:sz w:val="24"/>
          <w:szCs w:val="24"/>
          <w:u w:val="single"/>
          <w:rtl/>
        </w:rPr>
        <w:t>מן</w:t>
      </w:r>
      <w:r>
        <w:rPr>
          <w:rFonts w:ascii="David" w:hAnsi="David" w:cs="David"/>
          <w:sz w:val="24"/>
          <w:szCs w:val="24"/>
          <w:rtl/>
        </w:rPr>
        <w:t xml:space="preserve"> (מיום 1</w:t>
      </w:r>
      <w:r w:rsidR="009338BD">
        <w:rPr>
          <w:rFonts w:ascii="David" w:hAnsi="David" w:cs="David" w:hint="cs"/>
          <w:sz w:val="24"/>
          <w:szCs w:val="24"/>
          <w:rtl/>
        </w:rPr>
        <w:t>.</w:t>
      </w:r>
      <w:r>
        <w:rPr>
          <w:rFonts w:ascii="David" w:hAnsi="David" w:cs="David"/>
          <w:sz w:val="24"/>
          <w:szCs w:val="24"/>
          <w:rtl/>
        </w:rPr>
        <w:t>9</w:t>
      </w:r>
      <w:r w:rsidR="009338BD">
        <w:rPr>
          <w:rFonts w:ascii="David" w:hAnsi="David" w:cs="David" w:hint="cs"/>
          <w:sz w:val="24"/>
          <w:szCs w:val="24"/>
          <w:rtl/>
        </w:rPr>
        <w:t>.</w:t>
      </w:r>
      <w:r>
        <w:rPr>
          <w:rFonts w:ascii="David" w:hAnsi="David" w:cs="David"/>
          <w:sz w:val="24"/>
          <w:szCs w:val="24"/>
          <w:rtl/>
        </w:rPr>
        <w:t>2024, הש' ד' מינץ, י' כשר והשופטת ר' רונן – בס' 62 לפסק דינו של הש' י' כשר)</w:t>
      </w:r>
      <w:r>
        <w:rPr>
          <w:rFonts w:ascii="David" w:hAnsi="David" w:cs="David"/>
          <w:color w:val="000000"/>
          <w:sz w:val="24"/>
          <w:szCs w:val="24"/>
          <w:rtl/>
        </w:rPr>
        <w:t>.</w:t>
      </w:r>
    </w:p>
    <w:p w14:paraId="75C4AEFC" w14:textId="77777777" w:rsidR="001D5CBE" w:rsidRDefault="00151396" w:rsidP="001D5CBE">
      <w:pPr>
        <w:pStyle w:val="ad"/>
        <w:numPr>
          <w:ilvl w:val="0"/>
          <w:numId w:val="3"/>
        </w:numPr>
        <w:spacing w:before="252" w:after="0" w:line="360" w:lineRule="auto"/>
        <w:ind w:left="992"/>
        <w:contextualSpacing w:val="0"/>
        <w:jc w:val="both"/>
        <w:rPr>
          <w:rFonts w:ascii="David" w:hAnsi="David" w:cs="David"/>
          <w:color w:val="000000"/>
          <w:sz w:val="24"/>
          <w:szCs w:val="24"/>
          <w:rtl/>
        </w:rPr>
      </w:pPr>
      <w:r>
        <w:rPr>
          <w:rFonts w:ascii="David" w:hAnsi="David" w:cs="David"/>
          <w:b/>
          <w:bCs/>
          <w:color w:val="000000"/>
          <w:sz w:val="24"/>
          <w:szCs w:val="24"/>
          <w:u w:val="single"/>
          <w:rtl/>
        </w:rPr>
        <w:t>חוק עשיית עושר ולא במשפט</w:t>
      </w:r>
      <w:r>
        <w:rPr>
          <w:rFonts w:ascii="David" w:hAnsi="David" w:cs="David"/>
          <w:color w:val="000000"/>
          <w:sz w:val="24"/>
          <w:szCs w:val="24"/>
          <w:rtl/>
        </w:rPr>
        <w:t xml:space="preserve">, תשל"ט – 1979 - החוק קובע בסעיף 1(א) הוראות השבה במקרה של הפרת חובת אמונים, כאשר ההתייחסות בפועל היא לפעולה בניגוד עניינים. לענין זה קובע סעיף 1(א) לחוק כך - </w:t>
      </w:r>
      <w:r>
        <w:rPr>
          <w:rFonts w:ascii="David" w:hAnsi="David" w:cs="David"/>
          <w:b/>
          <w:bCs/>
          <w:sz w:val="24"/>
          <w:szCs w:val="24"/>
          <w:rtl/>
        </w:rPr>
        <w:t>"מי שקיבל שלא על פי זכות שבדין נכס, שירות או טובת הנאה אחרת (להלן – הזוכה) שבאו לו מאדם אחר (להלן - המזכה), חייב להשיב למזכה את הזכיה, ואם השבה בעין בלתי אפשרית או בלתי סבירה - לשלם לו את שוויה"</w:t>
      </w:r>
      <w:r>
        <w:rPr>
          <w:rFonts w:ascii="David" w:hAnsi="David" w:cs="David"/>
          <w:color w:val="000000"/>
          <w:sz w:val="24"/>
          <w:szCs w:val="24"/>
          <w:rtl/>
        </w:rPr>
        <w:t>.</w:t>
      </w:r>
    </w:p>
    <w:p w14:paraId="1579E6F2" w14:textId="77777777" w:rsidR="001D5CBE" w:rsidRDefault="00151396" w:rsidP="009338BD">
      <w:pPr>
        <w:pStyle w:val="ad"/>
        <w:spacing w:after="0" w:line="360" w:lineRule="auto"/>
        <w:ind w:left="992"/>
        <w:jc w:val="both"/>
        <w:rPr>
          <w:rFonts w:ascii="David" w:hAnsi="David" w:cs="David"/>
          <w:color w:val="000000"/>
          <w:sz w:val="24"/>
          <w:szCs w:val="24"/>
        </w:rPr>
      </w:pPr>
      <w:r>
        <w:rPr>
          <w:rFonts w:ascii="David" w:hAnsi="David" w:cs="David"/>
          <w:color w:val="000000"/>
          <w:sz w:val="24"/>
          <w:szCs w:val="24"/>
          <w:rtl/>
        </w:rPr>
        <w:t xml:space="preserve">על כך שמדובר בהפקת רווח, תוך מצב של ניגוד עניינים ר' למשל ספרם של </w:t>
      </w:r>
      <w:r>
        <w:rPr>
          <w:rFonts w:ascii="David" w:hAnsi="David" w:cs="David"/>
          <w:color w:val="000000"/>
          <w:sz w:val="26"/>
          <w:szCs w:val="24"/>
          <w:rtl/>
        </w:rPr>
        <w:t>דניאל פרידמן ואלרן שפירא בר-אור </w:t>
      </w:r>
      <w:r>
        <w:rPr>
          <w:rFonts w:ascii="David" w:hAnsi="David" w:cs="David"/>
          <w:color w:val="000000"/>
          <w:sz w:val="26"/>
          <w:szCs w:val="24"/>
          <w:u w:val="single"/>
          <w:rtl/>
        </w:rPr>
        <w:t xml:space="preserve">דיני </w:t>
      </w:r>
      <w:r>
        <w:rPr>
          <w:rFonts w:ascii="David" w:hAnsi="David" w:cs="David"/>
          <w:color w:val="000000"/>
          <w:sz w:val="26"/>
          <w:szCs w:val="24"/>
          <w:u w:val="single"/>
          <w:rtl/>
        </w:rPr>
        <w:t>עשיית עושר ולא במשפט</w:t>
      </w:r>
      <w:r>
        <w:rPr>
          <w:rFonts w:ascii="David" w:hAnsi="David" w:cs="David"/>
          <w:color w:val="000000"/>
          <w:sz w:val="26"/>
          <w:szCs w:val="24"/>
          <w:rtl/>
        </w:rPr>
        <w:t> מהדורה שלישית, כרך א', עמ' 642</w:t>
      </w:r>
      <w:r>
        <w:rPr>
          <w:rFonts w:ascii="David" w:hAnsi="David" w:cs="David"/>
          <w:color w:val="000000"/>
          <w:sz w:val="24"/>
          <w:szCs w:val="24"/>
          <w:rtl/>
        </w:rPr>
        <w:t xml:space="preserve"> שם נכתב כך (ההדגשות לא במקור) - </w:t>
      </w:r>
      <w:r>
        <w:rPr>
          <w:rFonts w:ascii="David" w:hAnsi="David" w:cs="David"/>
          <w:color w:val="000000"/>
          <w:sz w:val="26"/>
          <w:szCs w:val="26"/>
          <w:rtl/>
        </w:rPr>
        <w:t>"</w:t>
      </w:r>
      <w:r>
        <w:rPr>
          <w:rFonts w:ascii="David" w:hAnsi="David" w:cs="David"/>
          <w:b/>
          <w:bCs/>
          <w:color w:val="000000"/>
          <w:sz w:val="26"/>
          <w:szCs w:val="26"/>
          <w:rtl/>
        </w:rPr>
        <w:t>אדם הממלא תפקיד של נאמן אינו רשאי להפיק כל רווח (למעט שכר המשתלם לו כדין) במהלך תפקידו או באמצעות מעמדו כנאמן. עיקרון יסוד זה כרוך ברעיון יסוד אחר, שעמדנו עליו, והוא ש</w:t>
      </w:r>
      <w:r>
        <w:rPr>
          <w:rFonts w:ascii="David" w:hAnsi="David" w:cs="David"/>
          <w:b/>
          <w:bCs/>
          <w:color w:val="000000"/>
          <w:sz w:val="26"/>
          <w:szCs w:val="26"/>
          <w:u w:val="single"/>
          <w:rtl/>
        </w:rPr>
        <w:t>נאמן איננו רשאי להעמיד עצמו במצב שבו ייווצר ניגוד בין האינטרס האישי שלו לבין תפקידו כנאמן</w:t>
      </w:r>
      <w:r>
        <w:rPr>
          <w:rFonts w:ascii="David" w:hAnsi="David" w:cs="David"/>
          <w:b/>
          <w:bCs/>
          <w:color w:val="000000"/>
          <w:sz w:val="26"/>
          <w:szCs w:val="26"/>
          <w:rtl/>
        </w:rPr>
        <w:t>...</w:t>
      </w:r>
      <w:r>
        <w:rPr>
          <w:rFonts w:ascii="David" w:hAnsi="David" w:cs="David"/>
          <w:color w:val="000000"/>
          <w:sz w:val="26"/>
          <w:szCs w:val="26"/>
          <w:rtl/>
        </w:rPr>
        <w:t xml:space="preserve">". </w:t>
      </w:r>
      <w:r>
        <w:rPr>
          <w:rFonts w:ascii="David" w:hAnsi="David" w:cs="David"/>
          <w:color w:val="000000"/>
          <w:sz w:val="24"/>
          <w:szCs w:val="24"/>
          <w:rtl/>
        </w:rPr>
        <w:t xml:space="preserve">להרחבה ר' גם ספרו של המלומד   עמיר ליכט, </w:t>
      </w:r>
      <w:r>
        <w:rPr>
          <w:rFonts w:ascii="David" w:hAnsi="David" w:cs="David"/>
          <w:color w:val="000000"/>
          <w:sz w:val="24"/>
          <w:szCs w:val="24"/>
          <w:u w:val="single"/>
          <w:rtl/>
        </w:rPr>
        <w:t>דיני אמונאות</w:t>
      </w:r>
      <w:r>
        <w:rPr>
          <w:rFonts w:ascii="David" w:hAnsi="David" w:cs="David"/>
          <w:color w:val="000000"/>
          <w:sz w:val="24"/>
          <w:szCs w:val="24"/>
          <w:rtl/>
        </w:rPr>
        <w:t xml:space="preserve"> 312-357 (2013) וכן תנג (מחוזי ת"א) 18994-07-15‏, </w:t>
      </w:r>
      <w:r>
        <w:rPr>
          <w:rFonts w:ascii="David" w:hAnsi="David" w:cs="David"/>
          <w:color w:val="000000"/>
          <w:sz w:val="24"/>
          <w:szCs w:val="24"/>
          <w:u w:val="single"/>
          <w:rtl/>
        </w:rPr>
        <w:t>יהודית דה לנגה נ' החברה לישראל בע"מ</w:t>
      </w:r>
      <w:r>
        <w:rPr>
          <w:rFonts w:ascii="David" w:hAnsi="David" w:cs="David"/>
          <w:color w:val="000000"/>
          <w:sz w:val="24"/>
          <w:szCs w:val="24"/>
          <w:rtl/>
        </w:rPr>
        <w:t xml:space="preserve"> (מיום 30</w:t>
      </w:r>
      <w:r w:rsidR="009338BD">
        <w:rPr>
          <w:rFonts w:ascii="David" w:hAnsi="David" w:cs="David" w:hint="cs"/>
          <w:color w:val="000000"/>
          <w:sz w:val="24"/>
          <w:szCs w:val="24"/>
          <w:rtl/>
        </w:rPr>
        <w:t>.</w:t>
      </w:r>
      <w:r>
        <w:rPr>
          <w:rFonts w:ascii="David" w:hAnsi="David" w:cs="David"/>
          <w:color w:val="000000"/>
          <w:sz w:val="24"/>
          <w:szCs w:val="24"/>
          <w:rtl/>
        </w:rPr>
        <w:t>4</w:t>
      </w:r>
      <w:r w:rsidR="009338BD">
        <w:rPr>
          <w:rFonts w:ascii="David" w:hAnsi="David" w:cs="David" w:hint="cs"/>
          <w:color w:val="000000"/>
          <w:sz w:val="24"/>
          <w:szCs w:val="24"/>
          <w:rtl/>
        </w:rPr>
        <w:t>.</w:t>
      </w:r>
      <w:r>
        <w:rPr>
          <w:rFonts w:ascii="David" w:hAnsi="David" w:cs="David"/>
          <w:color w:val="000000"/>
          <w:sz w:val="24"/>
          <w:szCs w:val="24"/>
          <w:rtl/>
        </w:rPr>
        <w:t>2017, השופטת ר'</w:t>
      </w:r>
      <w:r>
        <w:rPr>
          <w:rFonts w:ascii="David" w:hAnsi="David" w:cs="David"/>
          <w:color w:val="000000"/>
          <w:sz w:val="24"/>
          <w:szCs w:val="24"/>
          <w:rtl/>
        </w:rPr>
        <w:t xml:space="preserve"> רונן – ממנו נלקחו גם חלק מהציטוטים דלעיל).</w:t>
      </w:r>
    </w:p>
    <w:p w14:paraId="009D8CE3" w14:textId="77777777" w:rsidR="001D5CBE" w:rsidRDefault="00151396" w:rsidP="000903FC">
      <w:pPr>
        <w:pStyle w:val="ad"/>
        <w:numPr>
          <w:ilvl w:val="1"/>
          <w:numId w:val="1"/>
        </w:numPr>
        <w:spacing w:before="354" w:after="0" w:line="360" w:lineRule="auto"/>
        <w:ind w:left="288" w:hanging="432"/>
        <w:contextualSpacing w:val="0"/>
        <w:jc w:val="both"/>
        <w:outlineLvl w:val="3"/>
        <w:rPr>
          <w:rFonts w:ascii="David" w:hAnsi="David" w:cs="David"/>
          <w:color w:val="000000"/>
          <w:sz w:val="24"/>
          <w:szCs w:val="24"/>
        </w:rPr>
      </w:pPr>
      <w:r>
        <w:rPr>
          <w:rFonts w:ascii="David" w:hAnsi="David" w:cs="David"/>
          <w:b/>
          <w:bCs/>
          <w:color w:val="000000"/>
          <w:sz w:val="24"/>
          <w:szCs w:val="24"/>
          <w:u w:val="single"/>
          <w:rtl/>
        </w:rPr>
        <w:t>מצבי ניגוד העניינים אינם בגדר רשימה סגורה; מצבים אלה מצויים הן במשפט הפרטי והן במשפט הציבורי</w:t>
      </w:r>
    </w:p>
    <w:p w14:paraId="37329211" w14:textId="77777777" w:rsidR="001D5CBE" w:rsidRDefault="00151396" w:rsidP="001D5CBE">
      <w:pPr>
        <w:pStyle w:val="ad"/>
        <w:numPr>
          <w:ilvl w:val="0"/>
          <w:numId w:val="12"/>
        </w:numPr>
        <w:spacing w:after="0" w:line="360" w:lineRule="auto"/>
        <w:jc w:val="both"/>
        <w:rPr>
          <w:rFonts w:ascii="David" w:hAnsi="David" w:cs="David"/>
          <w:color w:val="000000"/>
          <w:sz w:val="24"/>
          <w:szCs w:val="24"/>
        </w:rPr>
      </w:pPr>
      <w:r>
        <w:rPr>
          <w:rFonts w:ascii="David" w:hAnsi="David" w:cs="David"/>
          <w:color w:val="000000"/>
          <w:sz w:val="24"/>
          <w:szCs w:val="24"/>
          <w:rtl/>
        </w:rPr>
        <w:t xml:space="preserve">ניתן לבחון ולעתים גם לזהות מצבי ניגוד עניינים, כמעט בכל התקשרות שבה אחד הצדדים חב חובת נאמנות שלא בהכרח עולה בקנה אחד עם ההתקשרות. זאת ועוד, התנהלויות אשר בעבר נבחנו במשקפי "תום הלב" ובהתנהלות סבירה של צד להסכם – מוצאים עצמם כעת נבחנים באמות מידה ובהגדרות שעניינם ניגוד אינטרסים וניגוד עניינים. לענין זה ר' אהרן ברק, </w:t>
      </w:r>
      <w:r>
        <w:rPr>
          <w:rFonts w:ascii="David" w:hAnsi="David" w:cs="David"/>
          <w:color w:val="000000"/>
          <w:sz w:val="24"/>
          <w:szCs w:val="24"/>
          <w:u w:val="single"/>
          <w:rtl/>
        </w:rPr>
        <w:t>"האיסור על ניגוד עניינים</w:t>
      </w:r>
      <w:r>
        <w:rPr>
          <w:rFonts w:ascii="David" w:hAnsi="David" w:cs="David"/>
          <w:color w:val="000000"/>
          <w:sz w:val="24"/>
          <w:szCs w:val="24"/>
          <w:rtl/>
        </w:rPr>
        <w:t xml:space="preserve">, ניגוד עניינים במרחב הציבורי - משפט, תרבות, אתיקה, פוליטיקה (תשס"ט) שם הובאו הדברים הבאים (ההדגשות לא במקור) - </w:t>
      </w:r>
      <w:r>
        <w:rPr>
          <w:rFonts w:ascii="David" w:hAnsi="David" w:cs="David"/>
          <w:sz w:val="24"/>
          <w:szCs w:val="24"/>
          <w:rtl/>
        </w:rPr>
        <w:t>"</w:t>
      </w:r>
      <w:r>
        <w:rPr>
          <w:rFonts w:ascii="David" w:hAnsi="David" w:cs="David"/>
          <w:b/>
          <w:bCs/>
          <w:sz w:val="24"/>
          <w:szCs w:val="24"/>
          <w:rtl/>
        </w:rPr>
        <w:t xml:space="preserve">מערכת היחסים המיוחדת שבה חל הכלל </w:t>
      </w:r>
      <w:r>
        <w:rPr>
          <w:rFonts w:ascii="David" w:hAnsi="David" w:cs="David"/>
          <w:b/>
          <w:bCs/>
          <w:sz w:val="24"/>
          <w:szCs w:val="24"/>
          <w:u w:val="single"/>
          <w:rtl/>
        </w:rPr>
        <w:t>אינה רשימה סגורה</w:t>
      </w:r>
      <w:r>
        <w:rPr>
          <w:rFonts w:ascii="David" w:hAnsi="David" w:cs="David"/>
          <w:b/>
          <w:bCs/>
          <w:sz w:val="24"/>
          <w:szCs w:val="24"/>
          <w:rtl/>
        </w:rPr>
        <w:t xml:space="preserve">. נסיבות של שליטה ותלות הן היוצרות אותה. בכל מקרה שבו נסיבות אלה מתקיימות, הכלל יחול. </w:t>
      </w:r>
      <w:r>
        <w:rPr>
          <w:rFonts w:ascii="David" w:hAnsi="David" w:cs="David"/>
          <w:b/>
          <w:bCs/>
          <w:sz w:val="24"/>
          <w:szCs w:val="24"/>
          <w:u w:val="single"/>
          <w:rtl/>
        </w:rPr>
        <w:t>מצבים חדשים של תלות ושליטה מתעוררים מעת לעת</w:t>
      </w:r>
      <w:r>
        <w:rPr>
          <w:rFonts w:ascii="David" w:hAnsi="David" w:cs="David"/>
          <w:b/>
          <w:bCs/>
          <w:sz w:val="24"/>
          <w:szCs w:val="24"/>
          <w:rtl/>
        </w:rPr>
        <w:t>. מצבים שבעבר נשלטו אך על ידי עקרון תום הלב הכללי, עשויים במשך השנים להיתפס כיחסים מיוחדים המצדיקים את החלתו של האיסור</w:t>
      </w:r>
      <w:r>
        <w:rPr>
          <w:rFonts w:ascii="David" w:hAnsi="David" w:cs="David"/>
          <w:sz w:val="24"/>
          <w:szCs w:val="24"/>
          <w:rtl/>
        </w:rPr>
        <w:t>".</w:t>
      </w:r>
    </w:p>
    <w:p w14:paraId="2A1A7975" w14:textId="77777777" w:rsidR="009338BD" w:rsidRDefault="00151396" w:rsidP="009338BD">
      <w:pPr>
        <w:pStyle w:val="ad"/>
        <w:numPr>
          <w:ilvl w:val="0"/>
          <w:numId w:val="12"/>
        </w:numPr>
        <w:spacing w:before="354" w:after="0" w:line="360" w:lineRule="auto"/>
        <w:contextualSpacing w:val="0"/>
        <w:jc w:val="both"/>
        <w:rPr>
          <w:rFonts w:ascii="David" w:hAnsi="David" w:cs="David"/>
          <w:color w:val="000000"/>
          <w:sz w:val="24"/>
          <w:szCs w:val="24"/>
        </w:rPr>
      </w:pPr>
      <w:r>
        <w:rPr>
          <w:rFonts w:ascii="David" w:hAnsi="David" w:cs="David"/>
          <w:color w:val="000000"/>
          <w:sz w:val="24"/>
          <w:szCs w:val="24"/>
          <w:rtl/>
        </w:rPr>
        <w:lastRenderedPageBreak/>
        <w:t>שאלת ניגוד העניינים מוצאת דרכה רבות לדיון, בסוגיות שעניינן המשפט הציבורי והחלטות מנהליות. ואולם הלכה היא כי הכלל האוסר ניגוד עניינים הוא חלק גם מהמשפט הפרטי. לענין זה ר' זה מכבר בבג"ץ 7721/96  </w:t>
      </w:r>
      <w:r>
        <w:rPr>
          <w:rFonts w:ascii="David" w:hAnsi="David" w:cs="David"/>
          <w:color w:val="000000"/>
          <w:sz w:val="24"/>
          <w:szCs w:val="24"/>
          <w:u w:val="single"/>
          <w:rtl/>
        </w:rPr>
        <w:t>איגוד שמאי ביטוח בישראל נ' המפקחת על הביטוח</w:t>
      </w:r>
      <w:r>
        <w:rPr>
          <w:rFonts w:ascii="David" w:hAnsi="David" w:cs="David"/>
          <w:color w:val="000000"/>
          <w:sz w:val="24"/>
          <w:szCs w:val="24"/>
          <w:rtl/>
        </w:rPr>
        <w:t>, פ''ד נה(3) 625 (15.4.2001</w:t>
      </w:r>
      <w:r>
        <w:rPr>
          <w:rFonts w:ascii="David" w:hAnsi="David" w:cs="David"/>
          <w:color w:val="000000"/>
          <w:sz w:val="24"/>
          <w:szCs w:val="24"/>
        </w:rPr>
        <w:t> </w:t>
      </w:r>
      <w:r>
        <w:rPr>
          <w:rFonts w:ascii="David" w:hAnsi="David" w:cs="David"/>
          <w:color w:val="000000"/>
          <w:sz w:val="24"/>
          <w:szCs w:val="24"/>
          <w:rtl/>
        </w:rPr>
        <w:t>, הנשיא</w:t>
      </w:r>
      <w:r w:rsidRPr="009338BD">
        <w:rPr>
          <w:rFonts w:ascii="David" w:hAnsi="David" w:cs="David" w:hint="cs"/>
          <w:color w:val="000000"/>
          <w:sz w:val="24"/>
          <w:szCs w:val="24"/>
          <w:rtl/>
        </w:rPr>
        <w:t xml:space="preserve"> </w:t>
      </w:r>
      <w:r w:rsidRPr="009338BD">
        <w:rPr>
          <w:rFonts w:ascii="David" w:hAnsi="David" w:cs="David"/>
          <w:color w:val="000000"/>
          <w:sz w:val="24"/>
          <w:szCs w:val="24"/>
          <w:rtl/>
        </w:rPr>
        <w:t>א'</w:t>
      </w:r>
      <w:r w:rsidRPr="009338BD">
        <w:rPr>
          <w:rFonts w:ascii="David" w:hAnsi="David" w:cs="David" w:hint="cs"/>
          <w:color w:val="000000"/>
          <w:sz w:val="24"/>
          <w:szCs w:val="24"/>
          <w:rtl/>
        </w:rPr>
        <w:t xml:space="preserve"> </w:t>
      </w:r>
      <w:r w:rsidRPr="009338BD">
        <w:rPr>
          <w:rFonts w:ascii="David" w:hAnsi="David" w:cs="David"/>
          <w:color w:val="000000"/>
          <w:sz w:val="24"/>
          <w:szCs w:val="24"/>
          <w:rtl/>
        </w:rPr>
        <w:t>ברק, הש' י' זמיר, השופטת  ד' ביניש</w:t>
      </w:r>
      <w:r>
        <w:rPr>
          <w:rFonts w:ascii="David" w:hAnsi="David" w:cs="David"/>
          <w:color w:val="000000"/>
          <w:spacing w:val="20"/>
          <w:sz w:val="24"/>
          <w:szCs w:val="24"/>
          <w:rtl/>
        </w:rPr>
        <w:t>)</w:t>
      </w:r>
      <w:r>
        <w:rPr>
          <w:rFonts w:ascii="David" w:hAnsi="David" w:cs="David"/>
          <w:color w:val="000000"/>
          <w:sz w:val="24"/>
          <w:szCs w:val="24"/>
          <w:rtl/>
        </w:rPr>
        <w:t>.</w:t>
      </w:r>
    </w:p>
    <w:p w14:paraId="54B2564B" w14:textId="77777777" w:rsidR="001D5CBE" w:rsidRDefault="00151396" w:rsidP="001D5CBE">
      <w:pPr>
        <w:pStyle w:val="ad"/>
        <w:spacing w:before="354" w:after="0" w:line="360" w:lineRule="auto"/>
        <w:ind w:left="643"/>
        <w:contextualSpacing w:val="0"/>
        <w:jc w:val="both"/>
        <w:rPr>
          <w:rFonts w:ascii="David" w:hAnsi="David" w:cs="David"/>
          <w:color w:val="000000"/>
          <w:sz w:val="24"/>
          <w:szCs w:val="24"/>
          <w:rtl/>
        </w:rPr>
      </w:pPr>
      <w:r>
        <w:rPr>
          <w:rFonts w:ascii="David" w:hAnsi="David" w:cs="David"/>
          <w:color w:val="000000"/>
          <w:sz w:val="24"/>
          <w:szCs w:val="24"/>
          <w:rtl/>
        </w:rPr>
        <w:t xml:space="preserve">להשלמה ייאמר שהמבחן לקביעת עוצמת ניגוד העניינים יכול להיות מבחן שונה במשפט הציבורי אל מול המבחן במשפט הפרטי. לענין זה קיימים שני מבחנים נוהגים – </w:t>
      </w:r>
      <w:r>
        <w:rPr>
          <w:rFonts w:ascii="David" w:hAnsi="David" w:cs="David"/>
          <w:color w:val="000000"/>
          <w:sz w:val="24"/>
          <w:szCs w:val="24"/>
          <w:u w:val="single"/>
          <w:rtl/>
        </w:rPr>
        <w:t>מבחן החשש הסביר</w:t>
      </w:r>
      <w:r>
        <w:rPr>
          <w:rFonts w:ascii="David" w:hAnsi="David" w:cs="David"/>
          <w:color w:val="000000"/>
          <w:sz w:val="24"/>
          <w:szCs w:val="24"/>
          <w:rtl/>
        </w:rPr>
        <w:t xml:space="preserve">, שהוא מבחן דווקני הנוהג במקרה של אינטרס אישי - מבחן המתייחס לחשש ולאו דווקא למימושו; אל מול </w:t>
      </w:r>
      <w:r>
        <w:rPr>
          <w:rFonts w:ascii="David" w:hAnsi="David" w:cs="David"/>
          <w:color w:val="000000"/>
          <w:sz w:val="24"/>
          <w:szCs w:val="24"/>
          <w:u w:val="single"/>
          <w:rtl/>
        </w:rPr>
        <w:t>מבחן האפשרות הממשית</w:t>
      </w:r>
      <w:r>
        <w:rPr>
          <w:rFonts w:ascii="David" w:hAnsi="David" w:cs="David"/>
          <w:color w:val="000000"/>
          <w:sz w:val="24"/>
          <w:szCs w:val="24"/>
          <w:rtl/>
        </w:rPr>
        <w:t>, אשר מתייחס רק למקרי ניגוד עניינים שהתממשו או שהגיעו עד כדי אפשרות ממשית להתקיים. לענין שני המבחנים, ר' הסקירה המקיפה של פסיקת בתי המשפט והספרות המשפטית כפי שהובאה ב</w:t>
      </w:r>
      <w:r>
        <w:rPr>
          <w:rFonts w:ascii="FrankRuehl" w:hAnsi="FrankRuehl" w:cs="David"/>
          <w:color w:val="000000"/>
          <w:sz w:val="28"/>
          <w:szCs w:val="24"/>
          <w:rtl/>
        </w:rPr>
        <w:t>עת</w:t>
      </w:r>
      <w:r w:rsidR="009338BD">
        <w:rPr>
          <w:rFonts w:ascii="FrankRuehl" w:hAnsi="FrankRuehl" w:cs="David" w:hint="cs"/>
          <w:color w:val="000000"/>
          <w:sz w:val="28"/>
          <w:szCs w:val="24"/>
          <w:rtl/>
        </w:rPr>
        <w:t>"</w:t>
      </w:r>
      <w:r>
        <w:rPr>
          <w:rFonts w:ascii="FrankRuehl" w:hAnsi="FrankRuehl" w:cs="David"/>
          <w:color w:val="000000"/>
          <w:sz w:val="28"/>
          <w:szCs w:val="24"/>
          <w:rtl/>
        </w:rPr>
        <w:t xml:space="preserve">מ (מחוזי חי') </w:t>
      </w:r>
      <w:r>
        <w:rPr>
          <w:rFonts w:ascii="FrankRuehl" w:hAnsi="FrankRuehl" w:cs="David"/>
          <w:color w:val="000000"/>
          <w:sz w:val="28"/>
          <w:szCs w:val="24"/>
          <w:rtl/>
        </w:rPr>
        <w:t>47360-03-18‏,‏</w:t>
      </w:r>
      <w:r>
        <w:rPr>
          <w:rFonts w:ascii="FrankRuehl" w:hAnsi="FrankRuehl" w:cs="David"/>
          <w:color w:val="000000"/>
          <w:sz w:val="28"/>
          <w:szCs w:val="24"/>
          <w:u w:val="single"/>
          <w:rtl/>
        </w:rPr>
        <w:t xml:space="preserve"> קיבוץ אושה נ' הועדה הארצית לתכנון ולבניה של מתחמים מועדפים לדיור</w:t>
      </w:r>
      <w:r>
        <w:rPr>
          <w:rFonts w:ascii="FrankRuehl" w:hAnsi="FrankRuehl" w:cs="David"/>
          <w:color w:val="000000"/>
          <w:sz w:val="28"/>
          <w:szCs w:val="24"/>
          <w:rtl/>
        </w:rPr>
        <w:t xml:space="preserve"> (28.3.2019,</w:t>
      </w:r>
      <w:r>
        <w:rPr>
          <w:rFonts w:ascii="FrankRuehl" w:hAnsi="FrankRuehl" w:cs="David"/>
          <w:color w:val="000000"/>
          <w:sz w:val="26"/>
          <w:szCs w:val="24"/>
          <w:rtl/>
        </w:rPr>
        <w:t xml:space="preserve"> </w:t>
      </w:r>
      <w:r>
        <w:rPr>
          <w:rFonts w:ascii="David" w:hAnsi="David" w:cs="David"/>
          <w:color w:val="000000"/>
          <w:sz w:val="26"/>
          <w:szCs w:val="24"/>
          <w:rtl/>
        </w:rPr>
        <w:t>השופטת  ריבי למלשטריך-לטר)</w:t>
      </w:r>
      <w:r>
        <w:rPr>
          <w:rFonts w:ascii="David" w:hAnsi="David" w:cs="David"/>
          <w:color w:val="000000"/>
          <w:sz w:val="24"/>
          <w:szCs w:val="24"/>
          <w:rtl/>
        </w:rPr>
        <w:t xml:space="preserve">. אמנם ערעור על פסק הדין התקבל, תוך התייחסות לעובדות המקרה ואולם הסקירה המשפטית בעינה עומדת – באשר לערעור שהתקבל ר' </w:t>
      </w:r>
      <w:r>
        <w:rPr>
          <w:rFonts w:ascii="Times New Roman" w:hAnsi="Times New Roman" w:cs="David"/>
          <w:color w:val="000000"/>
          <w:sz w:val="26"/>
          <w:szCs w:val="24"/>
          <w:rtl/>
        </w:rPr>
        <w:t>עע</w:t>
      </w:r>
      <w:r w:rsidR="009338BD">
        <w:rPr>
          <w:rFonts w:ascii="Times New Roman" w:hAnsi="Times New Roman" w:cs="David" w:hint="cs"/>
          <w:color w:val="000000"/>
          <w:sz w:val="26"/>
          <w:szCs w:val="24"/>
          <w:rtl/>
        </w:rPr>
        <w:t>"</w:t>
      </w:r>
      <w:r>
        <w:rPr>
          <w:rFonts w:ascii="Times New Roman" w:hAnsi="Times New Roman" w:cs="David"/>
          <w:color w:val="000000"/>
          <w:sz w:val="26"/>
          <w:szCs w:val="24"/>
          <w:rtl/>
        </w:rPr>
        <w:t xml:space="preserve">מ 3405/19, </w:t>
      </w:r>
      <w:r>
        <w:rPr>
          <w:rFonts w:ascii="Times New Roman" w:hAnsi="Times New Roman" w:cs="David"/>
          <w:color w:val="000000"/>
          <w:sz w:val="26"/>
          <w:szCs w:val="24"/>
          <w:u w:val="single"/>
          <w:rtl/>
        </w:rPr>
        <w:t>הוועדה הארצית לתכנון ובניה של מתחמים מועדפים לדיור נ' קיבוץ אושה</w:t>
      </w:r>
      <w:r>
        <w:rPr>
          <w:rFonts w:ascii="Times New Roman" w:hAnsi="Times New Roman" w:cs="David"/>
          <w:color w:val="000000"/>
          <w:sz w:val="26"/>
          <w:szCs w:val="24"/>
        </w:rPr>
        <w:t> </w:t>
      </w:r>
      <w:r>
        <w:rPr>
          <w:rFonts w:ascii="David" w:hAnsi="David" w:cs="David"/>
          <w:color w:val="000000"/>
          <w:sz w:val="24"/>
          <w:szCs w:val="24"/>
          <w:rtl/>
        </w:rPr>
        <w:t>(20.2.2020, המש' לנש' ח' מלצר, הש' ע' פוגלמן, הש' ע' גרוסקופף).</w:t>
      </w:r>
    </w:p>
    <w:p w14:paraId="58A55E73" w14:textId="77777777" w:rsidR="001D5CBE" w:rsidRDefault="00151396" w:rsidP="000903FC">
      <w:pPr>
        <w:pStyle w:val="ad"/>
        <w:numPr>
          <w:ilvl w:val="1"/>
          <w:numId w:val="1"/>
        </w:numPr>
        <w:spacing w:before="354" w:after="0" w:line="360" w:lineRule="auto"/>
        <w:ind w:left="288" w:hanging="432"/>
        <w:contextualSpacing w:val="0"/>
        <w:jc w:val="both"/>
        <w:outlineLvl w:val="3"/>
        <w:rPr>
          <w:rFonts w:ascii="David" w:hAnsi="David" w:cs="David"/>
          <w:b/>
          <w:bCs/>
          <w:color w:val="000000"/>
          <w:sz w:val="24"/>
          <w:szCs w:val="24"/>
          <w:u w:val="single"/>
          <w:rtl/>
        </w:rPr>
      </w:pPr>
      <w:r>
        <w:rPr>
          <w:rFonts w:ascii="David" w:hAnsi="David" w:cs="David"/>
          <w:b/>
          <w:bCs/>
          <w:color w:val="000000"/>
          <w:sz w:val="24"/>
          <w:szCs w:val="24"/>
          <w:u w:val="single"/>
          <w:rtl/>
        </w:rPr>
        <w:t>הרחבה באשר לכך שדי בניגוד עניינים פוטנציאלי, על מנת שייקבע שהתנהלות מסוימת היא בניגוד עניינים</w:t>
      </w:r>
    </w:p>
    <w:p w14:paraId="5B254E7F" w14:textId="77777777" w:rsidR="001D5CBE" w:rsidRDefault="00151396" w:rsidP="001D5CBE">
      <w:pPr>
        <w:pStyle w:val="ad"/>
        <w:numPr>
          <w:ilvl w:val="0"/>
          <w:numId w:val="13"/>
        </w:numPr>
        <w:spacing w:after="0" w:line="360" w:lineRule="auto"/>
        <w:jc w:val="both"/>
        <w:rPr>
          <w:rFonts w:ascii="David" w:hAnsi="David" w:cs="David"/>
          <w:color w:val="000000"/>
          <w:sz w:val="24"/>
          <w:szCs w:val="24"/>
        </w:rPr>
      </w:pPr>
      <w:r>
        <w:rPr>
          <w:rFonts w:ascii="David" w:hAnsi="David" w:cs="David"/>
          <w:color w:val="000000"/>
          <w:sz w:val="24"/>
          <w:szCs w:val="24"/>
          <w:rtl/>
        </w:rPr>
        <w:t xml:space="preserve">כפי שהובהר לעיל, על מנת לקבוע </w:t>
      </w:r>
      <w:r>
        <w:rPr>
          <w:rFonts w:ascii="David" w:hAnsi="David" w:cs="David"/>
          <w:color w:val="000000"/>
          <w:sz w:val="24"/>
          <w:szCs w:val="24"/>
          <w:rtl/>
        </w:rPr>
        <w:t>התנהלות בניגוד עניינים, אין צורך להוכיח שפעולתו של אדם אכן פגעה בפועל באדם אחר. אין צורך להוכיח גם משוא פנים, או העדפת אינטרס של האחד על פני האינטרסים של האחר. מצב של "ניגוד עניינים", כשמו כן הוא – מצב סטטי אשר די בהיכנסו של אדם לתוכו – על מנת להגדיר אותו אדם כמי שפועל בניגוד עניינים.</w:t>
      </w:r>
    </w:p>
    <w:p w14:paraId="41414D7B" w14:textId="77777777" w:rsidR="001D5CBE" w:rsidRDefault="00151396" w:rsidP="001D5CBE">
      <w:pPr>
        <w:pStyle w:val="ad"/>
        <w:numPr>
          <w:ilvl w:val="0"/>
          <w:numId w:val="13"/>
        </w:numPr>
        <w:spacing w:before="354" w:after="0" w:line="360" w:lineRule="auto"/>
        <w:contextualSpacing w:val="0"/>
        <w:jc w:val="both"/>
        <w:rPr>
          <w:rFonts w:ascii="David" w:hAnsi="David" w:cs="David"/>
          <w:color w:val="000000"/>
          <w:sz w:val="24"/>
          <w:szCs w:val="24"/>
        </w:rPr>
      </w:pPr>
      <w:r>
        <w:rPr>
          <w:rFonts w:ascii="David" w:hAnsi="David" w:cs="David"/>
          <w:color w:val="000000"/>
          <w:sz w:val="24"/>
          <w:szCs w:val="24"/>
          <w:rtl/>
        </w:rPr>
        <w:t>על כך שדי בניגוד עניינים פוטנציאלי, ניתן להפנות אל בג</w:t>
      </w:r>
      <w:r w:rsidR="009338BD">
        <w:rPr>
          <w:rFonts w:ascii="David" w:hAnsi="David" w:cs="David" w:hint="cs"/>
          <w:color w:val="000000"/>
          <w:sz w:val="24"/>
          <w:szCs w:val="24"/>
          <w:rtl/>
        </w:rPr>
        <w:t>"</w:t>
      </w:r>
      <w:r>
        <w:rPr>
          <w:rFonts w:ascii="David" w:hAnsi="David" w:cs="David"/>
          <w:color w:val="000000"/>
          <w:sz w:val="24"/>
          <w:szCs w:val="24"/>
          <w:rtl/>
        </w:rPr>
        <w:t xml:space="preserve">ץ 54321-03-25,‏ </w:t>
      </w:r>
      <w:r>
        <w:rPr>
          <w:rFonts w:ascii="David" w:hAnsi="David" w:cs="David"/>
          <w:color w:val="000000"/>
          <w:sz w:val="24"/>
          <w:szCs w:val="24"/>
          <w:u w:val="single"/>
          <w:rtl/>
        </w:rPr>
        <w:t>התנועה למען איכות השלטון בישראל נ' ממשלת ישראל</w:t>
      </w:r>
      <w:r>
        <w:rPr>
          <w:rFonts w:ascii="David" w:hAnsi="David" w:cs="David"/>
          <w:color w:val="000000"/>
          <w:sz w:val="24"/>
          <w:szCs w:val="24"/>
          <w:rtl/>
        </w:rPr>
        <w:t xml:space="preserve"> (21.5.2025, הנש' י' עמית, המש' לנש' נ' סולברג, השופטת דפנה ברק-ארז). פסק הדין דן אמנם בניגוד עניינים במשפט הציבורי, ואולם הובהר לעיל שהחובה להימנע מניגוד עניינים, אחת היא – גם במשפט הציבורי וגם במשפט הפרטי. וכך נקבע בבגץ 54321-03-25 </w:t>
      </w:r>
      <w:r>
        <w:rPr>
          <w:rFonts w:ascii="David" w:hAnsi="David" w:cs="David"/>
          <w:color w:val="000000"/>
          <w:sz w:val="24"/>
          <w:szCs w:val="24"/>
          <w:u w:val="single"/>
          <w:rtl/>
        </w:rPr>
        <w:t>התנועה למען איכות השלטון בישראל נ' ממשלת ישראל</w:t>
      </w:r>
      <w:r>
        <w:rPr>
          <w:rFonts w:ascii="David" w:hAnsi="David" w:cs="David"/>
          <w:color w:val="000000"/>
          <w:sz w:val="24"/>
          <w:szCs w:val="24"/>
          <w:rtl/>
        </w:rPr>
        <w:t xml:space="preserve"> – "</w:t>
      </w:r>
      <w:r>
        <w:rPr>
          <w:rFonts w:ascii="David" w:hAnsi="David" w:cs="David"/>
          <w:b/>
          <w:bCs/>
          <w:color w:val="000000"/>
          <w:sz w:val="24"/>
          <w:szCs w:val="24"/>
          <w:rtl/>
        </w:rPr>
        <w:t>בפתח הדברים, יודגש כי בהתאם לכלל שאוסר על ניגוד עניינים, אסור לעובד ציבור או לממלא משרה ציבורית להימצא במצב שבו קיים פוטנציאל לניגוד עניינים בין תפקידו או חובותיו הצ</w:t>
      </w:r>
      <w:r>
        <w:rPr>
          <w:rFonts w:ascii="David" w:hAnsi="David" w:cs="David"/>
          <w:b/>
          <w:bCs/>
          <w:color w:val="000000"/>
          <w:sz w:val="24"/>
          <w:szCs w:val="24"/>
          <w:rtl/>
        </w:rPr>
        <w:t>יבוריות ובין אינטרס אחר שיש לו כאדם פרטי או כנושא תפקיד ציבורי אחר</w:t>
      </w:r>
      <w:r>
        <w:rPr>
          <w:rFonts w:ascii="David" w:hAnsi="David" w:cs="David"/>
          <w:color w:val="000000"/>
          <w:sz w:val="24"/>
          <w:szCs w:val="24"/>
          <w:rtl/>
        </w:rPr>
        <w:t>" (סעיף 71 לפסק הדין של הנש' י' עמית).</w:t>
      </w:r>
    </w:p>
    <w:p w14:paraId="01463E61" w14:textId="77777777" w:rsidR="001D5CBE" w:rsidRDefault="00151396" w:rsidP="001D5CBE">
      <w:pPr>
        <w:pStyle w:val="ad"/>
        <w:spacing w:before="252" w:after="0" w:line="360" w:lineRule="auto"/>
        <w:ind w:left="643"/>
        <w:contextualSpacing w:val="0"/>
        <w:jc w:val="both"/>
        <w:rPr>
          <w:rFonts w:ascii="David" w:hAnsi="David" w:cs="David"/>
          <w:color w:val="000000"/>
          <w:sz w:val="24"/>
          <w:szCs w:val="24"/>
          <w:rtl/>
        </w:rPr>
      </w:pPr>
      <w:r>
        <w:rPr>
          <w:rFonts w:ascii="David" w:hAnsi="David" w:cs="David"/>
          <w:color w:val="000000"/>
          <w:sz w:val="24"/>
          <w:szCs w:val="24"/>
          <w:rtl/>
        </w:rPr>
        <w:t xml:space="preserve">עוד בהמשך נקבע כך (סעיף 73 לפסק הדין של הנש' י' עמית, ההדגשות לא במקור) - </w:t>
      </w:r>
      <w:r>
        <w:rPr>
          <w:rFonts w:ascii="David" w:hAnsi="David" w:cs="David"/>
          <w:b/>
          <w:bCs/>
          <w:sz w:val="24"/>
          <w:szCs w:val="24"/>
          <w:rtl/>
        </w:rPr>
        <w:t xml:space="preserve">"על הטוען לניגוד עניינים </w:t>
      </w:r>
      <w:r>
        <w:rPr>
          <w:rFonts w:ascii="David" w:hAnsi="David" w:cs="David"/>
          <w:b/>
          <w:bCs/>
          <w:sz w:val="24"/>
          <w:szCs w:val="24"/>
          <w:u w:val="single"/>
          <w:rtl/>
        </w:rPr>
        <w:t>לא מוטל הנטל להוכיח שהחלטה מסוימת אכן התקבלה במשוא פנים או מתוך שיקולים זרים</w:t>
      </w:r>
      <w:r>
        <w:rPr>
          <w:rFonts w:ascii="David" w:hAnsi="David" w:cs="David"/>
          <w:b/>
          <w:bCs/>
          <w:sz w:val="24"/>
          <w:szCs w:val="24"/>
          <w:rtl/>
        </w:rPr>
        <w:t xml:space="preserve">, אלא שיש להראות, בהסתברות הנדרשת, </w:t>
      </w:r>
      <w:r>
        <w:rPr>
          <w:rFonts w:ascii="David" w:hAnsi="David" w:cs="David"/>
          <w:b/>
          <w:bCs/>
          <w:sz w:val="24"/>
          <w:szCs w:val="24"/>
          <w:u w:val="single"/>
          <w:rtl/>
        </w:rPr>
        <w:t>קיומו של פוטנציאל</w:t>
      </w:r>
      <w:r>
        <w:rPr>
          <w:rFonts w:ascii="David" w:hAnsi="David" w:cs="David"/>
          <w:b/>
          <w:bCs/>
          <w:sz w:val="24"/>
          <w:szCs w:val="24"/>
          <w:rtl/>
        </w:rPr>
        <w:t xml:space="preserve"> אובייקטיבי </w:t>
      </w:r>
      <w:r>
        <w:rPr>
          <w:rFonts w:ascii="David" w:hAnsi="David" w:cs="David"/>
          <w:b/>
          <w:bCs/>
          <w:sz w:val="24"/>
          <w:szCs w:val="24"/>
          <w:rtl/>
        </w:rPr>
        <w:lastRenderedPageBreak/>
        <w:t xml:space="preserve">לקיומו של ניגוד עניינים... זאת, בשים לב לכך שכללי ניגוד העניינים הם כללים מניעתיים, שתכליתם "למנוע את הרע בטרם יארע" – </w:t>
      </w:r>
      <w:r>
        <w:rPr>
          <w:rFonts w:ascii="David" w:hAnsi="David" w:cs="David"/>
          <w:b/>
          <w:bCs/>
          <w:sz w:val="24"/>
          <w:szCs w:val="24"/>
          <w:u w:val="single"/>
          <w:rtl/>
        </w:rPr>
        <w:t>למנוע מלכתחילה מצב שיעמיד את בעל התפקיד בפיתוי</w:t>
      </w:r>
      <w:r>
        <w:rPr>
          <w:rFonts w:ascii="David" w:hAnsi="David" w:cs="David"/>
          <w:b/>
          <w:bCs/>
          <w:sz w:val="24"/>
          <w:szCs w:val="24"/>
          <w:rtl/>
        </w:rPr>
        <w:t>, בבחינת "אל תביאונו לידי ניסיון"</w:t>
      </w:r>
      <w:r>
        <w:rPr>
          <w:rFonts w:ascii="David" w:hAnsi="David" w:cs="David"/>
          <w:color w:val="000000"/>
          <w:sz w:val="24"/>
          <w:szCs w:val="24"/>
          <w:rtl/>
        </w:rPr>
        <w:t>.</w:t>
      </w:r>
    </w:p>
    <w:p w14:paraId="7ED3C8C8" w14:textId="77777777" w:rsidR="001D5CBE" w:rsidRDefault="00151396" w:rsidP="001D5CBE">
      <w:pPr>
        <w:pStyle w:val="ad"/>
        <w:numPr>
          <w:ilvl w:val="0"/>
          <w:numId w:val="13"/>
        </w:numPr>
        <w:spacing w:before="354" w:after="0" w:line="360" w:lineRule="auto"/>
        <w:contextualSpacing w:val="0"/>
        <w:jc w:val="both"/>
        <w:rPr>
          <w:rFonts w:ascii="David" w:hAnsi="David" w:cs="David"/>
          <w:color w:val="000000"/>
          <w:sz w:val="24"/>
          <w:szCs w:val="24"/>
          <w:rtl/>
        </w:rPr>
      </w:pPr>
      <w:r>
        <w:rPr>
          <w:rFonts w:ascii="David" w:hAnsi="David" w:cs="David"/>
          <w:color w:val="000000"/>
          <w:sz w:val="24"/>
          <w:szCs w:val="24"/>
          <w:rtl/>
        </w:rPr>
        <w:t>להרחבה באשר לכך שדי בקיומו של חשש סביר לניגוד עניינים, על מנת להגדיר ההתנהלות ככזו הנגועה בניגוד עניינים ר' גם בג"ץ 1893/23, </w:t>
      </w:r>
      <w:r>
        <w:rPr>
          <w:rFonts w:ascii="David" w:hAnsi="David" w:cs="David"/>
          <w:color w:val="000000"/>
          <w:sz w:val="24"/>
          <w:szCs w:val="24"/>
          <w:u w:val="single"/>
          <w:rtl/>
        </w:rPr>
        <w:t>ארגון לביא נ' היועצת המשפטית לממשלה, גלי בהרב-מיארה</w:t>
      </w:r>
      <w:r>
        <w:rPr>
          <w:rFonts w:ascii="David" w:hAnsi="David" w:cs="David"/>
          <w:color w:val="000000"/>
          <w:sz w:val="24"/>
          <w:szCs w:val="24"/>
          <w:rtl/>
        </w:rPr>
        <w:t xml:space="preserve"> (</w:t>
      </w:r>
      <w:r>
        <w:rPr>
          <w:rFonts w:ascii="David" w:hAnsi="David" w:cs="David"/>
          <w:color w:val="000000"/>
          <w:sz w:val="24"/>
          <w:szCs w:val="24"/>
        </w:rPr>
        <w:t>22.3.2023</w:t>
      </w:r>
      <w:r>
        <w:rPr>
          <w:rFonts w:ascii="David" w:hAnsi="David" w:cs="David"/>
          <w:color w:val="000000"/>
          <w:sz w:val="24"/>
          <w:szCs w:val="24"/>
          <w:rtl/>
        </w:rPr>
        <w:t>, הש' י' עמית, ע' גרוסקופף, א' שטיין);</w:t>
      </w:r>
      <w:r>
        <w:rPr>
          <w:rFonts w:ascii="David" w:hAnsi="David" w:cs="David"/>
          <w:color w:val="000000"/>
          <w:sz w:val="24"/>
          <w:szCs w:val="24"/>
        </w:rPr>
        <w:t> </w:t>
      </w:r>
      <w:r>
        <w:rPr>
          <w:rFonts w:ascii="David" w:hAnsi="David" w:cs="David"/>
          <w:color w:val="000000"/>
          <w:sz w:val="24"/>
          <w:szCs w:val="24"/>
          <w:rtl/>
        </w:rPr>
        <w:t>בג"ץ 3500/22 ‏</w:t>
      </w:r>
      <w:r>
        <w:rPr>
          <w:rFonts w:ascii="David" w:hAnsi="David" w:cs="David"/>
          <w:color w:val="000000"/>
          <w:sz w:val="24"/>
          <w:szCs w:val="24"/>
          <w:u w:val="single"/>
          <w:rtl/>
        </w:rPr>
        <w:t>‏עיריית מעלות תרשיחא נ' שרת הפנים</w:t>
      </w:r>
      <w:r>
        <w:rPr>
          <w:rFonts w:ascii="David" w:hAnsi="David" w:cs="David"/>
          <w:color w:val="000000"/>
          <w:sz w:val="24"/>
          <w:szCs w:val="24"/>
          <w:rtl/>
        </w:rPr>
        <w:t xml:space="preserve"> (5.2.2023, השופטת י' ברון, השופטת ג' כנפי שטייניץ, השופטת ר' רונן).</w:t>
      </w:r>
    </w:p>
    <w:p w14:paraId="1DCA8DAE" w14:textId="77777777" w:rsidR="001D5CBE" w:rsidRDefault="00151396" w:rsidP="000903FC">
      <w:pPr>
        <w:pStyle w:val="ad"/>
        <w:numPr>
          <w:ilvl w:val="1"/>
          <w:numId w:val="1"/>
        </w:numPr>
        <w:spacing w:before="354" w:after="0" w:line="360" w:lineRule="auto"/>
        <w:ind w:left="288" w:hanging="432"/>
        <w:contextualSpacing w:val="0"/>
        <w:jc w:val="both"/>
        <w:outlineLvl w:val="3"/>
        <w:rPr>
          <w:rFonts w:ascii="David" w:hAnsi="David" w:cs="David"/>
          <w:b/>
          <w:bCs/>
          <w:sz w:val="24"/>
          <w:szCs w:val="24"/>
          <w:u w:val="single"/>
          <w:rtl/>
        </w:rPr>
      </w:pPr>
      <w:r>
        <w:rPr>
          <w:rFonts w:ascii="David" w:hAnsi="David" w:cs="David"/>
          <w:b/>
          <w:bCs/>
          <w:sz w:val="24"/>
          <w:szCs w:val="24"/>
          <w:u w:val="single"/>
          <w:rtl/>
        </w:rPr>
        <w:t>סיכום הדיון בנושא הראשון מארבעה – ניגוד עניינים, המסגרת הנורמטיבית</w:t>
      </w:r>
    </w:p>
    <w:p w14:paraId="7EAA1650" w14:textId="77777777" w:rsidR="001D5CBE" w:rsidRDefault="00151396" w:rsidP="001D5CBE">
      <w:pPr>
        <w:pStyle w:val="ad"/>
        <w:spacing w:after="0" w:line="360" w:lineRule="auto"/>
        <w:ind w:left="283"/>
        <w:jc w:val="both"/>
        <w:rPr>
          <w:rFonts w:ascii="David" w:hAnsi="David" w:cs="David"/>
          <w:sz w:val="24"/>
          <w:szCs w:val="24"/>
        </w:rPr>
      </w:pPr>
      <w:r>
        <w:rPr>
          <w:rFonts w:ascii="David" w:hAnsi="David" w:cs="David"/>
          <w:sz w:val="24"/>
          <w:szCs w:val="24"/>
          <w:rtl/>
        </w:rPr>
        <w:t xml:space="preserve">מכל האמור לעיל עולה שדי בכך שאדם נמצא במצב המעמיד אותו בניגוד עניינים פוטנציאלי, על מנת שייקרא כמי שפועל בניגוד </w:t>
      </w:r>
      <w:r>
        <w:rPr>
          <w:rFonts w:ascii="David" w:hAnsi="David" w:cs="David"/>
          <w:sz w:val="24"/>
          <w:szCs w:val="24"/>
          <w:rtl/>
        </w:rPr>
        <w:t>עניינים. זאת כאשר אין חובה להוכיח פעולות ממוקדות של משוא פנים, או גרימת נזק לאחר.</w:t>
      </w:r>
    </w:p>
    <w:p w14:paraId="5E26ED8D" w14:textId="77777777" w:rsidR="001D5CBE" w:rsidRDefault="00151396" w:rsidP="001D5CBE">
      <w:pPr>
        <w:pStyle w:val="ad"/>
        <w:spacing w:before="252" w:after="0" w:line="360" w:lineRule="auto"/>
        <w:ind w:left="-568"/>
        <w:contextualSpacing w:val="0"/>
        <w:jc w:val="both"/>
        <w:rPr>
          <w:rFonts w:ascii="David" w:hAnsi="David" w:cs="David"/>
          <w:b/>
          <w:bCs/>
          <w:sz w:val="24"/>
          <w:szCs w:val="24"/>
          <w:rtl/>
        </w:rPr>
      </w:pPr>
      <w:r>
        <w:rPr>
          <w:rFonts w:ascii="David" w:hAnsi="David" w:cs="David"/>
          <w:b/>
          <w:bCs/>
          <w:sz w:val="24"/>
          <w:szCs w:val="24"/>
          <w:rtl/>
        </w:rPr>
        <w:t xml:space="preserve">הערת מעבר – משנקבעה המסגרת הנורמטיבית לדיון בשאלת ניגוד העניינים, יפנה פסק הדין לבחון האם התנהלות ד"ר סופר היא בגדר פעולה בניגוד עניינים. על כך בסעיף 9 להלן. </w:t>
      </w:r>
    </w:p>
    <w:p w14:paraId="1674290B" w14:textId="77777777" w:rsidR="001D5CBE" w:rsidRDefault="00151396" w:rsidP="000903FC">
      <w:pPr>
        <w:pStyle w:val="ad"/>
        <w:numPr>
          <w:ilvl w:val="0"/>
          <w:numId w:val="1"/>
        </w:numPr>
        <w:spacing w:before="504" w:after="0" w:line="360" w:lineRule="auto"/>
        <w:ind w:left="-173" w:hanging="533"/>
        <w:contextualSpacing w:val="0"/>
        <w:jc w:val="both"/>
        <w:outlineLvl w:val="2"/>
        <w:rPr>
          <w:rFonts w:ascii="David" w:hAnsi="David" w:cs="David"/>
          <w:sz w:val="24"/>
          <w:szCs w:val="24"/>
          <w:rtl/>
        </w:rPr>
      </w:pPr>
      <w:r>
        <w:rPr>
          <w:rFonts w:ascii="David" w:hAnsi="David" w:cs="David"/>
          <w:b/>
          <w:bCs/>
          <w:sz w:val="26"/>
          <w:szCs w:val="26"/>
          <w:u w:val="single"/>
          <w:rtl/>
        </w:rPr>
        <w:t xml:space="preserve">דיון בנושא שני מארבעה בפסק הדין, ד"ר סופר אשר פעל כשליח חברת שפיר, </w:t>
      </w:r>
      <w:r>
        <w:rPr>
          <w:rFonts w:ascii="David" w:hAnsi="David" w:cs="David"/>
          <w:b/>
          <w:bCs/>
          <w:sz w:val="24"/>
          <w:szCs w:val="24"/>
          <w:u w:val="single"/>
          <w:rtl/>
        </w:rPr>
        <w:t>ואשר שכרו מותנה בכך שיפעל אך ורק עבור האינטרסים של חברת שפיר ולא חברה אחרת – אכן פועל בניגוד עניינים</w:t>
      </w:r>
    </w:p>
    <w:p w14:paraId="01575747" w14:textId="77777777" w:rsidR="001D5CBE" w:rsidRDefault="00151396" w:rsidP="000903FC">
      <w:pPr>
        <w:pStyle w:val="ad"/>
        <w:numPr>
          <w:ilvl w:val="1"/>
          <w:numId w:val="1"/>
        </w:numPr>
        <w:spacing w:before="354" w:after="0" w:line="360" w:lineRule="auto"/>
        <w:ind w:left="288" w:hanging="432"/>
        <w:contextualSpacing w:val="0"/>
        <w:jc w:val="both"/>
        <w:outlineLvl w:val="3"/>
        <w:rPr>
          <w:rFonts w:ascii="David" w:hAnsi="David" w:cs="David"/>
          <w:sz w:val="24"/>
          <w:szCs w:val="24"/>
        </w:rPr>
      </w:pPr>
      <w:r>
        <w:rPr>
          <w:rFonts w:ascii="David" w:hAnsi="David" w:cs="David"/>
          <w:b/>
          <w:bCs/>
          <w:sz w:val="24"/>
          <w:szCs w:val="24"/>
          <w:u w:val="single"/>
          <w:rtl/>
        </w:rPr>
        <w:t>כללי</w:t>
      </w:r>
    </w:p>
    <w:p w14:paraId="0EBBEED3" w14:textId="77777777" w:rsidR="001D5CBE" w:rsidRDefault="00151396" w:rsidP="001D5CBE">
      <w:pPr>
        <w:pStyle w:val="ad"/>
        <w:numPr>
          <w:ilvl w:val="0"/>
          <w:numId w:val="14"/>
        </w:numPr>
        <w:spacing w:after="0" w:line="360" w:lineRule="auto"/>
        <w:jc w:val="both"/>
        <w:rPr>
          <w:rFonts w:ascii="David" w:hAnsi="David" w:cs="David"/>
          <w:sz w:val="24"/>
          <w:szCs w:val="24"/>
        </w:rPr>
      </w:pPr>
      <w:r>
        <w:rPr>
          <w:rFonts w:ascii="David" w:hAnsi="David" w:cs="David"/>
          <w:sz w:val="24"/>
          <w:szCs w:val="24"/>
          <w:rtl/>
        </w:rPr>
        <w:t>במסגרת סיכומיו של ד"ר סופר, עלתה הטענה לפיה נהוג בפרויקטים של התחדשות עירונית שהיזם נושא בשכר נציגים. הטענה הובאה במילים אחרות, אך זו היתה מהותה. וכך נטען בסיכומי ד"ר סופר ש</w:t>
      </w:r>
      <w:r>
        <w:rPr>
          <w:rFonts w:ascii="David" w:hAnsi="David" w:cs="David"/>
          <w:b/>
          <w:bCs/>
          <w:sz w:val="24"/>
          <w:szCs w:val="24"/>
          <w:rtl/>
        </w:rPr>
        <w:t>"ברור מאליו ששכרו של התובע שכנגד [ד"ר סופר – א.ב] כמו גם של עורך הדין או של האדריכל בא מהחברה היזמית, שהרי כך בדיוק בנוי העיקרון של תמ"א 38 ובו הדיירים משלמים ב"זכויות" ולא בכסף"</w:t>
      </w:r>
      <w:r>
        <w:rPr>
          <w:rFonts w:ascii="David" w:hAnsi="David" w:cs="David"/>
          <w:sz w:val="24"/>
          <w:szCs w:val="24"/>
          <w:rtl/>
        </w:rPr>
        <w:t xml:space="preserve"> (סעיף 81 לסיכומים). </w:t>
      </w:r>
      <w:r>
        <w:rPr>
          <w:rFonts w:ascii="David" w:hAnsi="David" w:cs="David"/>
          <w:sz w:val="24"/>
          <w:szCs w:val="24"/>
          <w:u w:val="single"/>
          <w:rtl/>
        </w:rPr>
        <w:t>בטענות אלה יש קושי מסוים, ועל כך בפסקה הבאה</w:t>
      </w:r>
      <w:r>
        <w:rPr>
          <w:rFonts w:ascii="David" w:hAnsi="David" w:cs="David"/>
          <w:sz w:val="24"/>
          <w:szCs w:val="24"/>
          <w:rtl/>
        </w:rPr>
        <w:t>.</w:t>
      </w:r>
    </w:p>
    <w:p w14:paraId="5AC5D8B0" w14:textId="77777777" w:rsidR="001D5CBE" w:rsidRDefault="00151396" w:rsidP="00845FD0">
      <w:pPr>
        <w:pStyle w:val="ad"/>
        <w:numPr>
          <w:ilvl w:val="0"/>
          <w:numId w:val="14"/>
        </w:numPr>
        <w:spacing w:before="360" w:after="100" w:afterAutospacing="1" w:line="360" w:lineRule="auto"/>
        <w:contextualSpacing w:val="0"/>
        <w:jc w:val="both"/>
        <w:rPr>
          <w:rFonts w:ascii="David" w:hAnsi="David" w:cs="David"/>
          <w:sz w:val="24"/>
          <w:szCs w:val="24"/>
        </w:rPr>
      </w:pPr>
      <w:r>
        <w:rPr>
          <w:rFonts w:ascii="David" w:hAnsi="David" w:cs="David"/>
          <w:sz w:val="24"/>
          <w:szCs w:val="24"/>
          <w:rtl/>
        </w:rPr>
        <w:t xml:space="preserve">ד"ר סופר אינו עורך הדין המטפל בפרויקט וגם אינו אדריכל. ד"ר סופר הוא מי שמונה על ידי חברת שפיר על מנת להביא אליה (אל חברת שפיר) את בעלי הזכויות בפרויקט.   </w:t>
      </w:r>
    </w:p>
    <w:p w14:paraId="7316BA94" w14:textId="77777777" w:rsidR="001D5CBE" w:rsidRDefault="00151396" w:rsidP="00845FD0">
      <w:pPr>
        <w:pStyle w:val="ad"/>
        <w:spacing w:before="120" w:after="0" w:line="360" w:lineRule="auto"/>
        <w:ind w:left="648"/>
        <w:jc w:val="both"/>
        <w:rPr>
          <w:rFonts w:ascii="David" w:hAnsi="David" w:cs="David"/>
          <w:sz w:val="24"/>
          <w:szCs w:val="24"/>
          <w:rtl/>
        </w:rPr>
      </w:pPr>
      <w:r>
        <w:rPr>
          <w:rFonts w:ascii="David" w:hAnsi="David" w:cs="David"/>
          <w:sz w:val="24"/>
          <w:szCs w:val="24"/>
          <w:rtl/>
        </w:rPr>
        <w:t xml:space="preserve">ד"ר סופר הוא שלוח של </w:t>
      </w:r>
      <w:r>
        <w:rPr>
          <w:rFonts w:ascii="David" w:hAnsi="David" w:cs="David"/>
          <w:sz w:val="24"/>
          <w:szCs w:val="24"/>
          <w:u w:val="single"/>
          <w:rtl/>
        </w:rPr>
        <w:t>חברת שפיר</w:t>
      </w:r>
      <w:r>
        <w:rPr>
          <w:rFonts w:ascii="David" w:hAnsi="David" w:cs="David"/>
          <w:sz w:val="24"/>
          <w:szCs w:val="24"/>
          <w:rtl/>
        </w:rPr>
        <w:t xml:space="preserve">. הסכם מתן השירותים עליו חתם כבר בחודש ספטמבר 2014, חייב אותו לפעול להחתמת דיירים רק עבור </w:t>
      </w:r>
      <w:r>
        <w:rPr>
          <w:rFonts w:ascii="David" w:hAnsi="David" w:cs="David"/>
          <w:sz w:val="24"/>
          <w:szCs w:val="24"/>
          <w:u w:val="single"/>
          <w:rtl/>
        </w:rPr>
        <w:t>חברת שפיר</w:t>
      </w:r>
      <w:r>
        <w:rPr>
          <w:rFonts w:ascii="David" w:hAnsi="David" w:cs="David"/>
          <w:sz w:val="24"/>
          <w:szCs w:val="24"/>
          <w:rtl/>
        </w:rPr>
        <w:t xml:space="preserve">; שכרו של ד"ר סופר מותנה בכך שיפעל רק עבור </w:t>
      </w:r>
      <w:r>
        <w:rPr>
          <w:rFonts w:ascii="David" w:hAnsi="David" w:cs="David"/>
          <w:sz w:val="24"/>
          <w:szCs w:val="24"/>
          <w:u w:val="single"/>
          <w:rtl/>
        </w:rPr>
        <w:t>חברת שפיר</w:t>
      </w:r>
      <w:r>
        <w:rPr>
          <w:rFonts w:ascii="David" w:hAnsi="David" w:cs="David"/>
          <w:sz w:val="24"/>
          <w:szCs w:val="24"/>
          <w:rtl/>
        </w:rPr>
        <w:t xml:space="preserve"> ולא כל חברה אחרת; ההסכם עימו כולל תנאים לפיהם אפילו ינהל מו"מ עם חברה אחרת שאינה </w:t>
      </w:r>
      <w:r>
        <w:rPr>
          <w:rFonts w:ascii="David" w:hAnsi="David" w:cs="David"/>
          <w:sz w:val="24"/>
          <w:szCs w:val="24"/>
          <w:u w:val="single"/>
          <w:rtl/>
        </w:rPr>
        <w:t>חברת שפיר</w:t>
      </w:r>
      <w:r>
        <w:rPr>
          <w:rFonts w:ascii="David" w:hAnsi="David" w:cs="David"/>
          <w:sz w:val="24"/>
          <w:szCs w:val="24"/>
          <w:rtl/>
        </w:rPr>
        <w:t xml:space="preserve">  – יישלל ממנו שכרו והוא ייאלץ להשיב כל סכום שקיבל בתוספת הצמדה למדד וריבית שנתית של 7% ובנוסף "ייקנס" בסך של 150,000 ₪.</w:t>
      </w:r>
    </w:p>
    <w:p w14:paraId="4A00B1CE" w14:textId="77777777" w:rsidR="001D5CBE" w:rsidRDefault="00151396" w:rsidP="001D5CBE">
      <w:pPr>
        <w:pStyle w:val="ad"/>
        <w:spacing w:before="354" w:after="0" w:line="360" w:lineRule="auto"/>
        <w:ind w:left="643"/>
        <w:contextualSpacing w:val="0"/>
        <w:jc w:val="both"/>
        <w:rPr>
          <w:rFonts w:ascii="David" w:hAnsi="David" w:cs="David"/>
          <w:sz w:val="24"/>
          <w:szCs w:val="24"/>
          <w:rtl/>
        </w:rPr>
      </w:pPr>
      <w:r>
        <w:rPr>
          <w:rFonts w:ascii="David" w:hAnsi="David" w:cs="David"/>
          <w:sz w:val="24"/>
          <w:szCs w:val="24"/>
          <w:rtl/>
        </w:rPr>
        <w:lastRenderedPageBreak/>
        <w:t>כלומר, כפי שעוד יוכח להלן – ד"ר סופר הוא "איש של שפיר", השלוח של שפיר ומי שמונה על מנת לדאוג ולוודא שהפרויקט ייצא לפועל עבור ועל ידי שפיר.</w:t>
      </w:r>
    </w:p>
    <w:p w14:paraId="17B2175C" w14:textId="77777777" w:rsidR="001D5CBE" w:rsidRDefault="00151396" w:rsidP="001D5CBE">
      <w:pPr>
        <w:pStyle w:val="ad"/>
        <w:numPr>
          <w:ilvl w:val="0"/>
          <w:numId w:val="14"/>
        </w:numPr>
        <w:spacing w:before="354" w:after="0" w:line="360" w:lineRule="auto"/>
        <w:contextualSpacing w:val="0"/>
        <w:jc w:val="both"/>
        <w:rPr>
          <w:rFonts w:ascii="David" w:hAnsi="David" w:cs="David"/>
          <w:sz w:val="24"/>
          <w:szCs w:val="24"/>
          <w:rtl/>
        </w:rPr>
      </w:pPr>
      <w:r>
        <w:rPr>
          <w:rFonts w:ascii="David" w:hAnsi="David" w:cs="David"/>
          <w:sz w:val="24"/>
          <w:szCs w:val="24"/>
          <w:rtl/>
        </w:rPr>
        <w:t xml:space="preserve">הפסקאות הבאות יתייחסו לכך  שחובת האמונים של ד"ר סופר היא לחברת שפיר. אפילו ייאמר שבמקביל הוא חב חובת אמונים לבעלי הזכויות בפרויקט – הרי עדיין מדובר במצב מובהק של ניגוד עניינים. מצב אליו נכנס ד"ר סופר כאשר חתם על הסכם מתן השירותים עם חברת שפיר בחודש ספטמבר 2014 </w:t>
      </w:r>
      <w:r>
        <w:rPr>
          <w:rFonts w:ascii="David" w:hAnsi="David" w:cs="David"/>
          <w:sz w:val="24"/>
          <w:szCs w:val="24"/>
          <w:u w:val="single"/>
          <w:rtl/>
        </w:rPr>
        <w:t>ולאחר חודשיים</w:t>
      </w:r>
      <w:r>
        <w:rPr>
          <w:rFonts w:ascii="David" w:hAnsi="David" w:cs="David"/>
          <w:sz w:val="24"/>
          <w:szCs w:val="24"/>
          <w:rtl/>
        </w:rPr>
        <w:t xml:space="preserve"> ובחודש נובמבר 2014, כדבריו הוא – מונה על ידי הדיירים. </w:t>
      </w:r>
    </w:p>
    <w:p w14:paraId="2636F100" w14:textId="77777777" w:rsidR="001D5CBE" w:rsidRDefault="00151396" w:rsidP="000903FC">
      <w:pPr>
        <w:pStyle w:val="ad"/>
        <w:numPr>
          <w:ilvl w:val="1"/>
          <w:numId w:val="1"/>
        </w:numPr>
        <w:spacing w:before="354" w:after="0" w:line="360" w:lineRule="auto"/>
        <w:ind w:left="288" w:hanging="432"/>
        <w:contextualSpacing w:val="0"/>
        <w:jc w:val="both"/>
        <w:outlineLvl w:val="3"/>
        <w:rPr>
          <w:rFonts w:ascii="David" w:hAnsi="David" w:cs="David"/>
          <w:b/>
          <w:bCs/>
          <w:sz w:val="24"/>
          <w:szCs w:val="24"/>
          <w:u w:val="single"/>
        </w:rPr>
      </w:pPr>
      <w:r>
        <w:rPr>
          <w:rFonts w:ascii="David" w:hAnsi="David" w:cs="David"/>
          <w:b/>
          <w:bCs/>
          <w:sz w:val="24"/>
          <w:szCs w:val="24"/>
          <w:u w:val="single"/>
          <w:rtl/>
        </w:rPr>
        <w:t>נימוק ראשון משניים לניגוד העניינים המובנה - ד"ר סופר נמצא, במלוא הכבוד, בניגוד עניינים סטטוטורי כאשר חובת הנאמנות שלו נתונה לחברת שפיר, מכח חוק השליחות</w:t>
      </w:r>
    </w:p>
    <w:p w14:paraId="24C858E8" w14:textId="77777777" w:rsidR="001D5CBE" w:rsidRDefault="00151396" w:rsidP="001D5CBE">
      <w:pPr>
        <w:pStyle w:val="ad"/>
        <w:numPr>
          <w:ilvl w:val="0"/>
          <w:numId w:val="15"/>
        </w:numPr>
        <w:spacing w:after="0" w:line="360" w:lineRule="auto"/>
        <w:jc w:val="both"/>
        <w:rPr>
          <w:rFonts w:ascii="David" w:hAnsi="David" w:cs="David"/>
          <w:sz w:val="24"/>
          <w:szCs w:val="24"/>
        </w:rPr>
      </w:pPr>
      <w:r>
        <w:rPr>
          <w:rFonts w:ascii="David" w:hAnsi="David" w:cs="David"/>
          <w:sz w:val="24"/>
          <w:szCs w:val="24"/>
          <w:rtl/>
        </w:rPr>
        <w:t>הסכם מתן השירותים מינה את ד"ר סופר כשלוח של חברת שפיר. ודוק, כבר בפתיח להסכם ובמסגרת סעיף ה"והואיל" השלישי הצהיר ד"ר סופר, שחתם בשם שיא דיפנס בע"מ כך (ההדגשות לא במקור):</w:t>
      </w:r>
    </w:p>
    <w:p w14:paraId="35076FD5" w14:textId="77777777" w:rsidR="001D5CBE" w:rsidRDefault="00151396" w:rsidP="001D5CBE">
      <w:pPr>
        <w:pStyle w:val="ad"/>
        <w:spacing w:after="0" w:line="360" w:lineRule="auto"/>
        <w:ind w:left="1440"/>
        <w:jc w:val="both"/>
        <w:rPr>
          <w:rFonts w:ascii="David" w:hAnsi="David" w:cs="David"/>
          <w:b/>
          <w:bCs/>
          <w:sz w:val="24"/>
          <w:szCs w:val="24"/>
        </w:rPr>
      </w:pPr>
      <w:r>
        <w:rPr>
          <w:rFonts w:ascii="David" w:hAnsi="David" w:cs="David"/>
          <w:b/>
          <w:bCs/>
          <w:sz w:val="24"/>
          <w:szCs w:val="24"/>
          <w:rtl/>
        </w:rPr>
        <w:t xml:space="preserve">"והואיל וצד ב' </w:t>
      </w:r>
      <w:r>
        <w:rPr>
          <w:rFonts w:ascii="David" w:hAnsi="David" w:cs="David"/>
          <w:sz w:val="24"/>
          <w:szCs w:val="24"/>
          <w:rtl/>
        </w:rPr>
        <w:t>[ד"ר סופר – א.ב]</w:t>
      </w:r>
      <w:r>
        <w:rPr>
          <w:rFonts w:ascii="David" w:hAnsi="David" w:cs="David"/>
          <w:b/>
          <w:bCs/>
          <w:sz w:val="24"/>
          <w:szCs w:val="24"/>
          <w:rtl/>
        </w:rPr>
        <w:t xml:space="preserve"> מצהיר כי הוא מחוייב </w:t>
      </w:r>
      <w:r>
        <w:rPr>
          <w:rFonts w:ascii="David" w:hAnsi="David" w:cs="David"/>
          <w:b/>
          <w:bCs/>
          <w:sz w:val="24"/>
          <w:szCs w:val="24"/>
          <w:u w:val="single"/>
          <w:rtl/>
        </w:rPr>
        <w:t>להחתים את הדיירים בהסכם מול שפיר בלבד</w:t>
      </w:r>
      <w:r>
        <w:rPr>
          <w:rFonts w:ascii="David" w:hAnsi="David" w:cs="David"/>
          <w:b/>
          <w:bCs/>
          <w:sz w:val="24"/>
          <w:szCs w:val="24"/>
          <w:rtl/>
        </w:rPr>
        <w:t xml:space="preserve"> וכי לא יציע ולא יקדם את הפרויקט למול יזם אחר בכל דרך לרבות לא יחתים ולא ייצג דיירים בפרוייקט לאחר החתימה על הסכם זה, למעט שני תנאים – צד א' </w:t>
      </w:r>
      <w:r>
        <w:rPr>
          <w:rFonts w:ascii="David" w:hAnsi="David" w:cs="David"/>
          <w:sz w:val="24"/>
          <w:szCs w:val="24"/>
          <w:rtl/>
        </w:rPr>
        <w:t>[חברת שפיר – א.ב]</w:t>
      </w:r>
      <w:r>
        <w:rPr>
          <w:rFonts w:ascii="David" w:hAnsi="David" w:cs="David"/>
          <w:b/>
          <w:bCs/>
          <w:sz w:val="24"/>
          <w:szCs w:val="24"/>
          <w:rtl/>
        </w:rPr>
        <w:t xml:space="preserve"> החליט שלא לקדם את הפרויקט או באם חלפו המועדים בהסכם מול הדיירים" </w:t>
      </w:r>
    </w:p>
    <w:p w14:paraId="795A1704" w14:textId="77777777" w:rsidR="001D5CBE" w:rsidRDefault="00151396" w:rsidP="001D5CBE">
      <w:pPr>
        <w:pStyle w:val="ad"/>
        <w:spacing w:before="354" w:after="0" w:line="360" w:lineRule="auto"/>
        <w:ind w:hanging="437"/>
        <w:contextualSpacing w:val="0"/>
        <w:jc w:val="both"/>
        <w:rPr>
          <w:rFonts w:ascii="David" w:hAnsi="David" w:cs="David"/>
          <w:sz w:val="24"/>
          <w:szCs w:val="24"/>
          <w:rtl/>
        </w:rPr>
      </w:pPr>
      <w:r>
        <w:rPr>
          <w:rFonts w:ascii="David" w:hAnsi="David" w:cs="David"/>
          <w:sz w:val="24"/>
          <w:szCs w:val="24"/>
          <w:rtl/>
        </w:rPr>
        <w:tab/>
        <w:t>בחתימה על ההסכם, מונה ד"ר סופר להחתים את הדיירים בשמה ובעבורה של חברת שפיר. בכך ובהצגת כל הסכם לכל דייר, גם ייצג את חברת שפיר אליה העביר את ההסכמים החתומים. התנהלות זו הפכה את היחסים שבין ד"ר סופר לבין חברת שפיר ליחסים של שליחות, ור' לענין זה סעיף 1(א) ל</w:t>
      </w:r>
      <w:r>
        <w:rPr>
          <w:rFonts w:ascii="David" w:hAnsi="David" w:cs="David"/>
          <w:sz w:val="24"/>
          <w:szCs w:val="24"/>
          <w:u w:val="single"/>
          <w:rtl/>
        </w:rPr>
        <w:t>חוק השליחות</w:t>
      </w:r>
      <w:r>
        <w:rPr>
          <w:rFonts w:ascii="David" w:hAnsi="David" w:cs="David"/>
          <w:sz w:val="24"/>
          <w:szCs w:val="24"/>
          <w:rtl/>
        </w:rPr>
        <w:t xml:space="preserve">, תשכ"ה – 1965 המגדיר שליחות כך – </w:t>
      </w:r>
      <w:r>
        <w:rPr>
          <w:rFonts w:ascii="David" w:hAnsi="David" w:cs="David"/>
          <w:b/>
          <w:bCs/>
          <w:sz w:val="24"/>
          <w:szCs w:val="24"/>
          <w:rtl/>
        </w:rPr>
        <w:t>"</w:t>
      </w:r>
      <w:r>
        <w:rPr>
          <w:rFonts w:ascii="David" w:hAnsi="David" w:cs="David"/>
          <w:b/>
          <w:bCs/>
          <w:color w:val="000000"/>
          <w:sz w:val="24"/>
          <w:szCs w:val="24"/>
          <w:shd w:val="clear" w:color="auto" w:fill="FFFFFF"/>
          <w:rtl/>
        </w:rPr>
        <w:t>שליחות היא ייפוי כוחו של שלוח לעשות בשמו או במקומו של שולח פעולה משפטית כלפי צד שלישי"</w:t>
      </w:r>
      <w:r>
        <w:rPr>
          <w:rFonts w:ascii="David" w:hAnsi="David" w:cs="David"/>
          <w:color w:val="000000"/>
          <w:sz w:val="24"/>
          <w:szCs w:val="24"/>
          <w:shd w:val="clear" w:color="auto" w:fill="FFFFFF"/>
        </w:rPr>
        <w:t>.</w:t>
      </w:r>
    </w:p>
    <w:p w14:paraId="1031F017" w14:textId="77777777" w:rsidR="001D5CBE" w:rsidRDefault="00151396" w:rsidP="001D5CBE">
      <w:pPr>
        <w:pStyle w:val="ad"/>
        <w:numPr>
          <w:ilvl w:val="0"/>
          <w:numId w:val="15"/>
        </w:numPr>
        <w:spacing w:before="354" w:after="0" w:line="360" w:lineRule="auto"/>
        <w:contextualSpacing w:val="0"/>
        <w:jc w:val="both"/>
        <w:rPr>
          <w:rFonts w:ascii="David" w:hAnsi="David" w:cs="David"/>
          <w:sz w:val="24"/>
          <w:szCs w:val="24"/>
          <w:rtl/>
        </w:rPr>
      </w:pPr>
      <w:r>
        <w:rPr>
          <w:rFonts w:ascii="David" w:hAnsi="David" w:cs="David"/>
          <w:sz w:val="24"/>
          <w:szCs w:val="24"/>
          <w:rtl/>
        </w:rPr>
        <w:t xml:space="preserve">כאשר הפך ד"ר סופר לשלוח של חברת שפיר, הרי קיבל על עצמו חובת נאמנות סטטוטורית ישירות לחברה. חובת הנאמנות היא מעבר להתחייבויות ההסכמיות, עליהן ארחיב בסעיף 9.3 להלן. חובת </w:t>
      </w:r>
      <w:r>
        <w:rPr>
          <w:rFonts w:ascii="David" w:hAnsi="David" w:cs="David"/>
          <w:sz w:val="24"/>
          <w:szCs w:val="24"/>
          <w:rtl/>
        </w:rPr>
        <w:t>הנאמנות קבועה בסעיף 8 ל</w:t>
      </w:r>
      <w:r>
        <w:rPr>
          <w:rFonts w:ascii="David" w:hAnsi="David" w:cs="David"/>
          <w:sz w:val="24"/>
          <w:szCs w:val="24"/>
          <w:u w:val="single"/>
          <w:rtl/>
        </w:rPr>
        <w:t>חוק השליחות</w:t>
      </w:r>
      <w:r>
        <w:rPr>
          <w:rFonts w:ascii="David" w:hAnsi="David" w:cs="David"/>
          <w:sz w:val="24"/>
          <w:szCs w:val="24"/>
          <w:rtl/>
        </w:rPr>
        <w:t>, אשר קובע הוראות שונות לפיהן חייב לפעול שלוח ואשר קובע בתחילתו כך (ההדגשות לא במקור):</w:t>
      </w:r>
    </w:p>
    <w:p w14:paraId="66D44ABD" w14:textId="77777777" w:rsidR="001D5CBE" w:rsidRDefault="00151396" w:rsidP="001D5CBE">
      <w:pPr>
        <w:pStyle w:val="ad"/>
        <w:spacing w:after="0" w:line="360" w:lineRule="auto"/>
        <w:ind w:left="992"/>
        <w:jc w:val="both"/>
        <w:rPr>
          <w:rFonts w:ascii="David" w:hAnsi="David" w:cs="David"/>
          <w:b/>
          <w:bCs/>
          <w:sz w:val="24"/>
          <w:szCs w:val="24"/>
        </w:rPr>
      </w:pPr>
      <w:r>
        <w:rPr>
          <w:rFonts w:ascii="David" w:hAnsi="David" w:cs="David"/>
          <w:b/>
          <w:bCs/>
          <w:sz w:val="24"/>
          <w:szCs w:val="24"/>
          <w:rtl/>
        </w:rPr>
        <w:t xml:space="preserve">"קיבל אדם עליו להיות שלוח, </w:t>
      </w:r>
      <w:r>
        <w:rPr>
          <w:rFonts w:ascii="David" w:hAnsi="David" w:cs="David"/>
          <w:b/>
          <w:bCs/>
          <w:sz w:val="24"/>
          <w:szCs w:val="24"/>
          <w:u w:val="single"/>
          <w:rtl/>
        </w:rPr>
        <w:t>חייב הוא לנהוג כלפי השולח בנאמנות ולפעול בהתאם להוראותיו</w:t>
      </w:r>
      <w:r>
        <w:rPr>
          <w:rFonts w:ascii="David" w:hAnsi="David" w:cs="David"/>
          <w:b/>
          <w:bCs/>
          <w:sz w:val="24"/>
          <w:szCs w:val="24"/>
          <w:rtl/>
        </w:rPr>
        <w:t>; ובאין כוונה אחרת משתמעת ממהות השליחות או מתנאיה יחולו עליו חובות אלו"</w:t>
      </w:r>
    </w:p>
    <w:p w14:paraId="79443130" w14:textId="77777777" w:rsidR="001D5CBE" w:rsidRDefault="00151396" w:rsidP="001D5CBE">
      <w:pPr>
        <w:pStyle w:val="ad"/>
        <w:spacing w:before="354" w:after="0" w:line="360" w:lineRule="auto"/>
        <w:ind w:left="643"/>
        <w:contextualSpacing w:val="0"/>
        <w:jc w:val="both"/>
        <w:rPr>
          <w:rFonts w:ascii="David" w:hAnsi="David" w:cs="David"/>
          <w:sz w:val="24"/>
          <w:szCs w:val="24"/>
          <w:rtl/>
        </w:rPr>
      </w:pPr>
      <w:r>
        <w:rPr>
          <w:rFonts w:ascii="David" w:hAnsi="David" w:cs="David"/>
          <w:sz w:val="24"/>
          <w:szCs w:val="24"/>
          <w:rtl/>
        </w:rPr>
        <w:t>כלומר, ד"ר סופר מחויב על פי דין לנהוג כלפי חברת שפיר בנאמנות ו</w:t>
      </w:r>
      <w:r>
        <w:rPr>
          <w:rFonts w:ascii="David" w:hAnsi="David" w:cs="David"/>
          <w:sz w:val="24"/>
          <w:szCs w:val="24"/>
          <w:u w:val="single"/>
          <w:rtl/>
        </w:rPr>
        <w:t>לפעול בהתאם להוראותיה</w:t>
      </w:r>
      <w:r>
        <w:rPr>
          <w:rFonts w:ascii="David" w:hAnsi="David" w:cs="David"/>
          <w:sz w:val="24"/>
          <w:szCs w:val="24"/>
          <w:rtl/>
        </w:rPr>
        <w:t xml:space="preserve">. ומה כאשר הוראות חברת שפיר לא יעלו בקנה אחד עם האינטרס של בעלי הזכויות בפרויקט? מה </w:t>
      </w:r>
      <w:r>
        <w:rPr>
          <w:rFonts w:ascii="David" w:hAnsi="David" w:cs="David"/>
          <w:sz w:val="24"/>
          <w:szCs w:val="24"/>
          <w:rtl/>
        </w:rPr>
        <w:lastRenderedPageBreak/>
        <w:t>כאשר הנכון יהיה לפנות לחברות יזמיות אחרות שאינן חברת שפיר? במקרה כזה מחויב ד"ר סופר על פי דין ועל פי חוק השליחות – לפעול רק עבור חברת שפיר ובהתאם להוראותיה.</w:t>
      </w:r>
    </w:p>
    <w:p w14:paraId="481FFA4B" w14:textId="77777777" w:rsidR="001D5CBE" w:rsidRDefault="00151396" w:rsidP="001D5CBE">
      <w:pPr>
        <w:pStyle w:val="ad"/>
        <w:numPr>
          <w:ilvl w:val="0"/>
          <w:numId w:val="15"/>
        </w:numPr>
        <w:spacing w:before="354" w:after="0" w:line="360" w:lineRule="auto"/>
        <w:contextualSpacing w:val="0"/>
        <w:jc w:val="both"/>
        <w:rPr>
          <w:rFonts w:ascii="David" w:hAnsi="David" w:cs="David"/>
          <w:sz w:val="24"/>
          <w:szCs w:val="24"/>
          <w:rtl/>
        </w:rPr>
      </w:pPr>
      <w:r>
        <w:rPr>
          <w:rFonts w:ascii="David" w:hAnsi="David" w:cs="David"/>
          <w:sz w:val="24"/>
          <w:szCs w:val="24"/>
          <w:rtl/>
        </w:rPr>
        <w:t xml:space="preserve">ואם לא די בפתיח לסעיף 8 של </w:t>
      </w:r>
      <w:r>
        <w:rPr>
          <w:rFonts w:ascii="David" w:hAnsi="David" w:cs="David"/>
          <w:sz w:val="24"/>
          <w:szCs w:val="24"/>
          <w:u w:val="single"/>
          <w:rtl/>
        </w:rPr>
        <w:t>חוק השליחות</w:t>
      </w:r>
      <w:r>
        <w:rPr>
          <w:rFonts w:ascii="David" w:hAnsi="David" w:cs="David"/>
          <w:sz w:val="24"/>
          <w:szCs w:val="24"/>
          <w:rtl/>
        </w:rPr>
        <w:t>, הרי סעיף 8(5) לחוק קובע כך (ההדגשות לא במקור)</w:t>
      </w:r>
      <w:r>
        <w:rPr>
          <w:rFonts w:ascii="David" w:hAnsi="David" w:cs="David"/>
          <w:sz w:val="24"/>
          <w:szCs w:val="24"/>
        </w:rPr>
        <w:t>:</w:t>
      </w:r>
    </w:p>
    <w:p w14:paraId="0DD1F2D4" w14:textId="77777777" w:rsidR="001D5CBE" w:rsidRDefault="00151396" w:rsidP="001D5CBE">
      <w:pPr>
        <w:pStyle w:val="ad"/>
        <w:spacing w:after="0" w:line="360" w:lineRule="auto"/>
        <w:ind w:left="992"/>
        <w:jc w:val="both"/>
        <w:rPr>
          <w:rFonts w:ascii="David" w:hAnsi="David" w:cs="David"/>
          <w:b/>
          <w:bCs/>
          <w:sz w:val="24"/>
          <w:szCs w:val="24"/>
        </w:rPr>
      </w:pPr>
      <w:r>
        <w:rPr>
          <w:rFonts w:ascii="David" w:hAnsi="David" w:cs="David"/>
          <w:b/>
          <w:bCs/>
          <w:sz w:val="24"/>
          <w:szCs w:val="24"/>
          <w:rtl/>
        </w:rPr>
        <w:t xml:space="preserve">"לא ישתמש לרעת השולח בידיעות או במסמכים שבאו לידו עקב השליחות, ובדרך כלל </w:t>
      </w:r>
      <w:r>
        <w:rPr>
          <w:rFonts w:ascii="David" w:hAnsi="David" w:cs="David"/>
          <w:b/>
          <w:bCs/>
          <w:sz w:val="24"/>
          <w:szCs w:val="24"/>
          <w:u w:val="single"/>
          <w:rtl/>
        </w:rPr>
        <w:t>יימנע מכל דבר שיש בו ניגוד בין טובת השולח ובין טובתו שלו או של אדם אחר</w:t>
      </w:r>
      <w:r>
        <w:rPr>
          <w:rFonts w:ascii="David" w:hAnsi="David" w:cs="David"/>
          <w:b/>
          <w:bCs/>
          <w:sz w:val="24"/>
          <w:szCs w:val="24"/>
          <w:rtl/>
        </w:rPr>
        <w:t>"</w:t>
      </w:r>
    </w:p>
    <w:p w14:paraId="4A5D71DA" w14:textId="77777777" w:rsidR="001D5CBE" w:rsidRDefault="00151396" w:rsidP="001D5CBE">
      <w:pPr>
        <w:pStyle w:val="ad"/>
        <w:spacing w:before="354" w:after="0" w:line="360" w:lineRule="auto"/>
        <w:ind w:left="566"/>
        <w:contextualSpacing w:val="0"/>
        <w:jc w:val="both"/>
        <w:rPr>
          <w:rFonts w:ascii="David" w:hAnsi="David" w:cs="David"/>
          <w:b/>
          <w:bCs/>
          <w:sz w:val="24"/>
          <w:szCs w:val="24"/>
          <w:rtl/>
        </w:rPr>
      </w:pPr>
      <w:r>
        <w:rPr>
          <w:rFonts w:ascii="David" w:hAnsi="David" w:cs="David"/>
          <w:sz w:val="24"/>
          <w:szCs w:val="24"/>
          <w:rtl/>
        </w:rPr>
        <w:t>כלומר – ד"ר סופר, כשלוח של חברת שפיר, מחויב להימנע</w:t>
      </w:r>
      <w:r>
        <w:rPr>
          <w:rFonts w:ascii="David" w:hAnsi="David" w:cs="David"/>
          <w:b/>
          <w:bCs/>
          <w:sz w:val="24"/>
          <w:szCs w:val="24"/>
          <w:rtl/>
        </w:rPr>
        <w:t xml:space="preserve"> </w:t>
      </w:r>
      <w:r>
        <w:rPr>
          <w:rFonts w:ascii="David" w:hAnsi="David" w:cs="David"/>
          <w:sz w:val="24"/>
          <w:szCs w:val="24"/>
          <w:rtl/>
        </w:rPr>
        <w:t xml:space="preserve">מכל דבר שיש בו </w:t>
      </w:r>
      <w:r>
        <w:rPr>
          <w:rFonts w:ascii="David" w:hAnsi="David" w:cs="David"/>
          <w:sz w:val="24"/>
          <w:szCs w:val="24"/>
          <w:u w:val="single"/>
          <w:rtl/>
        </w:rPr>
        <w:t>ניגוד בין טובתה של חברת שפיר</w:t>
      </w:r>
      <w:r>
        <w:rPr>
          <w:rFonts w:ascii="David" w:hAnsi="David" w:cs="David"/>
          <w:sz w:val="24"/>
          <w:szCs w:val="24"/>
          <w:rtl/>
        </w:rPr>
        <w:t xml:space="preserve"> לבין טובתו של אדם אחר. והינה לנו התייחסות מפורשת נוספת לניגוד העניינים המובנה בו נמצא ד"ר סופר, שהרי ככל שטובת חברת שפיר תהיה מנוגדת לטובת בעלי הזכויות בפרויקט – הרי עליו להעדיף את טובת חברת שפיר ולהימנע מלפעול כנגדה.</w:t>
      </w:r>
    </w:p>
    <w:p w14:paraId="7DE592EE" w14:textId="77777777" w:rsidR="001D5CBE" w:rsidRDefault="00151396" w:rsidP="000903FC">
      <w:pPr>
        <w:pStyle w:val="ad"/>
        <w:numPr>
          <w:ilvl w:val="1"/>
          <w:numId w:val="1"/>
        </w:numPr>
        <w:spacing w:before="354" w:after="0" w:line="360" w:lineRule="auto"/>
        <w:ind w:left="288" w:hanging="432"/>
        <w:contextualSpacing w:val="0"/>
        <w:jc w:val="both"/>
        <w:outlineLvl w:val="3"/>
        <w:rPr>
          <w:rFonts w:ascii="David" w:hAnsi="David" w:cs="David"/>
          <w:b/>
          <w:bCs/>
          <w:sz w:val="24"/>
          <w:szCs w:val="24"/>
        </w:rPr>
      </w:pPr>
      <w:r>
        <w:rPr>
          <w:rFonts w:ascii="David" w:hAnsi="David" w:cs="David"/>
          <w:b/>
          <w:bCs/>
          <w:sz w:val="24"/>
          <w:szCs w:val="24"/>
          <w:u w:val="single"/>
          <w:rtl/>
        </w:rPr>
        <w:t>נימוק שני משניים לניגוד העניינים המובנה – התייחסות להתחייבויות ד"ר סופר בהסכם בינו לבין חברת שפיר מוכיחה שבמלוא הכבוד, הוא נמצא במצב של ניגוד עניינים</w:t>
      </w:r>
    </w:p>
    <w:p w14:paraId="6B42B363" w14:textId="77777777" w:rsidR="001D5CBE" w:rsidRDefault="00151396" w:rsidP="001D5CBE">
      <w:pPr>
        <w:pStyle w:val="ad"/>
        <w:spacing w:after="0" w:line="360" w:lineRule="auto"/>
        <w:ind w:left="283"/>
        <w:jc w:val="both"/>
        <w:rPr>
          <w:rFonts w:ascii="David" w:hAnsi="David" w:cs="David"/>
          <w:sz w:val="24"/>
          <w:szCs w:val="24"/>
        </w:rPr>
      </w:pPr>
      <w:r>
        <w:rPr>
          <w:rFonts w:ascii="David" w:hAnsi="David" w:cs="David"/>
          <w:sz w:val="24"/>
          <w:szCs w:val="24"/>
          <w:rtl/>
        </w:rPr>
        <w:t xml:space="preserve">עיון בהסכם למתן שירותים בין ד"ר סופר, בעבור שיא דיפנס בע"מ לבין חברת שפיר – מגלה לפחות ארבע חיזוקים והוכחות לניגוד העניינים בו נמצא ד"ר סופר וכך ניתן להפנות אל: </w:t>
      </w:r>
    </w:p>
    <w:p w14:paraId="78E8D1C6" w14:textId="77777777" w:rsidR="001D5CBE" w:rsidRDefault="00151396" w:rsidP="001D5CBE">
      <w:pPr>
        <w:pStyle w:val="ad"/>
        <w:numPr>
          <w:ilvl w:val="0"/>
          <w:numId w:val="16"/>
        </w:numPr>
        <w:spacing w:before="354" w:after="0" w:line="360" w:lineRule="auto"/>
        <w:contextualSpacing w:val="0"/>
        <w:jc w:val="both"/>
        <w:rPr>
          <w:rFonts w:ascii="David" w:hAnsi="David" w:cs="David"/>
          <w:sz w:val="24"/>
          <w:szCs w:val="24"/>
          <w:rtl/>
        </w:rPr>
      </w:pPr>
      <w:r>
        <w:rPr>
          <w:rFonts w:ascii="David" w:hAnsi="David" w:cs="David"/>
          <w:b/>
          <w:bCs/>
          <w:sz w:val="24"/>
          <w:szCs w:val="24"/>
          <w:u w:val="single"/>
          <w:rtl/>
        </w:rPr>
        <w:t>הוכחה ראשונה מארבע לניגוד העניינים מכח ההסכם של ד"ר סופר אל מול חברת שפיר – התחייבות לפעול רק בעבור ולטובת חברת שפיר</w:t>
      </w:r>
      <w:r>
        <w:rPr>
          <w:rFonts w:ascii="David" w:hAnsi="David" w:cs="David"/>
          <w:sz w:val="24"/>
          <w:szCs w:val="24"/>
          <w:rtl/>
        </w:rPr>
        <w:t xml:space="preserve"> </w:t>
      </w:r>
    </w:p>
    <w:p w14:paraId="16C4A007" w14:textId="77777777" w:rsidR="001D5CBE" w:rsidRDefault="00151396" w:rsidP="001D5CBE">
      <w:pPr>
        <w:pStyle w:val="ad"/>
        <w:numPr>
          <w:ilvl w:val="0"/>
          <w:numId w:val="3"/>
        </w:numPr>
        <w:spacing w:after="0" w:line="360" w:lineRule="auto"/>
        <w:jc w:val="both"/>
        <w:rPr>
          <w:rFonts w:ascii="David" w:hAnsi="David" w:cs="David"/>
          <w:sz w:val="24"/>
          <w:szCs w:val="24"/>
        </w:rPr>
      </w:pPr>
      <w:r>
        <w:rPr>
          <w:rFonts w:ascii="David" w:hAnsi="David" w:cs="David"/>
          <w:sz w:val="24"/>
          <w:szCs w:val="24"/>
          <w:rtl/>
        </w:rPr>
        <w:t xml:space="preserve">כפי שצוטט לעיל, כבר בסעיפי המבוא ובפסקת ה"והואיל" השלישית להסכם, התחייב ד"ר סופר לפעול </w:t>
      </w:r>
      <w:r>
        <w:rPr>
          <w:rFonts w:ascii="David" w:hAnsi="David" w:cs="David"/>
          <w:sz w:val="24"/>
          <w:szCs w:val="24"/>
          <w:u w:val="single"/>
          <w:rtl/>
        </w:rPr>
        <w:t>אך ורק</w:t>
      </w:r>
      <w:r>
        <w:rPr>
          <w:rFonts w:ascii="David" w:hAnsi="David" w:cs="David"/>
          <w:sz w:val="24"/>
          <w:szCs w:val="24"/>
          <w:rtl/>
        </w:rPr>
        <w:t xml:space="preserve"> עבור חברת שפיר ועוד התחייב ישירות לא לפעול אל מול יזם אחר. וכלשון ההסכם -   </w:t>
      </w:r>
      <w:r>
        <w:rPr>
          <w:rFonts w:ascii="David" w:hAnsi="David" w:cs="David"/>
          <w:b/>
          <w:bCs/>
          <w:sz w:val="24"/>
          <w:szCs w:val="24"/>
          <w:rtl/>
        </w:rPr>
        <w:t xml:space="preserve">"והואיל וצד ב' </w:t>
      </w:r>
      <w:r>
        <w:rPr>
          <w:rFonts w:ascii="David" w:hAnsi="David" w:cs="David"/>
          <w:sz w:val="24"/>
          <w:szCs w:val="24"/>
          <w:rtl/>
        </w:rPr>
        <w:t>[ד"ר סופר – א.ב]</w:t>
      </w:r>
      <w:r>
        <w:rPr>
          <w:rFonts w:ascii="David" w:hAnsi="David" w:cs="David"/>
          <w:b/>
          <w:bCs/>
          <w:sz w:val="24"/>
          <w:szCs w:val="24"/>
          <w:rtl/>
        </w:rPr>
        <w:t xml:space="preserve"> מצהיר כי הוא מחוייב </w:t>
      </w:r>
      <w:r>
        <w:rPr>
          <w:rFonts w:ascii="David" w:hAnsi="David" w:cs="David"/>
          <w:b/>
          <w:bCs/>
          <w:sz w:val="24"/>
          <w:szCs w:val="24"/>
          <w:u w:val="single"/>
          <w:rtl/>
        </w:rPr>
        <w:t>להחתים את הדיירים בהסכם מול שפיר בלבד</w:t>
      </w:r>
      <w:r>
        <w:rPr>
          <w:rFonts w:ascii="David" w:hAnsi="David" w:cs="David"/>
          <w:b/>
          <w:bCs/>
          <w:sz w:val="24"/>
          <w:szCs w:val="24"/>
          <w:rtl/>
        </w:rPr>
        <w:t xml:space="preserve"> וכי לא יציע ולא יקדם את הפרויקט למול יזם אחר בכל דרך לרבות לא יחתים ולא ייצג דיירים בפרוייקט לאחר החתימה על הסכם זה, למעט שני תנאים – צד א' </w:t>
      </w:r>
      <w:r>
        <w:rPr>
          <w:rFonts w:ascii="David" w:hAnsi="David" w:cs="David"/>
          <w:sz w:val="24"/>
          <w:szCs w:val="24"/>
          <w:rtl/>
        </w:rPr>
        <w:t>[חברת שפיר – א.ב]</w:t>
      </w:r>
      <w:r>
        <w:rPr>
          <w:rFonts w:ascii="David" w:hAnsi="David" w:cs="David"/>
          <w:b/>
          <w:bCs/>
          <w:sz w:val="24"/>
          <w:szCs w:val="24"/>
          <w:rtl/>
        </w:rPr>
        <w:t xml:space="preserve"> החליט שלא לקדם את הפרויקט או באם חלפו המועדים בהסכם מול הדיירים".</w:t>
      </w:r>
    </w:p>
    <w:p w14:paraId="103BF334" w14:textId="77777777" w:rsidR="001D5CBE" w:rsidRDefault="00151396" w:rsidP="001D5CBE">
      <w:pPr>
        <w:pStyle w:val="ad"/>
        <w:numPr>
          <w:ilvl w:val="0"/>
          <w:numId w:val="3"/>
        </w:numPr>
        <w:spacing w:before="354" w:after="0" w:line="360" w:lineRule="auto"/>
        <w:contextualSpacing w:val="0"/>
        <w:jc w:val="both"/>
        <w:rPr>
          <w:rFonts w:ascii="David" w:hAnsi="David" w:cs="David"/>
          <w:sz w:val="24"/>
          <w:szCs w:val="24"/>
        </w:rPr>
      </w:pPr>
      <w:r>
        <w:rPr>
          <w:rFonts w:ascii="David" w:hAnsi="David" w:cs="David"/>
          <w:sz w:val="24"/>
          <w:szCs w:val="24"/>
          <w:rtl/>
        </w:rPr>
        <w:t xml:space="preserve">התחייבות כזו, לפעול רק עבור ובשביל חברת שפיר כמו גם ההתחייבות המשלימה – לא לפנות ליזם אחר – שתי התחייבויות אלה מקבעות את ד"ר סופר לפעול אך ורק בעבור האינטרסים של חברת שפיר. כמובן שלא תתעורר כל מחלוקת, ככל שהאינטרסים של חברת שפיר יתאמו את האינטרסים של בעלי הזכויות בפרוייקט. אך מה כאשר יבקשו בעלי הזכויות בפרויקט לבחון אפשרויות אחרות? מה כאשר האינטרסים של בעלי הזכויות יהיו שונים מהאינטרסים של חברת שפיר? במצב כזה – ניגוד העניינים בו נמצא ד"ר סופר יחייב אותו לפעול אך ורק בהתאם לטובתה של חברת שפיר.  </w:t>
      </w:r>
    </w:p>
    <w:p w14:paraId="66EDD061" w14:textId="77777777" w:rsidR="001D5CBE" w:rsidRDefault="00151396" w:rsidP="00A66F6B">
      <w:pPr>
        <w:pStyle w:val="ad"/>
        <w:numPr>
          <w:ilvl w:val="0"/>
          <w:numId w:val="16"/>
        </w:numPr>
        <w:spacing w:before="354" w:after="0" w:line="360" w:lineRule="auto"/>
        <w:contextualSpacing w:val="0"/>
        <w:jc w:val="both"/>
        <w:rPr>
          <w:rFonts w:ascii="David" w:hAnsi="David" w:cs="David"/>
          <w:sz w:val="24"/>
          <w:szCs w:val="24"/>
          <w:rtl/>
        </w:rPr>
      </w:pPr>
      <w:r>
        <w:rPr>
          <w:rFonts w:ascii="David" w:hAnsi="David" w:cs="David"/>
          <w:b/>
          <w:bCs/>
          <w:sz w:val="24"/>
          <w:szCs w:val="24"/>
          <w:u w:val="single"/>
          <w:rtl/>
        </w:rPr>
        <w:lastRenderedPageBreak/>
        <w:t xml:space="preserve">הוכחה שניה מארבע לניגוד העניינים מכח ההסכם של ד"ר סופר אל מול חברת שפיר –התחייבות </w:t>
      </w:r>
      <w:r w:rsidR="00A66F6B">
        <w:rPr>
          <w:rFonts w:ascii="David" w:hAnsi="David" w:cs="David" w:hint="cs"/>
          <w:b/>
          <w:bCs/>
          <w:sz w:val="24"/>
          <w:szCs w:val="24"/>
          <w:u w:val="single"/>
          <w:rtl/>
        </w:rPr>
        <w:t xml:space="preserve">נוספת </w:t>
      </w:r>
      <w:r>
        <w:rPr>
          <w:rFonts w:ascii="David" w:hAnsi="David" w:cs="David"/>
          <w:b/>
          <w:bCs/>
          <w:sz w:val="24"/>
          <w:szCs w:val="24"/>
          <w:u w:val="single"/>
          <w:rtl/>
        </w:rPr>
        <w:t>לפעול אך</w:t>
      </w:r>
      <w:r w:rsidR="00A66F6B">
        <w:rPr>
          <w:rFonts w:ascii="David" w:hAnsi="David" w:cs="David" w:hint="cs"/>
          <w:b/>
          <w:bCs/>
          <w:sz w:val="24"/>
          <w:szCs w:val="24"/>
          <w:u w:val="single"/>
          <w:rtl/>
        </w:rPr>
        <w:t xml:space="preserve"> ורק</w:t>
      </w:r>
      <w:r>
        <w:rPr>
          <w:rFonts w:ascii="David" w:hAnsi="David" w:cs="David"/>
          <w:b/>
          <w:bCs/>
          <w:sz w:val="24"/>
          <w:szCs w:val="24"/>
          <w:u w:val="single"/>
          <w:rtl/>
        </w:rPr>
        <w:t xml:space="preserve"> בעבור ולטובת חברת שפיר</w:t>
      </w:r>
    </w:p>
    <w:p w14:paraId="4C6005CF" w14:textId="77777777" w:rsidR="001D5CBE" w:rsidRDefault="00151396" w:rsidP="001D5CBE">
      <w:pPr>
        <w:pStyle w:val="ad"/>
        <w:numPr>
          <w:ilvl w:val="0"/>
          <w:numId w:val="3"/>
        </w:numPr>
        <w:spacing w:after="0" w:line="360" w:lineRule="auto"/>
        <w:jc w:val="both"/>
        <w:rPr>
          <w:rFonts w:ascii="David" w:hAnsi="David" w:cs="David"/>
          <w:sz w:val="24"/>
          <w:szCs w:val="24"/>
        </w:rPr>
      </w:pPr>
      <w:r>
        <w:rPr>
          <w:rFonts w:ascii="David" w:hAnsi="David" w:cs="David"/>
          <w:sz w:val="24"/>
          <w:szCs w:val="24"/>
          <w:rtl/>
        </w:rPr>
        <w:t>הסכם ההתקשרות חזר והבהיר שהתשלום לד"ר סופר מותנה בהחתמת בעלי הזכויות בפרויקט על הסכמים לטובת חברת שפיר ואך ורק לטובת שפיר. וכך התחייבות ד"ר סופר הופיעה גם בסעיף 4.1 להסכם, כאשר הסיפא לו הודגש במיוחד (ההדגשות, מלבד הסיפא, הן לא במקור)</w:t>
      </w:r>
      <w:r>
        <w:rPr>
          <w:rFonts w:ascii="David" w:hAnsi="David" w:cs="David"/>
          <w:sz w:val="24"/>
          <w:szCs w:val="24"/>
        </w:rPr>
        <w:t>:</w:t>
      </w:r>
    </w:p>
    <w:p w14:paraId="1ACBB79C" w14:textId="77777777" w:rsidR="001D5CBE" w:rsidRDefault="00151396" w:rsidP="001D5CBE">
      <w:pPr>
        <w:pStyle w:val="ad"/>
        <w:spacing w:after="0" w:line="360" w:lineRule="auto"/>
        <w:ind w:left="1440"/>
        <w:jc w:val="both"/>
        <w:rPr>
          <w:rFonts w:ascii="David" w:hAnsi="David" w:cs="David"/>
          <w:b/>
          <w:bCs/>
          <w:sz w:val="24"/>
          <w:szCs w:val="24"/>
        </w:rPr>
      </w:pPr>
      <w:r>
        <w:rPr>
          <w:rFonts w:ascii="David" w:hAnsi="David" w:cs="David"/>
          <w:b/>
          <w:bCs/>
          <w:sz w:val="24"/>
          <w:szCs w:val="24"/>
          <w:rtl/>
        </w:rPr>
        <w:t xml:space="preserve">"כי יפעל להחתמת כל בעלי הזכויות בכל דירה ודירה (להלן: "בעלי הדירות") בפרויקט על הסכמים מחייבים למכירת זכויותיהם </w:t>
      </w:r>
      <w:r>
        <w:rPr>
          <w:rFonts w:ascii="David" w:hAnsi="David" w:cs="David"/>
          <w:b/>
          <w:bCs/>
          <w:sz w:val="24"/>
          <w:szCs w:val="24"/>
          <w:u w:val="single"/>
          <w:rtl/>
        </w:rPr>
        <w:t>לטובת שפיר</w:t>
      </w:r>
      <w:r>
        <w:rPr>
          <w:rFonts w:ascii="David" w:hAnsi="David" w:cs="David"/>
          <w:b/>
          <w:bCs/>
          <w:sz w:val="24"/>
          <w:szCs w:val="24"/>
          <w:rtl/>
        </w:rPr>
        <w:t xml:space="preserve">. החתמת בעלי הדירות על כל ההתחייבויות הדרושות בהסכמת ב"כ בעלי הזכויות. למען הסר ספק, צד ב' </w:t>
      </w:r>
      <w:r>
        <w:rPr>
          <w:rFonts w:ascii="David" w:hAnsi="David" w:cs="David"/>
          <w:sz w:val="24"/>
          <w:szCs w:val="24"/>
          <w:rtl/>
        </w:rPr>
        <w:t xml:space="preserve">[ד"ר סופר – א.ב] </w:t>
      </w:r>
      <w:r>
        <w:rPr>
          <w:rFonts w:ascii="David" w:hAnsi="David" w:cs="David"/>
          <w:b/>
          <w:bCs/>
          <w:sz w:val="24"/>
          <w:szCs w:val="24"/>
          <w:rtl/>
        </w:rPr>
        <w:t xml:space="preserve">מצהיר כי ידוע לו שההצלחה בפעולות ההחתמה </w:t>
      </w:r>
      <w:r>
        <w:rPr>
          <w:rFonts w:ascii="David" w:hAnsi="David" w:cs="David"/>
          <w:b/>
          <w:bCs/>
          <w:sz w:val="24"/>
          <w:szCs w:val="24"/>
          <w:u w:val="single"/>
          <w:rtl/>
        </w:rPr>
        <w:t>הן תנאי להתקשרות בין הצדדים ולקיומו של הפרויקט</w:t>
      </w:r>
      <w:r>
        <w:rPr>
          <w:rFonts w:ascii="David" w:hAnsi="David" w:cs="David"/>
          <w:b/>
          <w:bCs/>
          <w:sz w:val="24"/>
          <w:szCs w:val="24"/>
          <w:rtl/>
        </w:rPr>
        <w:t xml:space="preserve">" </w:t>
      </w:r>
    </w:p>
    <w:p w14:paraId="144F943F" w14:textId="77777777" w:rsidR="001D5CBE" w:rsidRDefault="00151396" w:rsidP="001D5CBE">
      <w:pPr>
        <w:pStyle w:val="ad"/>
        <w:numPr>
          <w:ilvl w:val="0"/>
          <w:numId w:val="3"/>
        </w:numPr>
        <w:spacing w:before="354" w:after="0" w:line="360" w:lineRule="auto"/>
        <w:contextualSpacing w:val="0"/>
        <w:jc w:val="both"/>
        <w:rPr>
          <w:rFonts w:ascii="David" w:hAnsi="David" w:cs="David"/>
          <w:sz w:val="24"/>
          <w:szCs w:val="24"/>
          <w:rtl/>
        </w:rPr>
      </w:pPr>
      <w:r>
        <w:rPr>
          <w:rFonts w:ascii="David" w:hAnsi="David" w:cs="David"/>
          <w:sz w:val="24"/>
          <w:szCs w:val="24"/>
          <w:rtl/>
        </w:rPr>
        <w:t xml:space="preserve">ושוב ניתן לראות שהתחייבות ד"ר סופר היא להקפיד שבעלי הזכויות בדירות יחתמו עם הסכם </w:t>
      </w:r>
      <w:r>
        <w:rPr>
          <w:rFonts w:ascii="David" w:hAnsi="David" w:cs="David"/>
          <w:sz w:val="24"/>
          <w:szCs w:val="24"/>
          <w:u w:val="single"/>
          <w:rtl/>
        </w:rPr>
        <w:t>אל מול חברת שפיר</w:t>
      </w:r>
      <w:r>
        <w:rPr>
          <w:rFonts w:ascii="David" w:hAnsi="David" w:cs="David"/>
          <w:sz w:val="24"/>
          <w:szCs w:val="24"/>
          <w:rtl/>
        </w:rPr>
        <w:t xml:space="preserve">. ושוב ייאמר שכמובן שלא תתעורר כל מחלוקת, ככל שהאינטרסים של חברת שפיר יתאמו את האינטרסים של בעלי הזכויות בפרוייקט. אך מה כאשר יבקשו בעלי הזכויות בפרויקט לבחון אפשרויות אחרות? מה כאשר האינטרסים של בעלי הזכויות יהיו שונים מהאינטרסים של חברת שפיר? במצב כזה – ניגוד העניינים בו נמצא ד"ר סופר יחייב אותו לפעול אך ורק בהתאם לטובתה של חברת שפיר.  </w:t>
      </w:r>
    </w:p>
    <w:p w14:paraId="4BF6EDAF" w14:textId="77777777" w:rsidR="001D5CBE" w:rsidRDefault="00151396" w:rsidP="001D5CBE">
      <w:pPr>
        <w:pStyle w:val="ad"/>
        <w:numPr>
          <w:ilvl w:val="0"/>
          <w:numId w:val="16"/>
        </w:numPr>
        <w:spacing w:before="354" w:after="0" w:line="360" w:lineRule="auto"/>
        <w:contextualSpacing w:val="0"/>
        <w:jc w:val="both"/>
        <w:rPr>
          <w:rFonts w:ascii="David" w:hAnsi="David" w:cs="David"/>
          <w:sz w:val="24"/>
          <w:szCs w:val="24"/>
          <w:rtl/>
        </w:rPr>
      </w:pPr>
      <w:r>
        <w:rPr>
          <w:rFonts w:ascii="David" w:hAnsi="David" w:cs="David"/>
          <w:b/>
          <w:bCs/>
          <w:sz w:val="24"/>
          <w:szCs w:val="24"/>
          <w:u w:val="single"/>
          <w:rtl/>
        </w:rPr>
        <w:t>הוכחה שלישית מארבע לניגוד העניינים מכח ההסכם של ד"ר סופר אל מול חברת שפיר – שכר הטרחה של ד"ר סופר מותנה בכך שיפעל אך</w:t>
      </w:r>
      <w:r w:rsidR="00A66F6B">
        <w:rPr>
          <w:rFonts w:ascii="David" w:hAnsi="David" w:cs="David" w:hint="cs"/>
          <w:b/>
          <w:bCs/>
          <w:sz w:val="24"/>
          <w:szCs w:val="24"/>
          <w:u w:val="single"/>
          <w:rtl/>
        </w:rPr>
        <w:t xml:space="preserve"> ורק</w:t>
      </w:r>
      <w:r>
        <w:rPr>
          <w:rFonts w:ascii="David" w:hAnsi="David" w:cs="David"/>
          <w:b/>
          <w:bCs/>
          <w:sz w:val="24"/>
          <w:szCs w:val="24"/>
          <w:u w:val="single"/>
          <w:rtl/>
        </w:rPr>
        <w:t xml:space="preserve"> בעבור ולטובת חברת שפיר</w:t>
      </w:r>
    </w:p>
    <w:p w14:paraId="5B092046" w14:textId="77777777" w:rsidR="001D5CBE" w:rsidRDefault="00151396" w:rsidP="001D5CBE">
      <w:pPr>
        <w:pStyle w:val="ad"/>
        <w:numPr>
          <w:ilvl w:val="0"/>
          <w:numId w:val="3"/>
        </w:numPr>
        <w:spacing w:after="0" w:line="360" w:lineRule="auto"/>
        <w:jc w:val="both"/>
        <w:rPr>
          <w:rFonts w:ascii="David" w:hAnsi="David" w:cs="David"/>
          <w:sz w:val="24"/>
          <w:szCs w:val="24"/>
        </w:rPr>
      </w:pPr>
      <w:r>
        <w:rPr>
          <w:rFonts w:ascii="David" w:hAnsi="David" w:cs="David"/>
          <w:sz w:val="24"/>
          <w:szCs w:val="24"/>
          <w:rtl/>
        </w:rPr>
        <w:t xml:space="preserve">גם שכר הטרחה בהתאם להסכם הוא נגזרת של החתמת בעלי הזכויות בפרויקט. וכאן יודגש – די בהחתמת בעלי הזכויות בפרויקט, על מנת שד"ר סופר יהיה זכאי למלוא שכר טרחתו, וכך אבני הדרך לתשלום הותנו בהתקדמות העברת הסכמים חתומים לידי חברת שפיר. לענין זה ניתן ללמוד מסעיף 6.1 להסכם, את תנאי התשלום כדלקמן (האמור להלן אינו ציטוט של הוראות סעיפים 6.1 ו-6.2 להסכם): </w:t>
      </w:r>
    </w:p>
    <w:p w14:paraId="08280522" w14:textId="77777777" w:rsidR="001D5CBE" w:rsidRDefault="00151396" w:rsidP="001D5CBE">
      <w:pPr>
        <w:pStyle w:val="ad"/>
        <w:numPr>
          <w:ilvl w:val="0"/>
          <w:numId w:val="3"/>
        </w:numPr>
        <w:spacing w:before="354" w:line="360" w:lineRule="auto"/>
        <w:ind w:left="1275"/>
        <w:contextualSpacing w:val="0"/>
        <w:jc w:val="both"/>
        <w:rPr>
          <w:rFonts w:ascii="David" w:hAnsi="David" w:cs="David"/>
          <w:sz w:val="24"/>
          <w:szCs w:val="24"/>
          <w:rtl/>
        </w:rPr>
      </w:pPr>
      <w:r>
        <w:rPr>
          <w:rFonts w:ascii="David" w:hAnsi="David" w:cs="David"/>
          <w:b/>
          <w:bCs/>
          <w:sz w:val="24"/>
          <w:szCs w:val="24"/>
          <w:u w:val="single"/>
          <w:rtl/>
        </w:rPr>
        <w:t xml:space="preserve">כ-140,000 ₪ </w:t>
      </w:r>
      <w:r>
        <w:rPr>
          <w:rFonts w:ascii="David" w:hAnsi="David" w:cs="David"/>
          <w:sz w:val="24"/>
          <w:szCs w:val="24"/>
          <w:rtl/>
        </w:rPr>
        <w:t xml:space="preserve">- שכר בסך של </w:t>
      </w:r>
      <w:r>
        <w:rPr>
          <w:rFonts w:ascii="David" w:hAnsi="David" w:cs="David"/>
          <w:sz w:val="24"/>
          <w:szCs w:val="24"/>
          <w:u w:val="single"/>
          <w:rtl/>
        </w:rPr>
        <w:t>7,000 ₪</w:t>
      </w:r>
      <w:r>
        <w:rPr>
          <w:rFonts w:ascii="David" w:hAnsi="David" w:cs="David"/>
          <w:sz w:val="24"/>
          <w:szCs w:val="24"/>
          <w:rtl/>
        </w:rPr>
        <w:t xml:space="preserve"> בצירוף מע"מ בגין כל עשר דירות שבעלי הזכויות בהן יחתמו, כלומר – בגין 200 דירות השכר יעמוד על סך של </w:t>
      </w:r>
      <w:r>
        <w:rPr>
          <w:rFonts w:ascii="David" w:hAnsi="David" w:cs="David"/>
          <w:sz w:val="24"/>
          <w:szCs w:val="24"/>
          <w:u w:val="single"/>
          <w:rtl/>
        </w:rPr>
        <w:t>140,000 ₪</w:t>
      </w:r>
      <w:r>
        <w:rPr>
          <w:rFonts w:ascii="David" w:hAnsi="David" w:cs="David"/>
          <w:sz w:val="24"/>
          <w:szCs w:val="24"/>
          <w:rtl/>
        </w:rPr>
        <w:t xml:space="preserve"> בצירוף מע"מ;</w:t>
      </w:r>
    </w:p>
    <w:p w14:paraId="0259ABD1" w14:textId="77777777" w:rsidR="001D5CBE" w:rsidRDefault="00151396" w:rsidP="00845FD0">
      <w:pPr>
        <w:pStyle w:val="ad"/>
        <w:numPr>
          <w:ilvl w:val="0"/>
          <w:numId w:val="3"/>
        </w:numPr>
        <w:spacing w:line="360" w:lineRule="auto"/>
        <w:ind w:left="1282"/>
        <w:jc w:val="both"/>
        <w:rPr>
          <w:rFonts w:ascii="David" w:hAnsi="David" w:cs="David"/>
          <w:sz w:val="24"/>
          <w:szCs w:val="24"/>
        </w:rPr>
      </w:pPr>
      <w:r>
        <w:rPr>
          <w:rFonts w:ascii="David" w:hAnsi="David" w:cs="David"/>
          <w:b/>
          <w:bCs/>
          <w:sz w:val="24"/>
          <w:szCs w:val="24"/>
          <w:u w:val="single"/>
          <w:rtl/>
        </w:rPr>
        <w:t>220,000 ₪ נוספים</w:t>
      </w:r>
      <w:r>
        <w:rPr>
          <w:rFonts w:ascii="David" w:hAnsi="David" w:cs="David"/>
          <w:sz w:val="24"/>
          <w:szCs w:val="24"/>
          <w:rtl/>
        </w:rPr>
        <w:t xml:space="preserve"> - תשלומי מקדמות נוספים בסך כולל של </w:t>
      </w:r>
      <w:r>
        <w:rPr>
          <w:rFonts w:ascii="David" w:hAnsi="David" w:cs="David"/>
          <w:sz w:val="24"/>
          <w:szCs w:val="24"/>
          <w:u w:val="single"/>
          <w:rtl/>
        </w:rPr>
        <w:t>220,000 ₪</w:t>
      </w:r>
      <w:r>
        <w:rPr>
          <w:rFonts w:ascii="David" w:hAnsi="David" w:cs="David"/>
          <w:sz w:val="24"/>
          <w:szCs w:val="24"/>
          <w:rtl/>
        </w:rPr>
        <w:t xml:space="preserve"> בהתאם לשלבים שנקבעו בהסכם;</w:t>
      </w:r>
    </w:p>
    <w:p w14:paraId="452128D3" w14:textId="77777777" w:rsidR="001D5CBE" w:rsidRDefault="00151396" w:rsidP="001D5CBE">
      <w:pPr>
        <w:pStyle w:val="ad"/>
        <w:numPr>
          <w:ilvl w:val="0"/>
          <w:numId w:val="3"/>
        </w:numPr>
        <w:spacing w:before="354" w:line="360" w:lineRule="auto"/>
        <w:ind w:left="1275"/>
        <w:contextualSpacing w:val="0"/>
        <w:jc w:val="both"/>
        <w:rPr>
          <w:rFonts w:ascii="David" w:hAnsi="David" w:cs="David"/>
          <w:b/>
          <w:bCs/>
          <w:sz w:val="24"/>
          <w:szCs w:val="24"/>
        </w:rPr>
      </w:pPr>
      <w:r>
        <w:rPr>
          <w:rFonts w:ascii="David" w:hAnsi="David" w:cs="David"/>
          <w:b/>
          <w:bCs/>
          <w:sz w:val="24"/>
          <w:szCs w:val="24"/>
          <w:u w:val="single"/>
          <w:rtl/>
        </w:rPr>
        <w:t>השלמה לסכום השווה ל-1% מכלל ההכנסות בפרויקט</w:t>
      </w:r>
      <w:r>
        <w:rPr>
          <w:rFonts w:ascii="David" w:hAnsi="David" w:cs="David"/>
          <w:sz w:val="24"/>
          <w:szCs w:val="24"/>
          <w:rtl/>
        </w:rPr>
        <w:t xml:space="preserve"> – ובהמשך, השלמת התמורה דלעיל עד לסך של</w:t>
      </w:r>
      <w:r>
        <w:rPr>
          <w:rFonts w:ascii="David" w:hAnsi="David" w:cs="David"/>
          <w:sz w:val="24"/>
          <w:szCs w:val="24"/>
          <w:u w:val="single"/>
          <w:rtl/>
        </w:rPr>
        <w:t xml:space="preserve"> 1% מהכנסות שפיר בפרויקט</w:t>
      </w:r>
      <w:r>
        <w:rPr>
          <w:rFonts w:ascii="David" w:hAnsi="David" w:cs="David"/>
          <w:sz w:val="24"/>
          <w:szCs w:val="24"/>
          <w:rtl/>
        </w:rPr>
        <w:t xml:space="preserve">  - הכנסות </w:t>
      </w:r>
      <w:r>
        <w:rPr>
          <w:rFonts w:ascii="David" w:hAnsi="David" w:cs="David"/>
          <w:sz w:val="24"/>
          <w:szCs w:val="24"/>
          <w:u w:val="single"/>
          <w:rtl/>
        </w:rPr>
        <w:t>ולא</w:t>
      </w:r>
      <w:r>
        <w:rPr>
          <w:rFonts w:ascii="David" w:hAnsi="David" w:cs="David"/>
          <w:sz w:val="24"/>
          <w:szCs w:val="24"/>
          <w:rtl/>
        </w:rPr>
        <w:t xml:space="preserve"> רווחים. כלומר סכום גבוה יותר מהרווחים, סכום אשר מתעלם מהוצאות שפיר בפרויקט.</w:t>
      </w:r>
    </w:p>
    <w:p w14:paraId="2427ED77" w14:textId="77777777" w:rsidR="001D5CBE" w:rsidRDefault="00151396" w:rsidP="00A66F6B">
      <w:pPr>
        <w:pStyle w:val="ad"/>
        <w:numPr>
          <w:ilvl w:val="0"/>
          <w:numId w:val="3"/>
        </w:numPr>
        <w:spacing w:before="252" w:line="360" w:lineRule="auto"/>
        <w:ind w:left="1275"/>
        <w:contextualSpacing w:val="0"/>
        <w:jc w:val="both"/>
        <w:rPr>
          <w:rFonts w:ascii="David" w:hAnsi="David" w:cs="David"/>
          <w:b/>
          <w:bCs/>
          <w:sz w:val="24"/>
          <w:szCs w:val="24"/>
          <w:rtl/>
        </w:rPr>
      </w:pPr>
      <w:r>
        <w:rPr>
          <w:rFonts w:ascii="David" w:hAnsi="David" w:cs="David"/>
          <w:b/>
          <w:bCs/>
          <w:sz w:val="24"/>
          <w:szCs w:val="24"/>
          <w:u w:val="single"/>
          <w:rtl/>
        </w:rPr>
        <w:lastRenderedPageBreak/>
        <w:t>הפסקת התקשרות ככל שד"ר סופר לא יעמוד ביעדי ההחתמות הרציפים</w:t>
      </w:r>
      <w:r>
        <w:rPr>
          <w:rFonts w:ascii="David" w:hAnsi="David" w:cs="David"/>
          <w:sz w:val="24"/>
          <w:szCs w:val="24"/>
          <w:rtl/>
        </w:rPr>
        <w:t xml:space="preserve"> – ד"ר סופר התחייב להעביר מידי שלושה חודשים, לכל הפחות חמישה עשר (15) הסכמים חתומים. </w:t>
      </w:r>
      <w:r>
        <w:rPr>
          <w:rFonts w:ascii="David" w:hAnsi="David" w:cs="David"/>
          <w:sz w:val="24"/>
          <w:szCs w:val="24"/>
          <w:u w:val="single"/>
          <w:rtl/>
        </w:rPr>
        <w:t>בנוסף</w:t>
      </w:r>
      <w:r w:rsidR="00A66F6B">
        <w:rPr>
          <w:rFonts w:ascii="David" w:hAnsi="David" w:cs="David" w:hint="cs"/>
          <w:sz w:val="24"/>
          <w:szCs w:val="24"/>
          <w:rtl/>
        </w:rPr>
        <w:t xml:space="preserve"> </w:t>
      </w:r>
      <w:r>
        <w:rPr>
          <w:rFonts w:ascii="David" w:hAnsi="David" w:cs="David"/>
          <w:sz w:val="24"/>
          <w:szCs w:val="24"/>
          <w:rtl/>
        </w:rPr>
        <w:t xml:space="preserve">התחייב ד"ר סופר לא לחדול מהחתמת דיירים לתקופה העולה על 60 ימים קלנדריים. ככל שלא יפעל כך, תוציא חברת שפיר לד"ר סופר התראה ולאחר מכן תוכל לחדול </w:t>
      </w:r>
      <w:r w:rsidR="00A66F6B">
        <w:rPr>
          <w:rFonts w:ascii="David" w:hAnsi="David" w:cs="David" w:hint="cs"/>
          <w:sz w:val="24"/>
          <w:szCs w:val="24"/>
          <w:rtl/>
        </w:rPr>
        <w:t>מ</w:t>
      </w:r>
      <w:r>
        <w:rPr>
          <w:rFonts w:ascii="David" w:hAnsi="David" w:cs="David"/>
          <w:sz w:val="24"/>
          <w:szCs w:val="24"/>
          <w:rtl/>
        </w:rPr>
        <w:t>לעבוד עימו ולפעול בעצמה להחתמת בעלי הזכויות.</w:t>
      </w:r>
    </w:p>
    <w:p w14:paraId="2ACDAB4C" w14:textId="77777777" w:rsidR="001D5CBE" w:rsidRDefault="00151396" w:rsidP="001D5CBE">
      <w:pPr>
        <w:pStyle w:val="ad"/>
        <w:numPr>
          <w:ilvl w:val="0"/>
          <w:numId w:val="3"/>
        </w:numPr>
        <w:spacing w:before="354" w:after="0" w:line="360" w:lineRule="auto"/>
        <w:contextualSpacing w:val="0"/>
        <w:jc w:val="both"/>
        <w:rPr>
          <w:rFonts w:ascii="David" w:hAnsi="David" w:cs="David"/>
          <w:sz w:val="24"/>
          <w:szCs w:val="24"/>
          <w:rtl/>
        </w:rPr>
      </w:pPr>
      <w:r>
        <w:rPr>
          <w:rFonts w:ascii="David" w:hAnsi="David" w:cs="David"/>
          <w:sz w:val="24"/>
          <w:szCs w:val="24"/>
          <w:rtl/>
        </w:rPr>
        <w:t>ניתן לראות שד"ר סופר יהיה זכאי לשכר טרחתו, תוך התייחסות להתקדמות החתמת בעלי הזכויות בפרויקט על הסכמים אל מול חברת שפיר. שכר הטרחה שהובטח לד"ר סופר, על מנת שיפעל אך ורק עבור חברת שפיר, מעמיד אותו במצב מובנה של ניגוד עניינים. זאת כאשר, על פניו, לנגד עיניו התמורה שתתקבל מיצירת הקשר בין כל בעל זכויות לבין חברת שפיר. אין מדובר בייצוג עצמאי של בעלי הזכויות בדירות, אלא בייצוג חברת שפיר על מנת שד"ר סופר 'יביא אליה' ורק אליה את בעלי הדירות.</w:t>
      </w:r>
    </w:p>
    <w:p w14:paraId="2F315DE0" w14:textId="77777777" w:rsidR="001D5CBE" w:rsidRDefault="00151396" w:rsidP="001D5CBE">
      <w:pPr>
        <w:pStyle w:val="ad"/>
        <w:numPr>
          <w:ilvl w:val="0"/>
          <w:numId w:val="16"/>
        </w:numPr>
        <w:spacing w:before="354" w:after="0" w:line="360" w:lineRule="auto"/>
        <w:contextualSpacing w:val="0"/>
        <w:jc w:val="both"/>
        <w:rPr>
          <w:rFonts w:ascii="David" w:hAnsi="David" w:cs="David"/>
          <w:sz w:val="24"/>
          <w:szCs w:val="24"/>
          <w:rtl/>
        </w:rPr>
      </w:pPr>
      <w:r>
        <w:rPr>
          <w:rFonts w:ascii="David" w:hAnsi="David" w:cs="David"/>
          <w:b/>
          <w:bCs/>
          <w:sz w:val="24"/>
          <w:szCs w:val="24"/>
          <w:u w:val="single"/>
          <w:rtl/>
        </w:rPr>
        <w:t xml:space="preserve">הוכחה רביעית מארבע לניגוד העניינים מכח ההסכם של ד"ר סופר אל מול חברת שפיר – סנקציה במקרה בו ד"ר סופר יתקשר עם גורם אחר או אפילו ינהל מו"מ אל מול יזם אחר </w:t>
      </w:r>
    </w:p>
    <w:p w14:paraId="13EB16FF" w14:textId="77777777" w:rsidR="001D5CBE" w:rsidRDefault="00151396" w:rsidP="001D5CBE">
      <w:pPr>
        <w:pStyle w:val="ad"/>
        <w:numPr>
          <w:ilvl w:val="0"/>
          <w:numId w:val="3"/>
        </w:numPr>
        <w:spacing w:after="0" w:line="360" w:lineRule="auto"/>
        <w:jc w:val="both"/>
        <w:rPr>
          <w:rFonts w:ascii="David" w:hAnsi="David" w:cs="David"/>
          <w:sz w:val="24"/>
          <w:szCs w:val="24"/>
        </w:rPr>
      </w:pPr>
      <w:r>
        <w:rPr>
          <w:rFonts w:ascii="David" w:hAnsi="David" w:cs="David"/>
          <w:sz w:val="24"/>
          <w:szCs w:val="24"/>
          <w:rtl/>
        </w:rPr>
        <w:t xml:space="preserve">על מנת להבטיח את התנהלותו של ד"ר סופר אך ורק עבור חברת שפיר ולטובת האינטרסים שלה, נקבעה סנקציה השוללת ממנו את כל שכר טרחתו, ככל שינהל משא ומתן עם יזם אחר. </w:t>
      </w:r>
      <w:r>
        <w:rPr>
          <w:rFonts w:ascii="David" w:hAnsi="David" w:cs="David"/>
          <w:sz w:val="24"/>
          <w:szCs w:val="24"/>
          <w:u w:val="single"/>
          <w:rtl/>
        </w:rPr>
        <w:t>ובנוסף</w:t>
      </w:r>
      <w:r>
        <w:rPr>
          <w:rFonts w:ascii="David" w:hAnsi="David" w:cs="David"/>
          <w:sz w:val="24"/>
          <w:szCs w:val="24"/>
          <w:rtl/>
        </w:rPr>
        <w:t xml:space="preserve">, נקבע קנס, או כלשון ההסכם – "פיצוי מוסכם" בסך של 150,000 ₪ וכל זאת מעבר לזכותה של חברת שפיר להגיש תביעות נוספות. </w:t>
      </w:r>
    </w:p>
    <w:p w14:paraId="3CDDE617" w14:textId="77777777" w:rsidR="001D5CBE" w:rsidRDefault="00151396" w:rsidP="00D44A5A">
      <w:pPr>
        <w:pStyle w:val="ad"/>
        <w:numPr>
          <w:ilvl w:val="0"/>
          <w:numId w:val="3"/>
        </w:numPr>
        <w:spacing w:before="354" w:after="0" w:line="360" w:lineRule="auto"/>
        <w:contextualSpacing w:val="0"/>
        <w:jc w:val="both"/>
        <w:rPr>
          <w:rFonts w:ascii="David" w:hAnsi="David" w:cs="David"/>
          <w:sz w:val="24"/>
          <w:szCs w:val="24"/>
        </w:rPr>
      </w:pPr>
      <w:r>
        <w:rPr>
          <w:rFonts w:ascii="David" w:hAnsi="David" w:cs="David"/>
          <w:sz w:val="24"/>
          <w:szCs w:val="24"/>
          <w:rtl/>
        </w:rPr>
        <w:t>לענין זה קבע סעיף 7 להסכם מתן השירותים בין ד"ר סופר לחברת שפיר, כך (ה</w:t>
      </w:r>
      <w:r w:rsidR="00D44A5A">
        <w:rPr>
          <w:rFonts w:ascii="David" w:hAnsi="David" w:cs="David" w:hint="cs"/>
          <w:sz w:val="24"/>
          <w:szCs w:val="24"/>
          <w:rtl/>
        </w:rPr>
        <w:t>הד</w:t>
      </w:r>
      <w:r>
        <w:rPr>
          <w:rFonts w:ascii="David" w:hAnsi="David" w:cs="David"/>
          <w:sz w:val="24"/>
          <w:szCs w:val="24"/>
          <w:rtl/>
        </w:rPr>
        <w:t>גשות לא במקור):</w:t>
      </w:r>
    </w:p>
    <w:p w14:paraId="27D0D5B3" w14:textId="77777777" w:rsidR="00EC2B74" w:rsidRPr="00EC2B74" w:rsidRDefault="00151396" w:rsidP="00EC2B74">
      <w:pPr>
        <w:pStyle w:val="ad"/>
        <w:spacing w:after="240" w:line="360" w:lineRule="auto"/>
        <w:ind w:left="1440"/>
        <w:jc w:val="both"/>
        <w:rPr>
          <w:rFonts w:ascii="David" w:hAnsi="David" w:cs="David"/>
          <w:b/>
          <w:bCs/>
          <w:sz w:val="24"/>
          <w:szCs w:val="24"/>
        </w:rPr>
      </w:pPr>
      <w:r>
        <w:rPr>
          <w:rFonts w:ascii="David" w:hAnsi="David" w:cs="David"/>
          <w:b/>
          <w:bCs/>
          <w:sz w:val="24"/>
          <w:szCs w:val="24"/>
          <w:rtl/>
        </w:rPr>
        <w:t xml:space="preserve">"במידה וצד ב' </w:t>
      </w:r>
      <w:r>
        <w:rPr>
          <w:rFonts w:ascii="David" w:hAnsi="David" w:cs="David"/>
          <w:sz w:val="24"/>
          <w:szCs w:val="24"/>
          <w:rtl/>
        </w:rPr>
        <w:t>[ד"ר סופר – א.ב]</w:t>
      </w:r>
      <w:r>
        <w:rPr>
          <w:rFonts w:ascii="David" w:hAnsi="David" w:cs="David"/>
          <w:b/>
          <w:bCs/>
          <w:sz w:val="24"/>
          <w:szCs w:val="24"/>
          <w:rtl/>
        </w:rPr>
        <w:t xml:space="preserve"> ו/או מי מטעמו ינהל מו"מ ויעניין יזם ו/או קבלן ו/או כל גוף אחר לביצוע הפרויקט, לאחר חתימתו על הסכם זה, יהיה עליו לשלם </w:t>
      </w:r>
      <w:r>
        <w:rPr>
          <w:rFonts w:ascii="David" w:hAnsi="David" w:cs="David"/>
          <w:b/>
          <w:bCs/>
          <w:sz w:val="24"/>
          <w:szCs w:val="24"/>
          <w:u w:val="single"/>
          <w:rtl/>
        </w:rPr>
        <w:t>פיצוי מוסכם בסך של 150,000 ₪</w:t>
      </w:r>
      <w:r>
        <w:rPr>
          <w:rFonts w:ascii="David" w:hAnsi="David" w:cs="David"/>
          <w:b/>
          <w:bCs/>
          <w:sz w:val="24"/>
          <w:szCs w:val="24"/>
          <w:rtl/>
        </w:rPr>
        <w:t xml:space="preserve"> (מאה וחמישים אלף ₪) בתוספת מע"מ, בגין הפרת התחייבותו. בנוסף, </w:t>
      </w:r>
      <w:r>
        <w:rPr>
          <w:rFonts w:ascii="David" w:hAnsi="David" w:cs="David"/>
          <w:b/>
          <w:bCs/>
          <w:sz w:val="24"/>
          <w:szCs w:val="24"/>
          <w:u w:val="single"/>
          <w:rtl/>
        </w:rPr>
        <w:t>יוחזרו כל התשלומים</w:t>
      </w:r>
      <w:r>
        <w:rPr>
          <w:rFonts w:ascii="David" w:hAnsi="David" w:cs="David"/>
          <w:b/>
          <w:bCs/>
          <w:sz w:val="24"/>
          <w:szCs w:val="24"/>
          <w:rtl/>
        </w:rPr>
        <w:t xml:space="preserve"> באם היו כאלה בהצמדה למדד הצרכן </w:t>
      </w:r>
      <w:r>
        <w:rPr>
          <w:rFonts w:ascii="David" w:hAnsi="David" w:cs="David"/>
          <w:sz w:val="24"/>
          <w:szCs w:val="24"/>
          <w:rtl/>
        </w:rPr>
        <w:t>[כך במקור]</w:t>
      </w:r>
      <w:r>
        <w:rPr>
          <w:rFonts w:ascii="David" w:hAnsi="David" w:cs="David"/>
          <w:b/>
          <w:bCs/>
          <w:sz w:val="24"/>
          <w:szCs w:val="24"/>
          <w:rtl/>
        </w:rPr>
        <w:t xml:space="preserve"> ובריבית שנתית של 7%. וזאת </w:t>
      </w:r>
      <w:r>
        <w:rPr>
          <w:rFonts w:ascii="David" w:hAnsi="David" w:cs="David"/>
          <w:b/>
          <w:bCs/>
          <w:sz w:val="24"/>
          <w:szCs w:val="24"/>
          <w:u w:val="single"/>
          <w:rtl/>
        </w:rPr>
        <w:t>מבלי לגרוע מכל זכות ו/או סעד</w:t>
      </w:r>
      <w:r>
        <w:rPr>
          <w:rFonts w:ascii="David" w:hAnsi="David" w:cs="David"/>
          <w:b/>
          <w:bCs/>
          <w:sz w:val="24"/>
          <w:szCs w:val="24"/>
          <w:rtl/>
        </w:rPr>
        <w:t xml:space="preserve"> המוקנים לצד ב' לקבל פיצוי ו/או שיפוי בגין נזקיו"</w:t>
      </w:r>
    </w:p>
    <w:p w14:paraId="11A30999" w14:textId="77777777" w:rsidR="001D5CBE" w:rsidRDefault="00151396" w:rsidP="00EC2B74">
      <w:pPr>
        <w:pStyle w:val="ad"/>
        <w:widowControl w:val="0"/>
        <w:snapToGrid w:val="0"/>
        <w:spacing w:before="480" w:after="0" w:line="360" w:lineRule="auto"/>
        <w:ind w:left="792"/>
        <w:contextualSpacing w:val="0"/>
        <w:jc w:val="both"/>
        <w:rPr>
          <w:rFonts w:ascii="David" w:hAnsi="David" w:cs="David"/>
          <w:sz w:val="24"/>
          <w:szCs w:val="24"/>
          <w:rtl/>
        </w:rPr>
      </w:pPr>
      <w:r>
        <w:rPr>
          <w:rFonts w:ascii="David" w:hAnsi="David" w:cs="David"/>
          <w:sz w:val="24"/>
          <w:szCs w:val="24"/>
          <w:rtl/>
        </w:rPr>
        <w:t>כלומר, די בכך שד"ר סופר ינהל מו"מ עם יזם שאינו חברת שפיר ובאחת יישלל ממנו כל השכר, יהיה עליו להשיב את אשר כבר קיבל ובנוסף יחויב בתשלום פיצוי מוסכם בסך של 150,000 ₪ בתוספת מע"מ. ומעבר לכל אלה, יהיה חשוף לתביעות נוספות מצד חברת שפיר.</w:t>
      </w:r>
    </w:p>
    <w:p w14:paraId="36B3F6B1" w14:textId="77777777" w:rsidR="001D5CBE" w:rsidRDefault="00151396" w:rsidP="001D5CBE">
      <w:pPr>
        <w:pStyle w:val="ad"/>
        <w:numPr>
          <w:ilvl w:val="0"/>
          <w:numId w:val="3"/>
        </w:numPr>
        <w:spacing w:before="354" w:after="0" w:line="360" w:lineRule="auto"/>
        <w:contextualSpacing w:val="0"/>
        <w:jc w:val="both"/>
        <w:rPr>
          <w:rFonts w:ascii="David" w:hAnsi="David" w:cs="David"/>
          <w:sz w:val="24"/>
          <w:szCs w:val="24"/>
          <w:rtl/>
        </w:rPr>
      </w:pPr>
      <w:r>
        <w:rPr>
          <w:rFonts w:ascii="David" w:hAnsi="David" w:cs="David"/>
          <w:sz w:val="24"/>
          <w:szCs w:val="24"/>
          <w:rtl/>
        </w:rPr>
        <w:t xml:space="preserve">הסנקציות המשמעותיות שיחולו על ד"ר סופר, אפילו אם רק ינהל מו"מ עם יזם אחר, בוודאי עלולות להשפיע עליו לא לנהל כל משא ומתן שכזה. זאת אפילו אם טובת בעלי הזכויות בפרויקט תחייב את ניהולו. סנקציות אלה מעמידות את ד"ר סופר בניגוד עניינים מובנה, בבחירה בין </w:t>
      </w:r>
      <w:r>
        <w:rPr>
          <w:rFonts w:ascii="David" w:hAnsi="David" w:cs="David"/>
          <w:sz w:val="24"/>
          <w:szCs w:val="24"/>
          <w:rtl/>
        </w:rPr>
        <w:lastRenderedPageBreak/>
        <w:t xml:space="preserve">האינטרסים של חברת שפיר והאינטרסים שלו לבין אינטרסים מנוגדים אפשריים של בעלי הזכויות בפרויקט. </w:t>
      </w:r>
    </w:p>
    <w:p w14:paraId="310BC269" w14:textId="77777777" w:rsidR="001D5CBE" w:rsidRDefault="00151396" w:rsidP="001D5CBE">
      <w:pPr>
        <w:pStyle w:val="ad"/>
        <w:numPr>
          <w:ilvl w:val="1"/>
          <w:numId w:val="1"/>
        </w:numPr>
        <w:spacing w:before="354" w:after="0" w:line="360" w:lineRule="auto"/>
        <w:ind w:left="283" w:hanging="425"/>
        <w:contextualSpacing w:val="0"/>
        <w:jc w:val="both"/>
        <w:rPr>
          <w:rFonts w:ascii="David" w:hAnsi="David" w:cs="David"/>
          <w:b/>
          <w:bCs/>
          <w:sz w:val="24"/>
          <w:szCs w:val="24"/>
          <w:u w:val="single"/>
          <w:rtl/>
        </w:rPr>
      </w:pPr>
      <w:r>
        <w:rPr>
          <w:rFonts w:ascii="David" w:hAnsi="David" w:cs="David"/>
          <w:b/>
          <w:bCs/>
          <w:sz w:val="24"/>
          <w:szCs w:val="24"/>
          <w:u w:val="single"/>
          <w:rtl/>
        </w:rPr>
        <w:t xml:space="preserve">סיכום הדיון בנושא השני מארבעה – תוך כבוד רב לד"ר סופר, הרי בהתנהלותו הוא </w:t>
      </w:r>
      <w:r>
        <w:rPr>
          <w:rFonts w:ascii="David" w:hAnsi="David" w:cs="David"/>
          <w:b/>
          <w:bCs/>
          <w:sz w:val="24"/>
          <w:szCs w:val="24"/>
          <w:u w:val="single"/>
          <w:rtl/>
        </w:rPr>
        <w:t>פועל בניגוד עניינים</w:t>
      </w:r>
    </w:p>
    <w:p w14:paraId="2B2E1561" w14:textId="77777777" w:rsidR="001D5CBE" w:rsidRDefault="00151396" w:rsidP="001D5CBE">
      <w:pPr>
        <w:pStyle w:val="ad"/>
        <w:spacing w:after="0" w:line="360" w:lineRule="auto"/>
        <w:ind w:left="283"/>
        <w:jc w:val="both"/>
        <w:rPr>
          <w:rFonts w:ascii="David" w:hAnsi="David" w:cs="David"/>
          <w:sz w:val="24"/>
          <w:szCs w:val="24"/>
        </w:rPr>
      </w:pPr>
      <w:r>
        <w:rPr>
          <w:rFonts w:ascii="David" w:hAnsi="David" w:cs="David"/>
          <w:sz w:val="24"/>
          <w:szCs w:val="24"/>
          <w:rtl/>
        </w:rPr>
        <w:t>מכל האמור לעיל עולה שד"ר סופר, במלוא הכבוד, אכן פועל במצב של ניגוד עניינים. קביעה זו עולה הן מבחינת דיני השליחות והן מבחינה פרטנית וממוקדת של הוראות ההסכם בו התחייב לנאמנות לחברת שפיר. נאמנות אשר תגבר על נאמנות לאינטרסים של בעלי הזכויות בפרויקט.</w:t>
      </w:r>
    </w:p>
    <w:p w14:paraId="21F6FEE9" w14:textId="77777777" w:rsidR="001D5CBE" w:rsidRDefault="00151396" w:rsidP="001D5CBE">
      <w:pPr>
        <w:pStyle w:val="ad"/>
        <w:spacing w:before="354" w:after="0" w:line="360" w:lineRule="auto"/>
        <w:ind w:left="-568"/>
        <w:contextualSpacing w:val="0"/>
        <w:jc w:val="both"/>
        <w:rPr>
          <w:rFonts w:ascii="David" w:hAnsi="David" w:cs="David"/>
          <w:b/>
          <w:bCs/>
          <w:sz w:val="24"/>
          <w:szCs w:val="24"/>
          <w:rtl/>
        </w:rPr>
      </w:pPr>
      <w:r>
        <w:rPr>
          <w:rFonts w:ascii="David" w:hAnsi="David" w:cs="David"/>
          <w:b/>
          <w:bCs/>
          <w:sz w:val="24"/>
          <w:szCs w:val="24"/>
          <w:rtl/>
        </w:rPr>
        <w:t>הערת מעבר – מצוידים בכל האמור לעיל, נפנה לדון בכל אחד משמונה עשר הפרסומים בגינם הוגשה תביעת ד"ר סופר.</w:t>
      </w:r>
    </w:p>
    <w:p w14:paraId="1B9DEDDD" w14:textId="77777777" w:rsidR="001D5CBE" w:rsidRPr="00A66F6B" w:rsidRDefault="00151396" w:rsidP="000903FC">
      <w:pPr>
        <w:pStyle w:val="ad"/>
        <w:numPr>
          <w:ilvl w:val="0"/>
          <w:numId w:val="1"/>
        </w:numPr>
        <w:spacing w:before="504" w:after="0" w:line="360" w:lineRule="auto"/>
        <w:ind w:left="-173" w:hanging="533"/>
        <w:contextualSpacing w:val="0"/>
        <w:jc w:val="both"/>
        <w:outlineLvl w:val="2"/>
        <w:rPr>
          <w:rFonts w:ascii="David" w:hAnsi="David" w:cs="David"/>
          <w:sz w:val="26"/>
          <w:szCs w:val="26"/>
          <w:rtl/>
        </w:rPr>
      </w:pPr>
      <w:r w:rsidRPr="00A66F6B">
        <w:rPr>
          <w:rFonts w:ascii="David" w:hAnsi="David" w:cs="David"/>
          <w:b/>
          <w:bCs/>
          <w:sz w:val="26"/>
          <w:szCs w:val="26"/>
          <w:u w:val="single"/>
          <w:rtl/>
        </w:rPr>
        <w:t>דיון בנושא שלישי מארבעה בפסק הדין – התייחסות לשמונה עשר הפרסומים בגינם הוגשה תביעת ד"ר סופר</w:t>
      </w:r>
    </w:p>
    <w:p w14:paraId="14BAFA20" w14:textId="77777777" w:rsidR="001D5CBE" w:rsidRDefault="00151396" w:rsidP="001D5CBE">
      <w:pPr>
        <w:pStyle w:val="ad"/>
        <w:spacing w:after="0" w:line="360" w:lineRule="auto"/>
        <w:ind w:left="-172"/>
        <w:jc w:val="both"/>
        <w:rPr>
          <w:rFonts w:ascii="David" w:hAnsi="David" w:cs="David"/>
          <w:sz w:val="24"/>
          <w:szCs w:val="24"/>
        </w:rPr>
      </w:pPr>
      <w:r>
        <w:rPr>
          <w:rFonts w:ascii="David" w:hAnsi="David" w:cs="David"/>
          <w:sz w:val="24"/>
          <w:szCs w:val="24"/>
          <w:rtl/>
        </w:rPr>
        <w:t xml:space="preserve">בסעיף 5.1(ה) לעיל הובאו שמונה עשר הפרסומים בגינם הוגשה תביעת ד"ר סופר. בפסקאות הבאות אתייחס לכל אחד ואחד מהפרסומים. על מנת לא להכביד על פסק הדין, המתארך גם כך, לא יובאו הפרסומים פעם נוספת – וניתן, כאמור, יהיה לעיין בהם בסעיף 5.1(ה) לעיל. </w:t>
      </w:r>
    </w:p>
    <w:p w14:paraId="641A51FF" w14:textId="77777777" w:rsidR="001D5CBE" w:rsidRDefault="00151396" w:rsidP="000903FC">
      <w:pPr>
        <w:pStyle w:val="ad"/>
        <w:numPr>
          <w:ilvl w:val="0"/>
          <w:numId w:val="17"/>
        </w:numPr>
        <w:spacing w:before="384" w:after="0" w:line="360" w:lineRule="auto"/>
        <w:ind w:left="187"/>
        <w:contextualSpacing w:val="0"/>
        <w:jc w:val="both"/>
        <w:rPr>
          <w:rFonts w:ascii="David" w:hAnsi="David" w:cs="David"/>
          <w:sz w:val="24"/>
          <w:szCs w:val="24"/>
          <w:rtl/>
        </w:rPr>
      </w:pPr>
      <w:r>
        <w:rPr>
          <w:rFonts w:ascii="David" w:hAnsi="David" w:cs="David"/>
          <w:b/>
          <w:bCs/>
          <w:sz w:val="24"/>
          <w:szCs w:val="24"/>
          <w:u w:val="single"/>
          <w:rtl/>
        </w:rPr>
        <w:t>פרסום ראשון משמונה עשר בתביעת ד"ר סופר</w:t>
      </w:r>
    </w:p>
    <w:p w14:paraId="60C8A290" w14:textId="77777777" w:rsidR="001D5CBE" w:rsidRDefault="00151396" w:rsidP="001D5CBE">
      <w:pPr>
        <w:pStyle w:val="ad"/>
        <w:numPr>
          <w:ilvl w:val="0"/>
          <w:numId w:val="3"/>
        </w:numPr>
        <w:spacing w:after="0" w:line="360" w:lineRule="auto"/>
        <w:ind w:left="283" w:hanging="142"/>
        <w:jc w:val="both"/>
        <w:rPr>
          <w:rFonts w:ascii="David" w:hAnsi="David" w:cs="David"/>
          <w:sz w:val="24"/>
          <w:szCs w:val="24"/>
        </w:rPr>
      </w:pPr>
      <w:r>
        <w:rPr>
          <w:rFonts w:ascii="David" w:hAnsi="David" w:cs="David"/>
          <w:sz w:val="24"/>
          <w:szCs w:val="24"/>
          <w:rtl/>
        </w:rPr>
        <w:t>הפרסום מתייחס ל</w:t>
      </w:r>
      <w:r>
        <w:rPr>
          <w:rFonts w:ascii="David" w:hAnsi="David" w:cs="David"/>
          <w:b/>
          <w:bCs/>
          <w:sz w:val="24"/>
          <w:szCs w:val="24"/>
          <w:rtl/>
        </w:rPr>
        <w:t>"מנהל לא תקין"</w:t>
      </w:r>
      <w:r>
        <w:rPr>
          <w:rFonts w:ascii="David" w:hAnsi="David" w:cs="David"/>
          <w:sz w:val="24"/>
          <w:szCs w:val="24"/>
          <w:rtl/>
        </w:rPr>
        <w:t xml:space="preserve"> ומפנה לכלל הגופים בפרויקט ובראשם ד"ר סופר. כאן ייאמר שנראה שהוצאתו לפועל של פרויקט כה רחב ממדים בהיקף של מאות דירות מקור, הוא מעצם טבעו משימה נכבדה. איני קובע דבר באשר לקצב התקדמות הפרויקט, ואף אדגיש שלא ניתן לקבוע כך במסגרת תביעה שבמקורה הוגשה כתביעת לשון הרע. אין מדובר בתביעה שהעידו בה מהנדסים, אדריכלים, מתכננים ואנשי מקצוע. אין מדובר בתביעה שמתיימרת לקבוע את מלוא ההתנהלות וההתקדמות בפרויקט.</w:t>
      </w:r>
    </w:p>
    <w:p w14:paraId="0C1162FB" w14:textId="77777777" w:rsidR="001D5CBE" w:rsidRDefault="00151396" w:rsidP="00EC2B74">
      <w:pPr>
        <w:pStyle w:val="ad"/>
        <w:numPr>
          <w:ilvl w:val="0"/>
          <w:numId w:val="3"/>
        </w:numPr>
        <w:snapToGrid w:val="0"/>
        <w:spacing w:before="360" w:after="0" w:line="360" w:lineRule="auto"/>
        <w:ind w:left="288" w:hanging="144"/>
        <w:contextualSpacing w:val="0"/>
        <w:jc w:val="both"/>
        <w:rPr>
          <w:rFonts w:ascii="David" w:hAnsi="David" w:cs="David"/>
          <w:sz w:val="24"/>
          <w:szCs w:val="24"/>
        </w:rPr>
      </w:pPr>
      <w:r>
        <w:rPr>
          <w:rFonts w:ascii="David" w:hAnsi="David" w:cs="David"/>
          <w:sz w:val="24"/>
          <w:szCs w:val="24"/>
          <w:rtl/>
        </w:rPr>
        <w:t xml:space="preserve">הרלוונטי לעניינינו הוא הפרסום לפיו מדובר ב"מנהל לא תקין". לענין זה ייאמר שכאשר נקבע כבר לעיל שד"ר סופר פועל, במלוא הכבוד, במצב של ניגוד עניינים – הרי לא ניתן להתייחס לאמירה "מנהל לא תקין" כאל הוצאת לשון הרע. </w:t>
      </w:r>
    </w:p>
    <w:p w14:paraId="120EE38B" w14:textId="77777777" w:rsidR="001D5CBE" w:rsidRDefault="00151396" w:rsidP="000903FC">
      <w:pPr>
        <w:pStyle w:val="ad"/>
        <w:numPr>
          <w:ilvl w:val="0"/>
          <w:numId w:val="17"/>
        </w:numPr>
        <w:spacing w:before="354" w:after="0" w:line="360" w:lineRule="auto"/>
        <w:ind w:left="187"/>
        <w:contextualSpacing w:val="0"/>
        <w:jc w:val="both"/>
        <w:rPr>
          <w:rFonts w:ascii="David" w:hAnsi="David" w:cs="David"/>
          <w:sz w:val="24"/>
          <w:szCs w:val="24"/>
          <w:rtl/>
        </w:rPr>
      </w:pPr>
      <w:r>
        <w:rPr>
          <w:rFonts w:ascii="David" w:hAnsi="David" w:cs="David"/>
          <w:b/>
          <w:bCs/>
          <w:sz w:val="24"/>
          <w:szCs w:val="24"/>
          <w:u w:val="single"/>
          <w:rtl/>
        </w:rPr>
        <w:t>פרסום שני משמונה עשר בתביעת ד"ר סופר</w:t>
      </w:r>
    </w:p>
    <w:p w14:paraId="603C135A" w14:textId="77777777" w:rsidR="001D5CBE" w:rsidRDefault="00151396" w:rsidP="001D5CBE">
      <w:pPr>
        <w:pStyle w:val="ad"/>
        <w:spacing w:after="0" w:line="360" w:lineRule="auto"/>
        <w:ind w:left="188"/>
        <w:jc w:val="both"/>
        <w:rPr>
          <w:rFonts w:ascii="David" w:hAnsi="David" w:cs="David"/>
          <w:sz w:val="24"/>
          <w:szCs w:val="24"/>
        </w:rPr>
      </w:pPr>
      <w:r>
        <w:rPr>
          <w:rFonts w:ascii="David" w:hAnsi="David" w:cs="David"/>
          <w:sz w:val="24"/>
          <w:szCs w:val="24"/>
          <w:rtl/>
        </w:rPr>
        <w:t xml:space="preserve">בפרסום זה מלין מר כהנא על כך שפרטי ההסכם בין ד"ר סופר לבין חברת שפיר, לא נחשף לכל הדיירים. אין מדובר בפרסום שהוא בגדר הוצאת לשון הרע וזאת בשל שניים – </w:t>
      </w:r>
      <w:r>
        <w:rPr>
          <w:rFonts w:ascii="David" w:hAnsi="David" w:cs="David"/>
          <w:b/>
          <w:bCs/>
          <w:sz w:val="24"/>
          <w:szCs w:val="24"/>
          <w:u w:val="single"/>
          <w:rtl/>
        </w:rPr>
        <w:t>ראשית ועיקר</w:t>
      </w:r>
      <w:r>
        <w:rPr>
          <w:rFonts w:ascii="David" w:hAnsi="David" w:cs="David"/>
          <w:b/>
          <w:bCs/>
          <w:sz w:val="24"/>
          <w:szCs w:val="24"/>
          <w:rtl/>
        </w:rPr>
        <w:t xml:space="preserve"> </w:t>
      </w:r>
      <w:r>
        <w:rPr>
          <w:rFonts w:ascii="David" w:hAnsi="David" w:cs="David"/>
          <w:sz w:val="24"/>
          <w:szCs w:val="24"/>
          <w:rtl/>
        </w:rPr>
        <w:t xml:space="preserve">, כפי שמלמד הדיון בסעיף 9 לעיל באשר לשאלת ניגוד העניינים, הרי בהחלט היתה רלוונטי לעיון בהסכם </w:t>
      </w:r>
      <w:r>
        <w:rPr>
          <w:rFonts w:ascii="David" w:hAnsi="David" w:cs="David"/>
          <w:sz w:val="24"/>
          <w:szCs w:val="24"/>
          <w:rtl/>
        </w:rPr>
        <w:lastRenderedPageBreak/>
        <w:t xml:space="preserve">בין ד"ר סופר לבין חברת שפיר;  </w:t>
      </w:r>
      <w:r>
        <w:rPr>
          <w:rFonts w:ascii="David" w:hAnsi="David" w:cs="David"/>
          <w:b/>
          <w:bCs/>
          <w:sz w:val="24"/>
          <w:szCs w:val="24"/>
          <w:u w:val="single"/>
          <w:rtl/>
        </w:rPr>
        <w:t>שנית</w:t>
      </w:r>
      <w:r>
        <w:rPr>
          <w:rFonts w:ascii="David" w:hAnsi="David" w:cs="David"/>
          <w:sz w:val="24"/>
          <w:szCs w:val="24"/>
          <w:rtl/>
        </w:rPr>
        <w:t xml:space="preserve">, אפילו לא היתה רלוונטיות להסכם, עדיין הפרסום הוא בגדר שיח לגיטימי בו עומד מר כהנא כנציג דיירים על מה שלטעמו הוא זכותם, קרי עיון בהסכם. </w:t>
      </w:r>
    </w:p>
    <w:p w14:paraId="7BBF44F3" w14:textId="77777777" w:rsidR="001D5CBE" w:rsidRDefault="00151396" w:rsidP="00EC2B74">
      <w:pPr>
        <w:pStyle w:val="ad"/>
        <w:numPr>
          <w:ilvl w:val="0"/>
          <w:numId w:val="17"/>
        </w:numPr>
        <w:spacing w:before="360" w:after="0" w:line="360" w:lineRule="auto"/>
        <w:ind w:left="187"/>
        <w:contextualSpacing w:val="0"/>
        <w:jc w:val="both"/>
        <w:rPr>
          <w:rFonts w:ascii="David" w:hAnsi="David" w:cs="David"/>
          <w:sz w:val="24"/>
          <w:szCs w:val="24"/>
          <w:rtl/>
        </w:rPr>
      </w:pPr>
      <w:r>
        <w:rPr>
          <w:rFonts w:ascii="David" w:hAnsi="David" w:cs="David"/>
          <w:b/>
          <w:bCs/>
          <w:sz w:val="24"/>
          <w:szCs w:val="24"/>
          <w:u w:val="single"/>
          <w:rtl/>
        </w:rPr>
        <w:t>פרסום שלישי משמונה עשר בתביעת ד"ר סופר</w:t>
      </w:r>
    </w:p>
    <w:p w14:paraId="73C515A3" w14:textId="77777777" w:rsidR="001D5CBE" w:rsidRDefault="00151396" w:rsidP="001D5CBE">
      <w:pPr>
        <w:pStyle w:val="ad"/>
        <w:spacing w:after="0" w:line="360" w:lineRule="auto"/>
        <w:ind w:left="188"/>
        <w:jc w:val="both"/>
        <w:rPr>
          <w:rFonts w:ascii="David" w:hAnsi="David" w:cs="David"/>
          <w:sz w:val="24"/>
          <w:szCs w:val="24"/>
        </w:rPr>
      </w:pPr>
      <w:r>
        <w:rPr>
          <w:rFonts w:ascii="David" w:hAnsi="David" w:cs="David"/>
          <w:sz w:val="24"/>
          <w:szCs w:val="24"/>
          <w:rtl/>
        </w:rPr>
        <w:t xml:space="preserve">בפרסום זה כתב מר כהנא לד"ר סופר – </w:t>
      </w:r>
      <w:r>
        <w:rPr>
          <w:rFonts w:ascii="David" w:hAnsi="David" w:cs="David"/>
          <w:b/>
          <w:bCs/>
          <w:sz w:val="24"/>
          <w:szCs w:val="24"/>
          <w:rtl/>
        </w:rPr>
        <w:t>"לא חשפת לדיירים"</w:t>
      </w:r>
      <w:r>
        <w:rPr>
          <w:rFonts w:ascii="David" w:hAnsi="David" w:cs="David"/>
          <w:sz w:val="24"/>
          <w:szCs w:val="24"/>
          <w:rtl/>
        </w:rPr>
        <w:t>. פרסום זה אינו בגדר הוצאת לשון הרע, מאותם נימוקים שהפרסום השני שנדון לעיל אינו בגדר הוצאת לשון הרע.</w:t>
      </w:r>
    </w:p>
    <w:p w14:paraId="6ADBF5B0" w14:textId="77777777" w:rsidR="001D5CBE" w:rsidRDefault="00151396" w:rsidP="00EC2B74">
      <w:pPr>
        <w:pStyle w:val="ad"/>
        <w:numPr>
          <w:ilvl w:val="0"/>
          <w:numId w:val="17"/>
        </w:numPr>
        <w:spacing w:before="360" w:after="0" w:line="360" w:lineRule="auto"/>
        <w:ind w:left="187"/>
        <w:contextualSpacing w:val="0"/>
        <w:jc w:val="both"/>
        <w:rPr>
          <w:rFonts w:ascii="David" w:hAnsi="David" w:cs="David"/>
          <w:sz w:val="24"/>
          <w:szCs w:val="24"/>
          <w:rtl/>
        </w:rPr>
      </w:pPr>
      <w:r>
        <w:rPr>
          <w:rFonts w:ascii="David" w:hAnsi="David" w:cs="David"/>
          <w:b/>
          <w:bCs/>
          <w:sz w:val="24"/>
          <w:szCs w:val="24"/>
          <w:u w:val="single"/>
          <w:rtl/>
        </w:rPr>
        <w:t>פרסום רביעי משמונה עשר בתביעת ד"ר סופר</w:t>
      </w:r>
    </w:p>
    <w:p w14:paraId="136D5B4C" w14:textId="77777777" w:rsidR="001D5CBE" w:rsidRDefault="00151396" w:rsidP="001D5CBE">
      <w:pPr>
        <w:pStyle w:val="ad"/>
        <w:spacing w:after="0" w:line="360" w:lineRule="auto"/>
        <w:ind w:left="188"/>
        <w:jc w:val="both"/>
        <w:rPr>
          <w:rFonts w:ascii="David" w:hAnsi="David" w:cs="David"/>
          <w:sz w:val="24"/>
          <w:szCs w:val="24"/>
        </w:rPr>
      </w:pPr>
      <w:r>
        <w:rPr>
          <w:rFonts w:ascii="David" w:hAnsi="David" w:cs="David"/>
          <w:sz w:val="24"/>
          <w:szCs w:val="24"/>
          <w:rtl/>
        </w:rPr>
        <w:t xml:space="preserve">בפרסום זה התייחס מר כהנא לניגוד האינטרסים של ד"ר סופר ותהה </w:t>
      </w:r>
      <w:r>
        <w:rPr>
          <w:rFonts w:ascii="David" w:hAnsi="David" w:cs="David"/>
          <w:b/>
          <w:bCs/>
          <w:sz w:val="24"/>
          <w:szCs w:val="24"/>
          <w:rtl/>
        </w:rPr>
        <w:t>"למי נתונה נאמנותו, לדיירים או ליזם"</w:t>
      </w:r>
      <w:r>
        <w:rPr>
          <w:rFonts w:ascii="David" w:hAnsi="David" w:cs="David"/>
          <w:sz w:val="24"/>
          <w:szCs w:val="24"/>
          <w:rtl/>
        </w:rPr>
        <w:t>. פרסום זה אינו בגדר הוצאת לשון הרע. תוך כבוד רב לד"ר סופר, כבר הובהר בסעיף 9 לעיל, שהתחייב לנאמנות לחברת שפיר. התחייבות זו אכן מציבה אותו במצב של ניגוד עניינים מובנה. זאת אפילו אם הצליח למצוא את דרך המלך להלך בין האינטרסים של חברת שפיר והאינטרסים של בעלי הזכויות בפרויקט.</w:t>
      </w:r>
    </w:p>
    <w:p w14:paraId="65543DE9" w14:textId="77777777" w:rsidR="001D5CBE" w:rsidRDefault="00151396" w:rsidP="00EC2B74">
      <w:pPr>
        <w:pStyle w:val="ad"/>
        <w:numPr>
          <w:ilvl w:val="0"/>
          <w:numId w:val="17"/>
        </w:numPr>
        <w:spacing w:before="360" w:after="0" w:line="360" w:lineRule="auto"/>
        <w:ind w:left="187"/>
        <w:contextualSpacing w:val="0"/>
        <w:jc w:val="both"/>
        <w:rPr>
          <w:rFonts w:ascii="David" w:hAnsi="David" w:cs="David"/>
          <w:sz w:val="24"/>
          <w:szCs w:val="24"/>
          <w:rtl/>
        </w:rPr>
      </w:pPr>
      <w:r>
        <w:rPr>
          <w:rFonts w:ascii="David" w:hAnsi="David" w:cs="David"/>
          <w:b/>
          <w:bCs/>
          <w:sz w:val="24"/>
          <w:szCs w:val="24"/>
          <w:u w:val="single"/>
          <w:rtl/>
        </w:rPr>
        <w:t>פרסום חמישי משמונה עשר בתביעת ד"ר סופר</w:t>
      </w:r>
    </w:p>
    <w:p w14:paraId="6BD80289" w14:textId="77777777" w:rsidR="001D5CBE" w:rsidRDefault="00151396" w:rsidP="001D5CBE">
      <w:pPr>
        <w:pStyle w:val="ad"/>
        <w:spacing w:after="0" w:line="360" w:lineRule="auto"/>
        <w:ind w:left="188"/>
        <w:jc w:val="both"/>
        <w:rPr>
          <w:rFonts w:ascii="David" w:hAnsi="David" w:cs="David"/>
          <w:sz w:val="24"/>
          <w:szCs w:val="24"/>
        </w:rPr>
      </w:pPr>
      <w:r>
        <w:rPr>
          <w:rFonts w:ascii="David" w:hAnsi="David" w:cs="David"/>
          <w:sz w:val="24"/>
          <w:szCs w:val="24"/>
          <w:rtl/>
        </w:rPr>
        <w:t>פרסום זה מתייחס פעם נוספת לטענות לפיהן ד"ר סופר פועל בניגוד עניינים. שוב ייאמר, ותוך כבוד לד"ר סופר, שאכן התנהלותו נכנסת לגדר פעולה בניגוד עניינים – על כך הורחב כאמור בסעיף 9 לעיל. משכך, אין בפרסום משום הוצאת לשון הרע.</w:t>
      </w:r>
    </w:p>
    <w:p w14:paraId="58E63B61" w14:textId="77777777" w:rsidR="001D5CBE" w:rsidRDefault="00151396" w:rsidP="00EC2B74">
      <w:pPr>
        <w:pStyle w:val="ad"/>
        <w:numPr>
          <w:ilvl w:val="0"/>
          <w:numId w:val="17"/>
        </w:numPr>
        <w:spacing w:before="360" w:after="0" w:line="360" w:lineRule="auto"/>
        <w:contextualSpacing w:val="0"/>
        <w:jc w:val="both"/>
        <w:rPr>
          <w:rFonts w:ascii="David" w:hAnsi="David" w:cs="David"/>
          <w:sz w:val="24"/>
          <w:szCs w:val="24"/>
          <w:rtl/>
        </w:rPr>
      </w:pPr>
      <w:r>
        <w:rPr>
          <w:rFonts w:ascii="David" w:hAnsi="David" w:cs="David"/>
          <w:b/>
          <w:bCs/>
          <w:sz w:val="24"/>
          <w:szCs w:val="24"/>
          <w:u w:val="single"/>
          <w:rtl/>
        </w:rPr>
        <w:t>פרסום שישי משמונה עשר בתביעת ד"ר סופר</w:t>
      </w:r>
    </w:p>
    <w:p w14:paraId="1380CA96" w14:textId="77777777" w:rsidR="001D5CBE" w:rsidRDefault="00151396" w:rsidP="001D5CBE">
      <w:pPr>
        <w:pStyle w:val="ad"/>
        <w:spacing w:after="0" w:line="360" w:lineRule="auto"/>
        <w:ind w:left="188"/>
        <w:jc w:val="both"/>
        <w:rPr>
          <w:rFonts w:ascii="David" w:hAnsi="David" w:cs="David"/>
          <w:sz w:val="24"/>
          <w:szCs w:val="24"/>
        </w:rPr>
      </w:pPr>
      <w:r>
        <w:rPr>
          <w:rFonts w:ascii="David" w:hAnsi="David" w:cs="David"/>
          <w:sz w:val="24"/>
          <w:szCs w:val="24"/>
          <w:rtl/>
        </w:rPr>
        <w:t xml:space="preserve">בפרסום זה הלין מר כהנא על מעורבותו של מר בוסתן, מתווך אשר פועל בשיתוף פעולה עם ד"ר סופר ומתוגמל על ידו. הפוך בפרסום והפוך בו, ואין בו כל דבר הכפשה. הפרסום מתייחס עובדתית ליחס מיוחד של ד"ר סופר למר בוסתן, לפעולתו של מר בוסתן להחתמת דיירים – ואין בכך </w:t>
      </w:r>
      <w:r w:rsidR="00A66F6B">
        <w:rPr>
          <w:rFonts w:ascii="David" w:hAnsi="David" w:cs="David" w:hint="cs"/>
          <w:sz w:val="24"/>
          <w:szCs w:val="24"/>
          <w:rtl/>
        </w:rPr>
        <w:t>מ</w:t>
      </w:r>
      <w:r>
        <w:rPr>
          <w:rFonts w:ascii="David" w:hAnsi="David" w:cs="David"/>
          <w:sz w:val="24"/>
          <w:szCs w:val="24"/>
          <w:rtl/>
        </w:rPr>
        <w:t>שום הוצאת לשון הרע. ממילא אין בכך משום הוצאת לשון הרע על ד"ר סופר.</w:t>
      </w:r>
    </w:p>
    <w:p w14:paraId="4EE8A7DF" w14:textId="77777777" w:rsidR="001D5CBE" w:rsidRDefault="00151396" w:rsidP="00EC2B74">
      <w:pPr>
        <w:pStyle w:val="ad"/>
        <w:numPr>
          <w:ilvl w:val="0"/>
          <w:numId w:val="17"/>
        </w:numPr>
        <w:spacing w:before="360" w:after="0" w:line="360" w:lineRule="auto"/>
        <w:ind w:left="187"/>
        <w:contextualSpacing w:val="0"/>
        <w:jc w:val="both"/>
        <w:rPr>
          <w:rFonts w:ascii="David" w:hAnsi="David" w:cs="David"/>
          <w:sz w:val="24"/>
          <w:szCs w:val="24"/>
          <w:rtl/>
        </w:rPr>
      </w:pPr>
      <w:r>
        <w:rPr>
          <w:rFonts w:ascii="David" w:hAnsi="David" w:cs="David"/>
          <w:b/>
          <w:bCs/>
          <w:sz w:val="24"/>
          <w:szCs w:val="24"/>
          <w:u w:val="single"/>
          <w:rtl/>
        </w:rPr>
        <w:t>פרסום שביעי משמונה עשר בתביעת ד"ר סופר</w:t>
      </w:r>
    </w:p>
    <w:p w14:paraId="4E7CE583" w14:textId="77777777" w:rsidR="001D5CBE" w:rsidRDefault="00151396" w:rsidP="001D5CBE">
      <w:pPr>
        <w:pStyle w:val="ad"/>
        <w:numPr>
          <w:ilvl w:val="0"/>
          <w:numId w:val="3"/>
        </w:numPr>
        <w:spacing w:after="0" w:line="360" w:lineRule="auto"/>
        <w:ind w:left="283" w:hanging="142"/>
        <w:jc w:val="both"/>
        <w:rPr>
          <w:rFonts w:ascii="David" w:hAnsi="David" w:cs="David"/>
          <w:sz w:val="24"/>
          <w:szCs w:val="24"/>
        </w:rPr>
      </w:pPr>
      <w:r>
        <w:rPr>
          <w:rFonts w:ascii="David" w:hAnsi="David" w:cs="David"/>
          <w:sz w:val="24"/>
          <w:szCs w:val="24"/>
          <w:rtl/>
        </w:rPr>
        <w:t xml:space="preserve">בפרסום זה דרש מר כהנא מד"ר סופר להשיב לנציגות הדיירים את מר גדליהו שליט. בפרסום מבקר מר כהנא את הוצאתו של מר גדליהו שליט מהנציגות, ונכון שהוא אף מתריע שככל שד"ר סופר לא יעשה כך, הרי </w:t>
      </w:r>
      <w:r>
        <w:rPr>
          <w:rFonts w:ascii="David" w:hAnsi="David" w:cs="David"/>
          <w:b/>
          <w:bCs/>
          <w:sz w:val="24"/>
          <w:szCs w:val="24"/>
          <w:rtl/>
        </w:rPr>
        <w:t>"כל התמהמהות נוספת... תתפרש כסירוב מחוסר תום לב, משיקולים זרים, מהלך לא צודק ולא תקין בעליל"</w:t>
      </w:r>
      <w:r>
        <w:rPr>
          <w:rFonts w:ascii="David" w:hAnsi="David" w:cs="David"/>
          <w:sz w:val="24"/>
          <w:szCs w:val="24"/>
          <w:rtl/>
        </w:rPr>
        <w:t xml:space="preserve">. </w:t>
      </w:r>
    </w:p>
    <w:p w14:paraId="287DA1B7" w14:textId="77777777" w:rsidR="001D5CBE" w:rsidRDefault="00151396" w:rsidP="00EC2B74">
      <w:pPr>
        <w:pStyle w:val="ad"/>
        <w:numPr>
          <w:ilvl w:val="0"/>
          <w:numId w:val="3"/>
        </w:numPr>
        <w:spacing w:before="360" w:after="0" w:line="360" w:lineRule="auto"/>
        <w:ind w:left="283" w:hanging="142"/>
        <w:contextualSpacing w:val="0"/>
        <w:jc w:val="both"/>
        <w:rPr>
          <w:rFonts w:ascii="David" w:hAnsi="David" w:cs="David"/>
          <w:sz w:val="24"/>
          <w:szCs w:val="24"/>
        </w:rPr>
      </w:pPr>
      <w:r>
        <w:rPr>
          <w:rFonts w:ascii="David" w:hAnsi="David" w:cs="David"/>
          <w:sz w:val="24"/>
          <w:szCs w:val="24"/>
          <w:rtl/>
        </w:rPr>
        <w:t>האמירות אכן מוטחות בד"ר סופר, אך הן נאמרות על ידי נציג הדיירים, תוך מה שלטעמו הוא שמירה על זכויותיהם. במצב דברים כזה, האמירות לא ייחשבו כהוצאת לשון הרע, וזאת בהתאם להוראת סעיף 13(9) ל</w:t>
      </w:r>
      <w:r>
        <w:rPr>
          <w:rFonts w:ascii="David" w:hAnsi="David" w:cs="David"/>
          <w:sz w:val="24"/>
          <w:szCs w:val="24"/>
          <w:u w:val="single"/>
          <w:rtl/>
        </w:rPr>
        <w:t>חוק איסור לשון הרע</w:t>
      </w:r>
      <w:r>
        <w:rPr>
          <w:rFonts w:ascii="David" w:hAnsi="David" w:cs="David"/>
          <w:sz w:val="24"/>
          <w:szCs w:val="24"/>
          <w:rtl/>
        </w:rPr>
        <w:t xml:space="preserve"> הקובעת שלא ישמש עילה למשפט פלילי או אזרחי – </w:t>
      </w:r>
      <w:r>
        <w:rPr>
          <w:rFonts w:ascii="David" w:hAnsi="David" w:cs="David"/>
          <w:b/>
          <w:bCs/>
          <w:sz w:val="24"/>
          <w:szCs w:val="24"/>
          <w:rtl/>
        </w:rPr>
        <w:t>"פרסום שהמפרסם חייב לעשות על פי דין או על פי הוראה של רשות המוסמכת לכך כדין או שהוא רשאי לעשות על פי היתר של רשות כאמור"</w:t>
      </w:r>
      <w:r>
        <w:rPr>
          <w:rFonts w:ascii="David" w:hAnsi="David" w:cs="David"/>
          <w:sz w:val="24"/>
          <w:szCs w:val="24"/>
          <w:rtl/>
        </w:rPr>
        <w:t>.</w:t>
      </w:r>
    </w:p>
    <w:p w14:paraId="76B1BC20" w14:textId="77777777" w:rsidR="001D5CBE" w:rsidRDefault="00151396" w:rsidP="001D5CBE">
      <w:pPr>
        <w:pStyle w:val="ad"/>
        <w:numPr>
          <w:ilvl w:val="0"/>
          <w:numId w:val="3"/>
        </w:numPr>
        <w:spacing w:before="252" w:after="0" w:line="360" w:lineRule="auto"/>
        <w:ind w:left="283" w:hanging="142"/>
        <w:contextualSpacing w:val="0"/>
        <w:jc w:val="both"/>
        <w:rPr>
          <w:rFonts w:ascii="David" w:hAnsi="David" w:cs="David"/>
          <w:sz w:val="24"/>
          <w:szCs w:val="24"/>
          <w:rtl/>
        </w:rPr>
      </w:pPr>
      <w:r>
        <w:rPr>
          <w:rFonts w:ascii="David" w:hAnsi="David" w:cs="David"/>
          <w:sz w:val="24"/>
          <w:szCs w:val="24"/>
          <w:rtl/>
        </w:rPr>
        <w:lastRenderedPageBreak/>
        <w:t>עוד ייאמר, שאפילו לא היו חלות הוראות סעיף 13(9) לחוק בעניינינו, הרי עדיין האמירות בוודאי מוגנות מכח סעיף 15(2) ל</w:t>
      </w:r>
      <w:r>
        <w:rPr>
          <w:rFonts w:ascii="David" w:hAnsi="David" w:cs="David"/>
          <w:sz w:val="24"/>
          <w:szCs w:val="24"/>
          <w:u w:val="single"/>
          <w:rtl/>
        </w:rPr>
        <w:t>חוק איסור לשון הרע</w:t>
      </w:r>
      <w:r>
        <w:rPr>
          <w:rFonts w:ascii="David" w:hAnsi="David" w:cs="David"/>
          <w:sz w:val="24"/>
          <w:szCs w:val="24"/>
          <w:rtl/>
        </w:rPr>
        <w:t xml:space="preserve">, כאשר נאמרו כאמור על ידי חבר נציגות הדיירים וכאשר </w:t>
      </w:r>
      <w:r>
        <w:rPr>
          <w:rFonts w:ascii="David" w:hAnsi="David" w:cs="David"/>
          <w:b/>
          <w:bCs/>
          <w:sz w:val="24"/>
          <w:szCs w:val="24"/>
          <w:rtl/>
        </w:rPr>
        <w:t>"היחסים שבינו לבין האדם שאליו הופנה הפרסום הטילו עליו חובה חוקית, מוסרית או חברתית לעשות אותו פרסום"</w:t>
      </w:r>
      <w:r>
        <w:rPr>
          <w:rFonts w:ascii="David" w:hAnsi="David" w:cs="David"/>
          <w:sz w:val="24"/>
          <w:szCs w:val="24"/>
          <w:rtl/>
        </w:rPr>
        <w:t>.</w:t>
      </w:r>
    </w:p>
    <w:p w14:paraId="1B8AFEE1" w14:textId="77777777" w:rsidR="001D5CBE" w:rsidRDefault="00151396" w:rsidP="001D5CBE">
      <w:pPr>
        <w:pStyle w:val="ad"/>
        <w:numPr>
          <w:ilvl w:val="0"/>
          <w:numId w:val="17"/>
        </w:numPr>
        <w:spacing w:before="384" w:after="0" w:line="360" w:lineRule="auto"/>
        <w:contextualSpacing w:val="0"/>
        <w:jc w:val="both"/>
        <w:rPr>
          <w:rFonts w:ascii="David" w:hAnsi="David" w:cs="David"/>
          <w:sz w:val="24"/>
          <w:szCs w:val="24"/>
          <w:rtl/>
        </w:rPr>
      </w:pPr>
      <w:r>
        <w:rPr>
          <w:rFonts w:ascii="David" w:hAnsi="David" w:cs="David"/>
          <w:b/>
          <w:bCs/>
          <w:sz w:val="24"/>
          <w:szCs w:val="24"/>
          <w:u w:val="single"/>
          <w:rtl/>
        </w:rPr>
        <w:t>פרסום שמיני משמונה עשר בתביעת ד"ר סופר</w:t>
      </w:r>
    </w:p>
    <w:p w14:paraId="3E60BCE7" w14:textId="77777777" w:rsidR="001D5CBE" w:rsidRDefault="00151396" w:rsidP="00A66F6B">
      <w:pPr>
        <w:pStyle w:val="ad"/>
        <w:numPr>
          <w:ilvl w:val="0"/>
          <w:numId w:val="3"/>
        </w:numPr>
        <w:spacing w:after="0" w:line="360" w:lineRule="auto"/>
        <w:ind w:left="283" w:hanging="142"/>
        <w:jc w:val="both"/>
        <w:rPr>
          <w:rFonts w:ascii="David" w:hAnsi="David" w:cs="David"/>
          <w:sz w:val="24"/>
          <w:szCs w:val="24"/>
        </w:rPr>
      </w:pPr>
      <w:r>
        <w:rPr>
          <w:rFonts w:ascii="David" w:hAnsi="David" w:cs="David" w:hint="cs"/>
          <w:sz w:val="24"/>
          <w:szCs w:val="24"/>
          <w:rtl/>
        </w:rPr>
        <w:t>ה</w:t>
      </w:r>
      <w:r>
        <w:rPr>
          <w:rFonts w:ascii="David" w:hAnsi="David" w:cs="David"/>
          <w:sz w:val="24"/>
          <w:szCs w:val="24"/>
          <w:rtl/>
        </w:rPr>
        <w:t xml:space="preserve">פרסום </w:t>
      </w:r>
      <w:r>
        <w:rPr>
          <w:rFonts w:ascii="David" w:hAnsi="David" w:cs="David" w:hint="cs"/>
          <w:sz w:val="24"/>
          <w:szCs w:val="24"/>
          <w:rtl/>
        </w:rPr>
        <w:t xml:space="preserve">נעשה בקבוצת הנציגות. בפרסום </w:t>
      </w:r>
      <w:r>
        <w:rPr>
          <w:rFonts w:ascii="David" w:hAnsi="David" w:cs="David"/>
          <w:sz w:val="24"/>
          <w:szCs w:val="24"/>
          <w:rtl/>
        </w:rPr>
        <w:t>הלין מר כהנא, כנציג הדיירים, בפני נציג אחר של הדיירים – מר ג'קי ביטי</w:t>
      </w:r>
      <w:r>
        <w:rPr>
          <w:rFonts w:ascii="David" w:hAnsi="David" w:cs="David" w:hint="cs"/>
          <w:sz w:val="24"/>
          <w:szCs w:val="24"/>
          <w:rtl/>
        </w:rPr>
        <w:t xml:space="preserve">, </w:t>
      </w:r>
      <w:r>
        <w:rPr>
          <w:rFonts w:ascii="David" w:hAnsi="David" w:cs="David"/>
          <w:sz w:val="24"/>
          <w:szCs w:val="24"/>
          <w:rtl/>
        </w:rPr>
        <w:t xml:space="preserve"> על כך שהסכם מתן השירותים בין ד"ר סופר לבין חברת שפיר, נחשף רק לאחר שש שנים; עוד הלין על כך שמר ביטי לא העיר לד"ר סופר במהלך ישיבה בעירייה </w:t>
      </w:r>
      <w:r>
        <w:rPr>
          <w:rFonts w:ascii="David" w:hAnsi="David" w:cs="David"/>
          <w:sz w:val="24"/>
          <w:szCs w:val="24"/>
          <w:u w:val="single"/>
          <w:rtl/>
        </w:rPr>
        <w:t>בחודש מאי 2019</w:t>
      </w:r>
      <w:r>
        <w:rPr>
          <w:rFonts w:ascii="David" w:hAnsi="David" w:cs="David"/>
          <w:sz w:val="24"/>
          <w:szCs w:val="24"/>
          <w:rtl/>
        </w:rPr>
        <w:t xml:space="preserve"> על כך שד"ר סופר טען כאילו 80% מבעלי הזכויות בפרויקט חתמו על הסכמים.</w:t>
      </w:r>
    </w:p>
    <w:p w14:paraId="203BC87B" w14:textId="77777777" w:rsidR="001D5CBE" w:rsidRDefault="00151396" w:rsidP="001D5CBE">
      <w:pPr>
        <w:pStyle w:val="ad"/>
        <w:numPr>
          <w:ilvl w:val="0"/>
          <w:numId w:val="3"/>
        </w:numPr>
        <w:spacing w:before="354" w:after="0" w:line="360" w:lineRule="auto"/>
        <w:ind w:left="283" w:hanging="142"/>
        <w:contextualSpacing w:val="0"/>
        <w:jc w:val="both"/>
        <w:rPr>
          <w:rFonts w:ascii="David" w:hAnsi="David" w:cs="David"/>
          <w:sz w:val="24"/>
          <w:szCs w:val="24"/>
        </w:rPr>
      </w:pPr>
      <w:r>
        <w:rPr>
          <w:rFonts w:ascii="David" w:hAnsi="David" w:cs="David"/>
          <w:sz w:val="24"/>
          <w:szCs w:val="24"/>
          <w:rtl/>
        </w:rPr>
        <w:t xml:space="preserve">כאן ייאמר כך - בכל הקשור לטענות בדבר ההסכם בין ד"ר סופר לחברת שפיר, הרי כבר הובהר לעיל שהסכם זה 'מכניס' את ד"ר סופר לניגוד עניינים מובנה ומכאן אין בפרסום משום לשון הרע; </w:t>
      </w:r>
    </w:p>
    <w:p w14:paraId="3086D301" w14:textId="77777777" w:rsidR="001D5CBE" w:rsidRDefault="00151396" w:rsidP="001D5CBE">
      <w:pPr>
        <w:pStyle w:val="ad"/>
        <w:numPr>
          <w:ilvl w:val="0"/>
          <w:numId w:val="3"/>
        </w:numPr>
        <w:spacing w:before="252" w:after="0" w:line="360" w:lineRule="auto"/>
        <w:ind w:left="283" w:hanging="142"/>
        <w:contextualSpacing w:val="0"/>
        <w:jc w:val="both"/>
        <w:rPr>
          <w:rFonts w:ascii="David" w:hAnsi="David" w:cs="David"/>
          <w:sz w:val="24"/>
          <w:szCs w:val="24"/>
          <w:rtl/>
        </w:rPr>
      </w:pPr>
      <w:r>
        <w:rPr>
          <w:rFonts w:ascii="David" w:hAnsi="David" w:cs="David"/>
          <w:sz w:val="24"/>
          <w:szCs w:val="24"/>
          <w:rtl/>
        </w:rPr>
        <w:t>בכל הקשור לטענה לפיה שתק מר ביטי ולא העיר כאשר ד"ר סופר טען בחודש מאי 2019 שחתמו כבר 80% מבעלי הזכויות – אפנה לכך שד"ר כהנא עצמו ציין בתצהיר שהגיש ביום 26/6/</w:t>
      </w:r>
      <w:r>
        <w:rPr>
          <w:rFonts w:ascii="David" w:hAnsi="David" w:cs="David"/>
          <w:sz w:val="24"/>
          <w:szCs w:val="24"/>
          <w:u w:val="single"/>
          <w:rtl/>
        </w:rPr>
        <w:t>2022</w:t>
      </w:r>
      <w:r>
        <w:rPr>
          <w:rFonts w:ascii="David" w:hAnsi="David" w:cs="David"/>
          <w:sz w:val="24"/>
          <w:szCs w:val="24"/>
          <w:rtl/>
        </w:rPr>
        <w:t xml:space="preserve"> כך – </w:t>
      </w:r>
      <w:r>
        <w:rPr>
          <w:rFonts w:ascii="David" w:hAnsi="David" w:cs="David"/>
          <w:b/>
          <w:bCs/>
          <w:sz w:val="24"/>
          <w:szCs w:val="24"/>
          <w:rtl/>
        </w:rPr>
        <w:t xml:space="preserve">"למותר לציין כי </w:t>
      </w:r>
      <w:r>
        <w:rPr>
          <w:rFonts w:ascii="David" w:hAnsi="David" w:cs="David"/>
          <w:b/>
          <w:bCs/>
          <w:sz w:val="24"/>
          <w:szCs w:val="24"/>
          <w:u w:val="single"/>
          <w:rtl/>
        </w:rPr>
        <w:t>בשלב זה למעלה מ-30%</w:t>
      </w:r>
      <w:r>
        <w:rPr>
          <w:rFonts w:ascii="David" w:hAnsi="David" w:cs="David"/>
          <w:b/>
          <w:bCs/>
          <w:sz w:val="24"/>
          <w:szCs w:val="24"/>
          <w:rtl/>
        </w:rPr>
        <w:t xml:space="preserve"> מקרב בעלי הזכויות חתמו כבר על הסכם התקשרות עם היזם"</w:t>
      </w:r>
      <w:r>
        <w:rPr>
          <w:rFonts w:ascii="David" w:hAnsi="David" w:cs="David"/>
          <w:sz w:val="24"/>
          <w:szCs w:val="24"/>
          <w:rtl/>
        </w:rPr>
        <w:t xml:space="preserve">  (סעיף 21 לתצהיר, ההדגשות לא במקור). </w:t>
      </w:r>
      <w:r>
        <w:rPr>
          <w:rFonts w:ascii="David" w:hAnsi="David" w:cs="David"/>
          <w:sz w:val="24"/>
          <w:szCs w:val="24"/>
          <w:u w:val="single"/>
          <w:rtl/>
        </w:rPr>
        <w:t>כלומר</w:t>
      </w:r>
      <w:r>
        <w:rPr>
          <w:rFonts w:ascii="David" w:hAnsi="David" w:cs="David"/>
          <w:sz w:val="24"/>
          <w:szCs w:val="24"/>
          <w:rtl/>
        </w:rPr>
        <w:t xml:space="preserve"> – אם ב-22/6/2022 חתמו למעלה </w:t>
      </w:r>
      <w:r>
        <w:rPr>
          <w:rFonts w:ascii="David" w:hAnsi="David" w:cs="David"/>
          <w:sz w:val="24"/>
          <w:szCs w:val="24"/>
          <w:u w:val="single"/>
          <w:rtl/>
        </w:rPr>
        <w:t>מ-30% בלבד</w:t>
      </w:r>
      <w:r>
        <w:rPr>
          <w:rFonts w:ascii="David" w:hAnsi="David" w:cs="David"/>
          <w:sz w:val="24"/>
          <w:szCs w:val="24"/>
          <w:rtl/>
        </w:rPr>
        <w:t xml:space="preserve"> מבעלי הזכויות בפרויקט, הרי ברור הוא שבחודש מאי 2019 </w:t>
      </w:r>
      <w:r>
        <w:rPr>
          <w:rFonts w:ascii="David" w:hAnsi="David" w:cs="David"/>
          <w:sz w:val="24"/>
          <w:szCs w:val="24"/>
          <w:u w:val="single"/>
          <w:rtl/>
        </w:rPr>
        <w:t>לא חתמו 80% מבעלי הזכויות</w:t>
      </w:r>
      <w:r>
        <w:rPr>
          <w:rFonts w:ascii="David" w:hAnsi="David" w:cs="David"/>
          <w:sz w:val="24"/>
          <w:szCs w:val="24"/>
          <w:rtl/>
        </w:rPr>
        <w:t>. בנסיבות אלה, אין כל בסיס לטענות כנגד הפרסום של מר כהנא.</w:t>
      </w:r>
    </w:p>
    <w:p w14:paraId="3F59894E" w14:textId="77777777" w:rsidR="001D5CBE" w:rsidRDefault="00151396" w:rsidP="001D5CBE">
      <w:pPr>
        <w:pStyle w:val="ad"/>
        <w:numPr>
          <w:ilvl w:val="0"/>
          <w:numId w:val="17"/>
        </w:numPr>
        <w:spacing w:before="384" w:after="0" w:line="360" w:lineRule="auto"/>
        <w:contextualSpacing w:val="0"/>
        <w:jc w:val="both"/>
        <w:rPr>
          <w:rFonts w:ascii="David" w:hAnsi="David" w:cs="David"/>
          <w:sz w:val="24"/>
          <w:szCs w:val="24"/>
          <w:rtl/>
        </w:rPr>
      </w:pPr>
      <w:r>
        <w:rPr>
          <w:rFonts w:ascii="David" w:hAnsi="David" w:cs="David"/>
          <w:b/>
          <w:bCs/>
          <w:sz w:val="24"/>
          <w:szCs w:val="24"/>
          <w:u w:val="single"/>
          <w:rtl/>
        </w:rPr>
        <w:t>פרסום תשיעי משמונה עשר בתביעת ד"ר סופר</w:t>
      </w:r>
    </w:p>
    <w:p w14:paraId="68F55B29" w14:textId="77777777" w:rsidR="001D5CBE" w:rsidRDefault="00151396" w:rsidP="00F30477">
      <w:pPr>
        <w:pStyle w:val="ad"/>
        <w:numPr>
          <w:ilvl w:val="0"/>
          <w:numId w:val="3"/>
        </w:numPr>
        <w:spacing w:after="0" w:line="360" w:lineRule="auto"/>
        <w:ind w:left="283" w:hanging="142"/>
        <w:jc w:val="both"/>
        <w:rPr>
          <w:rFonts w:ascii="David" w:hAnsi="David" w:cs="David"/>
          <w:sz w:val="24"/>
          <w:szCs w:val="24"/>
        </w:rPr>
      </w:pPr>
      <w:r>
        <w:rPr>
          <w:rFonts w:ascii="David" w:hAnsi="David" w:cs="David"/>
          <w:sz w:val="24"/>
          <w:szCs w:val="24"/>
          <w:rtl/>
        </w:rPr>
        <w:t>בפרסום זה ציין מר כהנא, ביום 2.11.2020</w:t>
      </w:r>
      <w:r w:rsidR="00F30477">
        <w:rPr>
          <w:rFonts w:ascii="David" w:hAnsi="David" w:cs="David" w:hint="cs"/>
          <w:sz w:val="24"/>
          <w:szCs w:val="24"/>
          <w:rtl/>
        </w:rPr>
        <w:t xml:space="preserve">, </w:t>
      </w:r>
      <w:r>
        <w:rPr>
          <w:rFonts w:ascii="David" w:hAnsi="David" w:cs="David"/>
          <w:sz w:val="24"/>
          <w:szCs w:val="24"/>
          <w:rtl/>
        </w:rPr>
        <w:t>שהוכח שאין אמת עובדתית בחלק מדיווחי אחוז ההחתמות והמועד בו דווחו.</w:t>
      </w:r>
    </w:p>
    <w:p w14:paraId="27B72E54" w14:textId="77777777" w:rsidR="001D5CBE" w:rsidRDefault="00151396" w:rsidP="00EC2B74">
      <w:pPr>
        <w:pStyle w:val="ad"/>
        <w:numPr>
          <w:ilvl w:val="0"/>
          <w:numId w:val="3"/>
        </w:numPr>
        <w:spacing w:before="240" w:after="0" w:line="360" w:lineRule="auto"/>
        <w:ind w:left="288" w:hanging="144"/>
        <w:contextualSpacing w:val="0"/>
        <w:jc w:val="both"/>
        <w:rPr>
          <w:rFonts w:ascii="David" w:hAnsi="David" w:cs="David"/>
          <w:sz w:val="24"/>
          <w:szCs w:val="24"/>
        </w:rPr>
      </w:pPr>
      <w:r>
        <w:rPr>
          <w:rFonts w:ascii="David" w:hAnsi="David" w:cs="David"/>
          <w:sz w:val="24"/>
          <w:szCs w:val="24"/>
          <w:rtl/>
        </w:rPr>
        <w:t>אין מדובר בהוצאת לשון הרע, וזאת לאור הנימוק שהובא זה עתה בסיפת ס"ק</w:t>
      </w:r>
      <w:r w:rsidR="00F30477">
        <w:rPr>
          <w:rFonts w:ascii="David" w:hAnsi="David" w:cs="David" w:hint="cs"/>
          <w:sz w:val="24"/>
          <w:szCs w:val="24"/>
          <w:rtl/>
        </w:rPr>
        <w:t xml:space="preserve"> </w:t>
      </w:r>
      <w:r>
        <w:rPr>
          <w:rFonts w:ascii="David" w:hAnsi="David" w:cs="David"/>
          <w:sz w:val="24"/>
          <w:szCs w:val="24"/>
          <w:rtl/>
        </w:rPr>
        <w:t xml:space="preserve">(ח) לעיל, שעסק בפרסום השמיני. אכן נראה שכאשר במועד תצהיר העדות הראשית של ד"ר סופר בשנת 2022 חתמו רק 30% מבעלי הזכויות בפרויקט, הרי לא ייתכן שבחודש מאי 2019 חתמו כבר 80% מבעלי הזכויות בפרויקט. </w:t>
      </w:r>
    </w:p>
    <w:p w14:paraId="39791EB6" w14:textId="77777777" w:rsidR="001D5CBE" w:rsidRDefault="00151396" w:rsidP="001D5CBE">
      <w:pPr>
        <w:pStyle w:val="ad"/>
        <w:numPr>
          <w:ilvl w:val="0"/>
          <w:numId w:val="17"/>
        </w:numPr>
        <w:spacing w:before="384" w:after="0" w:line="360" w:lineRule="auto"/>
        <w:contextualSpacing w:val="0"/>
        <w:jc w:val="both"/>
        <w:rPr>
          <w:rFonts w:ascii="David" w:hAnsi="David" w:cs="David"/>
          <w:sz w:val="24"/>
          <w:szCs w:val="24"/>
          <w:rtl/>
        </w:rPr>
      </w:pPr>
      <w:r>
        <w:rPr>
          <w:rFonts w:ascii="David" w:hAnsi="David" w:cs="David"/>
          <w:b/>
          <w:bCs/>
          <w:sz w:val="24"/>
          <w:szCs w:val="24"/>
          <w:u w:val="single"/>
          <w:rtl/>
        </w:rPr>
        <w:t>פרסום עשירי משמונה עשר בתביעת ד"ר סופר</w:t>
      </w:r>
    </w:p>
    <w:p w14:paraId="769C0FEB" w14:textId="77777777" w:rsidR="001D5CBE" w:rsidRDefault="00151396" w:rsidP="001D5CBE">
      <w:pPr>
        <w:pStyle w:val="ad"/>
        <w:spacing w:after="0" w:line="360" w:lineRule="auto"/>
        <w:ind w:left="188"/>
        <w:jc w:val="both"/>
        <w:rPr>
          <w:rFonts w:ascii="David" w:hAnsi="David" w:cs="David"/>
          <w:sz w:val="24"/>
          <w:szCs w:val="24"/>
        </w:rPr>
      </w:pPr>
      <w:r>
        <w:rPr>
          <w:rFonts w:ascii="David" w:hAnsi="David" w:cs="David"/>
          <w:sz w:val="24"/>
          <w:szCs w:val="24"/>
          <w:rtl/>
        </w:rPr>
        <w:t>בפרסום זה ביקר מר כהנא את מר בוסתן, אשר כמתווך נדל"ן לא הבחין בניגוד העניינים שעולה מההסכם בין ד"ר סופר לבין חברת שפיר. בהינתן העובדה שאכן הסכם ההתקשרות בין ד"ר סופר לחברת שפיר, מציב אותו במצב של ניגוד עניינים – הרי אין בפרסום משום הוצאת לשון הרע.</w:t>
      </w:r>
    </w:p>
    <w:p w14:paraId="5C1BA879" w14:textId="77777777" w:rsidR="001D5CBE" w:rsidRDefault="00151396" w:rsidP="00EC2B74">
      <w:pPr>
        <w:pStyle w:val="ad"/>
        <w:numPr>
          <w:ilvl w:val="0"/>
          <w:numId w:val="17"/>
        </w:numPr>
        <w:spacing w:before="720" w:after="0" w:line="360" w:lineRule="auto"/>
        <w:ind w:left="-142" w:hanging="284"/>
        <w:contextualSpacing w:val="0"/>
        <w:jc w:val="both"/>
        <w:rPr>
          <w:rFonts w:ascii="David" w:hAnsi="David" w:cs="David"/>
          <w:sz w:val="24"/>
          <w:szCs w:val="24"/>
          <w:rtl/>
        </w:rPr>
      </w:pPr>
      <w:r>
        <w:rPr>
          <w:rFonts w:ascii="David" w:hAnsi="David" w:cs="David"/>
          <w:b/>
          <w:bCs/>
          <w:sz w:val="24"/>
          <w:szCs w:val="24"/>
          <w:u w:val="single"/>
          <w:rtl/>
        </w:rPr>
        <w:lastRenderedPageBreak/>
        <w:t>פרסום אחד עשר משמונה עשר בתביעת ד"ר סופר</w:t>
      </w:r>
    </w:p>
    <w:p w14:paraId="2C1B1EC6" w14:textId="77777777" w:rsidR="001D5CBE" w:rsidRDefault="00151396" w:rsidP="001D5CBE">
      <w:pPr>
        <w:pStyle w:val="ad"/>
        <w:spacing w:after="0" w:line="360" w:lineRule="auto"/>
        <w:ind w:left="-1"/>
        <w:jc w:val="both"/>
        <w:rPr>
          <w:rFonts w:ascii="David" w:hAnsi="David" w:cs="David"/>
          <w:sz w:val="24"/>
          <w:szCs w:val="24"/>
        </w:rPr>
      </w:pPr>
      <w:r>
        <w:rPr>
          <w:rFonts w:ascii="David" w:hAnsi="David" w:cs="David"/>
          <w:sz w:val="24"/>
          <w:szCs w:val="24"/>
          <w:rtl/>
        </w:rPr>
        <w:t xml:space="preserve">בפרסום זה מבקש מר כהנא לעדכן שני סעיפים בהסכם הדיירים בשל מה שלטעמו היה היעדר היתכנות כלכלית. בפרסום טוען מר כהנא שההסכם </w:t>
      </w:r>
      <w:r>
        <w:rPr>
          <w:rFonts w:ascii="David" w:hAnsi="David" w:cs="David"/>
          <w:b/>
          <w:bCs/>
          <w:sz w:val="24"/>
          <w:szCs w:val="24"/>
          <w:rtl/>
        </w:rPr>
        <w:t>"נרקם, גובש ונחתם בחטא"</w:t>
      </w:r>
      <w:r>
        <w:rPr>
          <w:rFonts w:ascii="David" w:hAnsi="David" w:cs="David"/>
          <w:sz w:val="24"/>
          <w:szCs w:val="24"/>
          <w:rtl/>
        </w:rPr>
        <w:t xml:space="preserve"> ומפנה בין היתר למעורבותו של ד"ר סופר אל מול חברת שפיר.</w:t>
      </w:r>
    </w:p>
    <w:p w14:paraId="27784C3A" w14:textId="77777777" w:rsidR="001D5CBE" w:rsidRDefault="00151396" w:rsidP="001D5CBE">
      <w:pPr>
        <w:pStyle w:val="ad"/>
        <w:spacing w:after="0" w:line="360" w:lineRule="auto"/>
        <w:ind w:left="-1"/>
        <w:jc w:val="both"/>
        <w:rPr>
          <w:rFonts w:ascii="David" w:hAnsi="David" w:cs="David"/>
          <w:sz w:val="24"/>
          <w:szCs w:val="24"/>
          <w:rtl/>
        </w:rPr>
      </w:pPr>
      <w:r>
        <w:rPr>
          <w:rFonts w:ascii="David" w:hAnsi="David" w:cs="David"/>
          <w:sz w:val="24"/>
          <w:szCs w:val="24"/>
          <w:rtl/>
        </w:rPr>
        <w:t>פעם נוספת ייאמר, שכאשר ד"ר סופר פעל כאמור בניגוד עניינים (ר' הדיון בסעיף 9 לעיל)  וכאשר התחייב לפעול בנאמנות לחברת שפיר ולטובתה – הרי לא מופרך יהיה להעלות חשד או לטעון כנגד ההסכם שחברת שפיר העבירה לדיירים. מכאן, אין לראות בפרסום משום הוצאת לשון הרע.</w:t>
      </w:r>
    </w:p>
    <w:p w14:paraId="4D110CAF" w14:textId="77777777" w:rsidR="001D5CBE" w:rsidRDefault="00151396" w:rsidP="001D5CBE">
      <w:pPr>
        <w:pStyle w:val="ad"/>
        <w:numPr>
          <w:ilvl w:val="0"/>
          <w:numId w:val="17"/>
        </w:numPr>
        <w:spacing w:before="384" w:after="0" w:line="360" w:lineRule="auto"/>
        <w:ind w:left="-142" w:hanging="284"/>
        <w:contextualSpacing w:val="0"/>
        <w:jc w:val="both"/>
        <w:rPr>
          <w:rFonts w:ascii="David" w:hAnsi="David" w:cs="David"/>
          <w:sz w:val="24"/>
          <w:szCs w:val="24"/>
          <w:rtl/>
        </w:rPr>
      </w:pPr>
      <w:r>
        <w:rPr>
          <w:rFonts w:ascii="David" w:hAnsi="David" w:cs="David"/>
          <w:b/>
          <w:bCs/>
          <w:sz w:val="24"/>
          <w:szCs w:val="24"/>
          <w:u w:val="single"/>
          <w:rtl/>
        </w:rPr>
        <w:t>פרסום שניים עשר משמונה עשר בתביעת ד"ר סופר</w:t>
      </w:r>
    </w:p>
    <w:p w14:paraId="22207795" w14:textId="77777777" w:rsidR="001D5CBE" w:rsidRDefault="00151396" w:rsidP="001D5CBE">
      <w:pPr>
        <w:pStyle w:val="ad"/>
        <w:numPr>
          <w:ilvl w:val="0"/>
          <w:numId w:val="3"/>
        </w:numPr>
        <w:spacing w:after="0" w:line="360" w:lineRule="auto"/>
        <w:ind w:left="283" w:hanging="142"/>
        <w:jc w:val="both"/>
        <w:rPr>
          <w:rFonts w:ascii="David" w:hAnsi="David" w:cs="David"/>
          <w:sz w:val="24"/>
          <w:szCs w:val="24"/>
        </w:rPr>
      </w:pPr>
      <w:r>
        <w:rPr>
          <w:rFonts w:ascii="David" w:hAnsi="David" w:cs="David"/>
          <w:sz w:val="24"/>
          <w:szCs w:val="24"/>
          <w:rtl/>
        </w:rPr>
        <w:t>בפרסום זה התייחס מר כהנא לנציג דיירים אחר – מר ג'קי ביטי. בפרסום זה – הלין מר כהנא על כך שג'קי ביטי לא דיווח על חתימת הסכמי שכר טרחה עם ד"ר סופר ועם עו"ד סולמי; עוד הלין על כך שלא נחשף ההסכם של ד"ר סופר, למרות ניגוד העניינים; ובנוסף הלין על כך שמר ג'קי ביטי לא העיר בישיבה שהתקיימה בעיריית חולון בחודש מאי 2019 שדבריו של ד"ר סופר באשר לחתימת 80% מהדיירים אינם אמת.</w:t>
      </w:r>
    </w:p>
    <w:p w14:paraId="52985915" w14:textId="77777777" w:rsidR="001D5CBE" w:rsidRDefault="00151396" w:rsidP="001D5CBE">
      <w:pPr>
        <w:pStyle w:val="ad"/>
        <w:numPr>
          <w:ilvl w:val="0"/>
          <w:numId w:val="3"/>
        </w:numPr>
        <w:spacing w:before="354" w:after="0" w:line="360" w:lineRule="auto"/>
        <w:ind w:left="283" w:hanging="142"/>
        <w:contextualSpacing w:val="0"/>
        <w:jc w:val="both"/>
        <w:rPr>
          <w:rFonts w:ascii="David" w:hAnsi="David" w:cs="David"/>
          <w:sz w:val="24"/>
          <w:szCs w:val="24"/>
        </w:rPr>
      </w:pPr>
      <w:r>
        <w:rPr>
          <w:rFonts w:ascii="David" w:hAnsi="David" w:cs="David"/>
          <w:sz w:val="24"/>
          <w:szCs w:val="24"/>
          <w:rtl/>
        </w:rPr>
        <w:t xml:space="preserve">פרסום זה אינו בגדר לשון הרע, וזאת מנימוקים שכבר הובאו ביחס לפרסומים קודמים. ההתייחסות להסכם של ד"ר סופר כאל מי שנוהג בניגוד עניינים, אינה התייחסות מופרכת וכבר הורחב על כך רבות ור' סעיף 9 לעיל; </w:t>
      </w:r>
      <w:r>
        <w:rPr>
          <w:rFonts w:ascii="David" w:hAnsi="David" w:cs="David"/>
          <w:sz w:val="24"/>
          <w:szCs w:val="24"/>
          <w:u w:val="single"/>
          <w:rtl/>
        </w:rPr>
        <w:t>זאת ועוד</w:t>
      </w:r>
      <w:r>
        <w:rPr>
          <w:rFonts w:ascii="David" w:hAnsi="David" w:cs="David"/>
          <w:sz w:val="24"/>
          <w:szCs w:val="24"/>
          <w:rtl/>
        </w:rPr>
        <w:t xml:space="preserve"> – נדונה כבר בס"ק (ח) לעיל (במסגרת הדיון בפרסום השמיני) התרעומת על כך שמר ג'קי ביטי לא העיר לד"ר סופר כשהאחרון טען כבר בחודש 5/2019 ש-80% מבעלי הזכויות בפרויקט חתמו על הסכם עם שפיר.</w:t>
      </w:r>
    </w:p>
    <w:p w14:paraId="399E5F2F" w14:textId="77777777" w:rsidR="001D5CBE" w:rsidRDefault="00151396" w:rsidP="001D5CBE">
      <w:pPr>
        <w:pStyle w:val="ad"/>
        <w:numPr>
          <w:ilvl w:val="0"/>
          <w:numId w:val="17"/>
        </w:numPr>
        <w:spacing w:before="384" w:after="0" w:line="360" w:lineRule="auto"/>
        <w:ind w:left="-142" w:hanging="284"/>
        <w:contextualSpacing w:val="0"/>
        <w:jc w:val="both"/>
        <w:rPr>
          <w:rFonts w:ascii="David" w:hAnsi="David" w:cs="David"/>
          <w:sz w:val="24"/>
          <w:szCs w:val="24"/>
          <w:rtl/>
        </w:rPr>
      </w:pPr>
      <w:r>
        <w:rPr>
          <w:rFonts w:ascii="David" w:hAnsi="David" w:cs="David"/>
          <w:b/>
          <w:bCs/>
          <w:sz w:val="24"/>
          <w:szCs w:val="24"/>
          <w:u w:val="single"/>
          <w:rtl/>
        </w:rPr>
        <w:t>פרסום שלושה עשר משמונה עשר בתביעת ד"ר סופר</w:t>
      </w:r>
    </w:p>
    <w:p w14:paraId="0BB65EC7" w14:textId="77777777" w:rsidR="001D5CBE" w:rsidRDefault="00151396" w:rsidP="001D5CBE">
      <w:pPr>
        <w:pStyle w:val="ad"/>
        <w:spacing w:after="0" w:line="360" w:lineRule="auto"/>
        <w:ind w:left="-1"/>
        <w:jc w:val="both"/>
        <w:rPr>
          <w:rFonts w:ascii="David" w:hAnsi="David" w:cs="David"/>
          <w:sz w:val="24"/>
          <w:szCs w:val="24"/>
        </w:rPr>
      </w:pPr>
      <w:r>
        <w:rPr>
          <w:rFonts w:ascii="David" w:hAnsi="David" w:cs="David"/>
          <w:sz w:val="24"/>
          <w:szCs w:val="24"/>
          <w:rtl/>
        </w:rPr>
        <w:t>בפרסום זה טען מר כהנא שההתקשרות עם ד"ר סופר, כמו גם עו"ד סולמי, נולדה בחטא והלין על חוסר גילוי נאות. לענין זה ייאמר, בכל הקשור לד"ר סופר, שבמלוא הכבוד אכן יש מורכבות בהתנהלות כשהוא בניגוד עניינים ועל כך כבר הורחב לעיל ור' למשל 9 לפסק הדין. מכאן, אין בפרסום זה  משום הוצאת לשון הרע, לא עובדתית ובוודאי לא כשהפרסום נעשה על ידי נציג דיירים האמור לבקר ולהגן על זכויותיהם. באשר לחובתו של מר כהנא כנציג דיירים ולכך שהפרסום אינו הוצאת לשון הרע ולכל הפחות הוא פרסום מוגן – ר' הדיון בסעיף 13(9) לחוק איסור לשון הרע וכן בס</w:t>
      </w:r>
      <w:r>
        <w:rPr>
          <w:rFonts w:ascii="David" w:hAnsi="David" w:cs="David"/>
          <w:sz w:val="24"/>
          <w:szCs w:val="24"/>
          <w:rtl/>
        </w:rPr>
        <w:t>עיף 15 (2) לחוק, כפי שהובא בס"ק (ז) לעיל, במסגרת ההתייחסות לפרסום השביעי.</w:t>
      </w:r>
    </w:p>
    <w:p w14:paraId="6E5E9D74" w14:textId="77777777" w:rsidR="001D5CBE" w:rsidRDefault="00151396" w:rsidP="001D5CBE">
      <w:pPr>
        <w:pStyle w:val="ad"/>
        <w:numPr>
          <w:ilvl w:val="0"/>
          <w:numId w:val="17"/>
        </w:numPr>
        <w:spacing w:before="384" w:after="0" w:line="360" w:lineRule="auto"/>
        <w:ind w:left="-142" w:hanging="284"/>
        <w:contextualSpacing w:val="0"/>
        <w:jc w:val="both"/>
        <w:rPr>
          <w:rFonts w:ascii="David" w:hAnsi="David" w:cs="David"/>
          <w:sz w:val="24"/>
          <w:szCs w:val="24"/>
          <w:rtl/>
        </w:rPr>
      </w:pPr>
      <w:r>
        <w:rPr>
          <w:rFonts w:ascii="David" w:hAnsi="David" w:cs="David"/>
          <w:b/>
          <w:bCs/>
          <w:sz w:val="24"/>
          <w:szCs w:val="24"/>
          <w:u w:val="single"/>
          <w:rtl/>
        </w:rPr>
        <w:t>פרסום ארבעה עשר משמונה עשר בתביעת ד"ר סופר</w:t>
      </w:r>
    </w:p>
    <w:p w14:paraId="3ECB6EF1" w14:textId="77777777" w:rsidR="001D5CBE" w:rsidRDefault="00151396" w:rsidP="001D5CBE">
      <w:pPr>
        <w:pStyle w:val="ad"/>
        <w:numPr>
          <w:ilvl w:val="0"/>
          <w:numId w:val="3"/>
        </w:numPr>
        <w:spacing w:after="0" w:line="360" w:lineRule="auto"/>
        <w:ind w:left="283" w:hanging="142"/>
        <w:jc w:val="both"/>
        <w:rPr>
          <w:rFonts w:ascii="David" w:hAnsi="David" w:cs="David"/>
          <w:sz w:val="24"/>
          <w:szCs w:val="24"/>
        </w:rPr>
      </w:pPr>
      <w:r>
        <w:rPr>
          <w:rFonts w:ascii="David" w:hAnsi="David" w:cs="David"/>
          <w:sz w:val="24"/>
          <w:szCs w:val="24"/>
          <w:rtl/>
        </w:rPr>
        <w:t xml:space="preserve">בפרסום זה קרא מר כהנא, כנציג דיירים, להימנע מלתת לד"ר סופר את האפשרות לבחור מפקח </w:t>
      </w:r>
      <w:r>
        <w:rPr>
          <w:rFonts w:ascii="David" w:hAnsi="David" w:cs="David"/>
          <w:sz w:val="24"/>
          <w:szCs w:val="24"/>
          <w:u w:val="single"/>
          <w:rtl/>
        </w:rPr>
        <w:t>מטעם בעלי הדירות</w:t>
      </w:r>
      <w:r>
        <w:rPr>
          <w:rFonts w:ascii="David" w:hAnsi="David" w:cs="David"/>
          <w:sz w:val="24"/>
          <w:szCs w:val="24"/>
          <w:rtl/>
        </w:rPr>
        <w:t>. מר כהנא קרא להימנע ממצב בו ימונה מפקח האמור לייצג את בעלי הדירות, אך בפועל יהיה כפוף לד"ר סופר הנמצא בניגוד עניינים.</w:t>
      </w:r>
    </w:p>
    <w:p w14:paraId="1D6BDA83" w14:textId="77777777" w:rsidR="001D5CBE" w:rsidRDefault="00151396" w:rsidP="00D44A5A">
      <w:pPr>
        <w:pStyle w:val="ad"/>
        <w:numPr>
          <w:ilvl w:val="0"/>
          <w:numId w:val="3"/>
        </w:numPr>
        <w:spacing w:before="354" w:after="0" w:line="360" w:lineRule="auto"/>
        <w:ind w:left="283" w:hanging="142"/>
        <w:contextualSpacing w:val="0"/>
        <w:jc w:val="both"/>
        <w:rPr>
          <w:rFonts w:ascii="David" w:hAnsi="David" w:cs="David"/>
          <w:sz w:val="24"/>
          <w:szCs w:val="24"/>
        </w:rPr>
      </w:pPr>
      <w:r>
        <w:rPr>
          <w:rFonts w:ascii="David" w:hAnsi="David" w:cs="David"/>
          <w:sz w:val="24"/>
          <w:szCs w:val="24"/>
          <w:rtl/>
        </w:rPr>
        <w:lastRenderedPageBreak/>
        <w:t>פעם נוספת ייאמר שד"ר סופר אכן פועל בניגוד עניינים. נאמנותו, מכל ההסכם ומכח חוק השליחות – נתונה לחברת שפיר ולאו דווקא לבעלי הדירות בפרוי</w:t>
      </w:r>
      <w:r w:rsidR="00D44A5A">
        <w:rPr>
          <w:rFonts w:ascii="David" w:hAnsi="David" w:cs="David"/>
          <w:sz w:val="24"/>
          <w:szCs w:val="24"/>
          <w:rtl/>
        </w:rPr>
        <w:t>קט. דריש</w:t>
      </w:r>
      <w:r w:rsidR="00D44A5A">
        <w:rPr>
          <w:rFonts w:ascii="David" w:hAnsi="David" w:cs="David" w:hint="cs"/>
          <w:sz w:val="24"/>
          <w:szCs w:val="24"/>
          <w:rtl/>
        </w:rPr>
        <w:t>ת</w:t>
      </w:r>
      <w:r>
        <w:rPr>
          <w:rFonts w:ascii="David" w:hAnsi="David" w:cs="David"/>
          <w:sz w:val="24"/>
          <w:szCs w:val="24"/>
          <w:rtl/>
        </w:rPr>
        <w:t xml:space="preserve"> מר כהנא, כנציג דיירים, למנות מפקח שאינו בגדר 'איש של שפיר' היא לא דרישה מופרכת. בוודאי אין בכך משום הוצאת לשון הרע.</w:t>
      </w:r>
    </w:p>
    <w:p w14:paraId="4DAA8797" w14:textId="77777777" w:rsidR="001D5CBE" w:rsidRDefault="00151396" w:rsidP="001D5CBE">
      <w:pPr>
        <w:pStyle w:val="ad"/>
        <w:numPr>
          <w:ilvl w:val="0"/>
          <w:numId w:val="17"/>
        </w:numPr>
        <w:spacing w:before="384" w:after="0" w:line="360" w:lineRule="auto"/>
        <w:ind w:left="-142" w:hanging="284"/>
        <w:contextualSpacing w:val="0"/>
        <w:jc w:val="both"/>
        <w:rPr>
          <w:rFonts w:ascii="David" w:hAnsi="David" w:cs="David"/>
          <w:sz w:val="24"/>
          <w:szCs w:val="24"/>
          <w:rtl/>
        </w:rPr>
      </w:pPr>
      <w:r>
        <w:rPr>
          <w:rFonts w:ascii="David" w:hAnsi="David" w:cs="David"/>
          <w:b/>
          <w:bCs/>
          <w:sz w:val="24"/>
          <w:szCs w:val="24"/>
          <w:u w:val="single"/>
          <w:rtl/>
        </w:rPr>
        <w:t>פרסום חמישה עשר משמונה עשר בתביעת ד"ר סופר</w:t>
      </w:r>
    </w:p>
    <w:p w14:paraId="222087F2" w14:textId="77777777" w:rsidR="001D5CBE" w:rsidRDefault="00151396" w:rsidP="001D5CBE">
      <w:pPr>
        <w:pStyle w:val="ad"/>
        <w:numPr>
          <w:ilvl w:val="0"/>
          <w:numId w:val="3"/>
        </w:numPr>
        <w:spacing w:after="0" w:line="360" w:lineRule="auto"/>
        <w:ind w:left="283" w:hanging="142"/>
        <w:jc w:val="both"/>
        <w:rPr>
          <w:rFonts w:ascii="David" w:hAnsi="David" w:cs="David"/>
          <w:sz w:val="24"/>
          <w:szCs w:val="24"/>
        </w:rPr>
      </w:pPr>
      <w:r>
        <w:rPr>
          <w:rFonts w:ascii="David" w:hAnsi="David" w:cs="David"/>
          <w:sz w:val="24"/>
          <w:szCs w:val="24"/>
          <w:rtl/>
        </w:rPr>
        <w:t xml:space="preserve">בפרסום זה התייחס מר כהנא, כנציג דיירים, להוראות בהסכם הדיירים לפיהן בכל מקרה של מחלוקת יכריעו אדריכל הפרויקט ומנהל הפרויקט שהוא ד"ר סופר. מר כהנא הפנה לכך שמנהל הפרויקט מקבל שכר מהיזם ונמצא בניגוד עניינים וקרא למנות נציג בעלים בשלב התכנון שהוא </w:t>
      </w:r>
      <w:r>
        <w:rPr>
          <w:rFonts w:ascii="David" w:hAnsi="David" w:cs="David"/>
          <w:b/>
          <w:bCs/>
          <w:sz w:val="24"/>
          <w:szCs w:val="24"/>
          <w:rtl/>
        </w:rPr>
        <w:t>"דמות נפרדת שאיננה מצויה בניגוד עניינים ולחצים מצד היזם"</w:t>
      </w:r>
      <w:r>
        <w:rPr>
          <w:rFonts w:ascii="David" w:hAnsi="David" w:cs="David"/>
          <w:sz w:val="24"/>
          <w:szCs w:val="24"/>
          <w:rtl/>
        </w:rPr>
        <w:t>.</w:t>
      </w:r>
    </w:p>
    <w:p w14:paraId="550C0B75" w14:textId="77777777" w:rsidR="001D5CBE" w:rsidRDefault="00151396" w:rsidP="00274F7E">
      <w:pPr>
        <w:pStyle w:val="ad"/>
        <w:numPr>
          <w:ilvl w:val="0"/>
          <w:numId w:val="3"/>
        </w:numPr>
        <w:spacing w:before="354" w:after="0" w:line="360" w:lineRule="auto"/>
        <w:ind w:left="283" w:hanging="142"/>
        <w:contextualSpacing w:val="0"/>
        <w:jc w:val="both"/>
        <w:rPr>
          <w:rFonts w:ascii="David" w:hAnsi="David" w:cs="David"/>
          <w:sz w:val="24"/>
          <w:szCs w:val="24"/>
        </w:rPr>
      </w:pPr>
      <w:r>
        <w:rPr>
          <w:rFonts w:ascii="David" w:hAnsi="David" w:cs="David"/>
          <w:sz w:val="24"/>
          <w:szCs w:val="24"/>
          <w:rtl/>
        </w:rPr>
        <w:t xml:space="preserve">דרישתו של מר כהנא כנציג דיירים, אינה דרישה כה מופרכת ובוודאי אינה בגדר הוצאת לשון הרע. הדרישה למנות מי שאינו בניגוד עניינים – מתקשרת לכך שד"ר כהנא אכן נמצא בניגוד עניינים ונאמנותו בהתאם להסכם ובהתאם לחוק השליחות נתונה לחברת שפיר, על כך </w:t>
      </w:r>
      <w:r w:rsidR="00274F7E">
        <w:rPr>
          <w:rFonts w:ascii="David" w:hAnsi="David" w:cs="David" w:hint="cs"/>
          <w:sz w:val="24"/>
          <w:szCs w:val="24"/>
          <w:rtl/>
        </w:rPr>
        <w:t xml:space="preserve">ר' </w:t>
      </w:r>
      <w:r>
        <w:rPr>
          <w:rFonts w:ascii="David" w:hAnsi="David" w:cs="David"/>
          <w:sz w:val="24"/>
          <w:szCs w:val="24"/>
          <w:rtl/>
        </w:rPr>
        <w:t>כבר בס</w:t>
      </w:r>
      <w:r w:rsidR="00274F7E">
        <w:rPr>
          <w:rFonts w:ascii="David" w:hAnsi="David" w:cs="David" w:hint="cs"/>
          <w:sz w:val="24"/>
          <w:szCs w:val="24"/>
          <w:rtl/>
        </w:rPr>
        <w:t>עיף</w:t>
      </w:r>
      <w:r>
        <w:rPr>
          <w:rFonts w:ascii="David" w:hAnsi="David" w:cs="David"/>
          <w:sz w:val="24"/>
          <w:szCs w:val="24"/>
          <w:rtl/>
        </w:rPr>
        <w:t xml:space="preserve"> 9 לעיל. </w:t>
      </w:r>
    </w:p>
    <w:p w14:paraId="4A20585A" w14:textId="77777777" w:rsidR="001D5CBE" w:rsidRDefault="00151396" w:rsidP="001D5CBE">
      <w:pPr>
        <w:pStyle w:val="ad"/>
        <w:numPr>
          <w:ilvl w:val="0"/>
          <w:numId w:val="17"/>
        </w:numPr>
        <w:spacing w:before="384" w:after="0" w:line="360" w:lineRule="auto"/>
        <w:ind w:left="-142" w:hanging="284"/>
        <w:contextualSpacing w:val="0"/>
        <w:jc w:val="both"/>
        <w:rPr>
          <w:rFonts w:ascii="David" w:hAnsi="David" w:cs="David"/>
          <w:sz w:val="24"/>
          <w:szCs w:val="24"/>
          <w:rtl/>
        </w:rPr>
      </w:pPr>
      <w:r>
        <w:rPr>
          <w:rFonts w:ascii="David" w:hAnsi="David" w:cs="David"/>
          <w:b/>
          <w:bCs/>
          <w:sz w:val="24"/>
          <w:szCs w:val="24"/>
          <w:u w:val="single"/>
          <w:rtl/>
        </w:rPr>
        <w:t>פרסום שישה עשר משמונה עשר בתביעת ד"ר סופר</w:t>
      </w:r>
    </w:p>
    <w:p w14:paraId="55EA4E29" w14:textId="77777777" w:rsidR="001D5CBE" w:rsidRDefault="00151396" w:rsidP="00AB3523">
      <w:pPr>
        <w:pStyle w:val="ad"/>
        <w:tabs>
          <w:tab w:val="left" w:pos="425"/>
        </w:tabs>
        <w:spacing w:after="0" w:line="360" w:lineRule="auto"/>
        <w:ind w:left="-1"/>
        <w:jc w:val="both"/>
        <w:rPr>
          <w:rFonts w:ascii="David" w:hAnsi="David" w:cs="David"/>
          <w:sz w:val="24"/>
          <w:szCs w:val="24"/>
        </w:rPr>
      </w:pPr>
      <w:r>
        <w:rPr>
          <w:rFonts w:ascii="David" w:hAnsi="David" w:cs="David"/>
          <w:sz w:val="24"/>
          <w:szCs w:val="24"/>
          <w:rtl/>
        </w:rPr>
        <w:t xml:space="preserve">בפרסום זה שב מר כהנא והתייחס, כנציג דיירים, לכך שיש למנות מפקח ולכך שאין להמתין למינוי מפקח על ידי ד"ר סופר בעיתוי שנוח לחברת שפיר. אין מדובר בהוצאת לשון הרע – וזאת מהנימוקים שכבר הובאו באשר לקריאה למנות מפקח עצמאי – </w:t>
      </w:r>
      <w:r w:rsidR="00AB3523">
        <w:rPr>
          <w:rFonts w:ascii="David" w:hAnsi="David" w:cs="David" w:hint="cs"/>
          <w:sz w:val="24"/>
          <w:szCs w:val="24"/>
          <w:rtl/>
        </w:rPr>
        <w:t xml:space="preserve">ור' </w:t>
      </w:r>
      <w:r>
        <w:rPr>
          <w:rFonts w:ascii="David" w:hAnsi="David" w:cs="David"/>
          <w:sz w:val="24"/>
          <w:szCs w:val="24"/>
          <w:rtl/>
        </w:rPr>
        <w:t>ס"ק י"ד לעיל, במסגרת הדיון בפרסום הארבעה עשר.</w:t>
      </w:r>
    </w:p>
    <w:p w14:paraId="18C55017" w14:textId="77777777" w:rsidR="001D5CBE" w:rsidRDefault="00151396" w:rsidP="001D5CBE">
      <w:pPr>
        <w:pStyle w:val="ad"/>
        <w:numPr>
          <w:ilvl w:val="0"/>
          <w:numId w:val="17"/>
        </w:numPr>
        <w:spacing w:before="384" w:after="0" w:line="360" w:lineRule="auto"/>
        <w:ind w:left="-142" w:hanging="284"/>
        <w:contextualSpacing w:val="0"/>
        <w:jc w:val="both"/>
        <w:rPr>
          <w:rFonts w:ascii="David" w:hAnsi="David" w:cs="David"/>
          <w:sz w:val="24"/>
          <w:szCs w:val="24"/>
          <w:rtl/>
        </w:rPr>
      </w:pPr>
      <w:r>
        <w:rPr>
          <w:rFonts w:ascii="David" w:hAnsi="David" w:cs="David"/>
          <w:b/>
          <w:bCs/>
          <w:sz w:val="24"/>
          <w:szCs w:val="24"/>
          <w:u w:val="single"/>
          <w:rtl/>
        </w:rPr>
        <w:t>פרסום שבעה עשר משמונה עשר בתביעת ד"ר סופר</w:t>
      </w:r>
    </w:p>
    <w:p w14:paraId="649E49FC" w14:textId="77777777" w:rsidR="001D5CBE" w:rsidRPr="00D44A5A" w:rsidRDefault="00151396" w:rsidP="00D44A5A">
      <w:pPr>
        <w:pStyle w:val="ad"/>
        <w:spacing w:after="0" w:line="360" w:lineRule="auto"/>
        <w:ind w:left="-1"/>
        <w:jc w:val="both"/>
        <w:rPr>
          <w:rFonts w:ascii="David" w:hAnsi="David" w:cs="David"/>
          <w:sz w:val="24"/>
          <w:szCs w:val="24"/>
        </w:rPr>
      </w:pPr>
      <w:r>
        <w:rPr>
          <w:rFonts w:ascii="David" w:hAnsi="David" w:cs="David"/>
          <w:sz w:val="24"/>
          <w:szCs w:val="24"/>
          <w:rtl/>
        </w:rPr>
        <w:t>בפרסום זה התייחס מר כהנא, כנציג דיירים, לסעיפים שונים בהסכם הדיירים ולתנאים מתלים בהסכם. באשר לד"ר סופר, נטען שזה נמצא בניגוד עניינים.</w:t>
      </w:r>
      <w:r w:rsidR="00D44A5A">
        <w:rPr>
          <w:rFonts w:ascii="David" w:hAnsi="David" w:cs="David" w:hint="cs"/>
          <w:sz w:val="24"/>
          <w:szCs w:val="24"/>
          <w:rtl/>
        </w:rPr>
        <w:t xml:space="preserve"> </w:t>
      </w:r>
      <w:r w:rsidRPr="00D44A5A">
        <w:rPr>
          <w:rFonts w:ascii="David" w:hAnsi="David" w:cs="David"/>
          <w:sz w:val="24"/>
          <w:szCs w:val="24"/>
          <w:rtl/>
        </w:rPr>
        <w:t xml:space="preserve">אין בפרסום זה משום לשון הרע, וד"ר סופר אכן נמצא בניגוד עניינים – ור' הדיון בסעיף 9 לעיל.  </w:t>
      </w:r>
    </w:p>
    <w:p w14:paraId="27893B44" w14:textId="77777777" w:rsidR="001D5CBE" w:rsidRDefault="00151396" w:rsidP="001D5CBE">
      <w:pPr>
        <w:pStyle w:val="ad"/>
        <w:numPr>
          <w:ilvl w:val="0"/>
          <w:numId w:val="17"/>
        </w:numPr>
        <w:spacing w:before="384" w:after="0" w:line="360" w:lineRule="auto"/>
        <w:ind w:left="-142" w:hanging="284"/>
        <w:contextualSpacing w:val="0"/>
        <w:jc w:val="both"/>
        <w:rPr>
          <w:rFonts w:ascii="David" w:hAnsi="David" w:cs="David"/>
          <w:sz w:val="24"/>
          <w:szCs w:val="24"/>
          <w:rtl/>
        </w:rPr>
      </w:pPr>
      <w:r>
        <w:rPr>
          <w:rFonts w:ascii="David" w:hAnsi="David" w:cs="David"/>
          <w:b/>
          <w:bCs/>
          <w:sz w:val="24"/>
          <w:szCs w:val="24"/>
          <w:u w:val="single"/>
          <w:rtl/>
        </w:rPr>
        <w:t>פרסום שמונה עשר משמונה עשר בתביעת ד"ר סופר</w:t>
      </w:r>
    </w:p>
    <w:p w14:paraId="56B356B3" w14:textId="77777777" w:rsidR="001D5CBE" w:rsidRDefault="00151396" w:rsidP="001D5CBE">
      <w:pPr>
        <w:pStyle w:val="ad"/>
        <w:numPr>
          <w:ilvl w:val="0"/>
          <w:numId w:val="3"/>
        </w:numPr>
        <w:spacing w:after="0" w:line="360" w:lineRule="auto"/>
        <w:ind w:left="283" w:hanging="142"/>
        <w:jc w:val="both"/>
        <w:rPr>
          <w:rFonts w:ascii="David" w:hAnsi="David" w:cs="David"/>
          <w:sz w:val="24"/>
          <w:szCs w:val="24"/>
        </w:rPr>
      </w:pPr>
      <w:r>
        <w:rPr>
          <w:rFonts w:ascii="David" w:hAnsi="David" w:cs="David"/>
          <w:sz w:val="24"/>
          <w:szCs w:val="24"/>
          <w:rtl/>
        </w:rPr>
        <w:t xml:space="preserve">בפרסום זה קרא מר כהנא, כנציג דיירים, לכך שיש </w:t>
      </w:r>
      <w:r>
        <w:rPr>
          <w:rFonts w:ascii="David" w:hAnsi="David" w:cs="David"/>
          <w:b/>
          <w:bCs/>
          <w:sz w:val="24"/>
          <w:szCs w:val="24"/>
          <w:rtl/>
        </w:rPr>
        <w:t>"להוריד משמעותית שכר הטרחה של מר סופר ועו"ד סולמי"</w:t>
      </w:r>
      <w:r>
        <w:rPr>
          <w:rFonts w:ascii="David" w:hAnsi="David" w:cs="David"/>
          <w:sz w:val="24"/>
          <w:szCs w:val="24"/>
          <w:rtl/>
        </w:rPr>
        <w:t xml:space="preserve"> הוסיף </w:t>
      </w:r>
      <w:r>
        <w:rPr>
          <w:rFonts w:ascii="David" w:hAnsi="David" w:cs="David"/>
          <w:b/>
          <w:bCs/>
          <w:sz w:val="24"/>
          <w:szCs w:val="24"/>
          <w:rtl/>
        </w:rPr>
        <w:t>"כאשר אין מה לאכול, אוכלים פחות"</w:t>
      </w:r>
      <w:r>
        <w:rPr>
          <w:rFonts w:ascii="David" w:hAnsi="David" w:cs="David"/>
          <w:sz w:val="24"/>
          <w:szCs w:val="24"/>
          <w:rtl/>
        </w:rPr>
        <w:t xml:space="preserve"> והטיל עליהן את האחריות ואשמה למצב בו נמצא הפרויקט.</w:t>
      </w:r>
    </w:p>
    <w:p w14:paraId="3911F74E" w14:textId="77777777" w:rsidR="001D5CBE" w:rsidRDefault="00151396" w:rsidP="001D5CBE">
      <w:pPr>
        <w:pStyle w:val="ad"/>
        <w:numPr>
          <w:ilvl w:val="0"/>
          <w:numId w:val="3"/>
        </w:numPr>
        <w:spacing w:before="354" w:after="0" w:line="360" w:lineRule="auto"/>
        <w:ind w:left="283" w:hanging="142"/>
        <w:contextualSpacing w:val="0"/>
        <w:jc w:val="both"/>
        <w:rPr>
          <w:rFonts w:ascii="David" w:hAnsi="David" w:cs="David"/>
          <w:sz w:val="24"/>
          <w:szCs w:val="24"/>
        </w:rPr>
      </w:pPr>
      <w:r>
        <w:rPr>
          <w:rFonts w:ascii="David" w:hAnsi="David" w:cs="David"/>
          <w:sz w:val="24"/>
          <w:szCs w:val="24"/>
          <w:rtl/>
        </w:rPr>
        <w:t xml:space="preserve">הפוך בפרסום והפוך בו, ואין בו כל הוצאת לשון הרע. כל אשר יש בו הוא ביקורת של נציג דיירים באשר לכך שאין "תוצאות" לפרויקט וכלשון מר כהנא בפרסום – </w:t>
      </w:r>
      <w:r>
        <w:rPr>
          <w:rFonts w:ascii="David" w:hAnsi="David" w:cs="David"/>
          <w:b/>
          <w:bCs/>
          <w:sz w:val="24"/>
          <w:szCs w:val="24"/>
          <w:rtl/>
        </w:rPr>
        <w:t>"אנו צריכים לשלם על תוצאות ולא על מאמצים כבירים יומם וליל"</w:t>
      </w:r>
      <w:r>
        <w:rPr>
          <w:rFonts w:ascii="David" w:hAnsi="David" w:cs="David"/>
          <w:sz w:val="24"/>
          <w:szCs w:val="24"/>
          <w:rtl/>
        </w:rPr>
        <w:t>. לא נמצא בפרסום, כאמור, כל הוצאת לשון הרע.</w:t>
      </w:r>
    </w:p>
    <w:p w14:paraId="014942DB" w14:textId="77777777" w:rsidR="001D5CBE" w:rsidRDefault="00151396" w:rsidP="001D5CBE">
      <w:pPr>
        <w:pStyle w:val="ad"/>
        <w:spacing w:before="354" w:after="0" w:line="360" w:lineRule="auto"/>
        <w:ind w:left="-568"/>
        <w:contextualSpacing w:val="0"/>
        <w:jc w:val="both"/>
        <w:rPr>
          <w:rFonts w:ascii="David" w:hAnsi="David" w:cs="David"/>
          <w:b/>
          <w:bCs/>
          <w:sz w:val="24"/>
          <w:szCs w:val="24"/>
          <w:rtl/>
        </w:rPr>
      </w:pPr>
      <w:r>
        <w:rPr>
          <w:rFonts w:ascii="David" w:hAnsi="David" w:cs="David"/>
          <w:b/>
          <w:bCs/>
          <w:sz w:val="24"/>
          <w:szCs w:val="24"/>
          <w:rtl/>
        </w:rPr>
        <w:t>הערת מעבר – עד כה התייחס פסק הדין לתביעת ד"ר סופר כנגד מר כהנא. מכל האמור לעיל עולה שיש לדחות תביעה זו. בפסקה הבאה, תובא התייחסות לתביעת מר כהנא כנגד ד"ר סופר. תביעה אשר דינה אף הוא להידחות.</w:t>
      </w:r>
    </w:p>
    <w:p w14:paraId="72968507" w14:textId="77777777" w:rsidR="001D5CBE" w:rsidRDefault="00151396" w:rsidP="000903FC">
      <w:pPr>
        <w:pStyle w:val="ad"/>
        <w:numPr>
          <w:ilvl w:val="0"/>
          <w:numId w:val="1"/>
        </w:numPr>
        <w:spacing w:before="354" w:after="0" w:line="360" w:lineRule="auto"/>
        <w:ind w:left="-173" w:hanging="533"/>
        <w:contextualSpacing w:val="0"/>
        <w:jc w:val="both"/>
        <w:outlineLvl w:val="2"/>
        <w:rPr>
          <w:rFonts w:ascii="David" w:hAnsi="David" w:cs="David"/>
          <w:sz w:val="24"/>
          <w:szCs w:val="24"/>
          <w:rtl/>
        </w:rPr>
      </w:pPr>
      <w:r>
        <w:rPr>
          <w:rFonts w:ascii="David" w:hAnsi="David" w:cs="David"/>
          <w:b/>
          <w:bCs/>
          <w:sz w:val="26"/>
          <w:szCs w:val="26"/>
          <w:u w:val="single"/>
          <w:rtl/>
        </w:rPr>
        <w:lastRenderedPageBreak/>
        <w:t xml:space="preserve">דיון בנושא רביעי </w:t>
      </w:r>
      <w:r>
        <w:rPr>
          <w:rFonts w:ascii="David" w:hAnsi="David" w:cs="David"/>
          <w:b/>
          <w:bCs/>
          <w:sz w:val="26"/>
          <w:szCs w:val="26"/>
          <w:u w:val="single"/>
          <w:rtl/>
        </w:rPr>
        <w:t>מארבעה בפסק הדין – התייחסות לתביעת מר כהנא כנגד ד"ר סופר</w:t>
      </w:r>
    </w:p>
    <w:p w14:paraId="137A4399" w14:textId="77777777" w:rsidR="001D5CBE" w:rsidRDefault="00151396" w:rsidP="001D5CBE">
      <w:pPr>
        <w:pStyle w:val="ad"/>
        <w:numPr>
          <w:ilvl w:val="1"/>
          <w:numId w:val="1"/>
        </w:numPr>
        <w:spacing w:before="354" w:after="0" w:line="360" w:lineRule="auto"/>
        <w:ind w:left="283" w:hanging="425"/>
        <w:contextualSpacing w:val="0"/>
        <w:jc w:val="both"/>
        <w:rPr>
          <w:rFonts w:ascii="David" w:hAnsi="David" w:cs="David"/>
          <w:sz w:val="24"/>
          <w:szCs w:val="24"/>
        </w:rPr>
      </w:pPr>
      <w:r>
        <w:rPr>
          <w:rFonts w:ascii="David" w:hAnsi="David" w:cs="David"/>
          <w:b/>
          <w:bCs/>
          <w:sz w:val="24"/>
          <w:szCs w:val="24"/>
          <w:u w:val="single"/>
          <w:rtl/>
        </w:rPr>
        <w:t>כללי</w:t>
      </w:r>
    </w:p>
    <w:p w14:paraId="548012BB" w14:textId="77777777" w:rsidR="001D5CBE" w:rsidRDefault="00151396" w:rsidP="001D5CBE">
      <w:pPr>
        <w:pStyle w:val="ad"/>
        <w:numPr>
          <w:ilvl w:val="0"/>
          <w:numId w:val="18"/>
        </w:numPr>
        <w:spacing w:after="0" w:line="360" w:lineRule="auto"/>
        <w:jc w:val="both"/>
        <w:rPr>
          <w:rFonts w:ascii="David" w:hAnsi="David" w:cs="David"/>
          <w:sz w:val="24"/>
          <w:szCs w:val="24"/>
        </w:rPr>
      </w:pPr>
      <w:r>
        <w:rPr>
          <w:rFonts w:ascii="David" w:hAnsi="David" w:cs="David"/>
          <w:sz w:val="24"/>
          <w:szCs w:val="24"/>
          <w:rtl/>
        </w:rPr>
        <w:t>את יריית הפתיחה בהליך המשפטי "ירה משפטית" מר כהנא. זאת בתביעה שהוגשה מעט לפני תביעתו של ד"ר סופר. תביעה בה עתר מר כהנא לפיצוי בסך של 70,000 ₪ בגין ארבעה פרסומים – שהקו המנחה בהם היה כינויו כשקרן.</w:t>
      </w:r>
    </w:p>
    <w:p w14:paraId="505B7B15" w14:textId="77777777" w:rsidR="001D5CBE" w:rsidRDefault="00151396" w:rsidP="001D5CBE">
      <w:pPr>
        <w:pStyle w:val="ad"/>
        <w:numPr>
          <w:ilvl w:val="0"/>
          <w:numId w:val="18"/>
        </w:numPr>
        <w:spacing w:before="354" w:after="0" w:line="360" w:lineRule="auto"/>
        <w:contextualSpacing w:val="0"/>
        <w:jc w:val="both"/>
        <w:rPr>
          <w:rFonts w:ascii="David" w:hAnsi="David" w:cs="David"/>
          <w:sz w:val="24"/>
          <w:szCs w:val="24"/>
        </w:rPr>
      </w:pPr>
      <w:r>
        <w:rPr>
          <w:rFonts w:ascii="David" w:hAnsi="David" w:cs="David"/>
          <w:sz w:val="24"/>
          <w:szCs w:val="24"/>
          <w:rtl/>
        </w:rPr>
        <w:t xml:space="preserve">את תביעתו של ד"ר סופר יש לדחות, ועל כך כבר הורחב לעיל. אך גם תביעתו של מר כהנא יש לדחות. כאן, אפשר שיעלו תהיות, כיצד כאשר התגלעה מחלוקת בין שני צדדים – הרי תביעות שני הצדדים נדחית יחדיו. לתהייה זו יש להשיב בכך שהפרסומים אליהם התייחס כהנא בתביעתו, הם פרסומים שונים כמובן מאלה שהופיעו בתביעת ד"ר סופר. עיון בפרסומים בגינם הוגשה תביעת מר כהנא – מביא לדחייתה, הכל כפי שיורחב בפסקאות הבאות. </w:t>
      </w:r>
    </w:p>
    <w:p w14:paraId="608DA4BA" w14:textId="77777777" w:rsidR="001D5CBE" w:rsidRDefault="00151396" w:rsidP="001D5CBE">
      <w:pPr>
        <w:pStyle w:val="ad"/>
        <w:numPr>
          <w:ilvl w:val="1"/>
          <w:numId w:val="1"/>
        </w:numPr>
        <w:spacing w:before="354" w:after="0" w:line="360" w:lineRule="auto"/>
        <w:ind w:left="283" w:hanging="425"/>
        <w:contextualSpacing w:val="0"/>
        <w:jc w:val="both"/>
        <w:rPr>
          <w:rFonts w:ascii="David" w:hAnsi="David" w:cs="David"/>
          <w:sz w:val="24"/>
          <w:szCs w:val="24"/>
        </w:rPr>
      </w:pPr>
      <w:r>
        <w:rPr>
          <w:rFonts w:ascii="David" w:hAnsi="David" w:cs="David"/>
          <w:b/>
          <w:bCs/>
          <w:sz w:val="24"/>
          <w:szCs w:val="24"/>
          <w:u w:val="single"/>
          <w:rtl/>
        </w:rPr>
        <w:t>הפרסומים בגינם הוגשה תביעתו של מר כהנא, מתייחסים למחלוקת באשר להמצאת תשריט, הוראות ומסמכים נוספים</w:t>
      </w:r>
    </w:p>
    <w:p w14:paraId="34F55414" w14:textId="77777777" w:rsidR="001D5CBE" w:rsidRDefault="00151396" w:rsidP="001D5CBE">
      <w:pPr>
        <w:pStyle w:val="ad"/>
        <w:numPr>
          <w:ilvl w:val="0"/>
          <w:numId w:val="19"/>
        </w:numPr>
        <w:spacing w:after="0" w:line="360" w:lineRule="auto"/>
        <w:jc w:val="both"/>
        <w:rPr>
          <w:rFonts w:ascii="David" w:hAnsi="David" w:cs="David"/>
          <w:sz w:val="24"/>
          <w:szCs w:val="24"/>
        </w:rPr>
      </w:pPr>
      <w:r>
        <w:rPr>
          <w:rFonts w:ascii="David" w:hAnsi="David" w:cs="David"/>
          <w:sz w:val="24"/>
          <w:szCs w:val="24"/>
          <w:rtl/>
        </w:rPr>
        <w:t>ארבעת הפרסומים עליהם מלין מר כהנא, מובאים בסעיפים 6.1(ו) עד 6.1(ט) לעיל. ארבעת הפרסומים מתייחסים למחלוקת שנבעה מדרישת מר כהנא לפיה ד"ר סופר יפיץ מסמכים נלווים ל</w:t>
      </w:r>
      <w:r>
        <w:rPr>
          <w:rFonts w:ascii="David" w:hAnsi="David" w:cs="David"/>
          <w:b/>
          <w:bCs/>
          <w:sz w:val="24"/>
          <w:szCs w:val="24"/>
          <w:rtl/>
        </w:rPr>
        <w:t>"טיוטת נספח לתב"ע"</w:t>
      </w:r>
      <w:r>
        <w:rPr>
          <w:rFonts w:ascii="David" w:hAnsi="David" w:cs="David"/>
          <w:sz w:val="24"/>
          <w:szCs w:val="24"/>
          <w:rtl/>
        </w:rPr>
        <w:t xml:space="preserve"> שהוצאה לדיירים.</w:t>
      </w:r>
    </w:p>
    <w:p w14:paraId="42A75B4E" w14:textId="77777777" w:rsidR="001D5CBE" w:rsidRDefault="00151396" w:rsidP="001D5CBE">
      <w:pPr>
        <w:pStyle w:val="ad"/>
        <w:numPr>
          <w:ilvl w:val="0"/>
          <w:numId w:val="19"/>
        </w:numPr>
        <w:spacing w:before="354" w:after="0" w:line="360" w:lineRule="auto"/>
        <w:contextualSpacing w:val="0"/>
        <w:jc w:val="both"/>
        <w:rPr>
          <w:rFonts w:ascii="David" w:hAnsi="David" w:cs="David"/>
          <w:sz w:val="24"/>
          <w:szCs w:val="24"/>
        </w:rPr>
      </w:pPr>
      <w:r>
        <w:rPr>
          <w:rFonts w:ascii="David" w:hAnsi="David" w:cs="David"/>
          <w:sz w:val="24"/>
          <w:szCs w:val="24"/>
          <w:rtl/>
        </w:rPr>
        <w:t xml:space="preserve">ד"ר סופר טען שאין בידיו מסמכים נוספים, הדבר הביא לחילופי דברים בהם הטיח ד"ר סופר בכהנא – </w:t>
      </w:r>
      <w:r>
        <w:rPr>
          <w:rFonts w:ascii="David" w:hAnsi="David" w:cs="David"/>
          <w:b/>
          <w:bCs/>
          <w:sz w:val="24"/>
          <w:szCs w:val="24"/>
          <w:rtl/>
        </w:rPr>
        <w:t>"תמשיך לשקר ולהטעות את כולם"</w:t>
      </w:r>
      <w:r>
        <w:rPr>
          <w:rFonts w:ascii="David" w:hAnsi="David" w:cs="David"/>
          <w:sz w:val="24"/>
          <w:szCs w:val="24"/>
          <w:rtl/>
        </w:rPr>
        <w:t xml:space="preserve"> ואף טען שהוא (מר כהנא) מחבל בפרויקט; בהמשך וכאשר פנתה לד"ר סופר דיירת בקבוצת הנציגות, פרסום והבהיר ד"ר סופר בקבוצת הנציגות ובכתב שהוא </w:t>
      </w:r>
      <w:r>
        <w:rPr>
          <w:rFonts w:ascii="David" w:hAnsi="David" w:cs="David"/>
          <w:b/>
          <w:bCs/>
          <w:sz w:val="24"/>
          <w:szCs w:val="24"/>
          <w:rtl/>
        </w:rPr>
        <w:t>"לא מתכוון להתייחס לשקרים"</w:t>
      </w:r>
      <w:r>
        <w:rPr>
          <w:rFonts w:ascii="David" w:hAnsi="David" w:cs="David"/>
          <w:sz w:val="24"/>
          <w:szCs w:val="24"/>
          <w:rtl/>
        </w:rPr>
        <w:t xml:space="preserve"> של מר כהנא; עוד בהמשך, וביחס לדרישת המסמכים, הודיע ד"ר סופר בקבוצת חברי הנציגות שהוא לא מתכוון </w:t>
      </w:r>
      <w:r>
        <w:rPr>
          <w:rFonts w:ascii="David" w:hAnsi="David" w:cs="David"/>
          <w:b/>
          <w:bCs/>
          <w:sz w:val="24"/>
          <w:szCs w:val="24"/>
          <w:rtl/>
        </w:rPr>
        <w:t>"להתייחס לכל מאן דהוא שמפית מסמכים שאינם רלוונטיים, חצאי אמיתות ואף שקרים והכפשות"</w:t>
      </w:r>
      <w:r>
        <w:rPr>
          <w:rFonts w:ascii="David" w:hAnsi="David" w:cs="David"/>
          <w:sz w:val="24"/>
          <w:szCs w:val="24"/>
          <w:rtl/>
        </w:rPr>
        <w:t xml:space="preserve">;  ולבסוף מפנה מר כהנא לפרסום של ד"ר סופר בקבוצת הנציגות בו הוא מלין על כך שמר כהנא לא בוחל בשום אמצעי כיד להכפיש אותו ולסכל את הפרויקט. </w:t>
      </w:r>
      <w:r>
        <w:rPr>
          <w:rFonts w:ascii="David" w:hAnsi="David" w:cs="David"/>
          <w:sz w:val="24"/>
          <w:szCs w:val="24"/>
          <w:u w:val="single"/>
          <w:rtl/>
        </w:rPr>
        <w:t xml:space="preserve">אלו הם, </w:t>
      </w:r>
      <w:r>
        <w:rPr>
          <w:rFonts w:ascii="David" w:hAnsi="David" w:cs="David"/>
          <w:sz w:val="24"/>
          <w:szCs w:val="24"/>
          <w:u w:val="single"/>
          <w:rtl/>
        </w:rPr>
        <w:t>בתמצית, ארבעת הפרסומים</w:t>
      </w:r>
      <w:r>
        <w:rPr>
          <w:rFonts w:ascii="David" w:hAnsi="David" w:cs="David"/>
          <w:sz w:val="24"/>
          <w:szCs w:val="24"/>
          <w:rtl/>
        </w:rPr>
        <w:t>.</w:t>
      </w:r>
    </w:p>
    <w:p w14:paraId="2966A996" w14:textId="77777777" w:rsidR="001D5CBE" w:rsidRDefault="00151396" w:rsidP="001D5CBE">
      <w:pPr>
        <w:pStyle w:val="ad"/>
        <w:numPr>
          <w:ilvl w:val="0"/>
          <w:numId w:val="19"/>
        </w:numPr>
        <w:spacing w:before="252" w:after="0" w:line="360" w:lineRule="auto"/>
        <w:contextualSpacing w:val="0"/>
        <w:jc w:val="both"/>
        <w:rPr>
          <w:rFonts w:ascii="David" w:hAnsi="David" w:cs="David"/>
          <w:sz w:val="24"/>
          <w:szCs w:val="24"/>
          <w:rtl/>
        </w:rPr>
      </w:pPr>
      <w:r>
        <w:rPr>
          <w:rFonts w:ascii="David" w:hAnsi="David" w:cs="David"/>
          <w:sz w:val="24"/>
          <w:szCs w:val="24"/>
          <w:rtl/>
        </w:rPr>
        <w:t>בתחילתו ובסופו של יום מתייחס עיקרם של הפרסומים לטענה של מר כהנא לפיה קיימים מסמכים נלווים ו/או רלוונטיים ל</w:t>
      </w:r>
      <w:r>
        <w:rPr>
          <w:rFonts w:ascii="David" w:hAnsi="David" w:cs="David"/>
          <w:b/>
          <w:bCs/>
          <w:sz w:val="24"/>
          <w:szCs w:val="24"/>
          <w:rtl/>
        </w:rPr>
        <w:t>"טיוטת נספח לתב"ע"</w:t>
      </w:r>
      <w:r>
        <w:rPr>
          <w:rFonts w:ascii="David" w:hAnsi="David" w:cs="David"/>
          <w:sz w:val="24"/>
          <w:szCs w:val="24"/>
          <w:rtl/>
        </w:rPr>
        <w:t xml:space="preserve"> אשר לא הומצאו על ידי ד"ר סופר. לענין זה אף טוען מר כהנא שפנה למשרד האדריכלים של הפרויקט ושם נמסר לו, ש'כל החומר' הועבר להנהלת הפרויקט.</w:t>
      </w:r>
    </w:p>
    <w:p w14:paraId="6284A8B2" w14:textId="77777777" w:rsidR="001D5CBE" w:rsidRDefault="00151396" w:rsidP="001D5CBE">
      <w:pPr>
        <w:pStyle w:val="ad"/>
        <w:spacing w:before="252" w:after="0" w:line="360" w:lineRule="auto"/>
        <w:ind w:left="643"/>
        <w:contextualSpacing w:val="0"/>
        <w:jc w:val="both"/>
        <w:rPr>
          <w:rFonts w:ascii="David" w:hAnsi="David" w:cs="David"/>
          <w:sz w:val="24"/>
          <w:szCs w:val="24"/>
          <w:rtl/>
        </w:rPr>
      </w:pPr>
      <w:r>
        <w:rPr>
          <w:rFonts w:ascii="David" w:hAnsi="David" w:cs="David"/>
          <w:sz w:val="24"/>
          <w:szCs w:val="24"/>
          <w:u w:val="single"/>
          <w:rtl/>
        </w:rPr>
        <w:t>מנגד</w:t>
      </w:r>
      <w:r>
        <w:rPr>
          <w:rFonts w:ascii="David" w:hAnsi="David" w:cs="David"/>
          <w:sz w:val="24"/>
          <w:szCs w:val="24"/>
          <w:rtl/>
        </w:rPr>
        <w:t xml:space="preserve">, טוען ד"ר סופר בתוקף שלא היו בידיו מסמכים נוספים מסוג זה שדרש מר כהנא. כתמיכה לגרסתו של ד"ר סופר, הובא עו"ד יניב סולמי אשר הצהיר שלא הועברו לידי ד"ר סופר כל מסמכים שהוסתרו או הושמטו, ור' סעיפים 8-12 לתצהירו של עו"ד </w:t>
      </w:r>
      <w:r>
        <w:rPr>
          <w:rFonts w:ascii="David" w:hAnsi="David" w:cs="David"/>
          <w:sz w:val="24"/>
          <w:szCs w:val="24"/>
          <w:rtl/>
        </w:rPr>
        <w:t>סולמי.</w:t>
      </w:r>
    </w:p>
    <w:p w14:paraId="1648A044" w14:textId="77777777" w:rsidR="001D5CBE" w:rsidRDefault="00151396" w:rsidP="001D5CBE">
      <w:pPr>
        <w:pStyle w:val="ad"/>
        <w:spacing w:before="354" w:after="0" w:line="360" w:lineRule="auto"/>
        <w:ind w:left="643"/>
        <w:contextualSpacing w:val="0"/>
        <w:jc w:val="both"/>
        <w:rPr>
          <w:rFonts w:ascii="David" w:hAnsi="David" w:cs="David"/>
          <w:sz w:val="24"/>
          <w:szCs w:val="24"/>
          <w:rtl/>
        </w:rPr>
      </w:pPr>
      <w:r>
        <w:rPr>
          <w:rFonts w:ascii="David" w:hAnsi="David" w:cs="David"/>
          <w:sz w:val="24"/>
          <w:szCs w:val="24"/>
          <w:rtl/>
        </w:rPr>
        <w:lastRenderedPageBreak/>
        <w:t>אך עו"ד יניב סולמי לא הסתפק בהצהרה, אלא צירף לתצהירו את הודעת הדוא"ל שהתקבלה מסמנכ"ל שפיר, מר גד גרשון. אותה הודעת דוא"ל שתוכנה הועבר לדיירים. עו"ד סולמי מפנה לכך שמהודעת הדוא"ל ניתן לראות שלא צורף אליה כל מסמך שהושמט בהמשך על ידי ד"ר סופר.</w:t>
      </w:r>
    </w:p>
    <w:p w14:paraId="7B38FDE2" w14:textId="77777777" w:rsidR="001D5CBE" w:rsidRDefault="00151396" w:rsidP="001D5CBE">
      <w:pPr>
        <w:pStyle w:val="ad"/>
        <w:spacing w:before="354" w:after="0" w:line="360" w:lineRule="auto"/>
        <w:ind w:left="643"/>
        <w:contextualSpacing w:val="0"/>
        <w:jc w:val="both"/>
        <w:rPr>
          <w:rFonts w:ascii="David" w:hAnsi="David" w:cs="David"/>
          <w:sz w:val="24"/>
          <w:szCs w:val="24"/>
          <w:rtl/>
        </w:rPr>
      </w:pPr>
      <w:r>
        <w:rPr>
          <w:rFonts w:ascii="David" w:hAnsi="David" w:cs="David"/>
          <w:sz w:val="24"/>
          <w:szCs w:val="24"/>
          <w:rtl/>
        </w:rPr>
        <w:t xml:space="preserve">עיינתי בהודעת הדוא"ל. אכן לא צורף אליה כל מסמך שהושמט בהמשך על ידי ד"ר סופר. נכון הוא, שלפחות כהנחה תאורטית, ניתן לטעון שאולי היו הודעות נוספות ומשלימות – ואלם לגופו של ענין, </w:t>
      </w:r>
      <w:r>
        <w:rPr>
          <w:rFonts w:ascii="David" w:hAnsi="David" w:cs="David"/>
          <w:b/>
          <w:bCs/>
          <w:sz w:val="24"/>
          <w:szCs w:val="24"/>
          <w:rtl/>
        </w:rPr>
        <w:t>אני נותן אמון בגרסת עו"ד סולמי שנתמכה בתצהיר, חוזקה בחקירתו הנגדית והפנתה להודעת דוא"ל המדברת בעד עצמה.</w:t>
      </w:r>
      <w:r>
        <w:rPr>
          <w:rFonts w:ascii="David" w:hAnsi="David" w:cs="David"/>
          <w:sz w:val="24"/>
          <w:szCs w:val="24"/>
          <w:rtl/>
        </w:rPr>
        <w:t xml:space="preserve"> </w:t>
      </w:r>
      <w:r>
        <w:rPr>
          <w:rFonts w:ascii="David" w:hAnsi="David" w:cs="David"/>
          <w:b/>
          <w:bCs/>
          <w:sz w:val="24"/>
          <w:szCs w:val="24"/>
          <w:rtl/>
        </w:rPr>
        <w:t>גרסה לפיה לא היה כל מסמך שהועבר אל ד"ר סופר ואשר הושמט.</w:t>
      </w:r>
      <w:r>
        <w:rPr>
          <w:rFonts w:ascii="David" w:hAnsi="David" w:cs="David"/>
          <w:sz w:val="24"/>
          <w:szCs w:val="24"/>
          <w:rtl/>
        </w:rPr>
        <w:t xml:space="preserve">     </w:t>
      </w:r>
    </w:p>
    <w:p w14:paraId="5470B53F" w14:textId="77777777" w:rsidR="001D5CBE" w:rsidRDefault="00151396" w:rsidP="001D5CBE">
      <w:pPr>
        <w:pStyle w:val="ad"/>
        <w:numPr>
          <w:ilvl w:val="0"/>
          <w:numId w:val="19"/>
        </w:numPr>
        <w:spacing w:before="252" w:after="0" w:line="360" w:lineRule="auto"/>
        <w:contextualSpacing w:val="0"/>
        <w:jc w:val="both"/>
        <w:rPr>
          <w:rFonts w:ascii="David" w:hAnsi="David" w:cs="David"/>
          <w:sz w:val="24"/>
          <w:szCs w:val="24"/>
          <w:rtl/>
        </w:rPr>
      </w:pPr>
      <w:r>
        <w:rPr>
          <w:rFonts w:ascii="David" w:hAnsi="David" w:cs="David"/>
          <w:sz w:val="24"/>
          <w:szCs w:val="24"/>
          <w:rtl/>
        </w:rPr>
        <w:t xml:space="preserve">לאור האמור לעיל, האמירות בהן נזעק ד"ר סופר וטען לכך שהאשמתו הא בגדר שקר – אין אמירות שנועדו להבהיר המצב לאשורו. גם אם ניתן היה להבהיר את המצב בשפה עדינה יותר – הרי אין להתעלם מהמסגרת הכוללת בה פורסמו הדברים – מסגרת בה מר כהנא האשים וביקר את ד"ר סופר חדשות לבקרים. נכון הוא  שדחיתי לעיל את טענותיו של ד"ר סופר כנגד מר כהנא – אך כאשר אני פונה לבחון סגנון דיבור ופרסום, והכוונה היא לסגנון המכנה את מר כהנא כשקרן – הרי לפחות בכל הקשור לטענה כנגד ד"ר סופר בדבר מסמכים שהסתיר – ניתן לקבל את פרסומיו של ד"ר סופר. </w:t>
      </w:r>
    </w:p>
    <w:p w14:paraId="02E60C54" w14:textId="77777777" w:rsidR="001D5CBE" w:rsidRDefault="00151396" w:rsidP="001D5CBE">
      <w:pPr>
        <w:pStyle w:val="ad"/>
        <w:spacing w:before="354" w:after="0" w:line="360" w:lineRule="auto"/>
        <w:ind w:left="-568"/>
        <w:contextualSpacing w:val="0"/>
        <w:jc w:val="both"/>
        <w:rPr>
          <w:rFonts w:ascii="David" w:hAnsi="David" w:cs="David"/>
          <w:b/>
          <w:bCs/>
          <w:sz w:val="24"/>
          <w:szCs w:val="24"/>
          <w:rtl/>
        </w:rPr>
      </w:pPr>
      <w:r>
        <w:rPr>
          <w:rFonts w:ascii="David" w:hAnsi="David" w:cs="David"/>
          <w:b/>
          <w:bCs/>
          <w:sz w:val="24"/>
          <w:szCs w:val="24"/>
          <w:rtl/>
        </w:rPr>
        <w:t xml:space="preserve">הערת מעבר – מהאמור לעיל עולה שיש לדחות את תביעתו של מר כהנא כנגד ד"ר סופר. מכאן, יש לפנות לתוצאתו הסופית של ההליך ועל כך בפסקה הבאה. </w:t>
      </w:r>
    </w:p>
    <w:p w14:paraId="4E73AF35" w14:textId="77777777" w:rsidR="001D5CBE" w:rsidRDefault="00151396" w:rsidP="000903FC">
      <w:pPr>
        <w:pStyle w:val="ad"/>
        <w:numPr>
          <w:ilvl w:val="0"/>
          <w:numId w:val="1"/>
        </w:numPr>
        <w:spacing w:before="354" w:after="0" w:line="360" w:lineRule="auto"/>
        <w:ind w:left="-173" w:hanging="533"/>
        <w:contextualSpacing w:val="0"/>
        <w:jc w:val="both"/>
        <w:outlineLvl w:val="2"/>
        <w:rPr>
          <w:rFonts w:ascii="David" w:hAnsi="David" w:cs="David"/>
          <w:sz w:val="24"/>
          <w:szCs w:val="24"/>
          <w:rtl/>
        </w:rPr>
      </w:pPr>
      <w:r>
        <w:rPr>
          <w:rFonts w:ascii="David" w:hAnsi="David" w:cs="David"/>
          <w:b/>
          <w:bCs/>
          <w:sz w:val="26"/>
          <w:szCs w:val="26"/>
          <w:u w:val="single"/>
          <w:rtl/>
        </w:rPr>
        <w:t>סוף דבר</w:t>
      </w:r>
    </w:p>
    <w:p w14:paraId="4715630A" w14:textId="77777777" w:rsidR="001D5CBE" w:rsidRDefault="00151396" w:rsidP="000903FC">
      <w:pPr>
        <w:pStyle w:val="ad"/>
        <w:numPr>
          <w:ilvl w:val="1"/>
          <w:numId w:val="1"/>
        </w:numPr>
        <w:spacing w:after="0" w:line="360" w:lineRule="auto"/>
        <w:ind w:left="562" w:hanging="706"/>
        <w:jc w:val="both"/>
        <w:outlineLvl w:val="3"/>
        <w:rPr>
          <w:rFonts w:ascii="David" w:hAnsi="David" w:cs="David"/>
          <w:sz w:val="24"/>
          <w:szCs w:val="24"/>
        </w:rPr>
      </w:pPr>
      <w:r>
        <w:rPr>
          <w:rFonts w:ascii="David" w:hAnsi="David" w:cs="David"/>
          <w:b/>
          <w:bCs/>
          <w:sz w:val="24"/>
          <w:szCs w:val="24"/>
          <w:u w:val="single"/>
          <w:rtl/>
        </w:rPr>
        <w:t>התייחסות לחיוב בהוצאות ושכר טרחת עו"ד</w:t>
      </w:r>
    </w:p>
    <w:p w14:paraId="1A855EDC" w14:textId="77777777" w:rsidR="001D5CBE" w:rsidRDefault="00151396" w:rsidP="001D5CBE">
      <w:pPr>
        <w:pStyle w:val="ad"/>
        <w:numPr>
          <w:ilvl w:val="0"/>
          <w:numId w:val="20"/>
        </w:numPr>
        <w:spacing w:after="0" w:line="360" w:lineRule="auto"/>
        <w:jc w:val="both"/>
        <w:rPr>
          <w:rFonts w:ascii="David" w:hAnsi="David" w:cs="David"/>
          <w:sz w:val="24"/>
          <w:szCs w:val="24"/>
        </w:rPr>
      </w:pPr>
      <w:r>
        <w:rPr>
          <w:rFonts w:ascii="David" w:hAnsi="David" w:cs="David"/>
          <w:sz w:val="24"/>
          <w:szCs w:val="24"/>
          <w:rtl/>
        </w:rPr>
        <w:t xml:space="preserve">כפי שהובהר לעיל – יש לדחות את שתי התביעות. באשר לתביעתו של ד"ר סופר, שהוגשה על הסך של 300,000 ₪ ונדחתה – יש לחייב את ד"ר סופר בתשלום הוצאות משפט ושכר טרחת עו"ד בסך של </w:t>
      </w:r>
      <w:r>
        <w:rPr>
          <w:rFonts w:ascii="David" w:hAnsi="David" w:cs="David"/>
          <w:b/>
          <w:bCs/>
          <w:sz w:val="24"/>
          <w:szCs w:val="24"/>
          <w:u w:val="single"/>
          <w:rtl/>
        </w:rPr>
        <w:t>25,000 ₪</w:t>
      </w:r>
      <w:r>
        <w:rPr>
          <w:rFonts w:ascii="David" w:hAnsi="David" w:cs="David"/>
          <w:sz w:val="24"/>
          <w:szCs w:val="24"/>
          <w:rtl/>
        </w:rPr>
        <w:t xml:space="preserve">; באשר לתביעת מר כהנא, שהוגשה על הסך של 70,000 ₪ - יש לחייב את מר כהנא בתשלום הוצאות משפט ושכ"ט עו"ד בסך של </w:t>
      </w:r>
      <w:r>
        <w:rPr>
          <w:rFonts w:ascii="David" w:hAnsi="David" w:cs="David"/>
          <w:b/>
          <w:bCs/>
          <w:sz w:val="24"/>
          <w:szCs w:val="24"/>
          <w:u w:val="single"/>
          <w:rtl/>
        </w:rPr>
        <w:t>10,000 ₪</w:t>
      </w:r>
      <w:r>
        <w:rPr>
          <w:rFonts w:ascii="David" w:hAnsi="David" w:cs="David"/>
          <w:sz w:val="24"/>
          <w:szCs w:val="24"/>
          <w:rtl/>
        </w:rPr>
        <w:t>.</w:t>
      </w:r>
    </w:p>
    <w:p w14:paraId="0994EACD" w14:textId="77777777" w:rsidR="001D5CBE" w:rsidRDefault="00151396" w:rsidP="001D5CBE">
      <w:pPr>
        <w:pStyle w:val="ad"/>
        <w:numPr>
          <w:ilvl w:val="0"/>
          <w:numId w:val="20"/>
        </w:numPr>
        <w:spacing w:before="354" w:after="0" w:line="360" w:lineRule="auto"/>
        <w:contextualSpacing w:val="0"/>
        <w:jc w:val="both"/>
        <w:rPr>
          <w:rFonts w:ascii="David" w:hAnsi="David" w:cs="David"/>
          <w:sz w:val="24"/>
          <w:szCs w:val="24"/>
          <w:rtl/>
        </w:rPr>
      </w:pPr>
      <w:r>
        <w:rPr>
          <w:rFonts w:ascii="David" w:hAnsi="David" w:cs="David"/>
          <w:sz w:val="24"/>
          <w:szCs w:val="24"/>
          <w:rtl/>
        </w:rPr>
        <w:t xml:space="preserve">ומכאן, משנדחו שתי התביעות, הרי נותר לחייב את ד"ר סופר בהפרש ההוצאות ושכר הטרחה, בסך של </w:t>
      </w:r>
      <w:r>
        <w:rPr>
          <w:rFonts w:ascii="David" w:hAnsi="David" w:cs="David"/>
          <w:b/>
          <w:bCs/>
          <w:sz w:val="24"/>
          <w:szCs w:val="24"/>
          <w:u w:val="single"/>
          <w:rtl/>
        </w:rPr>
        <w:t>15,000 ₪</w:t>
      </w:r>
      <w:r>
        <w:rPr>
          <w:rFonts w:ascii="David" w:hAnsi="David" w:cs="David"/>
          <w:sz w:val="24"/>
          <w:szCs w:val="24"/>
          <w:rtl/>
        </w:rPr>
        <w:t>(= 10,000 – 25,000) כאשר סכום זה יישא הפרדי הצמדה וריבית כחוק ממועד פסק הדין ועד למועד התשלום בפועל.</w:t>
      </w:r>
    </w:p>
    <w:p w14:paraId="31007BE3" w14:textId="77777777" w:rsidR="001D5CBE" w:rsidRDefault="00151396" w:rsidP="005538F1">
      <w:pPr>
        <w:pStyle w:val="ad"/>
        <w:numPr>
          <w:ilvl w:val="1"/>
          <w:numId w:val="1"/>
        </w:numPr>
        <w:spacing w:before="1680" w:after="0" w:line="360" w:lineRule="auto"/>
        <w:ind w:left="562" w:hanging="706"/>
        <w:contextualSpacing w:val="0"/>
        <w:jc w:val="both"/>
        <w:outlineLvl w:val="3"/>
        <w:rPr>
          <w:rFonts w:ascii="David" w:hAnsi="David" w:cs="David"/>
          <w:sz w:val="24"/>
          <w:szCs w:val="24"/>
          <w:rtl/>
        </w:rPr>
      </w:pPr>
      <w:r>
        <w:rPr>
          <w:rFonts w:ascii="David" w:hAnsi="David" w:cs="David"/>
          <w:b/>
          <w:bCs/>
          <w:sz w:val="24"/>
          <w:szCs w:val="24"/>
          <w:u w:val="single"/>
          <w:rtl/>
        </w:rPr>
        <w:lastRenderedPageBreak/>
        <w:t>תוצאת ההליך</w:t>
      </w:r>
    </w:p>
    <w:p w14:paraId="7A9D7CE4" w14:textId="77777777" w:rsidR="001D5CBE" w:rsidRDefault="00151396" w:rsidP="001D5CBE">
      <w:pPr>
        <w:pStyle w:val="ad"/>
        <w:spacing w:after="0" w:line="360" w:lineRule="auto"/>
        <w:ind w:left="566"/>
        <w:jc w:val="both"/>
        <w:rPr>
          <w:rFonts w:ascii="David" w:hAnsi="David" w:cs="David"/>
          <w:sz w:val="24"/>
          <w:szCs w:val="24"/>
        </w:rPr>
      </w:pPr>
      <w:r>
        <w:rPr>
          <w:rFonts w:ascii="David" w:hAnsi="David" w:cs="David"/>
          <w:sz w:val="24"/>
          <w:szCs w:val="24"/>
          <w:rtl/>
        </w:rPr>
        <w:t>התביעה שהוגשה בת"א 22191-01-21 על ידי ד"ר סופר – נדחית.</w:t>
      </w:r>
    </w:p>
    <w:p w14:paraId="06CD3755" w14:textId="77777777" w:rsidR="001D5CBE" w:rsidRDefault="00151396" w:rsidP="001D5CBE">
      <w:pPr>
        <w:pStyle w:val="ad"/>
        <w:spacing w:after="0" w:line="360" w:lineRule="auto"/>
        <w:ind w:left="566"/>
        <w:jc w:val="both"/>
        <w:rPr>
          <w:rFonts w:ascii="David" w:hAnsi="David" w:cs="David"/>
          <w:sz w:val="24"/>
          <w:szCs w:val="24"/>
          <w:rtl/>
        </w:rPr>
      </w:pPr>
      <w:r>
        <w:rPr>
          <w:rFonts w:ascii="David" w:hAnsi="David" w:cs="David"/>
          <w:sz w:val="24"/>
          <w:szCs w:val="24"/>
          <w:rtl/>
        </w:rPr>
        <w:t>התביעה שהוגשה בת"א 62657-10-20 על ידי מר כהנא – נדחית.</w:t>
      </w:r>
    </w:p>
    <w:p w14:paraId="09D07F24" w14:textId="77777777" w:rsidR="001D5CBE" w:rsidRDefault="00151396" w:rsidP="001D5CBE">
      <w:pPr>
        <w:pStyle w:val="ad"/>
        <w:spacing w:after="0" w:line="360" w:lineRule="auto"/>
        <w:ind w:left="566"/>
        <w:jc w:val="both"/>
        <w:rPr>
          <w:rFonts w:ascii="David" w:hAnsi="David" w:cs="David"/>
          <w:sz w:val="24"/>
          <w:szCs w:val="24"/>
          <w:rtl/>
        </w:rPr>
      </w:pPr>
      <w:r>
        <w:rPr>
          <w:rFonts w:ascii="David" w:hAnsi="David" w:cs="David"/>
          <w:sz w:val="24"/>
          <w:szCs w:val="24"/>
          <w:rtl/>
        </w:rPr>
        <w:t xml:space="preserve">אני מחייב את התובע בת"א 22191-01-21, ד"ר יחיאל (חיליק) סופר בתשלום הוצאות משפט ושכר טרחת עו"ד בסך של </w:t>
      </w:r>
      <w:r>
        <w:rPr>
          <w:rFonts w:ascii="David" w:hAnsi="David" w:cs="David"/>
          <w:b/>
          <w:bCs/>
          <w:sz w:val="24"/>
          <w:szCs w:val="24"/>
          <w:u w:val="single"/>
          <w:rtl/>
        </w:rPr>
        <w:t>15,000 ₪</w:t>
      </w:r>
      <w:r>
        <w:rPr>
          <w:rFonts w:ascii="David" w:hAnsi="David" w:cs="David"/>
          <w:sz w:val="24"/>
          <w:szCs w:val="24"/>
          <w:rtl/>
        </w:rPr>
        <w:t xml:space="preserve"> בתוספת הפרשי הצמדה וריבית כחוק ממועד פסק הדין ועד למועד התשלום בפועל.</w:t>
      </w:r>
    </w:p>
    <w:p w14:paraId="1EAA3197" w14:textId="77777777" w:rsidR="00694556" w:rsidRDefault="00151396">
      <w:pPr>
        <w:spacing w:before="2832"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r w:rsidR="00D54B61">
        <w:rPr>
          <w:rFonts w:hint="cs"/>
          <w:rtl/>
        </w:rPr>
        <w:t>ב</w:t>
      </w:r>
      <w:sdt>
        <w:sdtPr>
          <w:rPr>
            <w:rtl/>
          </w:rPr>
          <w:alias w:val="1455"/>
          <w:tag w:val="1455"/>
          <w:id w:val="1666048407"/>
          <w:text w:multiLine="1"/>
        </w:sdtPr>
        <w:sdtEndPr/>
        <w:sdtContent>
          <w:r>
            <w:rPr>
              <w:rFonts w:ascii="Arial" w:hAnsi="Arial"/>
              <w:noProof w:val="0"/>
              <w:rtl/>
            </w:rPr>
            <w:t>ד' תמוז תשפ"ה</w:t>
          </w:r>
        </w:sdtContent>
      </w:sdt>
      <w:r w:rsidR="00005C8B">
        <w:rPr>
          <w:rFonts w:ascii="Arial" w:hAnsi="Arial"/>
          <w:noProof w:val="0"/>
          <w:rtl/>
        </w:rPr>
        <w:t xml:space="preserve">, </w:t>
      </w:r>
      <w:r w:rsidR="00D54B61">
        <w:rPr>
          <w:rFonts w:ascii="Arial" w:hAnsi="Arial" w:hint="cs"/>
          <w:noProof w:val="0"/>
          <w:rtl/>
        </w:rPr>
        <w:t>ב</w:t>
      </w:r>
      <w:sdt>
        <w:sdtPr>
          <w:rPr>
            <w:rtl/>
          </w:rPr>
          <w:alias w:val="1456"/>
          <w:tag w:val="1456"/>
          <w:id w:val="-1186288958"/>
          <w:text w:multiLine="1"/>
        </w:sdtPr>
        <w:sdtEndPr/>
        <w:sdtContent>
          <w:r>
            <w:rPr>
              <w:rFonts w:ascii="Arial" w:hAnsi="Arial"/>
              <w:noProof w:val="0"/>
              <w:rtl/>
            </w:rPr>
            <w:t>30 יוני 2025</w:t>
          </w:r>
        </w:sdtContent>
      </w:sdt>
      <w:r w:rsidR="00005C8B">
        <w:rPr>
          <w:rFonts w:ascii="Arial" w:hAnsi="Arial"/>
          <w:noProof w:val="0"/>
          <w:rtl/>
        </w:rPr>
        <w:t>, בהעדר הצדדים.</w:t>
      </w:r>
    </w:p>
    <w:p w14:paraId="023D3976" w14:textId="77777777" w:rsidR="00694556" w:rsidRDefault="00151396" w:rsidP="00BD6531">
      <w:pPr>
        <w:tabs>
          <w:tab w:val="left" w:pos="2553"/>
        </w:tabs>
        <w:spacing w:before="236" w:after="236"/>
      </w:pPr>
      <w:r>
        <w:rPr>
          <w:rFonts w:hint="cs"/>
          <w:rtl/>
        </w:rPr>
        <w:tab/>
      </w:r>
      <w:r>
        <w:rPr>
          <w:rFonts w:hint="cs"/>
          <w:rtl/>
        </w:rPr>
        <w:tab/>
      </w:r>
      <w:r>
        <w:rPr>
          <w:rFonts w:hint="cs"/>
          <w:rtl/>
        </w:rPr>
        <w:tab/>
      </w:r>
      <w:r>
        <w:rPr>
          <w:rFonts w:hint="cs"/>
          <w:rtl/>
        </w:rPr>
        <w:tab/>
        <w:t xml:space="preserve">        </w:t>
      </w:r>
      <w:sdt>
        <w:sdtPr>
          <w:rPr>
            <w:rtl/>
          </w:rPr>
          <w:alias w:val="MergeField"/>
          <w:tag w:val="1237"/>
          <w:id w:val="1914425236"/>
        </w:sdtPr>
        <w:sdtEndPr/>
        <w:sdtContent>
          <w:r w:rsidR="00E705DF">
            <w:drawing>
              <wp:inline distT="0" distB="0" distL="0" distR="0" wp14:anchorId="3E75428D" wp14:editId="3386E747">
                <wp:extent cx="1781175" cy="504824"/>
                <wp:effectExtent l="0" t="0" r="0" b="0"/>
                <wp:docPr id="1" name="Picture 1" descr="חתימה בכתב יד בעבר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237.jpg"/>
                        <pic:cNvPicPr/>
                      </pic:nvPicPr>
                      <pic:blipFill>
                        <a:blip r:embed="rId8" cstate="print"/>
                        <a:stretch>
                          <a:fillRect/>
                        </a:stretch>
                      </pic:blipFill>
                      <pic:spPr>
                        <a:xfrm>
                          <a:off x="0" y="0"/>
                          <a:ext cx="1781175" cy="504824"/>
                        </a:xfrm>
                        <a:prstGeom prst="rect">
                          <a:avLst/>
                        </a:prstGeom>
                      </pic:spPr>
                    </pic:pic>
                  </a:graphicData>
                </a:graphic>
              </wp:inline>
            </w:drawing>
          </w:r>
        </w:sdtContent>
      </w:sdt>
    </w:p>
    <w:sectPr w:rsidR="00694556" w:rsidSect="001D5CBE">
      <w:headerReference w:type="default" r:id="rId9"/>
      <w:footerReference w:type="default" r:id="rId10"/>
      <w:pgSz w:w="11907" w:h="16840" w:code="9"/>
      <w:pgMar w:top="1247" w:right="1588" w:bottom="1021" w:left="1531" w:header="720" w:footer="51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3DA63" w14:textId="77777777" w:rsidR="00151396" w:rsidRDefault="00151396">
      <w:r>
        <w:separator/>
      </w:r>
    </w:p>
  </w:endnote>
  <w:endnote w:type="continuationSeparator" w:id="0">
    <w:p w14:paraId="547B38AF" w14:textId="77777777" w:rsidR="00151396" w:rsidRDefault="0015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0CB9" w14:textId="77777777" w:rsidR="00694556" w:rsidRPr="00386327" w:rsidRDefault="00151396">
    <w:pPr>
      <w:pStyle w:val="a4"/>
      <w:jc w:val="center"/>
      <w:rPr>
        <w:rStyle w:val="ab"/>
      </w:rPr>
    </w:pPr>
    <w:r w:rsidRPr="00386327">
      <w:rPr>
        <w:rStyle w:val="ab"/>
      </w:rPr>
      <w:fldChar w:fldCharType="begin"/>
    </w:r>
    <w:r w:rsidR="00005C8B" w:rsidRPr="00386327">
      <w:rPr>
        <w:rStyle w:val="ab"/>
      </w:rPr>
      <w:instrText xml:space="preserve"> PAGE </w:instrText>
    </w:r>
    <w:r w:rsidRPr="00386327">
      <w:rPr>
        <w:rStyle w:val="ab"/>
      </w:rPr>
      <w:fldChar w:fldCharType="separate"/>
    </w:r>
    <w:r w:rsidR="00005C8B" w:rsidRPr="00386327">
      <w:rPr>
        <w:rStyle w:val="ab"/>
      </w:rPr>
      <w:t>33</w:t>
    </w:r>
    <w:r w:rsidRPr="00386327">
      <w:rPr>
        <w:rStyle w:val="ab"/>
      </w:rPr>
      <w:fldChar w:fldCharType="end"/>
    </w:r>
    <w:r w:rsidR="00005C8B" w:rsidRPr="00386327">
      <w:rPr>
        <w:rStyle w:val="ab"/>
        <w:rFonts w:hint="cs"/>
        <w:rtl/>
      </w:rPr>
      <w:t xml:space="preserve"> מתוך </w:t>
    </w:r>
    <w:r w:rsidRPr="00386327">
      <w:rPr>
        <w:rStyle w:val="ab"/>
      </w:rPr>
      <w:fldChar w:fldCharType="begin"/>
    </w:r>
    <w:r w:rsidR="00005C8B" w:rsidRPr="00386327">
      <w:rPr>
        <w:rStyle w:val="ab"/>
      </w:rPr>
      <w:instrText xml:space="preserve"> NUMPAGES </w:instrText>
    </w:r>
    <w:r w:rsidRPr="00386327">
      <w:rPr>
        <w:rStyle w:val="ab"/>
      </w:rPr>
      <w:fldChar w:fldCharType="separate"/>
    </w:r>
    <w:r w:rsidR="00005C8B" w:rsidRPr="00386327">
      <w:rPr>
        <w:rStyle w:val="ab"/>
      </w:rPr>
      <w:t>33</w:t>
    </w:r>
    <w:r w:rsidRPr="00386327">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AA8E" w14:textId="77777777" w:rsidR="00151396" w:rsidRDefault="00151396">
      <w:r>
        <w:separator/>
      </w:r>
    </w:p>
  </w:footnote>
  <w:footnote w:type="continuationSeparator" w:id="0">
    <w:p w14:paraId="648104DD" w14:textId="77777777" w:rsidR="00151396" w:rsidRDefault="00151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40544" w14:textId="77777777" w:rsidR="00694556" w:rsidRDefault="00151396">
    <w:pPr>
      <w:pStyle w:val="a3"/>
      <w:jc w:val="center"/>
      <w:rPr>
        <w:rFonts w:cs="FrankRuehl"/>
        <w:noProof w:val="0"/>
        <w:sz w:val="28"/>
        <w:szCs w:val="28"/>
        <w:rtl/>
      </w:rPr>
    </w:pPr>
    <w:r>
      <w:rPr>
        <w:rFonts w:cs="FrankRuehl"/>
        <w:sz w:val="28"/>
        <w:szCs w:val="28"/>
      </w:rPr>
      <w:drawing>
        <wp:inline distT="0" distB="0" distL="0" distR="0" wp14:anchorId="0E4C9B9D" wp14:editId="2BFA9161">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74015" cy="469265"/>
                  </a:xfrm>
                  <a:prstGeom prst="rect">
                    <a:avLst/>
                  </a:prstGeom>
                  <a:noFill/>
                  <a:ln>
                    <a:noFill/>
                  </a:ln>
                </pic:spPr>
              </pic:pic>
            </a:graphicData>
          </a:graphic>
        </wp:inline>
      </w:drawing>
    </w:r>
  </w:p>
  <w:p w14:paraId="0CBAFC4A" w14:textId="77777777" w:rsidR="001C5573" w:rsidRDefault="00151396" w:rsidP="001C5573">
    <w:pPr>
      <w:pStyle w:val="a3"/>
      <w:jc w:val="center"/>
      <w:rPr>
        <w:rFonts w:ascii="Tahoma" w:hAnsi="Tahoma"/>
        <w:noProof w:val="0"/>
        <w:color w:val="000080"/>
        <w:sz w:val="32"/>
        <w:szCs w:val="32"/>
        <w:rtl/>
      </w:rPr>
    </w:pPr>
    <w:r w:rsidRPr="00FA4EAF">
      <w:rPr>
        <w:rFonts w:ascii="Tahoma" w:hAnsi="Tahoma"/>
        <w:b/>
        <w:bCs/>
        <w:color w:val="000080"/>
        <w:sz w:val="32"/>
        <w:szCs w:val="32"/>
        <w:rtl/>
      </w:rPr>
      <w:t>בית משפט השלום בתל אביב -יפו</w:t>
    </w:r>
  </w:p>
  <w:p w14:paraId="7C6D5CA6" w14:textId="77777777" w:rsidR="00694556" w:rsidRPr="001C5573" w:rsidRDefault="00694556" w:rsidP="001C5573">
    <w:pPr>
      <w:tabs>
        <w:tab w:val="left" w:pos="1421"/>
      </w:tabs>
      <w:rPr>
        <w:rtl/>
      </w:rPr>
    </w:pPr>
  </w:p>
  <w:p w14:paraId="0A884E3C" w14:textId="77777777" w:rsidR="007D45E3" w:rsidRPr="00A974A3" w:rsidRDefault="00151396" w:rsidP="00AD6838">
    <w:pPr>
      <w:rPr>
        <w:b/>
        <w:bCs/>
        <w:noProof w:val="0"/>
        <w:sz w:val="26"/>
        <w:szCs w:val="26"/>
        <w:rtl/>
      </w:rPr>
    </w:pPr>
    <w:sdt>
      <w:sdtPr>
        <w:rPr>
          <w:b/>
          <w:bCs/>
          <w:sz w:val="26"/>
          <w:szCs w:val="26"/>
          <w:rtl/>
        </w:rPr>
        <w:alias w:val="1170"/>
        <w:tag w:val="1170"/>
        <w:id w:val="971161230"/>
        <w:text w:multiLine="1"/>
      </w:sdtPr>
      <w:sdtEndPr/>
      <w:sdtContent>
        <w:r w:rsidR="0016615E" w:rsidRPr="00A974A3">
          <w:rPr>
            <w:b/>
            <w:bCs/>
            <w:noProof w:val="0"/>
            <w:sz w:val="26"/>
            <w:szCs w:val="26"/>
            <w:rtl/>
          </w:rPr>
          <w:t>ת"א</w:t>
        </w:r>
      </w:sdtContent>
    </w:sdt>
    <w:r w:rsidR="00005C8B" w:rsidRPr="00A974A3">
      <w:rPr>
        <w:b/>
        <w:bCs/>
        <w:noProof w:val="0"/>
        <w:sz w:val="26"/>
        <w:szCs w:val="26"/>
        <w:rtl/>
      </w:rPr>
      <w:t xml:space="preserve"> </w:t>
    </w:r>
    <w:sdt>
      <w:sdtPr>
        <w:rPr>
          <w:b/>
          <w:bCs/>
          <w:sz w:val="26"/>
          <w:szCs w:val="26"/>
          <w:rtl/>
        </w:rPr>
        <w:alias w:val="1171"/>
        <w:tag w:val="1171"/>
        <w:id w:val="1951678515"/>
        <w:text w:multiLine="1"/>
      </w:sdtPr>
      <w:sdtEndPr/>
      <w:sdtContent>
        <w:r w:rsidR="0016615E" w:rsidRPr="00A974A3">
          <w:rPr>
            <w:b/>
            <w:bCs/>
            <w:noProof w:val="0"/>
            <w:sz w:val="26"/>
            <w:szCs w:val="26"/>
            <w:rtl/>
          </w:rPr>
          <w:t>22191-01-21</w:t>
        </w:r>
      </w:sdtContent>
    </w:sdt>
    <w:r w:rsidR="00005C8B" w:rsidRPr="00A974A3">
      <w:rPr>
        <w:b/>
        <w:bCs/>
        <w:noProof w:val="0"/>
        <w:sz w:val="26"/>
        <w:szCs w:val="26"/>
        <w:rtl/>
      </w:rPr>
      <w:t xml:space="preserve"> </w:t>
    </w:r>
    <w:sdt>
      <w:sdtPr>
        <w:rPr>
          <w:b/>
          <w:bCs/>
          <w:sz w:val="26"/>
          <w:szCs w:val="26"/>
          <w:rtl/>
        </w:rPr>
        <w:alias w:val="1172"/>
        <w:tag w:val="1172"/>
        <w:id w:val="1166128296"/>
        <w:text w:multiLine="1"/>
      </w:sdtPr>
      <w:sdtEndPr/>
      <w:sdtContent>
        <w:r w:rsidR="00AD6838" w:rsidRPr="00A974A3">
          <w:rPr>
            <w:b/>
            <w:bCs/>
            <w:sz w:val="26"/>
            <w:szCs w:val="26"/>
            <w:rtl/>
          </w:rPr>
          <w:t>סופר נ' כהנא</w:t>
        </w:r>
        <w:r w:rsidR="00AD6838" w:rsidRPr="00A974A3">
          <w:rPr>
            <w:b/>
            <w:bCs/>
            <w:sz w:val="26"/>
            <w:szCs w:val="26"/>
            <w:rtl/>
          </w:rPr>
          <w:br/>
          <w:t>ת</w:t>
        </w:r>
        <w:r w:rsidR="00AD6838" w:rsidRPr="00A974A3">
          <w:rPr>
            <w:rFonts w:hint="cs"/>
            <w:b/>
            <w:bCs/>
            <w:sz w:val="26"/>
            <w:szCs w:val="26"/>
            <w:rtl/>
          </w:rPr>
          <w:t>"</w:t>
        </w:r>
        <w:r w:rsidR="00AD6838" w:rsidRPr="00A974A3">
          <w:rPr>
            <w:b/>
            <w:bCs/>
            <w:sz w:val="26"/>
            <w:szCs w:val="26"/>
            <w:rtl/>
          </w:rPr>
          <w:t>א 62657-10-20 כהנא נ' סופר</w:t>
        </w:r>
      </w:sdtContent>
    </w:sdt>
  </w:p>
  <w:p w14:paraId="2A2E0613" w14:textId="77777777" w:rsidR="008D10B2" w:rsidRPr="00FA4EAF" w:rsidRDefault="00151396"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p w14:paraId="42ABDC2C" w14:textId="77777777" w:rsidR="00694556" w:rsidRPr="00FA4EAF"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27566"/>
    <w:multiLevelType w:val="hybridMultilevel"/>
    <w:tmpl w:val="D84EA506"/>
    <w:lvl w:ilvl="0" w:tplc="3C06261C">
      <w:start w:val="1"/>
      <w:numFmt w:val="hebrew1"/>
      <w:lvlText w:val="(%1)"/>
      <w:lvlJc w:val="left"/>
      <w:pPr>
        <w:ind w:left="643" w:hanging="360"/>
      </w:pPr>
    </w:lvl>
    <w:lvl w:ilvl="1" w:tplc="6ACEDC4C">
      <w:start w:val="1"/>
      <w:numFmt w:val="lowerLetter"/>
      <w:lvlText w:val="%2."/>
      <w:lvlJc w:val="left"/>
      <w:pPr>
        <w:ind w:left="1363" w:hanging="360"/>
      </w:pPr>
    </w:lvl>
    <w:lvl w:ilvl="2" w:tplc="D8F246B6">
      <w:start w:val="1"/>
      <w:numFmt w:val="lowerRoman"/>
      <w:lvlText w:val="%3."/>
      <w:lvlJc w:val="right"/>
      <w:pPr>
        <w:ind w:left="2083" w:hanging="180"/>
      </w:pPr>
    </w:lvl>
    <w:lvl w:ilvl="3" w:tplc="036C7EB6">
      <w:start w:val="1"/>
      <w:numFmt w:val="decimal"/>
      <w:lvlText w:val="%4."/>
      <w:lvlJc w:val="left"/>
      <w:pPr>
        <w:ind w:left="2803" w:hanging="360"/>
      </w:pPr>
    </w:lvl>
    <w:lvl w:ilvl="4" w:tplc="6876E0BE">
      <w:start w:val="1"/>
      <w:numFmt w:val="lowerLetter"/>
      <w:lvlText w:val="%5."/>
      <w:lvlJc w:val="left"/>
      <w:pPr>
        <w:ind w:left="3523" w:hanging="360"/>
      </w:pPr>
    </w:lvl>
    <w:lvl w:ilvl="5" w:tplc="8556A662">
      <w:start w:val="1"/>
      <w:numFmt w:val="lowerRoman"/>
      <w:lvlText w:val="%6."/>
      <w:lvlJc w:val="right"/>
      <w:pPr>
        <w:ind w:left="4243" w:hanging="180"/>
      </w:pPr>
    </w:lvl>
    <w:lvl w:ilvl="6" w:tplc="751C522E">
      <w:start w:val="1"/>
      <w:numFmt w:val="decimal"/>
      <w:lvlText w:val="%7."/>
      <w:lvlJc w:val="left"/>
      <w:pPr>
        <w:ind w:left="4963" w:hanging="360"/>
      </w:pPr>
    </w:lvl>
    <w:lvl w:ilvl="7" w:tplc="FF481E2C">
      <w:start w:val="1"/>
      <w:numFmt w:val="lowerLetter"/>
      <w:lvlText w:val="%8."/>
      <w:lvlJc w:val="left"/>
      <w:pPr>
        <w:ind w:left="5683" w:hanging="360"/>
      </w:pPr>
    </w:lvl>
    <w:lvl w:ilvl="8" w:tplc="04B040F0">
      <w:start w:val="1"/>
      <w:numFmt w:val="lowerRoman"/>
      <w:lvlText w:val="%9."/>
      <w:lvlJc w:val="right"/>
      <w:pPr>
        <w:ind w:left="6403" w:hanging="180"/>
      </w:pPr>
    </w:lvl>
  </w:abstractNum>
  <w:abstractNum w:abstractNumId="1" w15:restartNumberingAfterBreak="0">
    <w:nsid w:val="0A103521"/>
    <w:multiLevelType w:val="hybridMultilevel"/>
    <w:tmpl w:val="FDC4CF02"/>
    <w:lvl w:ilvl="0" w:tplc="1354BFD0">
      <w:start w:val="1"/>
      <w:numFmt w:val="hebrew1"/>
      <w:lvlText w:val="(%1)"/>
      <w:lvlJc w:val="left"/>
      <w:pPr>
        <w:ind w:left="926" w:hanging="360"/>
      </w:pPr>
    </w:lvl>
    <w:lvl w:ilvl="1" w:tplc="48A680C4">
      <w:start w:val="1"/>
      <w:numFmt w:val="lowerLetter"/>
      <w:lvlText w:val="%2."/>
      <w:lvlJc w:val="left"/>
      <w:pPr>
        <w:ind w:left="1646" w:hanging="360"/>
      </w:pPr>
    </w:lvl>
    <w:lvl w:ilvl="2" w:tplc="77823CD6">
      <w:start w:val="1"/>
      <w:numFmt w:val="lowerRoman"/>
      <w:lvlText w:val="%3."/>
      <w:lvlJc w:val="right"/>
      <w:pPr>
        <w:ind w:left="2366" w:hanging="180"/>
      </w:pPr>
    </w:lvl>
    <w:lvl w:ilvl="3" w:tplc="5A166608">
      <w:start w:val="1"/>
      <w:numFmt w:val="decimal"/>
      <w:lvlText w:val="%4."/>
      <w:lvlJc w:val="left"/>
      <w:pPr>
        <w:ind w:left="3086" w:hanging="360"/>
      </w:pPr>
    </w:lvl>
    <w:lvl w:ilvl="4" w:tplc="ABFA475E">
      <w:start w:val="1"/>
      <w:numFmt w:val="lowerLetter"/>
      <w:lvlText w:val="%5."/>
      <w:lvlJc w:val="left"/>
      <w:pPr>
        <w:ind w:left="3806" w:hanging="360"/>
      </w:pPr>
    </w:lvl>
    <w:lvl w:ilvl="5" w:tplc="61185882">
      <w:start w:val="1"/>
      <w:numFmt w:val="lowerRoman"/>
      <w:lvlText w:val="%6."/>
      <w:lvlJc w:val="right"/>
      <w:pPr>
        <w:ind w:left="4526" w:hanging="180"/>
      </w:pPr>
    </w:lvl>
    <w:lvl w:ilvl="6" w:tplc="EEBEB946">
      <w:start w:val="1"/>
      <w:numFmt w:val="decimal"/>
      <w:lvlText w:val="%7."/>
      <w:lvlJc w:val="left"/>
      <w:pPr>
        <w:ind w:left="5246" w:hanging="360"/>
      </w:pPr>
    </w:lvl>
    <w:lvl w:ilvl="7" w:tplc="69EE37AA">
      <w:start w:val="1"/>
      <w:numFmt w:val="lowerLetter"/>
      <w:lvlText w:val="%8."/>
      <w:lvlJc w:val="left"/>
      <w:pPr>
        <w:ind w:left="5966" w:hanging="360"/>
      </w:pPr>
    </w:lvl>
    <w:lvl w:ilvl="8" w:tplc="C3D0A1A6">
      <w:start w:val="1"/>
      <w:numFmt w:val="lowerRoman"/>
      <w:lvlText w:val="%9."/>
      <w:lvlJc w:val="right"/>
      <w:pPr>
        <w:ind w:left="6686" w:hanging="180"/>
      </w:pPr>
    </w:lvl>
  </w:abstractNum>
  <w:abstractNum w:abstractNumId="2" w15:restartNumberingAfterBreak="0">
    <w:nsid w:val="0FC35F57"/>
    <w:multiLevelType w:val="hybridMultilevel"/>
    <w:tmpl w:val="B2144ACA"/>
    <w:lvl w:ilvl="0" w:tplc="88A8031E">
      <w:start w:val="1"/>
      <w:numFmt w:val="hebrew1"/>
      <w:lvlText w:val="(%1)"/>
      <w:lvlJc w:val="left"/>
      <w:pPr>
        <w:ind w:left="785" w:hanging="360"/>
      </w:pPr>
    </w:lvl>
    <w:lvl w:ilvl="1" w:tplc="F398AD02">
      <w:start w:val="1"/>
      <w:numFmt w:val="lowerLetter"/>
      <w:lvlText w:val="%2."/>
      <w:lvlJc w:val="left"/>
      <w:pPr>
        <w:ind w:left="1505" w:hanging="360"/>
      </w:pPr>
    </w:lvl>
    <w:lvl w:ilvl="2" w:tplc="B5169E36">
      <w:start w:val="1"/>
      <w:numFmt w:val="lowerRoman"/>
      <w:lvlText w:val="%3."/>
      <w:lvlJc w:val="right"/>
      <w:pPr>
        <w:ind w:left="2225" w:hanging="180"/>
      </w:pPr>
    </w:lvl>
    <w:lvl w:ilvl="3" w:tplc="F25C4CE4">
      <w:start w:val="1"/>
      <w:numFmt w:val="decimal"/>
      <w:lvlText w:val="%4."/>
      <w:lvlJc w:val="left"/>
      <w:pPr>
        <w:ind w:left="2945" w:hanging="360"/>
      </w:pPr>
    </w:lvl>
    <w:lvl w:ilvl="4" w:tplc="3DEA8A5A">
      <w:start w:val="1"/>
      <w:numFmt w:val="lowerLetter"/>
      <w:lvlText w:val="%5."/>
      <w:lvlJc w:val="left"/>
      <w:pPr>
        <w:ind w:left="3665" w:hanging="360"/>
      </w:pPr>
    </w:lvl>
    <w:lvl w:ilvl="5" w:tplc="305A4DC2">
      <w:start w:val="1"/>
      <w:numFmt w:val="lowerRoman"/>
      <w:lvlText w:val="%6."/>
      <w:lvlJc w:val="right"/>
      <w:pPr>
        <w:ind w:left="4385" w:hanging="180"/>
      </w:pPr>
    </w:lvl>
    <w:lvl w:ilvl="6" w:tplc="64A8000C">
      <w:start w:val="1"/>
      <w:numFmt w:val="decimal"/>
      <w:lvlText w:val="%7."/>
      <w:lvlJc w:val="left"/>
      <w:pPr>
        <w:ind w:left="5105" w:hanging="360"/>
      </w:pPr>
    </w:lvl>
    <w:lvl w:ilvl="7" w:tplc="3C46B6FE">
      <w:start w:val="1"/>
      <w:numFmt w:val="lowerLetter"/>
      <w:lvlText w:val="%8."/>
      <w:lvlJc w:val="left"/>
      <w:pPr>
        <w:ind w:left="5825" w:hanging="360"/>
      </w:pPr>
    </w:lvl>
    <w:lvl w:ilvl="8" w:tplc="C44077C4">
      <w:start w:val="1"/>
      <w:numFmt w:val="lowerRoman"/>
      <w:lvlText w:val="%9."/>
      <w:lvlJc w:val="right"/>
      <w:pPr>
        <w:ind w:left="6545" w:hanging="180"/>
      </w:pPr>
    </w:lvl>
  </w:abstractNum>
  <w:abstractNum w:abstractNumId="3" w15:restartNumberingAfterBreak="0">
    <w:nsid w:val="121F7513"/>
    <w:multiLevelType w:val="hybridMultilevel"/>
    <w:tmpl w:val="C8947752"/>
    <w:lvl w:ilvl="0" w:tplc="7986B0A4">
      <w:start w:val="1"/>
      <w:numFmt w:val="hebrew1"/>
      <w:lvlText w:val="(%1)"/>
      <w:lvlJc w:val="left"/>
      <w:pPr>
        <w:ind w:left="643" w:hanging="360"/>
      </w:pPr>
    </w:lvl>
    <w:lvl w:ilvl="1" w:tplc="1CDEE272">
      <w:start w:val="1"/>
      <w:numFmt w:val="lowerLetter"/>
      <w:lvlText w:val="%2."/>
      <w:lvlJc w:val="left"/>
      <w:pPr>
        <w:ind w:left="1363" w:hanging="360"/>
      </w:pPr>
    </w:lvl>
    <w:lvl w:ilvl="2" w:tplc="C7F8F386">
      <w:start w:val="1"/>
      <w:numFmt w:val="lowerRoman"/>
      <w:lvlText w:val="%3."/>
      <w:lvlJc w:val="right"/>
      <w:pPr>
        <w:ind w:left="2083" w:hanging="180"/>
      </w:pPr>
    </w:lvl>
    <w:lvl w:ilvl="3" w:tplc="DDF6B37E">
      <w:start w:val="1"/>
      <w:numFmt w:val="decimal"/>
      <w:lvlText w:val="%4."/>
      <w:lvlJc w:val="left"/>
      <w:pPr>
        <w:ind w:left="2803" w:hanging="360"/>
      </w:pPr>
    </w:lvl>
    <w:lvl w:ilvl="4" w:tplc="99A6F74E">
      <w:start w:val="1"/>
      <w:numFmt w:val="lowerLetter"/>
      <w:lvlText w:val="%5."/>
      <w:lvlJc w:val="left"/>
      <w:pPr>
        <w:ind w:left="3523" w:hanging="360"/>
      </w:pPr>
    </w:lvl>
    <w:lvl w:ilvl="5" w:tplc="0C00A8D2">
      <w:start w:val="1"/>
      <w:numFmt w:val="lowerRoman"/>
      <w:lvlText w:val="%6."/>
      <w:lvlJc w:val="right"/>
      <w:pPr>
        <w:ind w:left="4243" w:hanging="180"/>
      </w:pPr>
    </w:lvl>
    <w:lvl w:ilvl="6" w:tplc="F1E813BE">
      <w:start w:val="1"/>
      <w:numFmt w:val="decimal"/>
      <w:lvlText w:val="%7."/>
      <w:lvlJc w:val="left"/>
      <w:pPr>
        <w:ind w:left="4963" w:hanging="360"/>
      </w:pPr>
    </w:lvl>
    <w:lvl w:ilvl="7" w:tplc="A5509A46">
      <w:start w:val="1"/>
      <w:numFmt w:val="lowerLetter"/>
      <w:lvlText w:val="%8."/>
      <w:lvlJc w:val="left"/>
      <w:pPr>
        <w:ind w:left="5683" w:hanging="360"/>
      </w:pPr>
    </w:lvl>
    <w:lvl w:ilvl="8" w:tplc="D52A5ABA">
      <w:start w:val="1"/>
      <w:numFmt w:val="lowerRoman"/>
      <w:lvlText w:val="%9."/>
      <w:lvlJc w:val="right"/>
      <w:pPr>
        <w:ind w:left="6403" w:hanging="180"/>
      </w:pPr>
    </w:lvl>
  </w:abstractNum>
  <w:abstractNum w:abstractNumId="4" w15:restartNumberingAfterBreak="0">
    <w:nsid w:val="1304267C"/>
    <w:multiLevelType w:val="hybridMultilevel"/>
    <w:tmpl w:val="A9EE8926"/>
    <w:lvl w:ilvl="0" w:tplc="316C4FD6">
      <w:start w:val="1"/>
      <w:numFmt w:val="hebrew1"/>
      <w:lvlText w:val="(%1)"/>
      <w:lvlJc w:val="left"/>
      <w:pPr>
        <w:ind w:left="643" w:hanging="360"/>
      </w:pPr>
    </w:lvl>
    <w:lvl w:ilvl="1" w:tplc="2F2C2C8A">
      <w:start w:val="1"/>
      <w:numFmt w:val="lowerLetter"/>
      <w:lvlText w:val="%2."/>
      <w:lvlJc w:val="left"/>
      <w:pPr>
        <w:ind w:left="1363" w:hanging="360"/>
      </w:pPr>
    </w:lvl>
    <w:lvl w:ilvl="2" w:tplc="350443CA">
      <w:start w:val="1"/>
      <w:numFmt w:val="lowerRoman"/>
      <w:lvlText w:val="%3."/>
      <w:lvlJc w:val="right"/>
      <w:pPr>
        <w:ind w:left="2083" w:hanging="180"/>
      </w:pPr>
    </w:lvl>
    <w:lvl w:ilvl="3" w:tplc="08E230E4">
      <w:start w:val="1"/>
      <w:numFmt w:val="decimal"/>
      <w:lvlText w:val="%4."/>
      <w:lvlJc w:val="left"/>
      <w:pPr>
        <w:ind w:left="2803" w:hanging="360"/>
      </w:pPr>
    </w:lvl>
    <w:lvl w:ilvl="4" w:tplc="100262AA">
      <w:start w:val="1"/>
      <w:numFmt w:val="lowerLetter"/>
      <w:lvlText w:val="%5."/>
      <w:lvlJc w:val="left"/>
      <w:pPr>
        <w:ind w:left="3523" w:hanging="360"/>
      </w:pPr>
    </w:lvl>
    <w:lvl w:ilvl="5" w:tplc="88CA54FE">
      <w:start w:val="1"/>
      <w:numFmt w:val="lowerRoman"/>
      <w:lvlText w:val="%6."/>
      <w:lvlJc w:val="right"/>
      <w:pPr>
        <w:ind w:left="4243" w:hanging="180"/>
      </w:pPr>
    </w:lvl>
    <w:lvl w:ilvl="6" w:tplc="23EA1058">
      <w:start w:val="1"/>
      <w:numFmt w:val="decimal"/>
      <w:lvlText w:val="%7."/>
      <w:lvlJc w:val="left"/>
      <w:pPr>
        <w:ind w:left="4963" w:hanging="360"/>
      </w:pPr>
    </w:lvl>
    <w:lvl w:ilvl="7" w:tplc="4EA4697A">
      <w:start w:val="1"/>
      <w:numFmt w:val="lowerLetter"/>
      <w:lvlText w:val="%8."/>
      <w:lvlJc w:val="left"/>
      <w:pPr>
        <w:ind w:left="5683" w:hanging="360"/>
      </w:pPr>
    </w:lvl>
    <w:lvl w:ilvl="8" w:tplc="FF46E9CE">
      <w:start w:val="1"/>
      <w:numFmt w:val="lowerRoman"/>
      <w:lvlText w:val="%9."/>
      <w:lvlJc w:val="right"/>
      <w:pPr>
        <w:ind w:left="6403" w:hanging="180"/>
      </w:pPr>
    </w:lvl>
  </w:abstractNum>
  <w:abstractNum w:abstractNumId="5" w15:restartNumberingAfterBreak="0">
    <w:nsid w:val="14BD4844"/>
    <w:multiLevelType w:val="hybridMultilevel"/>
    <w:tmpl w:val="3FD64284"/>
    <w:lvl w:ilvl="0" w:tplc="28FA69BE">
      <w:start w:val="1"/>
      <w:numFmt w:val="hebrew1"/>
      <w:lvlText w:val="(%1)"/>
      <w:lvlJc w:val="left"/>
      <w:pPr>
        <w:ind w:left="720" w:hanging="360"/>
      </w:pPr>
    </w:lvl>
    <w:lvl w:ilvl="1" w:tplc="2B3A9F08">
      <w:start w:val="1"/>
      <w:numFmt w:val="lowerLetter"/>
      <w:lvlText w:val="%2."/>
      <w:lvlJc w:val="left"/>
      <w:pPr>
        <w:ind w:left="1440" w:hanging="360"/>
      </w:pPr>
    </w:lvl>
    <w:lvl w:ilvl="2" w:tplc="86AAC3FE">
      <w:start w:val="1"/>
      <w:numFmt w:val="lowerRoman"/>
      <w:lvlText w:val="%3."/>
      <w:lvlJc w:val="right"/>
      <w:pPr>
        <w:ind w:left="2160" w:hanging="180"/>
      </w:pPr>
    </w:lvl>
    <w:lvl w:ilvl="3" w:tplc="5FC8EFAE">
      <w:start w:val="1"/>
      <w:numFmt w:val="decimal"/>
      <w:lvlText w:val="%4."/>
      <w:lvlJc w:val="left"/>
      <w:pPr>
        <w:ind w:left="2880" w:hanging="360"/>
      </w:pPr>
    </w:lvl>
    <w:lvl w:ilvl="4" w:tplc="69C40786">
      <w:start w:val="1"/>
      <w:numFmt w:val="lowerLetter"/>
      <w:lvlText w:val="%5."/>
      <w:lvlJc w:val="left"/>
      <w:pPr>
        <w:ind w:left="3600" w:hanging="360"/>
      </w:pPr>
    </w:lvl>
    <w:lvl w:ilvl="5" w:tplc="17A442E0">
      <w:start w:val="1"/>
      <w:numFmt w:val="lowerRoman"/>
      <w:lvlText w:val="%6."/>
      <w:lvlJc w:val="right"/>
      <w:pPr>
        <w:ind w:left="4320" w:hanging="180"/>
      </w:pPr>
    </w:lvl>
    <w:lvl w:ilvl="6" w:tplc="E18A2152">
      <w:start w:val="1"/>
      <w:numFmt w:val="decimal"/>
      <w:lvlText w:val="%7."/>
      <w:lvlJc w:val="left"/>
      <w:pPr>
        <w:ind w:left="5040" w:hanging="360"/>
      </w:pPr>
    </w:lvl>
    <w:lvl w:ilvl="7" w:tplc="AC944736">
      <w:start w:val="1"/>
      <w:numFmt w:val="lowerLetter"/>
      <w:lvlText w:val="%8."/>
      <w:lvlJc w:val="left"/>
      <w:pPr>
        <w:ind w:left="5760" w:hanging="360"/>
      </w:pPr>
    </w:lvl>
    <w:lvl w:ilvl="8" w:tplc="5710533E">
      <w:start w:val="1"/>
      <w:numFmt w:val="lowerRoman"/>
      <w:lvlText w:val="%9."/>
      <w:lvlJc w:val="right"/>
      <w:pPr>
        <w:ind w:left="6480" w:hanging="180"/>
      </w:pPr>
    </w:lvl>
  </w:abstractNum>
  <w:abstractNum w:abstractNumId="6" w15:restartNumberingAfterBreak="0">
    <w:nsid w:val="15A7570C"/>
    <w:multiLevelType w:val="hybridMultilevel"/>
    <w:tmpl w:val="94949928"/>
    <w:lvl w:ilvl="0" w:tplc="02F25C60">
      <w:start w:val="1"/>
      <w:numFmt w:val="hebrew1"/>
      <w:lvlText w:val="(%1)"/>
      <w:lvlJc w:val="left"/>
      <w:pPr>
        <w:ind w:left="720" w:hanging="360"/>
      </w:pPr>
    </w:lvl>
    <w:lvl w:ilvl="1" w:tplc="6AD83970">
      <w:start w:val="1"/>
      <w:numFmt w:val="lowerLetter"/>
      <w:lvlText w:val="%2."/>
      <w:lvlJc w:val="left"/>
      <w:pPr>
        <w:ind w:left="1440" w:hanging="360"/>
      </w:pPr>
    </w:lvl>
    <w:lvl w:ilvl="2" w:tplc="D034076E">
      <w:start w:val="1"/>
      <w:numFmt w:val="lowerRoman"/>
      <w:lvlText w:val="%3."/>
      <w:lvlJc w:val="right"/>
      <w:pPr>
        <w:ind w:left="2160" w:hanging="180"/>
      </w:pPr>
    </w:lvl>
    <w:lvl w:ilvl="3" w:tplc="6D48CE1E">
      <w:start w:val="1"/>
      <w:numFmt w:val="decimal"/>
      <w:lvlText w:val="%4."/>
      <w:lvlJc w:val="left"/>
      <w:pPr>
        <w:ind w:left="2880" w:hanging="360"/>
      </w:pPr>
    </w:lvl>
    <w:lvl w:ilvl="4" w:tplc="FAAACFD8">
      <w:start w:val="1"/>
      <w:numFmt w:val="lowerLetter"/>
      <w:lvlText w:val="%5."/>
      <w:lvlJc w:val="left"/>
      <w:pPr>
        <w:ind w:left="3600" w:hanging="360"/>
      </w:pPr>
    </w:lvl>
    <w:lvl w:ilvl="5" w:tplc="07708CF2">
      <w:start w:val="1"/>
      <w:numFmt w:val="lowerRoman"/>
      <w:lvlText w:val="%6."/>
      <w:lvlJc w:val="right"/>
      <w:pPr>
        <w:ind w:left="4320" w:hanging="180"/>
      </w:pPr>
    </w:lvl>
    <w:lvl w:ilvl="6" w:tplc="91DC1B6C">
      <w:start w:val="1"/>
      <w:numFmt w:val="decimal"/>
      <w:lvlText w:val="%7."/>
      <w:lvlJc w:val="left"/>
      <w:pPr>
        <w:ind w:left="5040" w:hanging="360"/>
      </w:pPr>
    </w:lvl>
    <w:lvl w:ilvl="7" w:tplc="841EFA98">
      <w:start w:val="1"/>
      <w:numFmt w:val="lowerLetter"/>
      <w:lvlText w:val="%8."/>
      <w:lvlJc w:val="left"/>
      <w:pPr>
        <w:ind w:left="5760" w:hanging="360"/>
      </w:pPr>
    </w:lvl>
    <w:lvl w:ilvl="8" w:tplc="4EE88F7C">
      <w:start w:val="1"/>
      <w:numFmt w:val="lowerRoman"/>
      <w:lvlText w:val="%9."/>
      <w:lvlJc w:val="right"/>
      <w:pPr>
        <w:ind w:left="6480" w:hanging="180"/>
      </w:pPr>
    </w:lvl>
  </w:abstractNum>
  <w:abstractNum w:abstractNumId="7"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2061"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8" w15:restartNumberingAfterBreak="0">
    <w:nsid w:val="16D6381D"/>
    <w:multiLevelType w:val="hybridMultilevel"/>
    <w:tmpl w:val="C6FC5332"/>
    <w:lvl w:ilvl="0" w:tplc="0384359A">
      <w:start w:val="1"/>
      <w:numFmt w:val="hebrew1"/>
      <w:lvlText w:val="(%1)"/>
      <w:lvlJc w:val="left"/>
      <w:pPr>
        <w:ind w:left="643" w:hanging="360"/>
      </w:pPr>
    </w:lvl>
    <w:lvl w:ilvl="1" w:tplc="E2741410">
      <w:start w:val="1"/>
      <w:numFmt w:val="lowerLetter"/>
      <w:lvlText w:val="%2."/>
      <w:lvlJc w:val="left"/>
      <w:pPr>
        <w:ind w:left="1363" w:hanging="360"/>
      </w:pPr>
    </w:lvl>
    <w:lvl w:ilvl="2" w:tplc="F8323618">
      <w:start w:val="1"/>
      <w:numFmt w:val="lowerRoman"/>
      <w:lvlText w:val="%3."/>
      <w:lvlJc w:val="right"/>
      <w:pPr>
        <w:ind w:left="2083" w:hanging="180"/>
      </w:pPr>
    </w:lvl>
    <w:lvl w:ilvl="3" w:tplc="AD287D86">
      <w:start w:val="1"/>
      <w:numFmt w:val="decimal"/>
      <w:lvlText w:val="%4."/>
      <w:lvlJc w:val="left"/>
      <w:pPr>
        <w:ind w:left="2803" w:hanging="360"/>
      </w:pPr>
    </w:lvl>
    <w:lvl w:ilvl="4" w:tplc="025E1A96">
      <w:start w:val="1"/>
      <w:numFmt w:val="lowerLetter"/>
      <w:lvlText w:val="%5."/>
      <w:lvlJc w:val="left"/>
      <w:pPr>
        <w:ind w:left="3523" w:hanging="360"/>
      </w:pPr>
    </w:lvl>
    <w:lvl w:ilvl="5" w:tplc="520AB1F4">
      <w:start w:val="1"/>
      <w:numFmt w:val="lowerRoman"/>
      <w:lvlText w:val="%6."/>
      <w:lvlJc w:val="right"/>
      <w:pPr>
        <w:ind w:left="4243" w:hanging="180"/>
      </w:pPr>
    </w:lvl>
    <w:lvl w:ilvl="6" w:tplc="8B4C71EE">
      <w:start w:val="1"/>
      <w:numFmt w:val="decimal"/>
      <w:lvlText w:val="%7."/>
      <w:lvlJc w:val="left"/>
      <w:pPr>
        <w:ind w:left="4963" w:hanging="360"/>
      </w:pPr>
    </w:lvl>
    <w:lvl w:ilvl="7" w:tplc="14DA4AB2">
      <w:start w:val="1"/>
      <w:numFmt w:val="lowerLetter"/>
      <w:lvlText w:val="%8."/>
      <w:lvlJc w:val="left"/>
      <w:pPr>
        <w:ind w:left="5683" w:hanging="360"/>
      </w:pPr>
    </w:lvl>
    <w:lvl w:ilvl="8" w:tplc="EA6E3E38">
      <w:start w:val="1"/>
      <w:numFmt w:val="lowerRoman"/>
      <w:lvlText w:val="%9."/>
      <w:lvlJc w:val="right"/>
      <w:pPr>
        <w:ind w:left="6403" w:hanging="180"/>
      </w:pPr>
    </w:lvl>
  </w:abstractNum>
  <w:abstractNum w:abstractNumId="9" w15:restartNumberingAfterBreak="0">
    <w:nsid w:val="18D0102B"/>
    <w:multiLevelType w:val="hybridMultilevel"/>
    <w:tmpl w:val="AAE6EB96"/>
    <w:lvl w:ilvl="0" w:tplc="1786DB78">
      <w:start w:val="1"/>
      <w:numFmt w:val="hebrew1"/>
      <w:lvlText w:val="(%1)"/>
      <w:lvlJc w:val="left"/>
      <w:pPr>
        <w:ind w:left="785" w:hanging="360"/>
      </w:pPr>
    </w:lvl>
    <w:lvl w:ilvl="1" w:tplc="0ADE3364">
      <w:start w:val="1"/>
      <w:numFmt w:val="lowerLetter"/>
      <w:lvlText w:val="%2."/>
      <w:lvlJc w:val="left"/>
      <w:pPr>
        <w:ind w:left="1505" w:hanging="360"/>
      </w:pPr>
    </w:lvl>
    <w:lvl w:ilvl="2" w:tplc="DC84549E">
      <w:start w:val="1"/>
      <w:numFmt w:val="lowerRoman"/>
      <w:lvlText w:val="%3."/>
      <w:lvlJc w:val="right"/>
      <w:pPr>
        <w:ind w:left="2225" w:hanging="180"/>
      </w:pPr>
    </w:lvl>
    <w:lvl w:ilvl="3" w:tplc="AC360296">
      <w:start w:val="1"/>
      <w:numFmt w:val="decimal"/>
      <w:lvlText w:val="%4."/>
      <w:lvlJc w:val="left"/>
      <w:pPr>
        <w:ind w:left="2945" w:hanging="360"/>
      </w:pPr>
    </w:lvl>
    <w:lvl w:ilvl="4" w:tplc="B3D68DC4">
      <w:start w:val="1"/>
      <w:numFmt w:val="lowerLetter"/>
      <w:lvlText w:val="%5."/>
      <w:lvlJc w:val="left"/>
      <w:pPr>
        <w:ind w:left="3665" w:hanging="360"/>
      </w:pPr>
    </w:lvl>
    <w:lvl w:ilvl="5" w:tplc="40B4BF7E">
      <w:start w:val="1"/>
      <w:numFmt w:val="lowerRoman"/>
      <w:lvlText w:val="%6."/>
      <w:lvlJc w:val="right"/>
      <w:pPr>
        <w:ind w:left="4385" w:hanging="180"/>
      </w:pPr>
    </w:lvl>
    <w:lvl w:ilvl="6" w:tplc="D610D626">
      <w:start w:val="1"/>
      <w:numFmt w:val="decimal"/>
      <w:lvlText w:val="%7."/>
      <w:lvlJc w:val="left"/>
      <w:pPr>
        <w:ind w:left="5105" w:hanging="360"/>
      </w:pPr>
    </w:lvl>
    <w:lvl w:ilvl="7" w:tplc="E9168CB0">
      <w:start w:val="1"/>
      <w:numFmt w:val="lowerLetter"/>
      <w:lvlText w:val="%8."/>
      <w:lvlJc w:val="left"/>
      <w:pPr>
        <w:ind w:left="5825" w:hanging="360"/>
      </w:pPr>
    </w:lvl>
    <w:lvl w:ilvl="8" w:tplc="BE4AA3E4">
      <w:start w:val="1"/>
      <w:numFmt w:val="lowerRoman"/>
      <w:lvlText w:val="%9."/>
      <w:lvlJc w:val="right"/>
      <w:pPr>
        <w:ind w:left="6545" w:hanging="180"/>
      </w:pPr>
    </w:lvl>
  </w:abstractNum>
  <w:abstractNum w:abstractNumId="10" w15:restartNumberingAfterBreak="0">
    <w:nsid w:val="1A7B1ABD"/>
    <w:multiLevelType w:val="hybridMultilevel"/>
    <w:tmpl w:val="6E5EAF6C"/>
    <w:lvl w:ilvl="0" w:tplc="143CAFE0">
      <w:start w:val="1"/>
      <w:numFmt w:val="hebrew1"/>
      <w:lvlText w:val="(%1)"/>
      <w:lvlJc w:val="left"/>
      <w:pPr>
        <w:ind w:left="188" w:hanging="360"/>
      </w:pPr>
      <w:rPr>
        <w:sz w:val="26"/>
      </w:rPr>
    </w:lvl>
    <w:lvl w:ilvl="1" w:tplc="C5FE4F42">
      <w:start w:val="1"/>
      <w:numFmt w:val="lowerLetter"/>
      <w:lvlText w:val="%2."/>
      <w:lvlJc w:val="left"/>
      <w:pPr>
        <w:ind w:left="908" w:hanging="360"/>
      </w:pPr>
    </w:lvl>
    <w:lvl w:ilvl="2" w:tplc="1B363632">
      <w:start w:val="1"/>
      <w:numFmt w:val="lowerRoman"/>
      <w:lvlText w:val="%3."/>
      <w:lvlJc w:val="right"/>
      <w:pPr>
        <w:ind w:left="1628" w:hanging="180"/>
      </w:pPr>
    </w:lvl>
    <w:lvl w:ilvl="3" w:tplc="6DEC84AA">
      <w:start w:val="1"/>
      <w:numFmt w:val="decimal"/>
      <w:lvlText w:val="%4."/>
      <w:lvlJc w:val="left"/>
      <w:pPr>
        <w:ind w:left="2348" w:hanging="360"/>
      </w:pPr>
    </w:lvl>
    <w:lvl w:ilvl="4" w:tplc="0C78DA0A">
      <w:start w:val="1"/>
      <w:numFmt w:val="lowerLetter"/>
      <w:lvlText w:val="%5."/>
      <w:lvlJc w:val="left"/>
      <w:pPr>
        <w:ind w:left="3068" w:hanging="360"/>
      </w:pPr>
    </w:lvl>
    <w:lvl w:ilvl="5" w:tplc="4CDACCD6">
      <w:start w:val="1"/>
      <w:numFmt w:val="lowerRoman"/>
      <w:lvlText w:val="%6."/>
      <w:lvlJc w:val="right"/>
      <w:pPr>
        <w:ind w:left="3788" w:hanging="180"/>
      </w:pPr>
    </w:lvl>
    <w:lvl w:ilvl="6" w:tplc="D82CB088">
      <w:start w:val="1"/>
      <w:numFmt w:val="decimal"/>
      <w:lvlText w:val="%7."/>
      <w:lvlJc w:val="left"/>
      <w:pPr>
        <w:ind w:left="4508" w:hanging="360"/>
      </w:pPr>
    </w:lvl>
    <w:lvl w:ilvl="7" w:tplc="FC562F56">
      <w:start w:val="1"/>
      <w:numFmt w:val="lowerLetter"/>
      <w:lvlText w:val="%8."/>
      <w:lvlJc w:val="left"/>
      <w:pPr>
        <w:ind w:left="5228" w:hanging="360"/>
      </w:pPr>
    </w:lvl>
    <w:lvl w:ilvl="8" w:tplc="771C071A">
      <w:start w:val="1"/>
      <w:numFmt w:val="lowerRoman"/>
      <w:lvlText w:val="%9."/>
      <w:lvlJc w:val="right"/>
      <w:pPr>
        <w:ind w:left="5948" w:hanging="180"/>
      </w:pPr>
    </w:lvl>
  </w:abstractNum>
  <w:abstractNum w:abstractNumId="11" w15:restartNumberingAfterBreak="0">
    <w:nsid w:val="2C88245D"/>
    <w:multiLevelType w:val="hybridMultilevel"/>
    <w:tmpl w:val="C8BE9E46"/>
    <w:lvl w:ilvl="0" w:tplc="C95696E6">
      <w:numFmt w:val="bullet"/>
      <w:lvlText w:val="-"/>
      <w:lvlJc w:val="left"/>
      <w:pPr>
        <w:ind w:left="785" w:hanging="360"/>
      </w:pPr>
      <w:rPr>
        <w:rFonts w:ascii="David" w:eastAsiaTheme="minorHAnsi" w:hAnsi="David" w:cs="David" w:hint="default"/>
      </w:rPr>
    </w:lvl>
    <w:lvl w:ilvl="1" w:tplc="8F2C0750">
      <w:start w:val="1"/>
      <w:numFmt w:val="bullet"/>
      <w:lvlText w:val="o"/>
      <w:lvlJc w:val="left"/>
      <w:pPr>
        <w:ind w:left="1505" w:hanging="360"/>
      </w:pPr>
      <w:rPr>
        <w:rFonts w:ascii="Courier New" w:hAnsi="Courier New" w:cs="Courier New" w:hint="default"/>
      </w:rPr>
    </w:lvl>
    <w:lvl w:ilvl="2" w:tplc="FBE4F996">
      <w:start w:val="1"/>
      <w:numFmt w:val="bullet"/>
      <w:lvlText w:val=""/>
      <w:lvlJc w:val="left"/>
      <w:pPr>
        <w:ind w:left="2225" w:hanging="360"/>
      </w:pPr>
      <w:rPr>
        <w:rFonts w:ascii="Wingdings" w:hAnsi="Wingdings" w:hint="default"/>
      </w:rPr>
    </w:lvl>
    <w:lvl w:ilvl="3" w:tplc="90C41C42">
      <w:start w:val="1"/>
      <w:numFmt w:val="bullet"/>
      <w:lvlText w:val=""/>
      <w:lvlJc w:val="left"/>
      <w:pPr>
        <w:ind w:left="2945" w:hanging="360"/>
      </w:pPr>
      <w:rPr>
        <w:rFonts w:ascii="Symbol" w:hAnsi="Symbol" w:hint="default"/>
      </w:rPr>
    </w:lvl>
    <w:lvl w:ilvl="4" w:tplc="535C7FBE">
      <w:start w:val="1"/>
      <w:numFmt w:val="bullet"/>
      <w:lvlText w:val="o"/>
      <w:lvlJc w:val="left"/>
      <w:pPr>
        <w:ind w:left="3665" w:hanging="360"/>
      </w:pPr>
      <w:rPr>
        <w:rFonts w:ascii="Courier New" w:hAnsi="Courier New" w:cs="Courier New" w:hint="default"/>
      </w:rPr>
    </w:lvl>
    <w:lvl w:ilvl="5" w:tplc="FB741912">
      <w:start w:val="1"/>
      <w:numFmt w:val="bullet"/>
      <w:lvlText w:val=""/>
      <w:lvlJc w:val="left"/>
      <w:pPr>
        <w:ind w:left="4385" w:hanging="360"/>
      </w:pPr>
      <w:rPr>
        <w:rFonts w:ascii="Wingdings" w:hAnsi="Wingdings" w:hint="default"/>
      </w:rPr>
    </w:lvl>
    <w:lvl w:ilvl="6" w:tplc="07C2EB66">
      <w:start w:val="1"/>
      <w:numFmt w:val="bullet"/>
      <w:lvlText w:val=""/>
      <w:lvlJc w:val="left"/>
      <w:pPr>
        <w:ind w:left="5105" w:hanging="360"/>
      </w:pPr>
      <w:rPr>
        <w:rFonts w:ascii="Symbol" w:hAnsi="Symbol" w:hint="default"/>
      </w:rPr>
    </w:lvl>
    <w:lvl w:ilvl="7" w:tplc="4A8E986C">
      <w:start w:val="1"/>
      <w:numFmt w:val="bullet"/>
      <w:lvlText w:val="o"/>
      <w:lvlJc w:val="left"/>
      <w:pPr>
        <w:ind w:left="5825" w:hanging="360"/>
      </w:pPr>
      <w:rPr>
        <w:rFonts w:ascii="Courier New" w:hAnsi="Courier New" w:cs="Courier New" w:hint="default"/>
      </w:rPr>
    </w:lvl>
    <w:lvl w:ilvl="8" w:tplc="08E0EA36">
      <w:start w:val="1"/>
      <w:numFmt w:val="bullet"/>
      <w:lvlText w:val=""/>
      <w:lvlJc w:val="left"/>
      <w:pPr>
        <w:ind w:left="6545" w:hanging="360"/>
      </w:pPr>
      <w:rPr>
        <w:rFonts w:ascii="Wingdings" w:hAnsi="Wingdings" w:hint="default"/>
      </w:rPr>
    </w:lvl>
  </w:abstractNum>
  <w:abstractNum w:abstractNumId="12" w15:restartNumberingAfterBreak="0">
    <w:nsid w:val="2D02661E"/>
    <w:multiLevelType w:val="hybridMultilevel"/>
    <w:tmpl w:val="4DC848FA"/>
    <w:lvl w:ilvl="0" w:tplc="1F624866">
      <w:start w:val="1"/>
      <w:numFmt w:val="hebrew1"/>
      <w:lvlText w:val="(%1)"/>
      <w:lvlJc w:val="left"/>
      <w:pPr>
        <w:ind w:left="785" w:hanging="360"/>
      </w:pPr>
    </w:lvl>
    <w:lvl w:ilvl="1" w:tplc="C1A0A5C8">
      <w:start w:val="1"/>
      <w:numFmt w:val="lowerLetter"/>
      <w:lvlText w:val="%2."/>
      <w:lvlJc w:val="left"/>
      <w:pPr>
        <w:ind w:left="1505" w:hanging="360"/>
      </w:pPr>
    </w:lvl>
    <w:lvl w:ilvl="2" w:tplc="721E6074">
      <w:start w:val="1"/>
      <w:numFmt w:val="lowerRoman"/>
      <w:lvlText w:val="%3."/>
      <w:lvlJc w:val="right"/>
      <w:pPr>
        <w:ind w:left="2225" w:hanging="180"/>
      </w:pPr>
    </w:lvl>
    <w:lvl w:ilvl="3" w:tplc="A42E0D9C">
      <w:start w:val="1"/>
      <w:numFmt w:val="decimal"/>
      <w:lvlText w:val="%4."/>
      <w:lvlJc w:val="left"/>
      <w:pPr>
        <w:ind w:left="2945" w:hanging="360"/>
      </w:pPr>
    </w:lvl>
    <w:lvl w:ilvl="4" w:tplc="5808A9E0">
      <w:start w:val="1"/>
      <w:numFmt w:val="lowerLetter"/>
      <w:lvlText w:val="%5."/>
      <w:lvlJc w:val="left"/>
      <w:pPr>
        <w:ind w:left="3665" w:hanging="360"/>
      </w:pPr>
    </w:lvl>
    <w:lvl w:ilvl="5" w:tplc="77021084">
      <w:start w:val="1"/>
      <w:numFmt w:val="lowerRoman"/>
      <w:lvlText w:val="%6."/>
      <w:lvlJc w:val="right"/>
      <w:pPr>
        <w:ind w:left="4385" w:hanging="180"/>
      </w:pPr>
    </w:lvl>
    <w:lvl w:ilvl="6" w:tplc="11C047F6">
      <w:start w:val="1"/>
      <w:numFmt w:val="decimal"/>
      <w:lvlText w:val="%7."/>
      <w:lvlJc w:val="left"/>
      <w:pPr>
        <w:ind w:left="5105" w:hanging="360"/>
      </w:pPr>
    </w:lvl>
    <w:lvl w:ilvl="7" w:tplc="2E2496C6">
      <w:start w:val="1"/>
      <w:numFmt w:val="lowerLetter"/>
      <w:lvlText w:val="%8."/>
      <w:lvlJc w:val="left"/>
      <w:pPr>
        <w:ind w:left="5825" w:hanging="360"/>
      </w:pPr>
    </w:lvl>
    <w:lvl w:ilvl="8" w:tplc="AA9833DE">
      <w:start w:val="1"/>
      <w:numFmt w:val="lowerRoman"/>
      <w:lvlText w:val="%9."/>
      <w:lvlJc w:val="right"/>
      <w:pPr>
        <w:ind w:left="6545" w:hanging="180"/>
      </w:pPr>
    </w:lvl>
  </w:abstractNum>
  <w:abstractNum w:abstractNumId="13" w15:restartNumberingAfterBreak="0">
    <w:nsid w:val="2EF353F4"/>
    <w:multiLevelType w:val="hybridMultilevel"/>
    <w:tmpl w:val="554012AE"/>
    <w:lvl w:ilvl="0" w:tplc="F36286CA">
      <w:start w:val="1"/>
      <w:numFmt w:val="hebrew1"/>
      <w:lvlText w:val="(%1)"/>
      <w:lvlJc w:val="left"/>
      <w:pPr>
        <w:ind w:left="643" w:hanging="360"/>
      </w:pPr>
    </w:lvl>
    <w:lvl w:ilvl="1" w:tplc="86969D40">
      <w:start w:val="1"/>
      <w:numFmt w:val="lowerLetter"/>
      <w:lvlText w:val="%2."/>
      <w:lvlJc w:val="left"/>
      <w:pPr>
        <w:ind w:left="1363" w:hanging="360"/>
      </w:pPr>
    </w:lvl>
    <w:lvl w:ilvl="2" w:tplc="11346246">
      <w:start w:val="1"/>
      <w:numFmt w:val="lowerRoman"/>
      <w:lvlText w:val="%3."/>
      <w:lvlJc w:val="right"/>
      <w:pPr>
        <w:ind w:left="2083" w:hanging="180"/>
      </w:pPr>
    </w:lvl>
    <w:lvl w:ilvl="3" w:tplc="74F6836E">
      <w:start w:val="1"/>
      <w:numFmt w:val="decimal"/>
      <w:lvlText w:val="%4."/>
      <w:lvlJc w:val="left"/>
      <w:pPr>
        <w:ind w:left="2803" w:hanging="360"/>
      </w:pPr>
    </w:lvl>
    <w:lvl w:ilvl="4" w:tplc="73B0B74A">
      <w:start w:val="1"/>
      <w:numFmt w:val="lowerLetter"/>
      <w:lvlText w:val="%5."/>
      <w:lvlJc w:val="left"/>
      <w:pPr>
        <w:ind w:left="3523" w:hanging="360"/>
      </w:pPr>
    </w:lvl>
    <w:lvl w:ilvl="5" w:tplc="18B4F8AE">
      <w:start w:val="1"/>
      <w:numFmt w:val="lowerRoman"/>
      <w:lvlText w:val="%6."/>
      <w:lvlJc w:val="right"/>
      <w:pPr>
        <w:ind w:left="4243" w:hanging="180"/>
      </w:pPr>
    </w:lvl>
    <w:lvl w:ilvl="6" w:tplc="D3CE4014">
      <w:start w:val="1"/>
      <w:numFmt w:val="decimal"/>
      <w:lvlText w:val="%7."/>
      <w:lvlJc w:val="left"/>
      <w:pPr>
        <w:ind w:left="4963" w:hanging="360"/>
      </w:pPr>
    </w:lvl>
    <w:lvl w:ilvl="7" w:tplc="CFD25B9E">
      <w:start w:val="1"/>
      <w:numFmt w:val="lowerLetter"/>
      <w:lvlText w:val="%8."/>
      <w:lvlJc w:val="left"/>
      <w:pPr>
        <w:ind w:left="5683" w:hanging="360"/>
      </w:pPr>
    </w:lvl>
    <w:lvl w:ilvl="8" w:tplc="124C6CA6">
      <w:start w:val="1"/>
      <w:numFmt w:val="lowerRoman"/>
      <w:lvlText w:val="%9."/>
      <w:lvlJc w:val="right"/>
      <w:pPr>
        <w:ind w:left="6403" w:hanging="180"/>
      </w:pPr>
    </w:lvl>
  </w:abstractNum>
  <w:abstractNum w:abstractNumId="14" w15:restartNumberingAfterBreak="0">
    <w:nsid w:val="341138EB"/>
    <w:multiLevelType w:val="hybridMultilevel"/>
    <w:tmpl w:val="4D2E6066"/>
    <w:lvl w:ilvl="0" w:tplc="2066648A">
      <w:start w:val="1"/>
      <w:numFmt w:val="hebrew1"/>
      <w:lvlText w:val="(%1)"/>
      <w:lvlJc w:val="left"/>
      <w:pPr>
        <w:ind w:left="643" w:hanging="360"/>
      </w:pPr>
    </w:lvl>
    <w:lvl w:ilvl="1" w:tplc="6C42AC9E">
      <w:start w:val="1"/>
      <w:numFmt w:val="lowerLetter"/>
      <w:lvlText w:val="%2."/>
      <w:lvlJc w:val="left"/>
      <w:pPr>
        <w:ind w:left="1363" w:hanging="360"/>
      </w:pPr>
    </w:lvl>
    <w:lvl w:ilvl="2" w:tplc="B6D209A4">
      <w:start w:val="1"/>
      <w:numFmt w:val="lowerRoman"/>
      <w:lvlText w:val="%3."/>
      <w:lvlJc w:val="right"/>
      <w:pPr>
        <w:ind w:left="2083" w:hanging="180"/>
      </w:pPr>
    </w:lvl>
    <w:lvl w:ilvl="3" w:tplc="2E282BF4">
      <w:start w:val="1"/>
      <w:numFmt w:val="decimal"/>
      <w:lvlText w:val="%4."/>
      <w:lvlJc w:val="left"/>
      <w:pPr>
        <w:ind w:left="2803" w:hanging="360"/>
      </w:pPr>
    </w:lvl>
    <w:lvl w:ilvl="4" w:tplc="8AD0E22C">
      <w:start w:val="1"/>
      <w:numFmt w:val="lowerLetter"/>
      <w:lvlText w:val="%5."/>
      <w:lvlJc w:val="left"/>
      <w:pPr>
        <w:ind w:left="3523" w:hanging="360"/>
      </w:pPr>
    </w:lvl>
    <w:lvl w:ilvl="5" w:tplc="6F6A8E60">
      <w:start w:val="1"/>
      <w:numFmt w:val="lowerRoman"/>
      <w:lvlText w:val="%6."/>
      <w:lvlJc w:val="right"/>
      <w:pPr>
        <w:ind w:left="4243" w:hanging="180"/>
      </w:pPr>
    </w:lvl>
    <w:lvl w:ilvl="6" w:tplc="7CD461D2">
      <w:start w:val="1"/>
      <w:numFmt w:val="decimal"/>
      <w:lvlText w:val="%7."/>
      <w:lvlJc w:val="left"/>
      <w:pPr>
        <w:ind w:left="4963" w:hanging="360"/>
      </w:pPr>
    </w:lvl>
    <w:lvl w:ilvl="7" w:tplc="1D92C100">
      <w:start w:val="1"/>
      <w:numFmt w:val="lowerLetter"/>
      <w:lvlText w:val="%8."/>
      <w:lvlJc w:val="left"/>
      <w:pPr>
        <w:ind w:left="5683" w:hanging="360"/>
      </w:pPr>
    </w:lvl>
    <w:lvl w:ilvl="8" w:tplc="ADAC4BA8">
      <w:start w:val="1"/>
      <w:numFmt w:val="lowerRoman"/>
      <w:lvlText w:val="%9."/>
      <w:lvlJc w:val="right"/>
      <w:pPr>
        <w:ind w:left="6403" w:hanging="180"/>
      </w:pPr>
    </w:lvl>
  </w:abstractNum>
  <w:abstractNum w:abstractNumId="15" w15:restartNumberingAfterBreak="0">
    <w:nsid w:val="4F40160D"/>
    <w:multiLevelType w:val="hybridMultilevel"/>
    <w:tmpl w:val="E3980022"/>
    <w:lvl w:ilvl="0" w:tplc="695419A6">
      <w:start w:val="1"/>
      <w:numFmt w:val="hebrew1"/>
      <w:lvlText w:val="(%1)"/>
      <w:lvlJc w:val="left"/>
      <w:pPr>
        <w:ind w:left="643" w:hanging="360"/>
      </w:pPr>
    </w:lvl>
    <w:lvl w:ilvl="1" w:tplc="77FC9F4A">
      <w:start w:val="1"/>
      <w:numFmt w:val="lowerLetter"/>
      <w:lvlText w:val="%2."/>
      <w:lvlJc w:val="left"/>
      <w:pPr>
        <w:ind w:left="1363" w:hanging="360"/>
      </w:pPr>
    </w:lvl>
    <w:lvl w:ilvl="2" w:tplc="66E2746E">
      <w:start w:val="1"/>
      <w:numFmt w:val="lowerRoman"/>
      <w:lvlText w:val="%3."/>
      <w:lvlJc w:val="right"/>
      <w:pPr>
        <w:ind w:left="2083" w:hanging="180"/>
      </w:pPr>
    </w:lvl>
    <w:lvl w:ilvl="3" w:tplc="40DCC326">
      <w:start w:val="1"/>
      <w:numFmt w:val="decimal"/>
      <w:lvlText w:val="%4."/>
      <w:lvlJc w:val="left"/>
      <w:pPr>
        <w:ind w:left="2803" w:hanging="360"/>
      </w:pPr>
    </w:lvl>
    <w:lvl w:ilvl="4" w:tplc="0916DA34">
      <w:start w:val="1"/>
      <w:numFmt w:val="lowerLetter"/>
      <w:lvlText w:val="%5."/>
      <w:lvlJc w:val="left"/>
      <w:pPr>
        <w:ind w:left="3523" w:hanging="360"/>
      </w:pPr>
    </w:lvl>
    <w:lvl w:ilvl="5" w:tplc="9188A0AE">
      <w:start w:val="1"/>
      <w:numFmt w:val="lowerRoman"/>
      <w:lvlText w:val="%6."/>
      <w:lvlJc w:val="right"/>
      <w:pPr>
        <w:ind w:left="4243" w:hanging="180"/>
      </w:pPr>
    </w:lvl>
    <w:lvl w:ilvl="6" w:tplc="D460E2E8">
      <w:start w:val="1"/>
      <w:numFmt w:val="decimal"/>
      <w:lvlText w:val="%7."/>
      <w:lvlJc w:val="left"/>
      <w:pPr>
        <w:ind w:left="4963" w:hanging="360"/>
      </w:pPr>
    </w:lvl>
    <w:lvl w:ilvl="7" w:tplc="91087020">
      <w:start w:val="1"/>
      <w:numFmt w:val="lowerLetter"/>
      <w:lvlText w:val="%8."/>
      <w:lvlJc w:val="left"/>
      <w:pPr>
        <w:ind w:left="5683" w:hanging="360"/>
      </w:pPr>
    </w:lvl>
    <w:lvl w:ilvl="8" w:tplc="E7D45C3E">
      <w:start w:val="1"/>
      <w:numFmt w:val="lowerRoman"/>
      <w:lvlText w:val="%9."/>
      <w:lvlJc w:val="right"/>
      <w:pPr>
        <w:ind w:left="6403" w:hanging="180"/>
      </w:pPr>
    </w:lvl>
  </w:abstractNum>
  <w:abstractNum w:abstractNumId="16" w15:restartNumberingAfterBreak="0">
    <w:nsid w:val="50F75CB9"/>
    <w:multiLevelType w:val="hybridMultilevel"/>
    <w:tmpl w:val="A0E88D32"/>
    <w:lvl w:ilvl="0" w:tplc="B134CAEC">
      <w:start w:val="1"/>
      <w:numFmt w:val="decimal"/>
      <w:lvlText w:val="(%1)"/>
      <w:lvlJc w:val="left"/>
      <w:pPr>
        <w:ind w:left="1080" w:hanging="360"/>
      </w:pPr>
    </w:lvl>
    <w:lvl w:ilvl="1" w:tplc="41C0AD1A">
      <w:start w:val="1"/>
      <w:numFmt w:val="lowerLetter"/>
      <w:lvlText w:val="%2."/>
      <w:lvlJc w:val="left"/>
      <w:pPr>
        <w:ind w:left="1800" w:hanging="360"/>
      </w:pPr>
    </w:lvl>
    <w:lvl w:ilvl="2" w:tplc="440260AC">
      <w:start w:val="1"/>
      <w:numFmt w:val="lowerRoman"/>
      <w:lvlText w:val="%3."/>
      <w:lvlJc w:val="right"/>
      <w:pPr>
        <w:ind w:left="2520" w:hanging="180"/>
      </w:pPr>
    </w:lvl>
    <w:lvl w:ilvl="3" w:tplc="12268352">
      <w:start w:val="1"/>
      <w:numFmt w:val="decimal"/>
      <w:lvlText w:val="%4."/>
      <w:lvlJc w:val="left"/>
      <w:pPr>
        <w:ind w:left="3240" w:hanging="360"/>
      </w:pPr>
    </w:lvl>
    <w:lvl w:ilvl="4" w:tplc="4A74D702">
      <w:start w:val="1"/>
      <w:numFmt w:val="lowerLetter"/>
      <w:lvlText w:val="%5."/>
      <w:lvlJc w:val="left"/>
      <w:pPr>
        <w:ind w:left="3960" w:hanging="360"/>
      </w:pPr>
    </w:lvl>
    <w:lvl w:ilvl="5" w:tplc="1730CF26">
      <w:start w:val="1"/>
      <w:numFmt w:val="lowerRoman"/>
      <w:lvlText w:val="%6."/>
      <w:lvlJc w:val="right"/>
      <w:pPr>
        <w:ind w:left="4680" w:hanging="180"/>
      </w:pPr>
    </w:lvl>
    <w:lvl w:ilvl="6" w:tplc="6EC015EE">
      <w:start w:val="1"/>
      <w:numFmt w:val="decimal"/>
      <w:lvlText w:val="%7."/>
      <w:lvlJc w:val="left"/>
      <w:pPr>
        <w:ind w:left="5400" w:hanging="360"/>
      </w:pPr>
    </w:lvl>
    <w:lvl w:ilvl="7" w:tplc="AB544D92">
      <w:start w:val="1"/>
      <w:numFmt w:val="lowerLetter"/>
      <w:lvlText w:val="%8."/>
      <w:lvlJc w:val="left"/>
      <w:pPr>
        <w:ind w:left="6120" w:hanging="360"/>
      </w:pPr>
    </w:lvl>
    <w:lvl w:ilvl="8" w:tplc="658C3B20">
      <w:start w:val="1"/>
      <w:numFmt w:val="lowerRoman"/>
      <w:lvlText w:val="%9."/>
      <w:lvlJc w:val="right"/>
      <w:pPr>
        <w:ind w:left="6840" w:hanging="180"/>
      </w:pPr>
    </w:lvl>
  </w:abstractNum>
  <w:abstractNum w:abstractNumId="17" w15:restartNumberingAfterBreak="0">
    <w:nsid w:val="63C412C0"/>
    <w:multiLevelType w:val="hybridMultilevel"/>
    <w:tmpl w:val="8364098C"/>
    <w:lvl w:ilvl="0" w:tplc="049630EC">
      <w:start w:val="1"/>
      <w:numFmt w:val="hebrew1"/>
      <w:lvlText w:val="(%1)"/>
      <w:lvlJc w:val="left"/>
      <w:pPr>
        <w:ind w:left="643" w:hanging="360"/>
      </w:pPr>
      <w:rPr>
        <w:rFonts w:ascii="David" w:eastAsiaTheme="minorHAnsi" w:hAnsi="David" w:cs="David" w:hint="default"/>
        <w:color w:val="auto"/>
        <w:lang w:val="en-US"/>
      </w:rPr>
    </w:lvl>
    <w:lvl w:ilvl="1" w:tplc="3E7EEE3E">
      <w:start w:val="1"/>
      <w:numFmt w:val="lowerLetter"/>
      <w:lvlText w:val="%2."/>
      <w:lvlJc w:val="left"/>
      <w:pPr>
        <w:ind w:left="1363" w:hanging="360"/>
      </w:pPr>
    </w:lvl>
    <w:lvl w:ilvl="2" w:tplc="730C295C">
      <w:start w:val="1"/>
      <w:numFmt w:val="lowerRoman"/>
      <w:lvlText w:val="%3."/>
      <w:lvlJc w:val="right"/>
      <w:pPr>
        <w:ind w:left="2083" w:hanging="180"/>
      </w:pPr>
    </w:lvl>
    <w:lvl w:ilvl="3" w:tplc="14CAE0D0">
      <w:start w:val="1"/>
      <w:numFmt w:val="decimal"/>
      <w:lvlText w:val="%4."/>
      <w:lvlJc w:val="left"/>
      <w:pPr>
        <w:ind w:left="2803" w:hanging="360"/>
      </w:pPr>
    </w:lvl>
    <w:lvl w:ilvl="4" w:tplc="4AE81082">
      <w:start w:val="1"/>
      <w:numFmt w:val="lowerLetter"/>
      <w:lvlText w:val="%5."/>
      <w:lvlJc w:val="left"/>
      <w:pPr>
        <w:ind w:left="3523" w:hanging="360"/>
      </w:pPr>
    </w:lvl>
    <w:lvl w:ilvl="5" w:tplc="BB485FE6">
      <w:start w:val="1"/>
      <w:numFmt w:val="lowerRoman"/>
      <w:lvlText w:val="%6."/>
      <w:lvlJc w:val="right"/>
      <w:pPr>
        <w:ind w:left="4243" w:hanging="180"/>
      </w:pPr>
    </w:lvl>
    <w:lvl w:ilvl="6" w:tplc="9222937C">
      <w:start w:val="1"/>
      <w:numFmt w:val="decimal"/>
      <w:lvlText w:val="%7."/>
      <w:lvlJc w:val="left"/>
      <w:pPr>
        <w:ind w:left="4963" w:hanging="360"/>
      </w:pPr>
    </w:lvl>
    <w:lvl w:ilvl="7" w:tplc="9ECC7E9E">
      <w:start w:val="1"/>
      <w:numFmt w:val="lowerLetter"/>
      <w:lvlText w:val="%8."/>
      <w:lvlJc w:val="left"/>
      <w:pPr>
        <w:ind w:left="5683" w:hanging="360"/>
      </w:pPr>
    </w:lvl>
    <w:lvl w:ilvl="8" w:tplc="D0CA5AE6">
      <w:start w:val="1"/>
      <w:numFmt w:val="lowerRoman"/>
      <w:lvlText w:val="%9."/>
      <w:lvlJc w:val="right"/>
      <w:pPr>
        <w:ind w:left="6403" w:hanging="180"/>
      </w:pPr>
    </w:lvl>
  </w:abstractNum>
  <w:abstractNum w:abstractNumId="18" w15:restartNumberingAfterBreak="0">
    <w:nsid w:val="69A815CF"/>
    <w:multiLevelType w:val="hybridMultilevel"/>
    <w:tmpl w:val="71289132"/>
    <w:lvl w:ilvl="0" w:tplc="C024A4D4">
      <w:start w:val="1"/>
      <w:numFmt w:val="hebrew1"/>
      <w:lvlText w:val="(%1)"/>
      <w:lvlJc w:val="left"/>
      <w:pPr>
        <w:ind w:left="785" w:hanging="360"/>
      </w:pPr>
    </w:lvl>
    <w:lvl w:ilvl="1" w:tplc="CCD824E6">
      <w:start w:val="1"/>
      <w:numFmt w:val="lowerLetter"/>
      <w:lvlText w:val="%2."/>
      <w:lvlJc w:val="left"/>
      <w:pPr>
        <w:ind w:left="1505" w:hanging="360"/>
      </w:pPr>
    </w:lvl>
    <w:lvl w:ilvl="2" w:tplc="FDA40E36">
      <w:start w:val="1"/>
      <w:numFmt w:val="lowerRoman"/>
      <w:lvlText w:val="%3."/>
      <w:lvlJc w:val="right"/>
      <w:pPr>
        <w:ind w:left="2225" w:hanging="180"/>
      </w:pPr>
    </w:lvl>
    <w:lvl w:ilvl="3" w:tplc="AF6AF096">
      <w:start w:val="1"/>
      <w:numFmt w:val="decimal"/>
      <w:lvlText w:val="%4."/>
      <w:lvlJc w:val="left"/>
      <w:pPr>
        <w:ind w:left="2945" w:hanging="360"/>
      </w:pPr>
    </w:lvl>
    <w:lvl w:ilvl="4" w:tplc="383E0E98">
      <w:start w:val="1"/>
      <w:numFmt w:val="lowerLetter"/>
      <w:lvlText w:val="%5."/>
      <w:lvlJc w:val="left"/>
      <w:pPr>
        <w:ind w:left="3665" w:hanging="360"/>
      </w:pPr>
    </w:lvl>
    <w:lvl w:ilvl="5" w:tplc="366C5B5E">
      <w:start w:val="1"/>
      <w:numFmt w:val="lowerRoman"/>
      <w:lvlText w:val="%6."/>
      <w:lvlJc w:val="right"/>
      <w:pPr>
        <w:ind w:left="4385" w:hanging="180"/>
      </w:pPr>
    </w:lvl>
    <w:lvl w:ilvl="6" w:tplc="9D44B1F8">
      <w:start w:val="1"/>
      <w:numFmt w:val="decimal"/>
      <w:lvlText w:val="%7."/>
      <w:lvlJc w:val="left"/>
      <w:pPr>
        <w:ind w:left="5105" w:hanging="360"/>
      </w:pPr>
    </w:lvl>
    <w:lvl w:ilvl="7" w:tplc="13EA6F24">
      <w:start w:val="1"/>
      <w:numFmt w:val="lowerLetter"/>
      <w:lvlText w:val="%8."/>
      <w:lvlJc w:val="left"/>
      <w:pPr>
        <w:ind w:left="5825" w:hanging="360"/>
      </w:pPr>
    </w:lvl>
    <w:lvl w:ilvl="8" w:tplc="58B216BC">
      <w:start w:val="1"/>
      <w:numFmt w:val="lowerRoman"/>
      <w:lvlText w:val="%9."/>
      <w:lvlJc w:val="right"/>
      <w:pPr>
        <w:ind w:left="6545" w:hanging="180"/>
      </w:pPr>
    </w:lvl>
  </w:abstractNum>
  <w:abstractNum w:abstractNumId="19" w15:restartNumberingAfterBreak="0">
    <w:nsid w:val="6CD61833"/>
    <w:multiLevelType w:val="hybridMultilevel"/>
    <w:tmpl w:val="2B28ED3C"/>
    <w:lvl w:ilvl="0" w:tplc="51FCA232">
      <w:start w:val="1"/>
      <w:numFmt w:val="hebrew1"/>
      <w:lvlText w:val="(%1)"/>
      <w:lvlJc w:val="left"/>
      <w:pPr>
        <w:ind w:left="643" w:hanging="360"/>
      </w:pPr>
    </w:lvl>
    <w:lvl w:ilvl="1" w:tplc="FE78DB9C">
      <w:start w:val="1"/>
      <w:numFmt w:val="lowerLetter"/>
      <w:lvlText w:val="%2."/>
      <w:lvlJc w:val="left"/>
      <w:pPr>
        <w:ind w:left="1363" w:hanging="360"/>
      </w:pPr>
    </w:lvl>
    <w:lvl w:ilvl="2" w:tplc="7224365C">
      <w:start w:val="1"/>
      <w:numFmt w:val="lowerRoman"/>
      <w:lvlText w:val="%3."/>
      <w:lvlJc w:val="right"/>
      <w:pPr>
        <w:ind w:left="2083" w:hanging="180"/>
      </w:pPr>
    </w:lvl>
    <w:lvl w:ilvl="3" w:tplc="E2C2CF1C">
      <w:start w:val="1"/>
      <w:numFmt w:val="decimal"/>
      <w:lvlText w:val="%4."/>
      <w:lvlJc w:val="left"/>
      <w:pPr>
        <w:ind w:left="2803" w:hanging="360"/>
      </w:pPr>
    </w:lvl>
    <w:lvl w:ilvl="4" w:tplc="1054D28A">
      <w:start w:val="1"/>
      <w:numFmt w:val="lowerLetter"/>
      <w:lvlText w:val="%5."/>
      <w:lvlJc w:val="left"/>
      <w:pPr>
        <w:ind w:left="3523" w:hanging="360"/>
      </w:pPr>
    </w:lvl>
    <w:lvl w:ilvl="5" w:tplc="A60E0E2A">
      <w:start w:val="1"/>
      <w:numFmt w:val="lowerRoman"/>
      <w:lvlText w:val="%6."/>
      <w:lvlJc w:val="right"/>
      <w:pPr>
        <w:ind w:left="4243" w:hanging="180"/>
      </w:pPr>
    </w:lvl>
    <w:lvl w:ilvl="6" w:tplc="E2A0B7A6">
      <w:start w:val="1"/>
      <w:numFmt w:val="decimal"/>
      <w:lvlText w:val="%7."/>
      <w:lvlJc w:val="left"/>
      <w:pPr>
        <w:ind w:left="4963" w:hanging="360"/>
      </w:pPr>
    </w:lvl>
    <w:lvl w:ilvl="7" w:tplc="EA94C144">
      <w:start w:val="1"/>
      <w:numFmt w:val="lowerLetter"/>
      <w:lvlText w:val="%8."/>
      <w:lvlJc w:val="left"/>
      <w:pPr>
        <w:ind w:left="5683" w:hanging="360"/>
      </w:pPr>
    </w:lvl>
    <w:lvl w:ilvl="8" w:tplc="D410EDAE">
      <w:start w:val="1"/>
      <w:numFmt w:val="lowerRoman"/>
      <w:lvlText w:val="%9."/>
      <w:lvlJc w:val="right"/>
      <w:pPr>
        <w:ind w:left="6403" w:hanging="180"/>
      </w:pPr>
    </w:lvl>
  </w:abstractNum>
  <w:num w:numId="1" w16cid:durableId="3127622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20434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9238266">
    <w:abstractNumId w:val="11"/>
  </w:num>
  <w:num w:numId="4" w16cid:durableId="7379385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13207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59850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03347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81862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21964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93978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19978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90820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38585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9512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343244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19566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5463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278714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1954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5555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556"/>
    <w:rsid w:val="00000062"/>
    <w:rsid w:val="0000226B"/>
    <w:rsid w:val="00005C8B"/>
    <w:rsid w:val="0001404F"/>
    <w:rsid w:val="00040D07"/>
    <w:rsid w:val="000419B6"/>
    <w:rsid w:val="000529D2"/>
    <w:rsid w:val="000564AB"/>
    <w:rsid w:val="00064FBD"/>
    <w:rsid w:val="00082AB2"/>
    <w:rsid w:val="000903FC"/>
    <w:rsid w:val="000906FE"/>
    <w:rsid w:val="00096AF7"/>
    <w:rsid w:val="000B344B"/>
    <w:rsid w:val="000C3B0F"/>
    <w:rsid w:val="000C3B60"/>
    <w:rsid w:val="000D3D31"/>
    <w:rsid w:val="000E0DD2"/>
    <w:rsid w:val="000E3AF1"/>
    <w:rsid w:val="000F0BC8"/>
    <w:rsid w:val="000F0DD6"/>
    <w:rsid w:val="00104CC2"/>
    <w:rsid w:val="00107E6D"/>
    <w:rsid w:val="0011194C"/>
    <w:rsid w:val="0011424C"/>
    <w:rsid w:val="001173C6"/>
    <w:rsid w:val="001367BC"/>
    <w:rsid w:val="001437D3"/>
    <w:rsid w:val="0014384E"/>
    <w:rsid w:val="00144D2A"/>
    <w:rsid w:val="0014653E"/>
    <w:rsid w:val="00151396"/>
    <w:rsid w:val="0016615E"/>
    <w:rsid w:val="00180519"/>
    <w:rsid w:val="00191C82"/>
    <w:rsid w:val="001A04B4"/>
    <w:rsid w:val="001C3FD7"/>
    <w:rsid w:val="001C4003"/>
    <w:rsid w:val="001C5573"/>
    <w:rsid w:val="001C612D"/>
    <w:rsid w:val="001D3441"/>
    <w:rsid w:val="001D4DBF"/>
    <w:rsid w:val="001D5CBE"/>
    <w:rsid w:val="001E75CA"/>
    <w:rsid w:val="002265FF"/>
    <w:rsid w:val="00271B56"/>
    <w:rsid w:val="00274F7E"/>
    <w:rsid w:val="00291593"/>
    <w:rsid w:val="002C344E"/>
    <w:rsid w:val="002D2705"/>
    <w:rsid w:val="002D7668"/>
    <w:rsid w:val="002E75E9"/>
    <w:rsid w:val="002F75E2"/>
    <w:rsid w:val="00307A6A"/>
    <w:rsid w:val="00307C40"/>
    <w:rsid w:val="00314311"/>
    <w:rsid w:val="00320433"/>
    <w:rsid w:val="003230C7"/>
    <w:rsid w:val="00327E50"/>
    <w:rsid w:val="0033597A"/>
    <w:rsid w:val="00343D89"/>
    <w:rsid w:val="00345C9D"/>
    <w:rsid w:val="00354C8B"/>
    <w:rsid w:val="00362612"/>
    <w:rsid w:val="0036743F"/>
    <w:rsid w:val="003715DD"/>
    <w:rsid w:val="003763AB"/>
    <w:rsid w:val="003823E0"/>
    <w:rsid w:val="00386327"/>
    <w:rsid w:val="003A2359"/>
    <w:rsid w:val="003A4521"/>
    <w:rsid w:val="003A5B6D"/>
    <w:rsid w:val="003D1C8C"/>
    <w:rsid w:val="003E5F21"/>
    <w:rsid w:val="0040096C"/>
    <w:rsid w:val="00414F1F"/>
    <w:rsid w:val="0043125D"/>
    <w:rsid w:val="0043502B"/>
    <w:rsid w:val="004443AC"/>
    <w:rsid w:val="00451E28"/>
    <w:rsid w:val="00462C62"/>
    <w:rsid w:val="00465D36"/>
    <w:rsid w:val="00482BF5"/>
    <w:rsid w:val="004C17EE"/>
    <w:rsid w:val="004C4BDF"/>
    <w:rsid w:val="004C7358"/>
    <w:rsid w:val="004D1187"/>
    <w:rsid w:val="004D1998"/>
    <w:rsid w:val="004D3AA0"/>
    <w:rsid w:val="004E1987"/>
    <w:rsid w:val="004E2E15"/>
    <w:rsid w:val="004E6E3C"/>
    <w:rsid w:val="00507E8E"/>
    <w:rsid w:val="00515093"/>
    <w:rsid w:val="00520898"/>
    <w:rsid w:val="00523621"/>
    <w:rsid w:val="00524986"/>
    <w:rsid w:val="005268F6"/>
    <w:rsid w:val="00534284"/>
    <w:rsid w:val="00540E67"/>
    <w:rsid w:val="0054494A"/>
    <w:rsid w:val="00547DB7"/>
    <w:rsid w:val="005538F1"/>
    <w:rsid w:val="005F4F09"/>
    <w:rsid w:val="0061431B"/>
    <w:rsid w:val="00617CEE"/>
    <w:rsid w:val="00622BAA"/>
    <w:rsid w:val="006306CF"/>
    <w:rsid w:val="00633FAB"/>
    <w:rsid w:val="00640603"/>
    <w:rsid w:val="00644E9A"/>
    <w:rsid w:val="00671BD5"/>
    <w:rsid w:val="00673978"/>
    <w:rsid w:val="006805C1"/>
    <w:rsid w:val="006841E0"/>
    <w:rsid w:val="00686C21"/>
    <w:rsid w:val="006931C1"/>
    <w:rsid w:val="00694556"/>
    <w:rsid w:val="006C30C5"/>
    <w:rsid w:val="006D3B31"/>
    <w:rsid w:val="006D75EC"/>
    <w:rsid w:val="006E0D96"/>
    <w:rsid w:val="006E1A53"/>
    <w:rsid w:val="006F56E6"/>
    <w:rsid w:val="00704EDA"/>
    <w:rsid w:val="00721122"/>
    <w:rsid w:val="00744B1C"/>
    <w:rsid w:val="00753019"/>
    <w:rsid w:val="00754801"/>
    <w:rsid w:val="00770E36"/>
    <w:rsid w:val="00795365"/>
    <w:rsid w:val="007A351D"/>
    <w:rsid w:val="007A52B3"/>
    <w:rsid w:val="007B0ADB"/>
    <w:rsid w:val="007B7765"/>
    <w:rsid w:val="007C5BDD"/>
    <w:rsid w:val="007D45E3"/>
    <w:rsid w:val="007E6115"/>
    <w:rsid w:val="007F09CE"/>
    <w:rsid w:val="007F4609"/>
    <w:rsid w:val="008176A1"/>
    <w:rsid w:val="00820005"/>
    <w:rsid w:val="00837871"/>
    <w:rsid w:val="00844318"/>
    <w:rsid w:val="00845FD0"/>
    <w:rsid w:val="00863F5D"/>
    <w:rsid w:val="00870890"/>
    <w:rsid w:val="00870E0D"/>
    <w:rsid w:val="00873602"/>
    <w:rsid w:val="00875D12"/>
    <w:rsid w:val="008800CD"/>
    <w:rsid w:val="0088479D"/>
    <w:rsid w:val="008924AB"/>
    <w:rsid w:val="00896889"/>
    <w:rsid w:val="00897713"/>
    <w:rsid w:val="008C5714"/>
    <w:rsid w:val="008C7A1D"/>
    <w:rsid w:val="008D10B2"/>
    <w:rsid w:val="008D3050"/>
    <w:rsid w:val="008E3E78"/>
    <w:rsid w:val="008F3DE4"/>
    <w:rsid w:val="00903896"/>
    <w:rsid w:val="00906F3D"/>
    <w:rsid w:val="00912A5E"/>
    <w:rsid w:val="009170EF"/>
    <w:rsid w:val="00932BB2"/>
    <w:rsid w:val="009338BD"/>
    <w:rsid w:val="0094424E"/>
    <w:rsid w:val="00954A70"/>
    <w:rsid w:val="00955642"/>
    <w:rsid w:val="009622DF"/>
    <w:rsid w:val="00965818"/>
    <w:rsid w:val="00967DFF"/>
    <w:rsid w:val="0098028D"/>
    <w:rsid w:val="00994341"/>
    <w:rsid w:val="009B33AE"/>
    <w:rsid w:val="009B4939"/>
    <w:rsid w:val="009D1A48"/>
    <w:rsid w:val="009D4B51"/>
    <w:rsid w:val="009D4B83"/>
    <w:rsid w:val="009E1CE7"/>
    <w:rsid w:val="009E4EA5"/>
    <w:rsid w:val="009E5DED"/>
    <w:rsid w:val="009F164B"/>
    <w:rsid w:val="009F323C"/>
    <w:rsid w:val="00A0178C"/>
    <w:rsid w:val="00A03128"/>
    <w:rsid w:val="00A3392B"/>
    <w:rsid w:val="00A413A4"/>
    <w:rsid w:val="00A66F6B"/>
    <w:rsid w:val="00A94B64"/>
    <w:rsid w:val="00A974A3"/>
    <w:rsid w:val="00AA3229"/>
    <w:rsid w:val="00AA5158"/>
    <w:rsid w:val="00AA7596"/>
    <w:rsid w:val="00AB3523"/>
    <w:rsid w:val="00AB5E52"/>
    <w:rsid w:val="00AC3B02"/>
    <w:rsid w:val="00AC3B7B"/>
    <w:rsid w:val="00AC5209"/>
    <w:rsid w:val="00AD00A6"/>
    <w:rsid w:val="00AD4766"/>
    <w:rsid w:val="00AD6838"/>
    <w:rsid w:val="00AE211A"/>
    <w:rsid w:val="00AE729E"/>
    <w:rsid w:val="00AE7752"/>
    <w:rsid w:val="00AF65FD"/>
    <w:rsid w:val="00AF7FDA"/>
    <w:rsid w:val="00B02C76"/>
    <w:rsid w:val="00B244A6"/>
    <w:rsid w:val="00B244E2"/>
    <w:rsid w:val="00B37100"/>
    <w:rsid w:val="00B5356E"/>
    <w:rsid w:val="00B73B10"/>
    <w:rsid w:val="00B809AD"/>
    <w:rsid w:val="00B80CBD"/>
    <w:rsid w:val="00B86096"/>
    <w:rsid w:val="00B95A71"/>
    <w:rsid w:val="00B964D9"/>
    <w:rsid w:val="00BA0A7C"/>
    <w:rsid w:val="00BA517C"/>
    <w:rsid w:val="00BB3D05"/>
    <w:rsid w:val="00BB52D6"/>
    <w:rsid w:val="00BB73BE"/>
    <w:rsid w:val="00BC2D89"/>
    <w:rsid w:val="00BD6531"/>
    <w:rsid w:val="00BE05B2"/>
    <w:rsid w:val="00BF1908"/>
    <w:rsid w:val="00BF7F3B"/>
    <w:rsid w:val="00C22338"/>
    <w:rsid w:val="00C22D93"/>
    <w:rsid w:val="00C31120"/>
    <w:rsid w:val="00C34482"/>
    <w:rsid w:val="00C41C43"/>
    <w:rsid w:val="00C43648"/>
    <w:rsid w:val="00C50A9F"/>
    <w:rsid w:val="00C53EB8"/>
    <w:rsid w:val="00C642FA"/>
    <w:rsid w:val="00C65565"/>
    <w:rsid w:val="00C762BB"/>
    <w:rsid w:val="00CC7622"/>
    <w:rsid w:val="00CD608F"/>
    <w:rsid w:val="00CF3111"/>
    <w:rsid w:val="00D27982"/>
    <w:rsid w:val="00D33B86"/>
    <w:rsid w:val="00D44A5A"/>
    <w:rsid w:val="00D53924"/>
    <w:rsid w:val="00D54B61"/>
    <w:rsid w:val="00D55D0C"/>
    <w:rsid w:val="00D627CF"/>
    <w:rsid w:val="00D74378"/>
    <w:rsid w:val="00D96D8C"/>
    <w:rsid w:val="00DA6649"/>
    <w:rsid w:val="00DC1259"/>
    <w:rsid w:val="00DC1BD2"/>
    <w:rsid w:val="00DC2571"/>
    <w:rsid w:val="00DC487C"/>
    <w:rsid w:val="00DE6BF6"/>
    <w:rsid w:val="00E0578E"/>
    <w:rsid w:val="00E1068A"/>
    <w:rsid w:val="00E25884"/>
    <w:rsid w:val="00E25B55"/>
    <w:rsid w:val="00E317A3"/>
    <w:rsid w:val="00E31C2B"/>
    <w:rsid w:val="00E37181"/>
    <w:rsid w:val="00E5426A"/>
    <w:rsid w:val="00E54642"/>
    <w:rsid w:val="00E705DF"/>
    <w:rsid w:val="00E80CBE"/>
    <w:rsid w:val="00E87DA0"/>
    <w:rsid w:val="00E962E3"/>
    <w:rsid w:val="00EB23B9"/>
    <w:rsid w:val="00EB6C79"/>
    <w:rsid w:val="00EB724E"/>
    <w:rsid w:val="00EC2B74"/>
    <w:rsid w:val="00EC37E9"/>
    <w:rsid w:val="00ED5405"/>
    <w:rsid w:val="00F0446B"/>
    <w:rsid w:val="00F06995"/>
    <w:rsid w:val="00F13623"/>
    <w:rsid w:val="00F30477"/>
    <w:rsid w:val="00F44D1D"/>
    <w:rsid w:val="00F84B6D"/>
    <w:rsid w:val="00FA4EAF"/>
    <w:rsid w:val="00FA5FDA"/>
    <w:rsid w:val="00FA63FB"/>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EAA40"/>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D6838"/>
    <w:pPr>
      <w:bidi/>
    </w:pPr>
    <w:rPr>
      <w:rFonts w:cs="David"/>
      <w:noProof/>
      <w:sz w:val="24"/>
      <w:szCs w:val="24"/>
    </w:rPr>
  </w:style>
  <w:style w:type="paragraph" w:styleId="2">
    <w:name w:val="heading 2"/>
    <w:basedOn w:val="a"/>
    <w:next w:val="a"/>
    <w:link w:val="20"/>
    <w:semiHidden/>
    <w:unhideWhenUsed/>
    <w:qFormat/>
    <w:rsid w:val="00FA63F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1D5CBE"/>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David">
    <w:name w:val="סגנון (עברית ושפות אחרות) David מיושר לשני הצדדים מרווח בין שורות..."/>
    <w:basedOn w:val="a"/>
    <w:uiPriority w:val="99"/>
    <w:rsid w:val="001D5CBE"/>
    <w:pPr>
      <w:spacing w:line="360" w:lineRule="auto"/>
      <w:jc w:val="both"/>
    </w:pPr>
    <w:rPr>
      <w:noProof w:val="0"/>
    </w:rPr>
  </w:style>
  <w:style w:type="character" w:customStyle="1" w:styleId="20">
    <w:name w:val="כותרת 2 תו"/>
    <w:basedOn w:val="a0"/>
    <w:link w:val="2"/>
    <w:semiHidden/>
    <w:rsid w:val="00FA63FB"/>
    <w:rPr>
      <w:rFonts w:asciiTheme="majorHAnsi" w:eastAsiaTheme="majorEastAsia" w:hAnsiTheme="majorHAnsi" w:cstheme="majorBidi"/>
      <w:noProof/>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E9B64DE82404F9B827427D9CBC581D6"/>
        <w:category>
          <w:name w:val="כללי"/>
          <w:gallery w:val="placeholder"/>
        </w:category>
        <w:types>
          <w:type w:val="bbPlcHdr"/>
        </w:types>
        <w:behaviors>
          <w:behavior w:val="content"/>
        </w:behaviors>
        <w:guid w:val="{78BA44C6-B314-46D7-8ED1-BF436121D046}"/>
      </w:docPartPr>
      <w:docPartBody>
        <w:p w:rsidR="001437D3" w:rsidRDefault="006F390E" w:rsidP="00837871">
          <w:pPr>
            <w:pStyle w:val="6E9B64DE82404F9B827427D9CBC581D62"/>
          </w:pPr>
          <w:r>
            <w:rPr>
              <w:rFonts w:ascii="Arial" w:hAnsi="Arial"/>
              <w:b/>
              <w:bCs/>
              <w:noProof w:val="0"/>
              <w:sz w:val="26"/>
              <w:szCs w:val="26"/>
              <w:rtl/>
            </w:rPr>
            <w:t>שם צד א' ללא שם של חסוי</w:t>
          </w:r>
        </w:p>
      </w:docPartBody>
    </w:docPart>
    <w:docPart>
      <w:docPartPr>
        <w:name w:val="4975FDB7C9824906A8EDDDC584D8F333"/>
        <w:category>
          <w:name w:val="כללי"/>
          <w:gallery w:val="placeholder"/>
        </w:category>
        <w:types>
          <w:type w:val="bbPlcHdr"/>
        </w:types>
        <w:behaviors>
          <w:behavior w:val="content"/>
        </w:behaviors>
        <w:guid w:val="{28E5AB39-0725-456D-B84C-21AB7B1A00B9}"/>
      </w:docPartPr>
      <w:docPartBody>
        <w:p w:rsidR="001437D3" w:rsidRDefault="006F390E" w:rsidP="00837871">
          <w:pPr>
            <w:pStyle w:val="4975FDB7C9824906A8EDDDC584D8F3332"/>
          </w:pPr>
          <w:r>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8CA"/>
    <w:rsid w:val="00010976"/>
    <w:rsid w:val="000A4ACE"/>
    <w:rsid w:val="001437D3"/>
    <w:rsid w:val="001E622F"/>
    <w:rsid w:val="00243834"/>
    <w:rsid w:val="002D02C4"/>
    <w:rsid w:val="002E734C"/>
    <w:rsid w:val="00334638"/>
    <w:rsid w:val="00345C9D"/>
    <w:rsid w:val="003D74C1"/>
    <w:rsid w:val="003E1A82"/>
    <w:rsid w:val="0048651F"/>
    <w:rsid w:val="00556D67"/>
    <w:rsid w:val="005F1C8D"/>
    <w:rsid w:val="00633FAB"/>
    <w:rsid w:val="006F390E"/>
    <w:rsid w:val="00793995"/>
    <w:rsid w:val="007C6F98"/>
    <w:rsid w:val="007E254A"/>
    <w:rsid w:val="00837871"/>
    <w:rsid w:val="008B4366"/>
    <w:rsid w:val="00900FE3"/>
    <w:rsid w:val="009133C7"/>
    <w:rsid w:val="009178E4"/>
    <w:rsid w:val="009234CA"/>
    <w:rsid w:val="00961B27"/>
    <w:rsid w:val="009672A6"/>
    <w:rsid w:val="00997593"/>
    <w:rsid w:val="009D04C0"/>
    <w:rsid w:val="009D4B51"/>
    <w:rsid w:val="009E240F"/>
    <w:rsid w:val="00AA7CE3"/>
    <w:rsid w:val="00AE1281"/>
    <w:rsid w:val="00B244E2"/>
    <w:rsid w:val="00B91FA3"/>
    <w:rsid w:val="00C4535D"/>
    <w:rsid w:val="00C96C06"/>
    <w:rsid w:val="00E31BF6"/>
    <w:rsid w:val="00E81DB1"/>
    <w:rsid w:val="00EB2309"/>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7871"/>
    <w:rPr>
      <w:color w:val="808080"/>
    </w:rPr>
  </w:style>
  <w:style w:type="paragraph" w:customStyle="1" w:styleId="6E9B64DE82404F9B827427D9CBC581D62">
    <w:name w:val="6E9B64DE82404F9B827427D9CBC581D62"/>
    <w:rsid w:val="00837871"/>
    <w:pPr>
      <w:bidi/>
      <w:spacing w:after="0" w:line="240" w:lineRule="auto"/>
    </w:pPr>
    <w:rPr>
      <w:rFonts w:ascii="Times New Roman" w:eastAsia="Times New Roman" w:hAnsi="Times New Roman" w:cs="David"/>
      <w:noProof/>
      <w:sz w:val="24"/>
      <w:szCs w:val="24"/>
    </w:rPr>
  </w:style>
  <w:style w:type="paragraph" w:customStyle="1" w:styleId="4975FDB7C9824906A8EDDDC584D8F3332">
    <w:name w:val="4975FDB7C9824906A8EDDDC584D8F3332"/>
    <w:rsid w:val="0083787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10991</Words>
  <Characters>54956</Characters>
  <Application>Microsoft Office Word</Application>
  <DocSecurity>0</DocSecurity>
  <Lines>457</Lines>
  <Paragraphs>131</Paragraphs>
  <ScaleCrop>false</ScaleCrop>
  <Company/>
  <LinksUpToDate>false</LinksUpToDate>
  <CharactersWithSpaces>65816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מונדר עבד אלהאדי</dc:creator>
  <cp:lastModifiedBy>מונדר עבד אלהאדי</cp:lastModifiedBy>
  <cp:revision>2</cp:revision>
  <dcterms:created xsi:type="dcterms:W3CDTF">2026-06-21T06:46:00Z</dcterms:created>
  <dcterms:modified xsi:type="dcterms:W3CDTF">2026-06-21T06:46:00Z</dcterms:modified>
</cp:coreProperties>
</file>