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92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036"/>
        <w:gridCol w:w="222"/>
      </w:tblGrid>
      <w:tr w:rsidR="0094424E" w:rsidTr="005B04DD">
        <w:trPr>
          <w:jc w:val="center"/>
        </w:trPr>
        <w:tc>
          <w:tcPr>
            <w:tcW w:w="9036" w:type="dxa"/>
          </w:tcPr>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5B04DD" w:rsidTr="005B04DD">
              <w:trPr>
                <w:jc w:val="center"/>
              </w:trPr>
              <w:tc>
                <w:tcPr>
                  <w:tcW w:w="743" w:type="dxa"/>
                  <w:hideMark/>
                </w:tcPr>
                <w:p w:rsidR="005B04DD" w:rsidRDefault="005B04DD" w:rsidP="005B04DD">
                  <w:pPr>
                    <w:suppressLineNumbers/>
                    <w:jc w:val="both"/>
                    <w:rPr>
                      <w:rFonts w:ascii="Arial" w:hAnsi="Arial"/>
                      <w:b/>
                      <w:bCs/>
                      <w:sz w:val="26"/>
                      <w:szCs w:val="26"/>
                    </w:rPr>
                  </w:pPr>
                  <w:r>
                    <w:rPr>
                      <w:rFonts w:ascii="Arial" w:hAnsi="Arial"/>
                      <w:b/>
                      <w:bCs/>
                      <w:sz w:val="26"/>
                      <w:szCs w:val="26"/>
                      <w:rtl/>
                    </w:rPr>
                    <w:t xml:space="preserve">לפני </w:t>
                  </w:r>
                </w:p>
              </w:tc>
              <w:tc>
                <w:tcPr>
                  <w:tcW w:w="8077" w:type="dxa"/>
                  <w:gridSpan w:val="2"/>
                </w:tcPr>
                <w:p w:rsidR="005B04DD" w:rsidRDefault="005B04DD" w:rsidP="005B04DD">
                  <w:pPr>
                    <w:suppressLineNumbers/>
                    <w:rPr>
                      <w:rFonts w:ascii="Arial" w:hAnsi="Arial"/>
                      <w:b/>
                      <w:bCs/>
                      <w:sz w:val="26"/>
                      <w:szCs w:val="26"/>
                      <w:rtl/>
                    </w:rPr>
                  </w:pPr>
                  <w:r>
                    <w:rPr>
                      <w:rFonts w:ascii="Arial" w:hAnsi="Arial"/>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w:t>
                      </w:r>
                    </w:sdtContent>
                  </w:sdt>
                  <w:r>
                    <w:rPr>
                      <w:rFonts w:ascii="Arial" w:hAnsi="Arial"/>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מוחמד חאג' יחיא</w:t>
                      </w:r>
                    </w:sdtContent>
                  </w:sdt>
                </w:p>
                <w:p w:rsidR="005B04DD" w:rsidRDefault="005B04DD" w:rsidP="005B04DD">
                  <w:pPr>
                    <w:suppressLineNumbers/>
                    <w:rPr>
                      <w:rFonts w:ascii="Arial" w:hAnsi="Arial" w:cs="FrankRuehl"/>
                      <w:sz w:val="26"/>
                      <w:szCs w:val="26"/>
                      <w:highlight w:val="yellow"/>
                      <w:rtl/>
                    </w:rPr>
                  </w:pPr>
                </w:p>
              </w:tc>
            </w:tr>
            <w:tr w:rsidR="005B04DD" w:rsidTr="005B04DD">
              <w:trPr>
                <w:jc w:val="center"/>
              </w:trPr>
              <w:tc>
                <w:tcPr>
                  <w:tcW w:w="3249" w:type="dxa"/>
                  <w:gridSpan w:val="2"/>
                </w:tcPr>
                <w:p w:rsidR="005B04DD" w:rsidRDefault="005B04DD" w:rsidP="005B04DD">
                  <w:pPr>
                    <w:suppressLineNumbers/>
                    <w:rPr>
                      <w:rFonts w:ascii="Arial" w:hAnsi="Arial"/>
                      <w:b/>
                      <w:bCs/>
                      <w:noProof w:val="0"/>
                    </w:rPr>
                  </w:pPr>
                </w:p>
                <w:sdt>
                  <w:sdtPr>
                    <w:rPr>
                      <w:rtl/>
                    </w:rPr>
                    <w:alias w:val="1180"/>
                    <w:tag w:val="1180"/>
                    <w:id w:val="637458750"/>
                    <w:text w:multiLine="1"/>
                  </w:sdtPr>
                  <w:sdtEndPr/>
                  <w:sdtContent>
                    <w:p w:rsidR="005B04DD" w:rsidRDefault="005B04DD" w:rsidP="005B04DD">
                      <w:pPr>
                        <w:suppressLineNumbers/>
                        <w:rPr>
                          <w:rFonts w:ascii="Arial" w:hAnsi="Arial"/>
                          <w:b/>
                          <w:bCs/>
                          <w:noProof w:val="0"/>
                        </w:rPr>
                      </w:pPr>
                      <w:r>
                        <w:rPr>
                          <w:rFonts w:ascii="Arial" w:hAnsi="Arial"/>
                          <w:b/>
                          <w:bCs/>
                          <w:noProof w:val="0"/>
                          <w:rtl/>
                        </w:rPr>
                        <w:t>התובעת</w:t>
                      </w:r>
                    </w:p>
                  </w:sdtContent>
                </w:sdt>
              </w:tc>
              <w:tc>
                <w:tcPr>
                  <w:tcW w:w="5571" w:type="dxa"/>
                </w:tcPr>
                <w:p w:rsidR="005B04DD" w:rsidRDefault="005B04DD" w:rsidP="005B04DD">
                  <w:pPr>
                    <w:suppressLineNumbers/>
                    <w:rPr>
                      <w:rFonts w:ascii="Arial" w:hAnsi="Arial"/>
                      <w:b/>
                      <w:bCs/>
                      <w:noProof w:val="0"/>
                      <w:rtl/>
                    </w:rPr>
                  </w:pPr>
                </w:p>
                <w:p w:rsidR="005B04DD" w:rsidRDefault="00BD6ED2" w:rsidP="005B04DD">
                  <w:pPr>
                    <w:suppressLineNumbers/>
                    <w:rPr>
                      <w:rFonts w:ascii="Arial" w:hAnsi="Arial"/>
                      <w:b/>
                      <w:bCs/>
                      <w:noProof w:val="0"/>
                      <w:rtl/>
                    </w:rPr>
                  </w:pPr>
                  <w:sdt>
                    <w:sdtPr>
                      <w:rPr>
                        <w:rFonts w:ascii="Arial" w:hAnsi="Arial"/>
                        <w:b/>
                        <w:bCs/>
                        <w:noProof w:val="0"/>
                        <w:rtl/>
                      </w:rPr>
                      <w:alias w:val="3151"/>
                      <w:tag w:val="3151"/>
                      <w:id w:val="1398553265"/>
                      <w:placeholder>
                        <w:docPart w:val="506C484190394284B234A40201C744A6"/>
                      </w:placeholder>
                      <w:text w:multiLine="1"/>
                    </w:sdtPr>
                    <w:sdtEndPr/>
                    <w:sdtContent>
                      <w:r w:rsidR="005B04DD">
                        <w:rPr>
                          <w:rFonts w:ascii="Arial" w:hAnsi="Arial"/>
                          <w:b/>
                          <w:bCs/>
                          <w:noProof w:val="0"/>
                          <w:rtl/>
                        </w:rPr>
                        <w:t>פלונית</w:t>
                      </w:r>
                    </w:sdtContent>
                  </w:sdt>
                </w:p>
                <w:p w:rsidR="005B04DD" w:rsidRDefault="005B04DD" w:rsidP="005B04DD">
                  <w:pPr>
                    <w:suppressLineNumbers/>
                    <w:rPr>
                      <w:noProof w:val="0"/>
                      <w:rtl/>
                    </w:rPr>
                  </w:pPr>
                  <w:r>
                    <w:rPr>
                      <w:noProof w:val="0"/>
                      <w:rtl/>
                    </w:rPr>
                    <w:t>ע"י ב"כ עו"ד משה מל רוזן ועו"ד אורן פרץ</w:t>
                  </w:r>
                </w:p>
              </w:tc>
            </w:tr>
            <w:tr w:rsidR="005B04DD" w:rsidTr="005B04DD">
              <w:trPr>
                <w:jc w:val="center"/>
              </w:trPr>
              <w:tc>
                <w:tcPr>
                  <w:tcW w:w="8820" w:type="dxa"/>
                  <w:gridSpan w:val="3"/>
                </w:tcPr>
                <w:p w:rsidR="005B04DD" w:rsidRDefault="005B04DD" w:rsidP="005B04DD">
                  <w:pPr>
                    <w:suppressLineNumbers/>
                    <w:rPr>
                      <w:rFonts w:ascii="Arial" w:hAnsi="Arial"/>
                      <w:b/>
                      <w:bCs/>
                      <w:noProof w:val="0"/>
                    </w:rPr>
                  </w:pPr>
                </w:p>
                <w:p w:rsidR="005B04DD" w:rsidRDefault="005B04DD" w:rsidP="005B04DD">
                  <w:pPr>
                    <w:suppressLineNumbers/>
                    <w:rPr>
                      <w:rFonts w:ascii="Arial" w:hAnsi="Arial"/>
                      <w:b/>
                      <w:bCs/>
                      <w:noProof w:val="0"/>
                      <w:rtl/>
                    </w:rPr>
                  </w:pPr>
                </w:p>
                <w:p w:rsidR="005B04DD" w:rsidRDefault="005B04DD" w:rsidP="005B04DD">
                  <w:pPr>
                    <w:suppressLineNumbers/>
                    <w:jc w:val="center"/>
                    <w:rPr>
                      <w:rFonts w:ascii="Arial" w:hAnsi="Arial"/>
                      <w:b/>
                      <w:bCs/>
                      <w:noProof w:val="0"/>
                      <w:rtl/>
                    </w:rPr>
                  </w:pPr>
                  <w:r>
                    <w:rPr>
                      <w:rFonts w:ascii="Arial" w:hAnsi="Arial"/>
                      <w:b/>
                      <w:bCs/>
                      <w:noProof w:val="0"/>
                      <w:rtl/>
                    </w:rPr>
                    <w:t>נגד</w:t>
                  </w:r>
                </w:p>
                <w:p w:rsidR="005B04DD" w:rsidRDefault="005B04DD" w:rsidP="005B04DD">
                  <w:pPr>
                    <w:suppressLineNumbers/>
                    <w:rPr>
                      <w:rFonts w:ascii="Arial" w:hAnsi="Arial"/>
                      <w:b/>
                      <w:bCs/>
                      <w:noProof w:val="0"/>
                      <w:rtl/>
                    </w:rPr>
                  </w:pPr>
                </w:p>
                <w:p w:rsidR="005B04DD" w:rsidRDefault="005B04DD" w:rsidP="005B04DD">
                  <w:pPr>
                    <w:suppressLineNumbers/>
                    <w:rPr>
                      <w:rFonts w:ascii="Arial" w:hAnsi="Arial"/>
                      <w:b/>
                      <w:bCs/>
                      <w:noProof w:val="0"/>
                      <w:rtl/>
                    </w:rPr>
                  </w:pPr>
                </w:p>
              </w:tc>
            </w:tr>
            <w:tr w:rsidR="005B04DD" w:rsidTr="005B04DD">
              <w:trPr>
                <w:jc w:val="center"/>
              </w:trPr>
              <w:tc>
                <w:tcPr>
                  <w:tcW w:w="3249" w:type="dxa"/>
                  <w:gridSpan w:val="2"/>
                  <w:hideMark/>
                </w:tcPr>
                <w:p w:rsidR="005B04DD" w:rsidRDefault="00BD6ED2" w:rsidP="005B04DD">
                  <w:pPr>
                    <w:suppressLineNumbers/>
                    <w:rPr>
                      <w:rFonts w:ascii="Arial" w:hAnsi="Arial"/>
                      <w:b/>
                      <w:bCs/>
                      <w:noProof w:val="0"/>
                    </w:rPr>
                  </w:pPr>
                  <w:sdt>
                    <w:sdtPr>
                      <w:rPr>
                        <w:rtl/>
                      </w:rPr>
                      <w:alias w:val="1184"/>
                      <w:tag w:val="1184"/>
                      <w:id w:val="-340621022"/>
                      <w:text w:multiLine="1"/>
                    </w:sdtPr>
                    <w:sdtEndPr/>
                    <w:sdtContent>
                      <w:r w:rsidR="005B04DD">
                        <w:rPr>
                          <w:rFonts w:ascii="Arial" w:hAnsi="Arial"/>
                          <w:b/>
                          <w:bCs/>
                          <w:noProof w:val="0"/>
                          <w:rtl/>
                        </w:rPr>
                        <w:t>הנתבע</w:t>
                      </w:r>
                    </w:sdtContent>
                  </w:sdt>
                </w:p>
              </w:tc>
              <w:tc>
                <w:tcPr>
                  <w:tcW w:w="5571" w:type="dxa"/>
                  <w:hideMark/>
                </w:tcPr>
                <w:p w:rsidR="005B04DD" w:rsidRDefault="00BD6ED2" w:rsidP="005B04DD">
                  <w:pPr>
                    <w:suppressLineNumbers/>
                    <w:rPr>
                      <w:rFonts w:ascii="Arial" w:hAnsi="Arial"/>
                      <w:b/>
                      <w:bCs/>
                      <w:noProof w:val="0"/>
                    </w:rPr>
                  </w:pPr>
                  <w:sdt>
                    <w:sdtPr>
                      <w:rPr>
                        <w:rFonts w:ascii="Arial" w:hAnsi="Arial"/>
                        <w:b/>
                        <w:bCs/>
                        <w:noProof w:val="0"/>
                        <w:rtl/>
                      </w:rPr>
                      <w:alias w:val="3152"/>
                      <w:tag w:val="3152"/>
                      <w:id w:val="1920052440"/>
                      <w:placeholder>
                        <w:docPart w:val="17B003EB72AA489B9E4A240556F3C79F"/>
                      </w:placeholder>
                      <w:text w:multiLine="1"/>
                    </w:sdtPr>
                    <w:sdtEndPr/>
                    <w:sdtContent>
                      <w:r w:rsidR="005B04DD">
                        <w:rPr>
                          <w:rFonts w:ascii="Arial" w:hAnsi="Arial" w:hint="cs"/>
                          <w:b/>
                          <w:bCs/>
                          <w:noProof w:val="0"/>
                          <w:rtl/>
                        </w:rPr>
                        <w:t>פלוני</w:t>
                      </w:r>
                    </w:sdtContent>
                  </w:sdt>
                </w:p>
                <w:p w:rsidR="005B04DD" w:rsidRDefault="005B04DD" w:rsidP="005B04DD">
                  <w:pPr>
                    <w:suppressLineNumbers/>
                    <w:rPr>
                      <w:rtl/>
                    </w:rPr>
                  </w:pPr>
                  <w:r>
                    <w:rPr>
                      <w:rtl/>
                    </w:rPr>
                    <w:t>ע"י ב"כ עו"ד עז אלדד ועו"ד עמית שגב</w:t>
                  </w:r>
                </w:p>
              </w:tc>
            </w:tr>
          </w:tbl>
          <w:p w:rsidR="0094424E" w:rsidRPr="005B04DD" w:rsidRDefault="0094424E" w:rsidP="00D44968">
            <w:pPr>
              <w:suppressLineNumbers/>
              <w:jc w:val="both"/>
              <w:rPr>
                <w:rFonts w:ascii="Arial" w:hAnsi="Arial"/>
                <w:b/>
                <w:bCs/>
                <w:sz w:val="26"/>
                <w:szCs w:val="26"/>
                <w:rtl/>
              </w:rPr>
            </w:pPr>
          </w:p>
        </w:tc>
        <w:tc>
          <w:tcPr>
            <w:tcW w:w="222" w:type="dxa"/>
          </w:tcPr>
          <w:p w:rsidR="0094424E" w:rsidRPr="00DD05A8" w:rsidRDefault="0094424E" w:rsidP="00D44968">
            <w:pPr>
              <w:suppressLineNumbers/>
              <w:rPr>
                <w:rFonts w:ascii="Arial" w:hAnsi="Arial" w:cs="FrankRuehl"/>
                <w:sz w:val="26"/>
                <w:szCs w:val="26"/>
                <w:highlight w:val="yellow"/>
              </w:rPr>
            </w:pPr>
          </w:p>
        </w:tc>
      </w:tr>
      <w:tr w:rsidR="0094424E" w:rsidTr="005B04DD">
        <w:trPr>
          <w:jc w:val="center"/>
        </w:trPr>
        <w:tc>
          <w:tcPr>
            <w:tcW w:w="9036" w:type="dxa"/>
          </w:tcPr>
          <w:p w:rsidR="00ED5AF3" w:rsidRDefault="00ED5AF3">
            <w:pPr>
              <w:suppressLineNumbers/>
              <w:rPr>
                <w:rFonts w:ascii="Arial" w:hAnsi="Arial"/>
                <w:b/>
                <w:bCs/>
                <w:noProof w:val="0"/>
                <w:sz w:val="26"/>
                <w:szCs w:val="26"/>
                <w:rtl/>
              </w:rPr>
            </w:pPr>
          </w:p>
        </w:tc>
        <w:tc>
          <w:tcPr>
            <w:tcW w:w="222" w:type="dxa"/>
          </w:tcPr>
          <w:p w:rsidR="0094424E" w:rsidRDefault="0094424E" w:rsidP="007C2453">
            <w:pPr>
              <w:suppressLineNumbers/>
              <w:rPr>
                <w:b/>
                <w:bCs/>
                <w:noProof w:val="0"/>
                <w:sz w:val="26"/>
                <w:szCs w:val="26"/>
              </w:rPr>
            </w:pPr>
          </w:p>
        </w:tc>
      </w:tr>
      <w:tr w:rsidR="00CF6BB7" w:rsidTr="005B04DD">
        <w:trPr>
          <w:jc w:val="center"/>
        </w:trPr>
        <w:tc>
          <w:tcPr>
            <w:tcW w:w="9036" w:type="dxa"/>
          </w:tcPr>
          <w:p w:rsidR="00A46717" w:rsidRPr="00272E32" w:rsidRDefault="00BD6ED2"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222" w:type="dxa"/>
          </w:tcPr>
          <w:p w:rsidR="00A46717" w:rsidRPr="007C2453" w:rsidRDefault="00BD6ED2" w:rsidP="00A46717">
            <w:pPr>
              <w:rPr>
                <w:rFonts w:ascii="Arial" w:hAnsi="Arial"/>
                <w:b/>
                <w:bCs/>
                <w:noProof w:val="0"/>
                <w:sz w:val="26"/>
                <w:szCs w:val="26"/>
              </w:rPr>
            </w:pPr>
            <w:sdt>
              <w:sdtPr>
                <w:rPr>
                  <w:rFonts w:ascii="Arial" w:hAnsi="Arial"/>
                  <w:b/>
                  <w:bCs/>
                  <w:noProof w:val="0"/>
                  <w:sz w:val="26"/>
                  <w:szCs w:val="26"/>
                  <w:rtl/>
                </w:rPr>
                <w:alias w:val="3153"/>
                <w:tag w:val="3153"/>
                <w:id w:val="-1834055329"/>
                <w:lock w:val="contentLocked"/>
                <w:placeholder>
                  <w:docPart w:val="D0835A28627A476594973290286577B2"/>
                </w:placeholder>
                <w:text w:multiLine="1"/>
              </w:sdtPr>
              <w:sdtEndPr/>
              <w:sdtContent/>
            </w:sdt>
          </w:p>
        </w:tc>
      </w:tr>
      <w:tr w:rsidR="004C17EE" w:rsidTr="005B04DD">
        <w:trPr>
          <w:jc w:val="center"/>
        </w:trPr>
        <w:tc>
          <w:tcPr>
            <w:tcW w:w="9258" w:type="dxa"/>
            <w:gridSpan w:val="2"/>
          </w:tcPr>
          <w:p w:rsidR="00ED5AF3" w:rsidRDefault="00ED5AF3">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Pr>
            </w:pPr>
            <w:r>
              <w:rPr>
                <w:rFonts w:ascii="Arial" w:hAnsi="Arial" w:hint="cs"/>
                <w:b/>
                <w:bCs/>
                <w:noProof w:val="0"/>
                <w:sz w:val="28"/>
                <w:szCs w:val="28"/>
                <w:u w:val="single"/>
                <w:rtl/>
              </w:rPr>
              <w:t>פסק דין</w:t>
            </w:r>
          </w:p>
          <w:p w:rsidR="005B04DD" w:rsidRPr="005B04DD" w:rsidRDefault="005B04DD" w:rsidP="005B04DD">
            <w:pPr>
              <w:bidi w:val="0"/>
              <w:jc w:val="center"/>
              <w:rPr>
                <w:rFonts w:ascii="Arial" w:hAnsi="Arial"/>
                <w:noProof w:val="0"/>
                <w:sz w:val="28"/>
                <w:szCs w:val="28"/>
                <w:rtl/>
              </w:rPr>
            </w:pPr>
            <w:r w:rsidRPr="005B04DD">
              <w:rPr>
                <w:rFonts w:ascii="Arial" w:hAnsi="Arial" w:hint="cs"/>
                <w:noProof w:val="0"/>
                <w:sz w:val="28"/>
                <w:szCs w:val="28"/>
                <w:rtl/>
              </w:rPr>
              <w:t>(נוסח מותר לפרסום)</w:t>
            </w:r>
          </w:p>
          <w:p w:rsidR="00D44968" w:rsidRPr="00D44968" w:rsidRDefault="00D44968" w:rsidP="00D44968">
            <w:pPr>
              <w:bidi w:val="0"/>
              <w:jc w:val="center"/>
              <w:rPr>
                <w:rFonts w:ascii="Arial" w:hAnsi="Arial"/>
                <w:b/>
                <w:bCs/>
                <w:noProof w:val="0"/>
                <w:sz w:val="28"/>
                <w:szCs w:val="28"/>
                <w:u w:val="single"/>
              </w:rPr>
            </w:pPr>
          </w:p>
        </w:tc>
      </w:tr>
    </w:tbl>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bookmarkStart w:id="1" w:name="NGCSBookmark"/>
      <w:bookmarkEnd w:id="1"/>
      <w:r>
        <w:rPr>
          <w:rFonts w:ascii="FrankRuehl" w:hAnsi="FrankRuehl" w:cs="FrankRuehl"/>
          <w:sz w:val="28"/>
          <w:szCs w:val="28"/>
          <w:rtl/>
        </w:rPr>
        <w:t xml:space="preserve">מונחת לפניי תביעת התובעת לפסיקת פיצויים בגין נזקי גוף שנגרמו לה עקב תקיפה מינית. </w:t>
      </w:r>
    </w:p>
    <w:p w:rsidR="005B04DD" w:rsidRDefault="005B04DD" w:rsidP="005B04DD">
      <w:pPr>
        <w:spacing w:line="360" w:lineRule="auto"/>
        <w:jc w:val="both"/>
        <w:rPr>
          <w:rFonts w:ascii="FrankRuehl" w:hAnsi="FrankRuehl" w:cs="FrankRuehl"/>
          <w:sz w:val="28"/>
          <w:szCs w:val="28"/>
        </w:rPr>
      </w:pPr>
    </w:p>
    <w:p w:rsidR="005B04DD" w:rsidRDefault="005B04DD" w:rsidP="005E4CE4">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הנתבע הורשע בבית המשפט המחוזי בירושלים, ביום 22.4.2012, בביצוע מעשה סדום, עבירה לפי סעיף 374 </w:t>
      </w:r>
      <w:r>
        <w:rPr>
          <w:rFonts w:ascii="Miriam" w:hAnsi="Miriam" w:cs="Miriam"/>
          <w:sz w:val="24"/>
          <w:szCs w:val="24"/>
          <w:rtl/>
        </w:rPr>
        <w:t>בחוק העונשין, התשל"ז-1977</w:t>
      </w:r>
      <w:r>
        <w:rPr>
          <w:rFonts w:ascii="FrankRuehl" w:hAnsi="FrankRuehl" w:cs="FrankRuehl"/>
          <w:sz w:val="28"/>
          <w:szCs w:val="28"/>
          <w:rtl/>
        </w:rPr>
        <w:t xml:space="preserve">, וכן במספר עבירות של מעשה מגונה לפי סעיף 348(ג1) בחוק המוזכר [תפ"ח 17397-04-11 </w:t>
      </w:r>
      <w:r>
        <w:rPr>
          <w:rFonts w:ascii="Miriam" w:hAnsi="Miriam" w:cs="Miriam"/>
          <w:sz w:val="24"/>
          <w:szCs w:val="24"/>
          <w:rtl/>
        </w:rPr>
        <w:t xml:space="preserve">מדינת ישראל נ' </w:t>
      </w:r>
      <w:r w:rsidR="005E4CE4">
        <w:rPr>
          <w:rFonts w:ascii="Miriam" w:hAnsi="Miriam" w:cs="Miriam"/>
          <w:sz w:val="24"/>
          <w:szCs w:val="24"/>
        </w:rPr>
        <w:t>xxxx</w:t>
      </w:r>
      <w:r>
        <w:rPr>
          <w:rFonts w:ascii="FrankRuehl" w:hAnsi="FrankRuehl" w:cs="FrankRuehl"/>
          <w:sz w:val="28"/>
          <w:szCs w:val="28"/>
          <w:rtl/>
        </w:rPr>
        <w:t>] (להלן: "</w:t>
      </w:r>
      <w:r>
        <w:rPr>
          <w:rFonts w:ascii="Miriam" w:hAnsi="Miriam" w:cs="Miriam"/>
          <w:sz w:val="24"/>
          <w:szCs w:val="24"/>
          <w:rtl/>
        </w:rPr>
        <w:t>הכרעת הדין</w:t>
      </w:r>
      <w:r>
        <w:rPr>
          <w:rFonts w:ascii="FrankRuehl" w:hAnsi="FrankRuehl" w:cs="FrankRuehl"/>
          <w:sz w:val="28"/>
          <w:szCs w:val="28"/>
          <w:rtl/>
        </w:rPr>
        <w:t>" - עותק שלה צורף לתיק ביום 16.8.2020). על הנתבע נגזרו 30 חודשי מאסר בפועל, מאסר מותנה וגם פיצוי לתובעת (המתלוננת שם) בסך 30,000 ₪.</w:t>
      </w:r>
    </w:p>
    <w:p w:rsidR="005B04DD" w:rsidRDefault="005B04DD" w:rsidP="005B04DD">
      <w:pPr>
        <w:pStyle w:val="ad"/>
        <w:spacing w:after="0" w:line="360" w:lineRule="auto"/>
        <w:rPr>
          <w:rFonts w:ascii="FrankRuehl" w:hAnsi="FrankRuehl" w:cs="FrankRuehl"/>
          <w:sz w:val="28"/>
          <w:szCs w:val="28"/>
        </w:rPr>
      </w:pPr>
    </w:p>
    <w:p w:rsidR="005B04DD" w:rsidRDefault="005B04DD" w:rsidP="005E4CE4">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על הכרעת הדין המרשיעה ועל גזר הדין הגיש הנתבע ערעור לבית המשפט העליון, אך זה נדחה על שני ראשיו [פסק דין מיום 17.4.2013 בע"פ 6179/12 </w:t>
      </w:r>
      <w:r w:rsidR="005E4CE4">
        <w:rPr>
          <w:rFonts w:ascii="Miriam" w:hAnsi="Miriam" w:cs="Miriam"/>
          <w:sz w:val="24"/>
          <w:szCs w:val="24"/>
        </w:rPr>
        <w:t>xxxx</w:t>
      </w:r>
      <w:r w:rsidR="005E4CE4">
        <w:rPr>
          <w:rFonts w:ascii="Miriam" w:hAnsi="Miriam" w:cs="Miriam"/>
          <w:sz w:val="24"/>
          <w:szCs w:val="24"/>
          <w:rtl/>
        </w:rPr>
        <w:t xml:space="preserve"> </w:t>
      </w:r>
      <w:r>
        <w:rPr>
          <w:rFonts w:ascii="Miriam" w:hAnsi="Miriam" w:cs="Miriam"/>
          <w:sz w:val="24"/>
          <w:szCs w:val="24"/>
          <w:rtl/>
        </w:rPr>
        <w:t>נ' מדינת ישראל</w:t>
      </w:r>
      <w:r>
        <w:rPr>
          <w:rFonts w:ascii="FrankRuehl" w:hAnsi="FrankRuehl" w:cs="FrankRuehl"/>
          <w:sz w:val="28"/>
          <w:szCs w:val="28"/>
          <w:rtl/>
        </w:rPr>
        <w:t xml:space="preserve"> (להלן: "</w:t>
      </w:r>
      <w:r>
        <w:rPr>
          <w:rFonts w:ascii="Miriam" w:hAnsi="Miriam" w:cs="Miriam"/>
          <w:sz w:val="24"/>
          <w:szCs w:val="24"/>
          <w:rtl/>
        </w:rPr>
        <w:t>פסק הדין בערעור</w:t>
      </w:r>
      <w:r>
        <w:rPr>
          <w:rFonts w:ascii="FrankRuehl" w:hAnsi="FrankRuehl" w:cs="FrankRuehl"/>
          <w:sz w:val="28"/>
          <w:szCs w:val="28"/>
          <w:rtl/>
        </w:rPr>
        <w:t>")].</w:t>
      </w:r>
    </w:p>
    <w:p w:rsidR="005B04DD" w:rsidRDefault="005B04DD" w:rsidP="005B04DD">
      <w:pPr>
        <w:pStyle w:val="ad"/>
        <w:spacing w:after="0" w:line="360" w:lineRule="auto"/>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לפי המסד העובדתי באישום שבו הורשע הנתבע (להלן: "</w:t>
      </w:r>
      <w:r>
        <w:rPr>
          <w:rFonts w:ascii="Miriam" w:hAnsi="Miriam" w:cs="Miriam"/>
          <w:sz w:val="24"/>
          <w:szCs w:val="24"/>
          <w:rtl/>
        </w:rPr>
        <w:t>האירוע</w:t>
      </w:r>
      <w:r>
        <w:rPr>
          <w:rFonts w:ascii="FrankRuehl" w:hAnsi="FrankRuehl" w:cs="FrankRuehl"/>
          <w:sz w:val="28"/>
          <w:szCs w:val="28"/>
          <w:rtl/>
        </w:rPr>
        <w:t>" או "</w:t>
      </w:r>
      <w:r>
        <w:rPr>
          <w:rFonts w:ascii="Miriam" w:hAnsi="Miriam" w:cs="Miriam"/>
          <w:sz w:val="24"/>
          <w:szCs w:val="24"/>
          <w:rtl/>
        </w:rPr>
        <w:t>האירועים</w:t>
      </w:r>
      <w:r>
        <w:rPr>
          <w:rFonts w:ascii="FrankRuehl" w:hAnsi="FrankRuehl" w:cs="FrankRuehl"/>
          <w:sz w:val="28"/>
          <w:szCs w:val="28"/>
          <w:rtl/>
        </w:rPr>
        <w:t>"), כפי שהובאו בפסק הדין בערעור (ראו גם סעיף 1 בהכרעת הדין), כאשר מובהר למען הסדר הטוב כי בציטוט שיובא להלן, "</w:t>
      </w:r>
      <w:r>
        <w:rPr>
          <w:rFonts w:ascii="Miriam" w:hAnsi="Miriam" w:cs="Miriam"/>
          <w:sz w:val="24"/>
          <w:szCs w:val="24"/>
          <w:rtl/>
        </w:rPr>
        <w:t>המערער</w:t>
      </w:r>
      <w:r>
        <w:rPr>
          <w:rFonts w:ascii="FrankRuehl" w:hAnsi="FrankRuehl" w:cs="FrankRuehl"/>
          <w:sz w:val="28"/>
          <w:szCs w:val="28"/>
          <w:rtl/>
        </w:rPr>
        <w:t>" הוא הנתבע לפניי ו"</w:t>
      </w:r>
      <w:r>
        <w:rPr>
          <w:rFonts w:ascii="Miriam" w:hAnsi="Miriam" w:cs="Miriam"/>
          <w:sz w:val="24"/>
          <w:szCs w:val="24"/>
          <w:rtl/>
        </w:rPr>
        <w:t>המתלוננת</w:t>
      </w:r>
      <w:r>
        <w:rPr>
          <w:rFonts w:ascii="FrankRuehl" w:hAnsi="FrankRuehl" w:cs="FrankRuehl"/>
          <w:sz w:val="28"/>
          <w:szCs w:val="28"/>
          <w:rtl/>
        </w:rPr>
        <w:t>" היא התובעת:</w:t>
      </w:r>
    </w:p>
    <w:p w:rsidR="005B04DD" w:rsidRDefault="005B04DD" w:rsidP="005B04DD">
      <w:pPr>
        <w:pStyle w:val="ad"/>
        <w:spacing w:after="0" w:line="360" w:lineRule="auto"/>
        <w:rPr>
          <w:rFonts w:ascii="FrankRuehl" w:hAnsi="FrankRuehl" w:cs="FrankRuehl"/>
          <w:sz w:val="20"/>
          <w:szCs w:val="20"/>
          <w:rtl/>
        </w:rPr>
      </w:pPr>
    </w:p>
    <w:p w:rsidR="005B04DD" w:rsidRDefault="005B04DD" w:rsidP="005B04DD">
      <w:pPr>
        <w:pStyle w:val="ad"/>
        <w:spacing w:after="0" w:line="240" w:lineRule="auto"/>
        <w:ind w:left="1440" w:right="567"/>
        <w:jc w:val="both"/>
        <w:rPr>
          <w:rFonts w:ascii="FrankRuehl" w:hAnsi="FrankRuehl" w:cs="FrankRuehl"/>
          <w:sz w:val="28"/>
          <w:szCs w:val="28"/>
        </w:rPr>
      </w:pPr>
      <w:r>
        <w:rPr>
          <w:rFonts w:ascii="FrankRuehl" w:hAnsi="FrankRuehl" w:cs="FrankRuehl"/>
          <w:sz w:val="28"/>
          <w:szCs w:val="28"/>
          <w:rtl/>
        </w:rPr>
        <w:t>"המערער מוכר כרב העוסק בקבלה ומייעץ ליחידים ולזוגות במגוון תחומים. עד להתרחשות האירועים אשר יפורטו להלן קיימו המתלוננת ומשפחתה יחסי חברות קרובים עם המערער ועם משפחתו שראשיתם בהיות בעלה של המתלוננת תלמידו וידידו הטוב של המערער. סמוך לתחילת חודש מרץ 2011 פנו המתלוננת ובעלה לקבלת ייעוץ אצל המערער בשאלות משפחתיות. ביום 28.3.2011 הגיעו בני הזוג לפגישת המשך בביתו של המערער במהלכה ביקש האחרון מהאיש לעזוב את החדר כדי לאפשר לרעייתו לדבר בחופשיות. במהלך השיחה החל המערער לחקור את המתלוננת בשאלות חודרניות ואינטימיות והיא מצידה השיבה לשאלות בחוסר נוחות אך בהנחה כי מדובר בשיחה טיפולית.</w:t>
      </w:r>
    </w:p>
    <w:p w:rsidR="005B04DD" w:rsidRDefault="005B04DD" w:rsidP="005B04DD">
      <w:pPr>
        <w:pStyle w:val="ad"/>
        <w:spacing w:after="0" w:line="240" w:lineRule="auto"/>
        <w:ind w:left="1440" w:right="567"/>
        <w:jc w:val="both"/>
        <w:rPr>
          <w:rFonts w:ascii="FrankRuehl" w:hAnsi="FrankRuehl" w:cs="FrankRuehl"/>
          <w:sz w:val="28"/>
          <w:szCs w:val="28"/>
          <w:rtl/>
        </w:rPr>
      </w:pPr>
      <w:r>
        <w:rPr>
          <w:rFonts w:ascii="FrankRuehl" w:hAnsi="FrankRuehl" w:cs="FrankRuehl"/>
          <w:sz w:val="28"/>
          <w:szCs w:val="28"/>
          <w:rtl/>
        </w:rPr>
        <w:t>שיחה זו הותירה את המתלוננת בטלטלה רגשית עזה ועל כן יצרה קשר עם המערער וביקשה לקיים עימו פגישת ייעוץ נוספת. המערער הזמין את המתלוננת לפגישה בביתו ביום 31.3.2011 והשניים נפגשו ביחידות במשרדו הנעול בעת שהבית היה ריק. במהלך השיחה סיפרה המתלוננת על אהבתה לריקוד ועל לימודי המשחק בהם היא משתתפת. המערער טען שעליה "להשתחרר" ושהוא יטפל בה וביקש כי תרקוד לפניו לצלילי מוזיקה תוך שהיא משחקת תפקיד של זונה המפתה גבר. בשלב זה ביקש ממנה המערער להתפשט לפניו באיטיות, החל לגעת בה ולהפשיט בעדינות את חולצתה תוך התגברות על התנגדותה. אז נצמד המערער למתלוננת מאחור כשהוא מחכך את איבר מינו בגופה ואוחז בשדיה. בשלב זה החלה המתלוננת לבכות, ביקשה מהמערער לחדול ממעשיו ואמרה כי הוא מכאיב לה. המערער ביקש להרגיע את המתלוננת שהייתה משותקת מהלם ומפחד, הוביל אותה לחדר אחר וניסה להוריד את חצאיתה אך היא החזיקה בה וסירבה לאפשר לו להמשיך במעשיו. המערער הצמיד את המתלוננת לקיר, הכניס את ידו אל מתחת לתחתוניה והחדיר את אצבעו לפי הטבעת שלה, בעוד ידו השנייה נוגעת באיבר מינה ומעסה אותו דקות ארוכות. לאחר שניסה המערער להוריד את תחתוניה התעשתה המתלוננת, צעקה עליו ועזבה את החדר על מנת להתלבש. בזמן שהמתלוננת התלבשה נגע המערער שוב בשדיה, ביקש שלא תספר לבעלה על שאירע ואיים כי אם תספר ידאג להרוס את חייה"</w:t>
      </w:r>
    </w:p>
    <w:p w:rsidR="005B04DD" w:rsidRDefault="005B04DD" w:rsidP="005B04DD">
      <w:pPr>
        <w:spacing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 xml:space="preserve">הצדדים חלוקים ביניהם הן בשאלת החבות הן בשאלת הנזק. </w:t>
      </w:r>
    </w:p>
    <w:p w:rsidR="005B04DD" w:rsidRDefault="005B04DD" w:rsidP="005B04DD">
      <w:pPr>
        <w:spacing w:line="360" w:lineRule="auto"/>
        <w:jc w:val="both"/>
        <w:rPr>
          <w:rFonts w:ascii="FrankRuehl" w:hAnsi="FrankRuehl" w:cs="FrankRuehl"/>
          <w:sz w:val="20"/>
          <w:szCs w:val="20"/>
          <w:rtl/>
        </w:rPr>
      </w:pPr>
    </w:p>
    <w:p w:rsidR="005B04DD" w:rsidRDefault="005B04DD" w:rsidP="005B04DD">
      <w:pPr>
        <w:spacing w:line="360" w:lineRule="auto"/>
        <w:jc w:val="both"/>
        <w:rPr>
          <w:rFonts w:ascii="Miriam" w:hAnsi="Miriam" w:cs="Miriam"/>
          <w:u w:val="single"/>
        </w:rPr>
      </w:pPr>
      <w:r>
        <w:rPr>
          <w:rFonts w:ascii="Miriam" w:hAnsi="Miriam" w:cs="Miriam"/>
          <w:u w:val="single"/>
          <w:rtl/>
        </w:rPr>
        <w:t>עיקר טענות הצדדים</w:t>
      </w:r>
    </w:p>
    <w:p w:rsidR="005B04DD" w:rsidRDefault="005B04DD" w:rsidP="005B04DD">
      <w:pPr>
        <w:spacing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התובעת (ילידת 1984), תוך שהיא מתבססת על ממצאי הכרעת הדין המרשיעה, טוענת בתביעתה בין השאר ובעיקר, כי עובר למעשי הנתבע, היא הייתה אישה חרדית, נשואה ואם לשני ילדים. בעקבות מעשי הנתבע, נגרמו לה נזקים קשים מאוד שאף הביאו אותה להתמוטטות נפשית ולשינוי מוחלט של מסלול חייה. לאחר האירועים, נולד לה בן נוסף מנישואיה הקודמים. לימים, היא התגרשה מבעלה וילדיה נמצאים כיום במשמורת שלו אך היא נפגשת עמם פעמיים בשבוע. התובעת עזבה את "העולם" החרדי ומנהלת כיום אורח חיים חילוני. היא נישאה מחדש ונולדה לה בת במסגרת קשר זה. התובעת סובלת ממצב נפשי קשה ולא מצליחה לתפקד בחיי היומיום בצורה מלאה. כושר השתכרותה נפגע בצורה ממשית וגם נמנעה ממנה היכולת לרכוש השכלה ולהתקדם בחיים. התובעת זקוקה לטיפול פסיכולוגי ופסיכיאטרי וסובלת מחרדות וכן מקושי עצום בשל הניתוק מילדיה וממשפחתה.</w:t>
      </w:r>
    </w:p>
    <w:p w:rsidR="005B04DD" w:rsidRDefault="005B04DD" w:rsidP="005B04DD">
      <w:pPr>
        <w:pStyle w:val="ad"/>
        <w:spacing w:after="0" w:line="360" w:lineRule="auto"/>
        <w:jc w:val="both"/>
        <w:rPr>
          <w:rFonts w:ascii="FrankRuehl" w:hAnsi="FrankRuehl" w:cs="FrankRuehl"/>
          <w:sz w:val="28"/>
          <w:szCs w:val="28"/>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הנתבע טוען מנגד, בין השאר ובעיקר, כי הכרעת הדין מהווה ראיה לכאורה בלבד כמו כל ראיה אחרת בתיק. התובעת מפריזה בתיאוריה אשר חלקם הניכר לא הוכח, ובעיקר, הם אינם מסבירים את ההפסדים שנגרמו או ייגרמו לה כתוצאה מהאירועים הנטענים על-ידה. התובעת מנסה לתלות את עזיבתה את הדת כתוצאה מאירועים אלה, אך גם לפניהם היא לא הרגישה שייכות לעולם החרדי. לאחר האירועים, עת התרחקה לחלוטין מהדת וללא קשר להם, רק אז התגרשה והתנתקה מילדיה וממשפחתה. הנתבע מכחיש את כל הטענות המיוחסות לו ובטוח בחפותו. למרות שהוא היה מוסר שיעור שבועי במשך למעלה מעשור במדרשה לבנות בסיכון, לא הוגשו נגדו תלונות. התובעת סבלה עובר לאירועים הנטענים מבעיות נפשיות, ובכל אופן, היא לא הוכיחה הפסדים כלשהם ולא צירפה קבלות בגין טיפולים רפואיים שהיא טוענת לגביהם. </w:t>
      </w:r>
    </w:p>
    <w:p w:rsidR="005B04DD" w:rsidRDefault="005B04DD" w:rsidP="005B04DD">
      <w:pPr>
        <w:spacing w:line="360" w:lineRule="auto"/>
        <w:jc w:val="both"/>
        <w:rPr>
          <w:rFonts w:ascii="FrankRuehl" w:hAnsi="FrankRuehl" w:cs="FrankRuehl"/>
          <w:sz w:val="28"/>
          <w:szCs w:val="28"/>
        </w:rPr>
      </w:pPr>
    </w:p>
    <w:p w:rsidR="005B04DD" w:rsidRDefault="005B04DD" w:rsidP="005B04DD">
      <w:pPr>
        <w:spacing w:line="360" w:lineRule="auto"/>
        <w:jc w:val="both"/>
        <w:rPr>
          <w:rFonts w:ascii="Miriam" w:hAnsi="Miriam" w:cs="Miriam"/>
          <w:u w:val="single"/>
          <w:rtl/>
        </w:rPr>
      </w:pPr>
      <w:r>
        <w:rPr>
          <w:rFonts w:ascii="Miriam" w:hAnsi="Miriam" w:cs="Miriam"/>
          <w:u w:val="single"/>
          <w:rtl/>
        </w:rPr>
        <w:t>ראיות הצדדים</w:t>
      </w:r>
    </w:p>
    <w:p w:rsidR="005B04DD" w:rsidRDefault="005B04DD" w:rsidP="005B04DD">
      <w:pPr>
        <w:spacing w:line="360" w:lineRule="auto"/>
        <w:jc w:val="both"/>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 xml:space="preserve">מטעם התובעת הוגש תצהיר עדות ראשית והיא העידה במשפט. כמו כן, הוגשו מטעמה כראיות בתיק, גם הכרעת הדין ופסק הדין בערעור. </w:t>
      </w:r>
    </w:p>
    <w:p w:rsidR="005B04DD" w:rsidRDefault="005B04DD" w:rsidP="005B04DD">
      <w:pPr>
        <w:pStyle w:val="ad"/>
        <w:spacing w:after="0" w:line="360" w:lineRule="auto"/>
        <w:jc w:val="both"/>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מטעם הנתבע הוגש תצהיר עדות ראשית והוא העיד בעצמו. </w:t>
      </w:r>
    </w:p>
    <w:p w:rsidR="005B04DD" w:rsidRDefault="005B04DD" w:rsidP="005B04DD">
      <w:pPr>
        <w:pStyle w:val="ad"/>
        <w:spacing w:after="0" w:line="360" w:lineRule="auto"/>
        <w:rPr>
          <w:rFonts w:ascii="FrankRuehl" w:hAnsi="FrankRuehl" w:cs="FrankRuehl"/>
          <w:sz w:val="28"/>
          <w:szCs w:val="28"/>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הנתבע (שהחליף ייצוג משפטי פעמיים במסגרת ההליך), ביקש במסגרת הבאת ראיותיו "לזמן כראיה" את התיק הפלילי בעניינו וכן את תיקו בשירות בתי הסוהר (שב"ס). לעניין הפרט הראשון, נקבע בדיון מיום 17.9.2020 כי עליו תחילה לבקש עיון בתיק הפלילי, ורק לאחר מכן, ככל שיחפוץ בכך, יוכל להגיש בקשה מתאימה. לעניין הפרט השני, בהחלטה מיום 22.9.2020, נקבע שהבקשה אינה מנומקת דיה, וכי ככל שתוגש בקשה מנומקת שמצביעה על הרלבנטיות לשאלות המתבררות, היא תדון בהתאם. בקשות כאלו בוששו לבוא עד מועד ההוכחות.</w:t>
      </w:r>
    </w:p>
    <w:p w:rsidR="005B04DD" w:rsidRDefault="005B04DD" w:rsidP="005B04DD">
      <w:pPr>
        <w:pStyle w:val="ad"/>
        <w:spacing w:after="0" w:line="360" w:lineRule="auto"/>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לאחר שמיעת עדות הנתבע (דיון מיום 14.3.2021), הוא ביקש שוב את גילוי התיק הפלילי ותיק שב"ס, וכן ביקש לזמן לעדות את אחות התובעת ואת הגרוש שלה. הנתבע ביקש גם כן לחקור את המומחית הרפואית מטעם בית המשפט. בקשתו לגילוי תיקים וזימון עדים, נדחתה בהחלטה מיום 16.3.2021. הבקשה לחקירת המומחית לעומת זאת, נתקבלה. המומחית הרפואית העידה בדיון נפרד (מיום 7.6.2021).</w:t>
      </w:r>
    </w:p>
    <w:p w:rsidR="005B04DD" w:rsidRDefault="005B04DD" w:rsidP="005B04DD">
      <w:pPr>
        <w:spacing w:line="360" w:lineRule="auto"/>
        <w:jc w:val="both"/>
        <w:rPr>
          <w:rFonts w:ascii="FrankRuehl" w:hAnsi="FrankRuehl" w:cs="FrankRuehl"/>
          <w:sz w:val="28"/>
          <w:szCs w:val="28"/>
          <w:rtl/>
        </w:rPr>
      </w:pPr>
    </w:p>
    <w:p w:rsidR="005B04DD" w:rsidRDefault="005B04DD" w:rsidP="005B04DD">
      <w:pPr>
        <w:spacing w:line="360" w:lineRule="auto"/>
        <w:jc w:val="both"/>
        <w:rPr>
          <w:rFonts w:ascii="Miriam" w:hAnsi="Miriam" w:cs="Miriam"/>
          <w:u w:val="single"/>
          <w:rtl/>
        </w:rPr>
      </w:pPr>
      <w:r>
        <w:rPr>
          <w:rFonts w:ascii="Miriam" w:hAnsi="Miriam" w:cs="Miriam"/>
          <w:u w:val="single"/>
          <w:rtl/>
        </w:rPr>
        <w:t>דיון והכרעה</w:t>
      </w:r>
    </w:p>
    <w:p w:rsidR="005B04DD" w:rsidRDefault="005B04DD" w:rsidP="005B04DD">
      <w:pPr>
        <w:spacing w:line="360" w:lineRule="auto"/>
        <w:jc w:val="both"/>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לאחר שעיינתי במכלול החומר הקיים בתיק, שמעתי את עדויות עדי הצדדים והתרשמתי מעדויותיהם, הגעתי לכלל דעה כי דין התביעה להתקבל באופן שיפורט להלן.</w:t>
      </w:r>
    </w:p>
    <w:p w:rsidR="005B04DD" w:rsidRDefault="005B04DD" w:rsidP="005B04DD">
      <w:pPr>
        <w:spacing w:line="360" w:lineRule="auto"/>
        <w:jc w:val="both"/>
        <w:rPr>
          <w:rFonts w:ascii="FrankRuehl" w:hAnsi="FrankRuehl" w:cs="FrankRuehl"/>
          <w:sz w:val="28"/>
          <w:szCs w:val="28"/>
          <w:rtl/>
        </w:rPr>
      </w:pPr>
    </w:p>
    <w:p w:rsidR="005B04DD" w:rsidRDefault="005B04DD" w:rsidP="005B04DD">
      <w:pPr>
        <w:spacing w:line="360" w:lineRule="auto"/>
        <w:jc w:val="both"/>
        <w:rPr>
          <w:rFonts w:ascii="Miriam" w:hAnsi="Miriam" w:cs="Miriam"/>
          <w:u w:val="single"/>
        </w:rPr>
      </w:pPr>
      <w:r>
        <w:rPr>
          <w:rFonts w:ascii="Miriam" w:hAnsi="Miriam" w:cs="Miriam"/>
          <w:u w:val="single"/>
          <w:rtl/>
        </w:rPr>
        <w:t>שאלת החבות בנזיקין</w:t>
      </w:r>
    </w:p>
    <w:p w:rsidR="005B04DD" w:rsidRDefault="005B04DD" w:rsidP="005B04DD">
      <w:pPr>
        <w:spacing w:line="360" w:lineRule="auto"/>
        <w:jc w:val="both"/>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 xml:space="preserve">לשאלת החבות בגין ביצוע עוולת התקיפה (סעיף 23 </w:t>
      </w:r>
      <w:r>
        <w:rPr>
          <w:rFonts w:ascii="Miriam" w:hAnsi="Miriam" w:cs="Miriam"/>
          <w:sz w:val="24"/>
          <w:szCs w:val="24"/>
          <w:rtl/>
        </w:rPr>
        <w:t>בפקודת הנזיקין [נוסח חדש]</w:t>
      </w:r>
      <w:r>
        <w:rPr>
          <w:rFonts w:ascii="FrankRuehl" w:hAnsi="FrankRuehl" w:cs="FrankRuehl"/>
          <w:sz w:val="28"/>
          <w:szCs w:val="28"/>
          <w:rtl/>
        </w:rPr>
        <w:t xml:space="preserve">) כלפי התובעת, היא העידה בתצהיר עדות ראשית שלה, בהרחבה, ופירטה את מעשי הנתבע מיום 31.3.2011, את הרקע לדברים, וכן פירטה לעניין התקיפה המינית (סעיפים 75-15 בתצהיר מיום 7.1.2020). התיאור שבתצהירה ביחס למעשיו, </w:t>
      </w:r>
      <w:r>
        <w:rPr>
          <w:rFonts w:ascii="Miriam" w:hAnsi="Miriam" w:cs="Miriam"/>
          <w:sz w:val="24"/>
          <w:szCs w:val="24"/>
          <w:rtl/>
        </w:rPr>
        <w:t>מעוגן</w:t>
      </w:r>
      <w:r>
        <w:rPr>
          <w:rFonts w:ascii="FrankRuehl" w:hAnsi="FrankRuehl" w:cs="FrankRuehl"/>
          <w:sz w:val="28"/>
          <w:szCs w:val="28"/>
          <w:rtl/>
        </w:rPr>
        <w:t xml:space="preserve"> בקביעות הכרעת הדין (שהתבססה על קביעות מהימנות) ובפסק הדין שבערעור. לפי סעיף 42א(א) </w:t>
      </w:r>
      <w:r>
        <w:rPr>
          <w:rFonts w:ascii="Miriam" w:hAnsi="Miriam" w:cs="Miriam"/>
          <w:sz w:val="24"/>
          <w:szCs w:val="24"/>
          <w:rtl/>
        </w:rPr>
        <w:t>בפקודת הראיות [נוסח חדש], התשל"א-1971</w:t>
      </w:r>
      <w:r>
        <w:rPr>
          <w:rFonts w:ascii="FrankRuehl" w:hAnsi="FrankRuehl" w:cs="FrankRuehl"/>
          <w:sz w:val="28"/>
          <w:szCs w:val="28"/>
          <w:rtl/>
        </w:rPr>
        <w:t xml:space="preserve"> (להלן: "</w:t>
      </w:r>
      <w:r>
        <w:rPr>
          <w:rFonts w:ascii="Miriam" w:hAnsi="Miriam" w:cs="Miriam"/>
          <w:sz w:val="24"/>
          <w:szCs w:val="24"/>
          <w:rtl/>
        </w:rPr>
        <w:t>פקודת הראיות</w:t>
      </w:r>
      <w:r>
        <w:rPr>
          <w:rFonts w:ascii="FrankRuehl" w:hAnsi="FrankRuehl" w:cs="FrankRuehl"/>
          <w:sz w:val="28"/>
          <w:szCs w:val="28"/>
          <w:rtl/>
        </w:rPr>
        <w:t>"): "</w:t>
      </w:r>
      <w:r>
        <w:rPr>
          <w:rFonts w:ascii="Miriam" w:hAnsi="Miriam" w:cs="Miriam"/>
          <w:sz w:val="24"/>
          <w:szCs w:val="24"/>
          <w:rtl/>
        </w:rPr>
        <w:t>הממצאים והמסקנות של פסק דין חלוט במשפט פלילי, המרשיע את הנאשם, יהיו קבילים במשפט אזרחי כראיה לכאורה לאמור בהם אם המורשע או חליפו או מי שאחריותו נובעת מאחריות המורשע, ובכלל זה מי שחב בחובו הפסוק, הוא בעל דין במשפט האזרחי</w:t>
      </w:r>
      <w:r>
        <w:rPr>
          <w:rFonts w:ascii="FrankRuehl" w:hAnsi="FrankRuehl" w:cs="FrankRuehl"/>
          <w:sz w:val="28"/>
          <w:szCs w:val="28"/>
          <w:rtl/>
        </w:rPr>
        <w:t>".</w:t>
      </w:r>
    </w:p>
    <w:p w:rsidR="005B04DD" w:rsidRDefault="005B04DD" w:rsidP="005B04DD">
      <w:pPr>
        <w:pStyle w:val="ad"/>
        <w:spacing w:after="0" w:line="360" w:lineRule="auto"/>
        <w:rPr>
          <w:rFonts w:ascii="FrankRuehl" w:hAnsi="FrankRuehl" w:cs="FrankRuehl"/>
          <w:sz w:val="28"/>
          <w:szCs w:val="28"/>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ובכן, ממצאי ומסקנות ההחלטות המרשיעות, הן ראיות לכאורה בלבד. ברם, לא רק שאלה נתמכו בעדות התובעת בתצהירה, אלה גם לא נסתרו באמצעות ראיות לסתור מטעם הנתבע או בחקירתה הנגדית של התובעת. ביחס לנתבע, לפי עדותו לפניי, הוא מאשר כי כל מה שמתאר בהליך זה, זה אותם דברים שמסר בהליך הפלילי וכי כבר שילם את חובו לחברה ונכלא, כל זאת כאשר הוא "</w:t>
      </w:r>
      <w:r>
        <w:rPr>
          <w:rFonts w:ascii="Miriam" w:hAnsi="Miriam" w:cs="Miriam"/>
          <w:sz w:val="24"/>
          <w:szCs w:val="24"/>
          <w:rtl/>
        </w:rPr>
        <w:t>לא מודה בתיק</w:t>
      </w:r>
      <w:r>
        <w:rPr>
          <w:rFonts w:ascii="FrankRuehl" w:hAnsi="FrankRuehl" w:cs="FrankRuehl"/>
          <w:sz w:val="28"/>
          <w:szCs w:val="28"/>
          <w:rtl/>
        </w:rPr>
        <w:t>" וגם לא נדרש "</w:t>
      </w:r>
      <w:r>
        <w:rPr>
          <w:rFonts w:ascii="Miriam" w:hAnsi="Miriam" w:cs="Miriam"/>
          <w:sz w:val="24"/>
          <w:szCs w:val="24"/>
          <w:rtl/>
        </w:rPr>
        <w:t>לטיפולים</w:t>
      </w:r>
      <w:r>
        <w:rPr>
          <w:rFonts w:ascii="FrankRuehl" w:hAnsi="FrankRuehl" w:cs="FrankRuehl"/>
          <w:sz w:val="28"/>
          <w:szCs w:val="28"/>
          <w:rtl/>
        </w:rPr>
        <w:t xml:space="preserve">" במהלך ריצוי עונשו (ע' 52-48). </w:t>
      </w:r>
    </w:p>
    <w:p w:rsidR="005B04DD" w:rsidRDefault="005B04DD" w:rsidP="005B04DD">
      <w:pPr>
        <w:pStyle w:val="ad"/>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לשיטת הנתבע, העובדה לפיה עונשו קוצַר אף שלא הודה במעשיו ולא הביע חרטה, יש בזאת ללמד על אמיתות גרסתו שמכחישה את תיאוריה של התובעת. אין בידי לקבל תזה זו. הגוף שקובע ממצאים ומסקנות ביחס לעבירות בהן הואשם הנתבע, הוא בית המשפט. ברי שהחלטות של ועדת השחרורים לקיצור תקופת מאסר, ככל שהיו, אינן חלף או המשך להליך הפלילי שכבר הסתיים.</w:t>
      </w:r>
    </w:p>
    <w:p w:rsidR="005B04DD" w:rsidRDefault="005B04DD" w:rsidP="005B04DD">
      <w:pPr>
        <w:pStyle w:val="ad"/>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לפי סעיף 42ג </w:t>
      </w:r>
      <w:r>
        <w:rPr>
          <w:rFonts w:ascii="Miriam" w:hAnsi="Miriam" w:cs="Miriam"/>
          <w:sz w:val="24"/>
          <w:szCs w:val="24"/>
          <w:rtl/>
        </w:rPr>
        <w:t>בפקודת הראיות</w:t>
      </w:r>
      <w:r>
        <w:rPr>
          <w:rFonts w:ascii="FrankRuehl" w:hAnsi="FrankRuehl" w:cs="FrankRuehl"/>
          <w:sz w:val="28"/>
          <w:szCs w:val="28"/>
          <w:rtl/>
        </w:rPr>
        <w:t>, אם הוגשה ראיה כאמור בסעיף 42א, לא יהיה רשאי המורשע להביא ראיה לסתור אותה או כל ראיה שכבר נשמעה או הוגשה במשפט הפלילי, "</w:t>
      </w:r>
      <w:r>
        <w:rPr>
          <w:rFonts w:ascii="Miriam" w:hAnsi="Miriam" w:cs="Miriam"/>
          <w:sz w:val="24"/>
          <w:szCs w:val="24"/>
          <w:rtl/>
        </w:rPr>
        <w:t>אלא ברשות בית המשפט, מטעמים שיירשמו וכדי למנוע עיוות דין</w:t>
      </w:r>
      <w:r>
        <w:rPr>
          <w:rFonts w:ascii="FrankRuehl" w:hAnsi="FrankRuehl" w:cs="FrankRuehl"/>
          <w:sz w:val="28"/>
          <w:szCs w:val="28"/>
          <w:rtl/>
        </w:rPr>
        <w:t>". כבר נפסק ביחס להיתר להביא ראיות לסתור או ראיה שכבר נשמעה או הוגשה בהליך הפלילי, כי יש לנהוג בזהירות ובקפידה רבה ("</w:t>
      </w:r>
      <w:r>
        <w:rPr>
          <w:rFonts w:ascii="Miriam" w:hAnsi="Miriam" w:cs="Miriam"/>
          <w:sz w:val="24"/>
          <w:szCs w:val="24"/>
          <w:rtl/>
        </w:rPr>
        <w:t>ביד קפוצה</w:t>
      </w:r>
      <w:r>
        <w:rPr>
          <w:rFonts w:ascii="FrankRuehl" w:hAnsi="FrankRuehl" w:cs="FrankRuehl"/>
          <w:sz w:val="28"/>
          <w:szCs w:val="28"/>
          <w:rtl/>
        </w:rPr>
        <w:t>"). הדבר מתחייב מן החובה שבדין לעשות כּן רק מטעמים שיירשמו וכדי למנוע עיוות דין, או במילים אחרות: החריג מופעל כאשר בית המשפט השתכנע שעלולה להיגרם לנתבע תוצאה "</w:t>
      </w:r>
      <w:r>
        <w:rPr>
          <w:rFonts w:ascii="Miriam" w:hAnsi="Miriam" w:cs="Miriam"/>
          <w:sz w:val="24"/>
          <w:szCs w:val="24"/>
          <w:rtl/>
        </w:rPr>
        <w:t>בלתי צודקת בעליל</w:t>
      </w:r>
      <w:r>
        <w:rPr>
          <w:rFonts w:ascii="FrankRuehl" w:hAnsi="FrankRuehl" w:cs="FrankRuehl"/>
          <w:sz w:val="28"/>
          <w:szCs w:val="28"/>
          <w:rtl/>
        </w:rPr>
        <w:t>" או כזו שמקפחת אותו "</w:t>
      </w:r>
      <w:r>
        <w:rPr>
          <w:rFonts w:ascii="Miriam" w:hAnsi="Miriam" w:cs="Miriam"/>
          <w:sz w:val="24"/>
          <w:szCs w:val="24"/>
          <w:rtl/>
        </w:rPr>
        <w:t>קיפוח קשה</w:t>
      </w:r>
      <w:r>
        <w:rPr>
          <w:rFonts w:ascii="FrankRuehl" w:hAnsi="FrankRuehl" w:cs="FrankRuehl"/>
          <w:sz w:val="28"/>
          <w:szCs w:val="28"/>
          <w:rtl/>
        </w:rPr>
        <w:t xml:space="preserve">" [רע"א 9759/16 </w:t>
      </w:r>
      <w:r>
        <w:rPr>
          <w:rFonts w:ascii="Miriam" w:hAnsi="Miriam" w:cs="Miriam"/>
          <w:sz w:val="24"/>
          <w:szCs w:val="24"/>
          <w:rtl/>
        </w:rPr>
        <w:t>מג'די אב מור נ' רשות המיסים</w:t>
      </w:r>
      <w:r>
        <w:rPr>
          <w:rFonts w:ascii="FrankRuehl" w:hAnsi="FrankRuehl" w:cs="FrankRuehl"/>
          <w:sz w:val="28"/>
          <w:szCs w:val="28"/>
          <w:rtl/>
        </w:rPr>
        <w:t xml:space="preserve"> (7.4.2017); בע"א 6267/14 </w:t>
      </w:r>
      <w:r>
        <w:rPr>
          <w:rFonts w:ascii="Miriam" w:hAnsi="Miriam" w:cs="Miriam"/>
          <w:sz w:val="24"/>
          <w:szCs w:val="24"/>
          <w:rtl/>
        </w:rPr>
        <w:t>עודד גולד נ' מנהל מע"מ תל-אביב</w:t>
      </w:r>
      <w:r>
        <w:rPr>
          <w:rFonts w:ascii="FrankRuehl" w:hAnsi="FrankRuehl" w:cs="FrankRuehl"/>
          <w:sz w:val="28"/>
          <w:szCs w:val="28"/>
          <w:rtl/>
        </w:rPr>
        <w:t xml:space="preserve"> (26.3.2017)].</w:t>
      </w:r>
    </w:p>
    <w:p w:rsidR="005B04DD" w:rsidRDefault="005B04DD" w:rsidP="005B04DD">
      <w:pPr>
        <w:pStyle w:val="ad"/>
        <w:spacing w:after="0" w:line="360" w:lineRule="auto"/>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אמנם הנתבע הגיש בשעתו בקשות לזימון התיק הפלילי (פעם לפני הגשת הראיות ופעם לאחר שמיעת עדות התובעת ועדותו), אך כאמור, בית המשפט כבר נדרש לבקשות אלו. בעיקר, ביחס לזו שהוגשה במעמד הגשת ראיותיו, נתבקש שם בית המשפט בזו הלשון: "</w:t>
      </w:r>
      <w:r>
        <w:rPr>
          <w:rFonts w:ascii="Miriam" w:hAnsi="Miriam" w:cs="Miriam"/>
          <w:sz w:val="24"/>
          <w:szCs w:val="24"/>
          <w:rtl/>
        </w:rPr>
        <w:t>הנתבע יבקש לזמן כראיה, את התיק הפלילי המלא, לרבות פרוטוקול הדיון, מבית המשפט המחוזי בתפ"ח 17397-04-11</w:t>
      </w:r>
      <w:r>
        <w:rPr>
          <w:rFonts w:ascii="FrankRuehl" w:hAnsi="FrankRuehl" w:cs="FrankRuehl"/>
          <w:sz w:val="28"/>
          <w:szCs w:val="28"/>
          <w:rtl/>
        </w:rPr>
        <w:t xml:space="preserve">". הבקשה הוגשה ביום 1.9.2020. ביחס אליה הוחלט בדיון קדם-משפט מיום 17.9.2020, כאמור לעיל, כי תחילה עליו לבקש עיון בתיק הפלילי ורק לאחר מכן יוכל להגיש בקשה מתאימה לבית משפט זה. אעיר ואתהה בהקשר זה, כי לא ברור די-הצורך מדוע הנתבע נדרש לבקשה לזמן תיק בית משפט שעה שהוא בעל-דין בהליך האמור וממילא נתונה לו זכות העיון בו. הוא יכל לעשות כן ולבקש להגיש ראיות לסתור ככל שחפץ בכך. ואולם, בקשה כזו בוששה לבוא. </w:t>
      </w:r>
    </w:p>
    <w:p w:rsidR="005B04DD" w:rsidRDefault="005B04DD" w:rsidP="005B04DD">
      <w:pPr>
        <w:spacing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בכל אופן, דיון ההוכחות התקיים ביום 14.3.2021 כאשר קדמו לו הודעות לשינוי ייצוג כמעט ברגע האחרון. בקשה נוספת לעניין התיק הפלילי אשר הועלתה לאחר שכבר נשמעה עדות התובעת, אף היא נדחתה ביום 16.3.202, בעיקר נוכח עיתויה.</w:t>
      </w:r>
    </w:p>
    <w:p w:rsidR="005B04DD" w:rsidRDefault="005B04DD" w:rsidP="005B04DD">
      <w:pPr>
        <w:pStyle w:val="ad"/>
        <w:spacing w:after="0"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במצב דברים זה, לא מצאתי להעדיף את הכחשתו הכללית של הנתבע לקביעות וממצאי הכרעת הדין המרשיעה, על-פני עדות התובעת בתצהירה אשר רכיביה המרכזיים מעוגנים בקביעות ובממצאי הכרעת הדין. על כן, נקבע בזאת, כי האירועים המצוטטים לעיל בפסק הדין בערעור, בהם הורשע הנתבע, התרחשו ומקימים את חבותו בנזיקין בגין ביצוע עוולת התקיפה. </w:t>
      </w:r>
    </w:p>
    <w:p w:rsidR="005B04DD" w:rsidRDefault="005B04DD" w:rsidP="005B04DD">
      <w:pPr>
        <w:pStyle w:val="ad"/>
        <w:rPr>
          <w:rFonts w:ascii="FrankRuehl" w:hAnsi="FrankRuehl" w:cs="FrankRuehl"/>
          <w:sz w:val="20"/>
          <w:szCs w:val="20"/>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אציין עוד, כי גם לא הוכחה לפניי, בין בראיות עצמאיות בין בחקירתה הנגדית, כל טענה לאשם תורם כלשהו מצד התובעת להתרחשות האירועים. ביחס לטענה אחרונה זו, אעיר כי זו אינה מצריכה רשות להבאת ראיות לסתור, מאחר וממילא האחריות בפלילים אינה מתייחסת לאשמו התורם של הקורבן [אפנה לדבריי שכתבתי בת.א. (שלום - י-ם) 13637-02-19‏ </w:t>
      </w:r>
      <w:r>
        <w:rPr>
          <w:rFonts w:ascii="Miriam" w:hAnsi="Miriam" w:cs="Miriam"/>
          <w:sz w:val="24"/>
          <w:szCs w:val="24"/>
          <w:rtl/>
        </w:rPr>
        <w:t>פלוני נ' ארנסט עמוס</w:t>
      </w:r>
      <w:r>
        <w:rPr>
          <w:rFonts w:ascii="FrankRuehl" w:hAnsi="FrankRuehl" w:cs="FrankRuehl"/>
          <w:sz w:val="28"/>
          <w:szCs w:val="28"/>
          <w:rtl/>
        </w:rPr>
        <w:t>, פסקה 4 (3.4.2022)]. בכל אופן, ניסיון הנתבע להיבנות על כך שהתובעת סיפרה לו במפגשים עמו על אורחות חייה שהיא רוקדת או צופה בסרטים, הרי בהכרעת הדין, הגיע בית המשפט המחוזי למסקנה לפיה הנתבע לא יכול היה שלא להיות מודע לכך שהמעשים שנעשו על-ידו נעשים בניגוד לרצונה ובניגוד להסכמתה (סעיף 33 בהכרעת הדין).</w:t>
      </w:r>
    </w:p>
    <w:p w:rsidR="005B04DD" w:rsidRDefault="005B04DD" w:rsidP="005B04DD">
      <w:pPr>
        <w:pStyle w:val="ad"/>
        <w:spacing w:after="0" w:line="360" w:lineRule="auto"/>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מכאן לשאלת הנזק ואומדנו.  </w:t>
      </w:r>
    </w:p>
    <w:p w:rsidR="005B04DD" w:rsidRDefault="005B04DD" w:rsidP="005B04DD">
      <w:pPr>
        <w:spacing w:line="360" w:lineRule="auto"/>
        <w:jc w:val="both"/>
        <w:rPr>
          <w:rFonts w:ascii="FrankRuehl" w:hAnsi="FrankRuehl" w:cs="FrankRuehl"/>
          <w:sz w:val="20"/>
          <w:szCs w:val="20"/>
          <w:rtl/>
        </w:rPr>
      </w:pPr>
    </w:p>
    <w:p w:rsidR="005B04DD" w:rsidRDefault="005B04DD" w:rsidP="005B04DD">
      <w:pPr>
        <w:spacing w:line="360" w:lineRule="auto"/>
        <w:jc w:val="both"/>
        <w:rPr>
          <w:rFonts w:ascii="Miriam" w:hAnsi="Miriam" w:cs="Miriam"/>
          <w:u w:val="single"/>
        </w:rPr>
      </w:pPr>
      <w:r>
        <w:rPr>
          <w:rFonts w:ascii="Miriam" w:hAnsi="Miriam" w:cs="Miriam"/>
          <w:u w:val="single"/>
          <w:rtl/>
        </w:rPr>
        <w:t>הנכות הרפואית</w:t>
      </w:r>
    </w:p>
    <w:p w:rsidR="005B04DD" w:rsidRDefault="005B04DD" w:rsidP="005B04DD">
      <w:pPr>
        <w:spacing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 xml:space="preserve">מטעם התובעת, צורפה לתביעתה חוות דעת רפואית של ד"ר י' חלבן  מיום 21.2.2018. המומחה מצא, כי התובעת סובלת מהפרעה פוסט-טראומטית, מדיכאון, מחרדה ומהפרעת אישיות עם קווים היסטריוניים. המומחה העריך את נכותה הרפואית הצמיתה עקב האירועים בשיעור 30% לפי סעיף 34(ב)(4) בתוספת </w:t>
      </w:r>
      <w:r>
        <w:rPr>
          <w:rFonts w:ascii="Miriam" w:hAnsi="Miriam" w:cs="Miriam"/>
          <w:sz w:val="24"/>
          <w:szCs w:val="24"/>
          <w:rtl/>
        </w:rPr>
        <w:t>שבתקנות הביטוח הלאומי (קביעת דרגת נכות לנפגעי עבודה), התשט"ז-1956</w:t>
      </w:r>
      <w:r>
        <w:rPr>
          <w:rFonts w:ascii="FrankRuehl" w:hAnsi="FrankRuehl" w:cs="FrankRuehl"/>
          <w:sz w:val="28"/>
          <w:szCs w:val="28"/>
          <w:rtl/>
        </w:rPr>
        <w:t xml:space="preserve"> (להלן: "</w:t>
      </w:r>
      <w:r>
        <w:rPr>
          <w:rFonts w:ascii="Miriam" w:hAnsi="Miriam" w:cs="Miriam"/>
          <w:sz w:val="24"/>
          <w:szCs w:val="24"/>
          <w:rtl/>
        </w:rPr>
        <w:t>תקנות המל"ל</w:t>
      </w:r>
      <w:r>
        <w:rPr>
          <w:rFonts w:ascii="FrankRuehl" w:hAnsi="FrankRuehl" w:cs="FrankRuehl"/>
          <w:sz w:val="28"/>
          <w:szCs w:val="28"/>
          <w:rtl/>
        </w:rPr>
        <w:t>"). המומחה סבור גם שהתובעת זקוקה להמשך טיפול פסיכולוגי רציף ואינטנסיבי, בתדירות של פעם בשבוע למשך כשנתיים. עלות הטיפול כ-500 ₪ פר פגישה. נוסף לכך, היא נזקקת למעקב פסיכיאטרי פעם בחודשיים על מנת לשקול טיפול תרופתי בעת הצורך. המומחה העריך כי בתקופה ממועד האירוע מיום 31.3.2011 ועד יום 26.7.2012 (מועד שחרורה מהאשפוז), סבלה התובעת מנכות רפואית זמנית בשיעור 50% לפי הסעיף המוזכר.</w:t>
      </w:r>
    </w:p>
    <w:p w:rsidR="005B04DD" w:rsidRDefault="005B04DD" w:rsidP="005B04DD">
      <w:pPr>
        <w:pStyle w:val="ad"/>
        <w:spacing w:after="0" w:line="360" w:lineRule="auto"/>
        <w:jc w:val="both"/>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הנתבע מצדו, הגיש חוות דעת רפואית נגדית של ד"ר נ' קרת מיום 13.11.2018, אשר מצאה כי קיימים אצל התובעת תסמינים פוסט-טראומטיים וקווי אישיות היסטריוניים. המומחית העריכה, כי נכותה הצמיתה של התובעת היא בשיעור 15% בממוצע בין סעיפים 34(ב)(2) ו-34(ב)(3) </w:t>
      </w:r>
      <w:r>
        <w:rPr>
          <w:rFonts w:ascii="Miriam" w:hAnsi="Miriam" w:cs="Miriam"/>
          <w:sz w:val="24"/>
          <w:szCs w:val="24"/>
          <w:rtl/>
        </w:rPr>
        <w:t>בתקנות המל"ל</w:t>
      </w:r>
      <w:r>
        <w:rPr>
          <w:rFonts w:ascii="FrankRuehl" w:hAnsi="FrankRuehl" w:cs="FrankRuehl"/>
          <w:sz w:val="28"/>
          <w:szCs w:val="28"/>
          <w:rtl/>
        </w:rPr>
        <w:t xml:space="preserve">. המומחית העריכה את נכותה הזמנית בשיעור 30% למשך תקופה של שנה. </w:t>
      </w:r>
    </w:p>
    <w:p w:rsidR="005B04DD" w:rsidRDefault="005B04DD" w:rsidP="005B04DD">
      <w:pPr>
        <w:pStyle w:val="ad"/>
        <w:spacing w:after="0" w:line="360" w:lineRule="auto"/>
        <w:rPr>
          <w:rFonts w:ascii="FrankRuehl" w:hAnsi="FrankRuehl" w:cs="FrankRuehl"/>
          <w:sz w:val="28"/>
          <w:szCs w:val="28"/>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נוכח הפער בין חוות הדעת, מונתה ביום 2.1.2019 מומחית רפואית מטעם בית המשפט, ד"ר ר' דורסט (להלן: "</w:t>
      </w:r>
      <w:r>
        <w:rPr>
          <w:rFonts w:ascii="Miriam" w:hAnsi="Miriam" w:cs="Miriam"/>
          <w:sz w:val="24"/>
          <w:szCs w:val="24"/>
          <w:rtl/>
        </w:rPr>
        <w:t>המומחית</w:t>
      </w:r>
      <w:r>
        <w:rPr>
          <w:rFonts w:ascii="FrankRuehl" w:hAnsi="FrankRuehl" w:cs="FrankRuehl"/>
          <w:sz w:val="28"/>
          <w:szCs w:val="28"/>
          <w:rtl/>
        </w:rPr>
        <w:t xml:space="preserve">"). </w:t>
      </w:r>
    </w:p>
    <w:p w:rsidR="005B04DD" w:rsidRDefault="005B04DD" w:rsidP="005B04DD">
      <w:pPr>
        <w:pStyle w:val="ad"/>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כעולה מחוות דעתה הרפואית, המומחית בדקה את התובעת ביום 21.2.2019 ונתנה את חוות דעתה ביום 10.3.2019. לאחר בדיקתה, מצאה המומחית, כי עקב האירועים מושא התביעה, נותרו אצל התובעת סימפטומים של הפרעה נפשית פוסט-טראומטית והפרעות אכילה קשות, פגיעה בערך העצמי ובביטחון, בשל ריסוק כל מערכות חייה מבחינת אמונה ואורחות חיים, פירוק חיי משפחה וריחוק מילדיה אותם מגדלת היום אישה אחרת. המומחית העריכה את נכותה הצמיתה בשיעור 30% לפי סעיף 34(ב)(4) </w:t>
      </w:r>
      <w:r>
        <w:rPr>
          <w:rFonts w:ascii="Miriam" w:hAnsi="Miriam" w:cs="Miriam"/>
          <w:sz w:val="24"/>
          <w:szCs w:val="24"/>
          <w:rtl/>
        </w:rPr>
        <w:t>בתקנות המל"ל</w:t>
      </w:r>
      <w:r>
        <w:rPr>
          <w:rFonts w:ascii="FrankRuehl" w:hAnsi="FrankRuehl" w:cs="FrankRuehl"/>
          <w:sz w:val="28"/>
          <w:szCs w:val="28"/>
          <w:rtl/>
        </w:rPr>
        <w:t>. המומחית העריכה גם כן, את הנכות הזמנית בשיעור 40% למשך השנה הראשונה אחר האירועים, במהלכם גם התקיים ההליך המשפטי (הפלילי) וכן למשך השנה שלאחר גירושיה.</w:t>
      </w:r>
    </w:p>
    <w:p w:rsidR="005B04DD" w:rsidRDefault="005B04DD" w:rsidP="005B04DD">
      <w:pPr>
        <w:pStyle w:val="ad"/>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כאמור, המומחית העידה לפניי זאת לבקשת הנתבע. להתרשמותי מעדותה, לא היה בחקירתה דבר, וממילא לא הונח לפני בית המשפט חומר רפואי, שמצדיק סטייה ממסקנותיה. בכל אופן, גם לשיטת הנתבע, נראה כי אינו חולק על שיעור הנכות הרפואית, אלא שלדידו, הנכות שנקבעה בעניינה חסרת משמעות תפקודית (סעיף 4 בכתב סיכומי הנתבע). </w:t>
      </w:r>
    </w:p>
    <w:p w:rsidR="005B04DD" w:rsidRDefault="005B04DD" w:rsidP="005B04DD">
      <w:pPr>
        <w:pStyle w:val="ad"/>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גם ניסיון הנתבע להטיל ספק בהתרשמות המומחית מהתובעת בבדיקתה (ע' 19-18), לא התרשמתי כי יש לניסיון זה על מה להישען. המומחית תיארה כי התבססה על חומר רפואי שהונח לפניה ("</w:t>
      </w:r>
      <w:r>
        <w:rPr>
          <w:rFonts w:ascii="Miriam" w:hAnsi="Miriam" w:cs="Miriam"/>
          <w:sz w:val="24"/>
          <w:szCs w:val="24"/>
          <w:rtl/>
        </w:rPr>
        <w:t>די הרבה חומר</w:t>
      </w:r>
      <w:r>
        <w:rPr>
          <w:rFonts w:ascii="FrankRuehl" w:hAnsi="FrankRuehl" w:cs="FrankRuehl"/>
          <w:sz w:val="28"/>
          <w:szCs w:val="28"/>
          <w:rtl/>
        </w:rPr>
        <w:t>" - ש' 2-1, ע' 19) וגם על מה ששמעה מפי התובעת. המומחית פירטה בחוות דעתה איזה חומר עמד לעיונה. בכל אופן, להתרשמותה, "</w:t>
      </w:r>
      <w:r>
        <w:rPr>
          <w:rFonts w:ascii="Miriam" w:hAnsi="Miriam" w:cs="Miriam"/>
          <w:sz w:val="24"/>
          <w:szCs w:val="24"/>
          <w:rtl/>
        </w:rPr>
        <w:t>התיאור של [...התובעת...] בזמן הבדיקה היה מאוד אותנטי</w:t>
      </w:r>
      <w:r>
        <w:rPr>
          <w:rFonts w:ascii="FrankRuehl" w:hAnsi="FrankRuehl" w:cs="FrankRuehl"/>
          <w:sz w:val="28"/>
          <w:szCs w:val="28"/>
          <w:rtl/>
        </w:rPr>
        <w:t>" (ש' 4, ע' 22).</w:t>
      </w:r>
    </w:p>
    <w:p w:rsidR="005B04DD" w:rsidRDefault="005B04DD" w:rsidP="005B04DD">
      <w:pPr>
        <w:pStyle w:val="ad"/>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על-יסוד זאת, נקבע כי הנכות הרפואית של התובעת עקב האירועים היא כקביעת המומחית.</w:t>
      </w:r>
    </w:p>
    <w:p w:rsidR="005B04DD" w:rsidRDefault="005B04DD" w:rsidP="005B04DD">
      <w:pPr>
        <w:spacing w:line="360" w:lineRule="auto"/>
        <w:jc w:val="both"/>
        <w:rPr>
          <w:rFonts w:ascii="FrankRuehl" w:hAnsi="FrankRuehl" w:cs="FrankRuehl"/>
          <w:sz w:val="28"/>
          <w:szCs w:val="28"/>
          <w:rtl/>
        </w:rPr>
      </w:pPr>
    </w:p>
    <w:p w:rsidR="005B04DD" w:rsidRDefault="005B04DD" w:rsidP="005B04DD">
      <w:pPr>
        <w:spacing w:line="360" w:lineRule="auto"/>
        <w:jc w:val="both"/>
        <w:rPr>
          <w:rFonts w:ascii="Miriam" w:hAnsi="Miriam" w:cs="Miriam"/>
          <w:u w:val="single"/>
          <w:rtl/>
        </w:rPr>
      </w:pPr>
      <w:r>
        <w:rPr>
          <w:rFonts w:ascii="Miriam" w:hAnsi="Miriam" w:cs="Miriam"/>
          <w:u w:val="single"/>
          <w:rtl/>
        </w:rPr>
        <w:t>השפעת האירועים על מהלך חיי התובעת</w:t>
      </w:r>
    </w:p>
    <w:p w:rsidR="005B04DD" w:rsidRDefault="005B04DD" w:rsidP="005B04DD">
      <w:pPr>
        <w:pStyle w:val="ad"/>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התובעת טוענת בסיכומיה, כי הנתבע במעשיו, החריב את חייה וגרם לה נזקים קשים מאוד שהביאו אותה להתמוטטות נפשית אשר סוחבת עד היום, וגם לסבל משמעותי ביותר. היא מפרטת בתצהירה (והדברים גם נתמכים בחוות הדעת של המומחית), בין היתר, כי לאחר הרשעת הנתבע, ממדי הנזק הלכו והתעצמו. היא החלה לסבול מהפרעת אכילה, דבר שהביא אותה לטיפול פסיכיאטרי שבועי (מספר פעמים בשבוע)</w:t>
      </w:r>
      <w:r>
        <w:rPr>
          <w:rFonts w:ascii="FrankRuehl" w:hAnsi="FrankRuehl" w:cs="FrankRuehl"/>
          <w:sz w:val="28"/>
          <w:szCs w:val="28"/>
        </w:rPr>
        <w:t xml:space="preserve"> </w:t>
      </w:r>
      <w:r>
        <w:rPr>
          <w:rFonts w:ascii="FrankRuehl" w:hAnsi="FrankRuehl" w:cs="FrankRuehl"/>
          <w:sz w:val="28"/>
          <w:szCs w:val="28"/>
          <w:rtl/>
        </w:rPr>
        <w:t>במרפאה פסיכיאטרית. לצד זאת, היא עברה גם טיפולים פרטיים, אך התחושה התמידית שלה הייתה שהיא "</w:t>
      </w:r>
      <w:r>
        <w:rPr>
          <w:rFonts w:ascii="Miriam" w:hAnsi="Miriam" w:cs="Miriam"/>
          <w:sz w:val="24"/>
          <w:szCs w:val="24"/>
          <w:rtl/>
        </w:rPr>
        <w:t>נגעלת</w:t>
      </w:r>
      <w:r>
        <w:rPr>
          <w:rFonts w:ascii="FrankRuehl" w:hAnsi="FrankRuehl" w:cs="FrankRuehl"/>
          <w:sz w:val="28"/>
          <w:szCs w:val="28"/>
          <w:rtl/>
        </w:rPr>
        <w:t>" מעצמה והייתה "</w:t>
      </w:r>
      <w:r>
        <w:rPr>
          <w:rFonts w:ascii="Miriam" w:hAnsi="Miriam" w:cs="Miriam"/>
          <w:sz w:val="24"/>
          <w:szCs w:val="24"/>
          <w:rtl/>
        </w:rPr>
        <w:t>מפחדת מהגוף</w:t>
      </w:r>
      <w:r>
        <w:rPr>
          <w:rFonts w:ascii="FrankRuehl" w:hAnsi="FrankRuehl" w:cs="FrankRuehl"/>
          <w:sz w:val="28"/>
          <w:szCs w:val="28"/>
          <w:rtl/>
        </w:rPr>
        <w:t>" שלה, פיתחה חרדה מכל מגע מהגב עד כדי כך שבני משפחתה ידעו כי מאז "</w:t>
      </w:r>
      <w:r>
        <w:rPr>
          <w:rFonts w:ascii="Miriam" w:hAnsi="Miriam" w:cs="Miriam"/>
          <w:sz w:val="24"/>
          <w:szCs w:val="24"/>
          <w:rtl/>
        </w:rPr>
        <w:t>לא באים אלי מהגב</w:t>
      </w:r>
      <w:r>
        <w:rPr>
          <w:rFonts w:ascii="FrankRuehl" w:hAnsi="FrankRuehl" w:cs="FrankRuehl"/>
          <w:sz w:val="28"/>
          <w:szCs w:val="28"/>
          <w:rtl/>
        </w:rPr>
        <w:t>". בהמשך, נוכח מצבה היא עזבה את הריקוד חרף חיבתה לזה, היא פיתחה דיכאונות שהביאו לאשפוז יום פסיכיאטרי למשך שלושה חודשים רצופים.</w:t>
      </w:r>
    </w:p>
    <w:p w:rsidR="005B04DD" w:rsidRDefault="005B04DD" w:rsidP="005B04DD">
      <w:pPr>
        <w:pStyle w:val="ad"/>
        <w:spacing w:after="0" w:line="360" w:lineRule="auto"/>
        <w:jc w:val="both"/>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עוד לדבריה, בעלה לשעבר תמך בה לאורך כל הדרך, והוא נהיה גם האמא בבית. הדבר היה כרוך גם בהוצאות כספיות גבוהות. היא עצמה, על רקע החוויה שעברה, אירעה אצלה "</w:t>
      </w:r>
      <w:r>
        <w:rPr>
          <w:rFonts w:ascii="Miriam" w:hAnsi="Miriam" w:cs="Miriam"/>
          <w:sz w:val="24"/>
          <w:szCs w:val="24"/>
          <w:rtl/>
        </w:rPr>
        <w:t>נסיגה אמונית</w:t>
      </w:r>
      <w:r>
        <w:rPr>
          <w:rFonts w:ascii="FrankRuehl" w:hAnsi="FrankRuehl" w:cs="FrankRuehl"/>
          <w:sz w:val="28"/>
          <w:szCs w:val="28"/>
          <w:rtl/>
        </w:rPr>
        <w:t>" והתרחקות מהדת. לדבריה, "</w:t>
      </w:r>
      <w:r>
        <w:rPr>
          <w:rFonts w:ascii="Miriam" w:hAnsi="Miriam" w:cs="Miriam"/>
          <w:sz w:val="24"/>
          <w:szCs w:val="24"/>
          <w:rtl/>
        </w:rPr>
        <w:t>איבדתי אמון טוטאלי בבני אדם בכל ובחברה החרדית בפרט</w:t>
      </w:r>
      <w:r>
        <w:rPr>
          <w:rFonts w:ascii="FrankRuehl" w:hAnsi="FrankRuehl" w:cs="FrankRuehl"/>
          <w:sz w:val="28"/>
          <w:szCs w:val="28"/>
          <w:rtl/>
        </w:rPr>
        <w:t>". המשבר האמור הביא לקשיים בתפקוד בבית ולמשבר זוגיות לצד ירידה דרסטית במשקלה (הגיעה למשקל של 26 קילו). בעלה הביע מורת רוח נוכח התרחקותה מהדת. עקב זאת וחרף ניסיונות התובעת להישאר בחברה החרדית, לא היו לה כוחות לכך ולכן נאלצו להתגרש וזה נעשה בצורה מכובדת. התובעת כמעט התנתקה ממשפחתה שהיחסים עמה עברה טלטלה קשה. כך למשל, היא לא בקשר עם אחותה שרואה בה (בתובעת) כ-"</w:t>
      </w:r>
      <w:r>
        <w:rPr>
          <w:rFonts w:ascii="Miriam" w:hAnsi="Miriam" w:cs="Miriam"/>
          <w:sz w:val="24"/>
          <w:szCs w:val="24"/>
          <w:rtl/>
        </w:rPr>
        <w:t>משוגעת</w:t>
      </w:r>
      <w:r>
        <w:rPr>
          <w:rFonts w:ascii="FrankRuehl" w:hAnsi="FrankRuehl" w:cs="FrankRuehl"/>
          <w:sz w:val="28"/>
          <w:szCs w:val="28"/>
          <w:rtl/>
        </w:rPr>
        <w:t>" והיא (האחות) גם "</w:t>
      </w:r>
      <w:r>
        <w:rPr>
          <w:rFonts w:ascii="Miriam" w:hAnsi="Miriam" w:cs="Miriam"/>
          <w:sz w:val="24"/>
          <w:szCs w:val="24"/>
          <w:rtl/>
        </w:rPr>
        <w:t>מלכלכת</w:t>
      </w:r>
      <w:r>
        <w:rPr>
          <w:rFonts w:ascii="FrankRuehl" w:hAnsi="FrankRuehl" w:cs="FrankRuehl"/>
          <w:sz w:val="28"/>
          <w:szCs w:val="28"/>
          <w:rtl/>
        </w:rPr>
        <w:t>" עליה (ש' 21-20, ע' 42). היא ממעיטה קשר עם הוריה בשל אורח חייה כיום (ע' 41-40). היא רואה את ילדיה שנשארו עם אביהם בהסדר ראייה קבוע, אך הם רואים בה כ"</w:t>
      </w:r>
      <w:r>
        <w:rPr>
          <w:rFonts w:ascii="Miriam" w:hAnsi="Miriam" w:cs="Miriam"/>
          <w:sz w:val="24"/>
          <w:szCs w:val="24"/>
          <w:rtl/>
        </w:rPr>
        <w:t>אחרת</w:t>
      </w:r>
      <w:r>
        <w:rPr>
          <w:rFonts w:ascii="FrankRuehl" w:hAnsi="FrankRuehl" w:cs="FrankRuehl"/>
          <w:sz w:val="28"/>
          <w:szCs w:val="28"/>
          <w:rtl/>
        </w:rPr>
        <w:t>". התובעת אמנם חיה בזוגיות חדשה ונולדה לה ילדה, אך עודנה שרויה במצב קשה, אינה מצליחה לשקם את עצמה, לרבות כלכלית, והיא "</w:t>
      </w:r>
      <w:r>
        <w:rPr>
          <w:rFonts w:ascii="Miriam" w:hAnsi="Miriam" w:cs="Miriam"/>
          <w:sz w:val="24"/>
          <w:szCs w:val="24"/>
          <w:rtl/>
        </w:rPr>
        <w:t>בין עולמות מנותקת מכאן ומכאן</w:t>
      </w:r>
      <w:r>
        <w:rPr>
          <w:rFonts w:ascii="FrankRuehl" w:hAnsi="FrankRuehl" w:cs="FrankRuehl"/>
          <w:sz w:val="28"/>
          <w:szCs w:val="28"/>
          <w:rtl/>
        </w:rPr>
        <w:t>". לדידה, הנתבע החריב את עברה ואת עתידה.</w:t>
      </w:r>
    </w:p>
    <w:p w:rsidR="005B04DD" w:rsidRDefault="005B04DD" w:rsidP="005B04DD">
      <w:pPr>
        <w:pStyle w:val="ad"/>
        <w:spacing w:after="0" w:line="360" w:lineRule="auto"/>
        <w:jc w:val="both"/>
        <w:rPr>
          <w:rFonts w:ascii="FrankRuehl" w:hAnsi="FrankRuehl" w:cs="FrankRuehl"/>
          <w:sz w:val="28"/>
          <w:szCs w:val="28"/>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מנגד, טוען הנתבע בסיכומיו (סעיף ד'), כי התובעת מפריזה ומאדירה את נזקיה הנטענים. היא תולה את עזיבתה מהדת כתוצאה מהאירוע זאת למרות שכתב תביעתה וסיכומיה, מראים כי עוד קודם לאירוע, היא לא הרגישה שייכות לעולם החרדי ועצם עזיבתה עולם זה לאחר האירוע, "</w:t>
      </w:r>
      <w:r>
        <w:rPr>
          <w:rFonts w:ascii="Miriam" w:hAnsi="Miriam" w:cs="Miriam"/>
          <w:sz w:val="24"/>
          <w:szCs w:val="24"/>
          <w:rtl/>
        </w:rPr>
        <w:t>הרי שזה מה שגרם לגירושיה, לניתוק מילדיה ומשפחתה ולשאר האירועים אליהם היא טוענת</w:t>
      </w:r>
      <w:r>
        <w:rPr>
          <w:rFonts w:ascii="FrankRuehl" w:hAnsi="FrankRuehl" w:cs="FrankRuehl"/>
          <w:sz w:val="28"/>
          <w:szCs w:val="28"/>
          <w:rtl/>
        </w:rPr>
        <w:t>". הנתבע טוען גם, כי עוד קודם לאירוע, היא לא ניהלה אורח חיים חרדי והייתה מרוחקת מהדת, כך למשל: היא הייתה רוקדת, מונעת היריון, צופה בסרטים וכו'. מכאן, אין לקשור בין המשבר הרגשי אליו היא טוענת ואשר התבטא בריחוק מהדת וממשפחתה, לבין האירוע מושא התביעה. מדובר בתהליך קודם.</w:t>
      </w:r>
    </w:p>
    <w:p w:rsidR="005B04DD" w:rsidRDefault="005B04DD" w:rsidP="005B04DD">
      <w:pPr>
        <w:pStyle w:val="ad"/>
        <w:rPr>
          <w:rFonts w:ascii="FrankRuehl" w:hAnsi="FrankRuehl" w:cs="FrankRuehl"/>
          <w:sz w:val="28"/>
          <w:szCs w:val="28"/>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לאחר שהתרשמתי מהעדויות של הצדדים וגם מעדות המומחית, לא התרשמתי כי קיימת הפרזה או האדרה בתיאורי התובעת. גם אם עובר לאירועים התובעת לא הייתה מקבלת או מיישמת את הנורמות החברתיות או התרבותיות המקובלות בחברה החרדית כמשמען וכלשונן (ש' 9-8, ע' 23), או גם נניח שהתובעת לא הייתה שׂבעת רצון באופן מלא מחיים אלה, אני סבור כי עדיין קיים קשר ישיר בין האירועים מושא ההרשעה לבין הטלטלה הנפשית והרגשית שעברה התובעת והמשבר החברתי החריף שהביא להסתלקות מלאה שלה ממשפחתה הגרעינית ומהחברה שבה הייתה חיה. </w:t>
      </w:r>
    </w:p>
    <w:p w:rsidR="005B04DD" w:rsidRDefault="005B04DD" w:rsidP="005B04DD">
      <w:pPr>
        <w:pStyle w:val="ad"/>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חומר הראיות אינו מצביע על כוונות ברורות של התובעת לצאת מהעולם החרדי עובר לאירועים. אדרבא, התמונה הראייתית מראה אחרת. כזכור, התובעת ובעלה הקודם ניגשו לנתבע כדי להתייעץ עמו בענייני שיפור המגורים והרכוש שלהם. כפי שניתן להבין גם מתצהירה, אי-כניסתה להיריון נבע ממצוקת המגורים ולא מטעם אחר (סעיף 22). התובעת אישרה בעדותה לפניי, כי המוסכמות החברתיות והעולם החרדי היו קשים עבורה, אך מטעם זה והבלבול שנוצר אצלה, היא התייעצה עם הנתבע ועת נפגשה עמו, היא שיתפה אותו בכך שהיא למשל שומעת מוזיקה חילונית, אך היא רוצה "</w:t>
      </w:r>
      <w:r>
        <w:rPr>
          <w:rFonts w:ascii="Miriam" w:hAnsi="Miriam" w:cs="Miriam"/>
          <w:sz w:val="24"/>
          <w:szCs w:val="24"/>
          <w:rtl/>
        </w:rPr>
        <w:t>להתחזק</w:t>
      </w:r>
      <w:r>
        <w:rPr>
          <w:rFonts w:ascii="FrankRuehl" w:hAnsi="FrankRuehl" w:cs="FrankRuehl"/>
          <w:sz w:val="28"/>
          <w:szCs w:val="28"/>
          <w:rtl/>
        </w:rPr>
        <w:t>", וכי היא רוצה "</w:t>
      </w:r>
      <w:r>
        <w:rPr>
          <w:rFonts w:ascii="Miriam" w:hAnsi="Miriam" w:cs="Miriam"/>
          <w:sz w:val="24"/>
          <w:szCs w:val="24"/>
          <w:rtl/>
        </w:rPr>
        <w:t>להתקרב לאלוהים</w:t>
      </w:r>
      <w:r>
        <w:rPr>
          <w:rFonts w:ascii="FrankRuehl" w:hAnsi="FrankRuehl" w:cs="FrankRuehl"/>
          <w:sz w:val="28"/>
          <w:szCs w:val="28"/>
          <w:rtl/>
        </w:rPr>
        <w:t>" ולהתחבר עם החינוך של הילדים (ש' 16-13, ע' 22).</w:t>
      </w:r>
    </w:p>
    <w:p w:rsidR="005B04DD" w:rsidRDefault="005B04DD" w:rsidP="005B04DD">
      <w:pPr>
        <w:spacing w:line="360" w:lineRule="auto"/>
        <w:jc w:val="both"/>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גם לאחר האירועים, התובעת לא אצה רצה לעזוב מאחוריה את החברה החרדית תוך טריקת דלת. לפי תצהירה, היא ובעלה הלכו לייעוץ במשך שנתיים, ולדבריה: "</w:t>
      </w:r>
      <w:r>
        <w:rPr>
          <w:rFonts w:ascii="Miriam" w:hAnsi="Miriam" w:cs="Miriam"/>
          <w:sz w:val="24"/>
          <w:szCs w:val="24"/>
          <w:rtl/>
        </w:rPr>
        <w:t>ניסינו, נלחמנו נסענו, לטיפולים מחוץ לעיר פעם בשבוע לפעמים יותר</w:t>
      </w:r>
      <w:r>
        <w:rPr>
          <w:rFonts w:ascii="FrankRuehl" w:hAnsi="FrankRuehl" w:cs="FrankRuehl"/>
          <w:sz w:val="28"/>
          <w:szCs w:val="28"/>
          <w:rtl/>
        </w:rPr>
        <w:t>". התובעת אינה באה בביקורת כלפי בעלה הקודם, אלא היא משבחת את ניסיונותיו לסייע לה לתמוך בהתמודדות שלה עם המאורע שעברו. לתובעת נולד ילד בשנת 2013 עוד לפני גירושיה (ש' 16, ע' 28). היא גם תיארה בתצהירה כי הליך הגירושין בהמשך, נעשה בצורה מכובדת. ואולם, לדבריה, נוכח מצוקתה היא כבר איבדה אמונה בסמכות הדתית שסביבה, וכלשונה: "</w:t>
      </w:r>
      <w:r>
        <w:rPr>
          <w:rFonts w:ascii="Miriam" w:hAnsi="Miriam" w:cs="Miriam"/>
          <w:sz w:val="24"/>
          <w:szCs w:val="24"/>
          <w:rtl/>
        </w:rPr>
        <w:t>כל מפגש עם רב או מישהו בדמות גבר עם זקן (כולל עם אבי) היה יוצר אצלי טריגר והתפרצות המצבי הנפשי הירוד</w:t>
      </w:r>
      <w:r>
        <w:rPr>
          <w:rFonts w:ascii="FrankRuehl" w:hAnsi="FrankRuehl" w:cs="FrankRuehl"/>
          <w:sz w:val="28"/>
          <w:szCs w:val="28"/>
          <w:rtl/>
        </w:rPr>
        <w:t>" (סעיף 122). התובעת העידה לפניי, ועדותה הותירה רושם אמין, במילים אלו (ש' 9-1, ע' 24):</w:t>
      </w:r>
    </w:p>
    <w:p w:rsidR="005B04DD" w:rsidRDefault="005B04DD" w:rsidP="005B04DD">
      <w:pPr>
        <w:pStyle w:val="ad"/>
        <w:rPr>
          <w:rFonts w:ascii="FrankRuehl" w:hAnsi="FrankRuehl" w:cs="FrankRuehl"/>
          <w:sz w:val="20"/>
          <w:szCs w:val="20"/>
          <w:rtl/>
        </w:rPr>
      </w:pPr>
    </w:p>
    <w:p w:rsidR="005B04DD" w:rsidRDefault="005B04DD" w:rsidP="00AB1A68">
      <w:pPr>
        <w:pStyle w:val="ad"/>
        <w:spacing w:after="0" w:line="240" w:lineRule="auto"/>
        <w:ind w:left="1440" w:right="567"/>
        <w:jc w:val="both"/>
        <w:rPr>
          <w:rFonts w:ascii="FrankRuehl" w:hAnsi="FrankRuehl" w:cs="FrankRuehl"/>
          <w:sz w:val="28"/>
          <w:szCs w:val="28"/>
        </w:rPr>
      </w:pPr>
      <w:r>
        <w:rPr>
          <w:rFonts w:ascii="FrankRuehl" w:hAnsi="FrankRuehl" w:cs="FrankRuehl"/>
          <w:sz w:val="28"/>
          <w:szCs w:val="28"/>
          <w:rtl/>
        </w:rPr>
        <w:t>"</w:t>
      </w:r>
      <w:r>
        <w:rPr>
          <w:rFonts w:ascii="Miriam" w:hAnsi="Miriam" w:cs="Miriam"/>
          <w:sz w:val="24"/>
          <w:szCs w:val="24"/>
          <w:rtl/>
        </w:rPr>
        <w:t>שאני הולכת ברחוב בשישי שבת עכשיו שהילדים לא איתי ואני שומעת תפילות מבית כנסת אז הלב שלי נקרע</w:t>
      </w:r>
      <w:r>
        <w:rPr>
          <w:rFonts w:ascii="FrankRuehl" w:hAnsi="FrankRuehl" w:cs="FrankRuehl"/>
          <w:sz w:val="28"/>
          <w:szCs w:val="28"/>
          <w:rtl/>
        </w:rPr>
        <w:t xml:space="preserve"> כי גדלתי במשפחה כזאת חמה ואוהבת את התפילות ואבא שלי פייטן </w:t>
      </w:r>
      <w:r>
        <w:rPr>
          <w:rFonts w:ascii="Miriam" w:hAnsi="Miriam" w:cs="Miriam"/>
          <w:sz w:val="24"/>
          <w:szCs w:val="24"/>
          <w:rtl/>
        </w:rPr>
        <w:t>ואני אוהבת את זה</w:t>
      </w:r>
      <w:r>
        <w:rPr>
          <w:rFonts w:ascii="FrankRuehl" w:hAnsi="FrankRuehl" w:cs="FrankRuehl"/>
          <w:sz w:val="28"/>
          <w:szCs w:val="28"/>
          <w:rtl/>
        </w:rPr>
        <w:t xml:space="preserve"> ואני תמיד הייתי מחוברת לעולם הזה ופתאום הוא לוקח לי את זה כי אני לא יכולה כבר להאמין בזה ולא יכולה למצוא בזה את הטוב כי הכל נהיה לי כל כך כואב וקשה והילדים שלי הם לא איתי ואני לא יכולה כאילו, החגים והשבתות זה הרגעים הכי קשים לי, אני כל הזמן מחפשת לברוח כאילו מהמצב הזה שאני בשבת ובחגים אני... (בוכה ולא שומעים) המשפחה שלי והיא לא ליידי וכאילו יש לי איזה שתי... (בוכה ולא שומעים) והמשפחה שלי תקועה </w:t>
      </w:r>
      <w:r w:rsidR="00AB1A68">
        <w:rPr>
          <w:rFonts w:ascii="FrankRuehl" w:hAnsi="FrankRuehl" w:cs="FrankRuehl" w:hint="cs"/>
          <w:sz w:val="28"/>
          <w:szCs w:val="28"/>
          <w:rtl/>
        </w:rPr>
        <w:t xml:space="preserve">ב[......] </w:t>
      </w:r>
      <w:r>
        <w:rPr>
          <w:rFonts w:ascii="FrankRuehl" w:hAnsi="FrankRuehl" w:cs="FrankRuehl"/>
          <w:sz w:val="28"/>
          <w:szCs w:val="28"/>
          <w:rtl/>
        </w:rPr>
        <w:t>עם הילדים שם ואני צריכה כאילו לסחוב את זה ואני כל הזמן מדמיינת אותם, יושבת איתם בשולחן שבת כמו פעם ואין לי את זה"</w:t>
      </w:r>
    </w:p>
    <w:p w:rsidR="005B04DD" w:rsidRDefault="005B04DD" w:rsidP="005B04DD">
      <w:pPr>
        <w:pStyle w:val="ad"/>
        <w:spacing w:after="0" w:line="240" w:lineRule="auto"/>
        <w:ind w:left="1440" w:right="567"/>
        <w:jc w:val="right"/>
        <w:rPr>
          <w:rFonts w:ascii="FrankRuehl" w:hAnsi="FrankRuehl" w:cs="FrankRuehl"/>
          <w:sz w:val="28"/>
          <w:szCs w:val="28"/>
          <w:rtl/>
        </w:rPr>
      </w:pPr>
      <w:r>
        <w:rPr>
          <w:rFonts w:ascii="FrankRuehl" w:hAnsi="FrankRuehl" w:cs="FrankRuehl"/>
          <w:sz w:val="28"/>
          <w:szCs w:val="28"/>
          <w:rtl/>
        </w:rPr>
        <w:t>(ההדגשות אינן במקור)</w:t>
      </w:r>
    </w:p>
    <w:p w:rsidR="005B04DD" w:rsidRDefault="005B04DD" w:rsidP="005B04DD">
      <w:pPr>
        <w:pStyle w:val="ad"/>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למעשה, כפי שניתן להתרשם, זה היה קו השבר בינה לבין החברה החרדית. העול הרגשי שנוצר והמצב הנפשי הירוד, הביאו לתפנית משמעותית במסלול חייה. מכאן, ניסיונות הנתבע בטיעוניו לאיין, או למצער לגמד, את הזיקה בין קו שבר זה לבין מעשיו, אין בידי לקבל. התובעת תיארה לפניי (ש' 24-21, ע' 24) כלהלן:</w:t>
      </w:r>
    </w:p>
    <w:p w:rsidR="005B04DD" w:rsidRDefault="005B04DD" w:rsidP="005B04DD">
      <w:pPr>
        <w:pStyle w:val="ad"/>
        <w:rPr>
          <w:rFonts w:ascii="FrankRuehl" w:hAnsi="FrankRuehl" w:cs="FrankRuehl"/>
          <w:sz w:val="28"/>
          <w:szCs w:val="28"/>
          <w:rtl/>
        </w:rPr>
      </w:pPr>
    </w:p>
    <w:p w:rsidR="005B04DD" w:rsidRDefault="005B04DD" w:rsidP="005B04DD">
      <w:pPr>
        <w:pStyle w:val="ad"/>
        <w:spacing w:after="0" w:line="240" w:lineRule="auto"/>
        <w:ind w:left="1440" w:right="567"/>
        <w:jc w:val="both"/>
        <w:rPr>
          <w:rFonts w:ascii="FrankRuehl" w:hAnsi="FrankRuehl" w:cs="FrankRuehl"/>
          <w:sz w:val="28"/>
          <w:szCs w:val="28"/>
        </w:rPr>
      </w:pPr>
      <w:r>
        <w:rPr>
          <w:rFonts w:ascii="FrankRuehl" w:hAnsi="FrankRuehl" w:cs="FrankRuehl"/>
          <w:sz w:val="28"/>
          <w:szCs w:val="28"/>
          <w:rtl/>
        </w:rPr>
        <w:t xml:space="preserve">"לא רק בגלל אותו יום, זה לא רק מה שהוא עשה לי בגוף אלא זה מה שהוא עשה לי בנפש, כל ההסתכלות, כל החיים שלי השתנו מאותו רגע ואחר כך כל מה שעברתי בבית משפט, זה לעבור את האונס הזה שוב פעם וכל הדיונים האלה וכל הפרקליטות והעימותים והחקירות וכל זה, זה רק הולך ומגדיל את זה עוד יותר ועוד יותר וכן כל מה שהוא הכניס לי לנפש, אגב זה הרבה יותר גרוע ממה שהוא עשה לי בגוף, כי בגוף אם היד שלך נשברת אז זה מתרפא מתישהו אבל זה לא נגמר, כל ההשלכות של זה" </w:t>
      </w:r>
    </w:p>
    <w:p w:rsidR="005B04DD" w:rsidRDefault="005B04DD" w:rsidP="005B04DD">
      <w:pPr>
        <w:spacing w:line="360" w:lineRule="auto"/>
        <w:jc w:val="both"/>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כאמור, דבריה הותירו רושם אמין. בהמשך היא תהתה: "</w:t>
      </w:r>
      <w:r>
        <w:rPr>
          <w:rFonts w:ascii="Miriam" w:hAnsi="Miriam" w:cs="Miriam"/>
          <w:sz w:val="24"/>
          <w:szCs w:val="24"/>
          <w:rtl/>
        </w:rPr>
        <w:t>אם באתי לרב להתחזק ולהאמין בו וזה מה שהוא הראה לי אז איך אני יכולה להישאר בחברה כזאת? איך?</w:t>
      </w:r>
      <w:r>
        <w:rPr>
          <w:rFonts w:ascii="FrankRuehl" w:hAnsi="FrankRuehl" w:cs="FrankRuehl"/>
          <w:sz w:val="28"/>
          <w:szCs w:val="28"/>
          <w:rtl/>
        </w:rPr>
        <w:t>" (ש' 2-1, ע' 34).</w:t>
      </w:r>
    </w:p>
    <w:p w:rsidR="005B04DD" w:rsidRDefault="005B04DD" w:rsidP="005B04DD">
      <w:pPr>
        <w:spacing w:line="360" w:lineRule="auto"/>
        <w:jc w:val="both"/>
        <w:rPr>
          <w:rFonts w:ascii="FrankRuehl" w:hAnsi="FrankRuehl" w:cs="FrankRuehl"/>
          <w:sz w:val="28"/>
          <w:szCs w:val="28"/>
          <w:rtl/>
        </w:rPr>
      </w:pPr>
    </w:p>
    <w:p w:rsidR="005B04DD" w:rsidRDefault="005B04DD" w:rsidP="00576385">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גם ניסיון הנתבע להציג את עדות התובעת כחלק מ"</w:t>
      </w:r>
      <w:r>
        <w:rPr>
          <w:rFonts w:ascii="Miriam" w:hAnsi="Miriam" w:cs="Miriam"/>
          <w:sz w:val="24"/>
          <w:szCs w:val="24"/>
          <w:rtl/>
        </w:rPr>
        <w:t>משחק</w:t>
      </w:r>
      <w:r>
        <w:rPr>
          <w:rFonts w:ascii="FrankRuehl" w:hAnsi="FrankRuehl" w:cs="FrankRuehl"/>
          <w:sz w:val="28"/>
          <w:szCs w:val="28"/>
          <w:rtl/>
        </w:rPr>
        <w:t xml:space="preserve">" מאחר ולמדה </w:t>
      </w:r>
      <w:r w:rsidR="00576385">
        <w:rPr>
          <w:rFonts w:ascii="FrankRuehl" w:hAnsi="FrankRuehl" w:cs="FrankRuehl" w:hint="cs"/>
          <w:sz w:val="28"/>
          <w:szCs w:val="28"/>
          <w:rtl/>
        </w:rPr>
        <w:t>[......]</w:t>
      </w:r>
      <w:r>
        <w:rPr>
          <w:rFonts w:ascii="FrankRuehl" w:hAnsi="FrankRuehl" w:cs="FrankRuehl"/>
          <w:sz w:val="28"/>
          <w:szCs w:val="28"/>
          <w:rtl/>
        </w:rPr>
        <w:t xml:space="preserve">, אין בידי לקבל. התובעת הבהירה כי גם אדם שלמד </w:t>
      </w:r>
      <w:r w:rsidR="00576385">
        <w:rPr>
          <w:rFonts w:ascii="FrankRuehl" w:hAnsi="FrankRuehl" w:cs="FrankRuehl" w:hint="cs"/>
          <w:sz w:val="28"/>
          <w:szCs w:val="28"/>
          <w:rtl/>
        </w:rPr>
        <w:t>[......]</w:t>
      </w:r>
      <w:r>
        <w:rPr>
          <w:rFonts w:ascii="FrankRuehl" w:hAnsi="FrankRuehl" w:cs="FrankRuehl"/>
          <w:sz w:val="28"/>
          <w:szCs w:val="28"/>
          <w:rtl/>
        </w:rPr>
        <w:t>, אינו ממציא דברים ולא עושה הצגות (ש' 11-8, ע' 26). למעשה, תיאורי התובעת מעוגנים בממצאי הכרעת הדין ופסק הדין בערעור. בכל אופן, הנתבע לא הביע חרטה על המעשה שביצע, ונראה כי נתון זה כשלעצמו מעצים את תחושותיה הפגועות. לדבריה:"</w:t>
      </w:r>
      <w:r>
        <w:rPr>
          <w:rFonts w:ascii="Miriam" w:hAnsi="Miriam" w:cs="Miriam"/>
          <w:sz w:val="24"/>
          <w:szCs w:val="24"/>
          <w:rtl/>
        </w:rPr>
        <w:t>...שיביע חרטה לעזאזל, כל מה שעברתי הבן אדם עוד לא מביע חרטה ולא מבקש סליחה ולא מתחרט ומשחק אותה עוד הרב הקדוש וזה הכיר הכי כואב לי...</w:t>
      </w:r>
      <w:r>
        <w:rPr>
          <w:rFonts w:ascii="FrankRuehl" w:hAnsi="FrankRuehl" w:cs="FrankRuehl"/>
          <w:sz w:val="28"/>
          <w:szCs w:val="28"/>
          <w:rtl/>
        </w:rPr>
        <w:t>" (ש' 20-18, ע' 37). דברי התובעת מדברים בעדם.</w:t>
      </w:r>
    </w:p>
    <w:p w:rsidR="005B04DD" w:rsidRDefault="005B04DD" w:rsidP="005B04DD">
      <w:pPr>
        <w:spacing w:line="360" w:lineRule="auto"/>
        <w:jc w:val="both"/>
        <w:rPr>
          <w:rFonts w:ascii="FrankRuehl" w:hAnsi="FrankRuehl" w:cs="FrankRuehl"/>
          <w:sz w:val="20"/>
          <w:szCs w:val="20"/>
          <w:rtl/>
        </w:rPr>
      </w:pPr>
    </w:p>
    <w:p w:rsidR="005B04DD" w:rsidRDefault="005B04DD" w:rsidP="005B04DD">
      <w:pPr>
        <w:spacing w:line="360" w:lineRule="auto"/>
        <w:jc w:val="both"/>
        <w:rPr>
          <w:rFonts w:ascii="Miriam" w:hAnsi="Miriam" w:cs="Miriam"/>
          <w:u w:val="single"/>
          <w:rtl/>
        </w:rPr>
      </w:pPr>
      <w:r>
        <w:rPr>
          <w:rFonts w:ascii="Miriam" w:hAnsi="Miriam" w:cs="Miriam"/>
          <w:u w:val="single"/>
          <w:rtl/>
        </w:rPr>
        <w:t>כאב וסבל</w:t>
      </w:r>
    </w:p>
    <w:p w:rsidR="005B04DD" w:rsidRDefault="005B04DD" w:rsidP="005B04DD">
      <w:pPr>
        <w:spacing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התובעת עותרת לפסיקת פיצוי בראש נזק זה בסך 750,000 ₪ שכולל ריבית ממועד האירוע ועד היום. היא עותרת גם לפסיקת פיצוי עונשי שיישקף את חומרת המעשים של הנתבע ואת העובדה לפיה הוא טרם הפנים את חומרתם ולא הביע חרטה.</w:t>
      </w:r>
    </w:p>
    <w:p w:rsidR="005B04DD" w:rsidRDefault="005B04DD" w:rsidP="005B04DD">
      <w:pPr>
        <w:pStyle w:val="ad"/>
        <w:spacing w:after="0"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הנתבע טוען מנגד, כי אין לפצות את התובעת פיצוי עונשי כפי תביעתה מאחר והיא לא שילמה אגרה כנדרש. לדידו, הוא נכלא למשך 30 חודשים ובנוסף הוטל עליו מאסר על תנאי וקנס משמעותי בגובה 30,000 ₪. לכן, הוא סבור כי מטרות הענישה וההרתעה מוצו במלואן. הוא שילם את חובו לחברה ואין מקום להטיל עליו פיצוי עונשי נוסף. לאור זאת, בעיניו, פיצוי סביר בגין כאב וסבל בנסיבות, לא יחרוג מסך 40,000 ₪.</w:t>
      </w:r>
    </w:p>
    <w:p w:rsidR="005B04DD" w:rsidRDefault="005B04DD" w:rsidP="005B04DD">
      <w:pPr>
        <w:pStyle w:val="ad"/>
        <w:spacing w:after="0" w:line="360" w:lineRule="auto"/>
        <w:rPr>
          <w:rFonts w:ascii="FrankRuehl" w:hAnsi="FrankRuehl" w:cs="FrankRuehl"/>
          <w:sz w:val="20"/>
          <w:szCs w:val="20"/>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לאחר שנתתי את דעתי לטיעוני הצדדים, אני סבור כי על הפיצוי שייפסק בראש נזק זה לשקלל מספר מדדים (שחלקם רלבנטיים גם לדיון בראש הנזק גריעה מכושר ההשתכרות), וכן תוך מתן הדעת לעתירת התובעת לפסיקת פיצויים עונשיים. </w:t>
      </w:r>
    </w:p>
    <w:p w:rsidR="005B04DD" w:rsidRDefault="005B04DD" w:rsidP="005B04DD">
      <w:pPr>
        <w:pStyle w:val="ad"/>
        <w:spacing w:after="0" w:line="360" w:lineRule="auto"/>
        <w:rPr>
          <w:rFonts w:ascii="Miriam" w:hAnsi="Miriam" w:cs="Miriam"/>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Miriam" w:hAnsi="Miriam" w:cs="Miriam"/>
          <w:sz w:val="24"/>
          <w:szCs w:val="24"/>
          <w:rtl/>
        </w:rPr>
        <w:t>הממד הראשון</w:t>
      </w:r>
      <w:r>
        <w:rPr>
          <w:rFonts w:ascii="FrankRuehl" w:hAnsi="FrankRuehl" w:cs="FrankRuehl"/>
          <w:sz w:val="28"/>
          <w:szCs w:val="28"/>
          <w:rtl/>
        </w:rPr>
        <w:t xml:space="preserve"> - </w:t>
      </w:r>
      <w:r>
        <w:rPr>
          <w:rFonts w:ascii="Miriam" w:hAnsi="Miriam" w:cs="Miriam"/>
          <w:sz w:val="24"/>
          <w:szCs w:val="24"/>
          <w:rtl/>
        </w:rPr>
        <w:t>נסיבות המעשים וחומרתם</w:t>
      </w:r>
      <w:r>
        <w:rPr>
          <w:rFonts w:ascii="FrankRuehl" w:hAnsi="FrankRuehl" w:cs="FrankRuehl"/>
          <w:sz w:val="28"/>
          <w:szCs w:val="28"/>
          <w:rtl/>
        </w:rPr>
        <w:t>. הנתבע הורשע בביצוע מספר עבירות של מעשה מגונה וגם בביצוע עבירת מעשה סדום, ולא אחזור על התיאורים שבספק הדין בערעור. מעשי הנתבע אסורים חוקית, פסולים חברתית, ערכית ומוסרית. הכל נעשה תוך ניצול להיזקקות התובעת לייעוץ עמו בנושאים אישיים ודיסקרטיים. הנתבע ניצל את דמותו כאיש דת בר-סמכא (למצער במצג שלו לפניה), את ההיכרות עם בעלה לשעבר ובכך שהיא סמכה עליו ונטעה בו אמון. הוא ניצל את מצוקתה הרגשית המשתקפת מהיזקקותה לייעוץ עמו, לביצוע מעשיו האסורים והפסולים (ראו התייחסות המומחית בעדותה לעוצמת הפגיעה כאשר זו נעשית על-ידי אדם "</w:t>
      </w:r>
      <w:r>
        <w:rPr>
          <w:rFonts w:ascii="Miriam" w:hAnsi="Miriam" w:cs="Miriam"/>
          <w:sz w:val="24"/>
          <w:szCs w:val="24"/>
          <w:rtl/>
        </w:rPr>
        <w:t>סמכותי</w:t>
      </w:r>
      <w:r>
        <w:rPr>
          <w:rFonts w:ascii="FrankRuehl" w:hAnsi="FrankRuehl" w:cs="FrankRuehl"/>
          <w:sz w:val="28"/>
          <w:szCs w:val="28"/>
          <w:rtl/>
        </w:rPr>
        <w:t xml:space="preserve">" - ש' 14-6, ע' 23). </w:t>
      </w:r>
    </w:p>
    <w:p w:rsidR="005B04DD" w:rsidRDefault="005B04DD" w:rsidP="005B04DD">
      <w:pPr>
        <w:pStyle w:val="ad"/>
        <w:rPr>
          <w:rFonts w:ascii="FrankRuehl" w:hAnsi="FrankRuehl" w:cs="FrankRuehl"/>
          <w:sz w:val="20"/>
          <w:szCs w:val="20"/>
          <w:rtl/>
        </w:rPr>
      </w:pPr>
    </w:p>
    <w:p w:rsidR="005B04DD" w:rsidRDefault="005B04DD" w:rsidP="005B04DD">
      <w:pPr>
        <w:pStyle w:val="ad"/>
        <w:spacing w:after="0" w:line="360" w:lineRule="auto"/>
        <w:jc w:val="both"/>
        <w:rPr>
          <w:rFonts w:ascii="FrankRuehl" w:hAnsi="FrankRuehl" w:cs="FrankRuehl"/>
          <w:sz w:val="28"/>
          <w:szCs w:val="28"/>
        </w:rPr>
      </w:pPr>
      <w:r>
        <w:rPr>
          <w:rFonts w:ascii="FrankRuehl" w:hAnsi="FrankRuehl" w:cs="FrankRuehl"/>
          <w:sz w:val="28"/>
          <w:szCs w:val="28"/>
          <w:rtl/>
        </w:rPr>
        <w:t>בפסק הדין בערעור, צוין  בזו הלשון (פסקה 4):</w:t>
      </w:r>
    </w:p>
    <w:p w:rsidR="005B04DD" w:rsidRDefault="005B04DD" w:rsidP="005B04DD">
      <w:pPr>
        <w:pStyle w:val="ad"/>
        <w:spacing w:after="0" w:line="360" w:lineRule="auto"/>
        <w:rPr>
          <w:rFonts w:ascii="FrankRuehl" w:hAnsi="FrankRuehl" w:cs="FrankRuehl"/>
          <w:sz w:val="20"/>
          <w:szCs w:val="20"/>
          <w:rtl/>
        </w:rPr>
      </w:pPr>
    </w:p>
    <w:p w:rsidR="005B04DD" w:rsidRDefault="005B04DD" w:rsidP="005B04DD">
      <w:pPr>
        <w:pStyle w:val="ad"/>
        <w:spacing w:after="0" w:line="240" w:lineRule="auto"/>
        <w:ind w:left="1440" w:right="567"/>
        <w:jc w:val="both"/>
        <w:rPr>
          <w:rFonts w:ascii="FrankRuehl" w:hAnsi="FrankRuehl" w:cs="FrankRuehl"/>
          <w:sz w:val="28"/>
          <w:szCs w:val="28"/>
        </w:rPr>
      </w:pPr>
      <w:r>
        <w:rPr>
          <w:rFonts w:ascii="FrankRuehl" w:hAnsi="FrankRuehl" w:cs="FrankRuehl"/>
          <w:sz w:val="28"/>
          <w:szCs w:val="28"/>
          <w:rtl/>
        </w:rPr>
        <w:t>"גם בעבירות שביצע המערער כלפי המתלוננת הפגיעה בגופה, בכבודה, באוטונומיה של רצונה ובאני העצמי שלה קשה ביותר. עסקינן באשת משפחה צעירה, נשואה ואם לשלושה, אשר כל רצונה היה להיוועץ באדם שעליו סמכה ואותו כיבדה. כפי שעולה מהכרעת הדין, תגובתה של המתלוננת למעשה הייתה קשה והוא השפיע עליה עמוקות ברמה האישית והנפשית: "[...] לאורך כל עדותה המתלוננת בכתה בכי מר וקשה, בלתי נשלט, רעדה והתקשתה לדבר. אולם, ובניגוד לטיעוני הסנגורים, אין מדובר במצב בו המתלוננת הכניסה עצמה אליו בכוח או הוליכה עצמה לשם, אלא ניכר היה שמדובר בכאב אמיתי, פנימי, בשבר נפשי שכל כולו נובע מהעובדה שהמעשים שבוצעו בה בוצעו דווקא מידיו של הנאשם שהיווה לגביה דמות נערצת" (עמ' 35 להכרעת הדין). מתסקיר נפגעת העבירה שנערך בעניינה של המתלוננת עולה כי הנזקים שנגרמו לה הינם ארוכי טווח, ויש בהם כדי להשפיע קשות על שיגרת חייה וחיי משפחתה. זאת ביתר שאת לאור ההדרה החברתית אשר סובלות ממנה היא ומשפחתה מאז ההתרחשויות, לעומת התמיכה החברתית לה זוכה המערער. הקרבן הופך לקרבן פעם נוספת. חשיפת הפרשה גבתה מהמתלוננת וממשפחתה מחיר כבד מבחינה חברתית ויש להצטער על כך"</w:t>
      </w:r>
    </w:p>
    <w:p w:rsidR="005B04DD" w:rsidRDefault="005B04DD" w:rsidP="005B04DD">
      <w:pPr>
        <w:pStyle w:val="ad"/>
        <w:spacing w:after="0" w:line="360" w:lineRule="auto"/>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זה המקום לציין, כי גם במהלך עדותה לפניי, התובעת בכתה מספר פעמים, וניתן היה להבחין שידה הייתה סגורה וקמוצה ולעתים רועדת. ללא ספק, כי האירועים החמורים הותירו אצלה צלקת נפשית עמוקה לצד הנכות הרפואית.</w:t>
      </w:r>
    </w:p>
    <w:p w:rsidR="005B04DD" w:rsidRDefault="005B04DD" w:rsidP="005B04DD">
      <w:pPr>
        <w:pStyle w:val="ad"/>
        <w:spacing w:after="0"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Miriam" w:hAnsi="Miriam" w:cs="Miriam"/>
          <w:sz w:val="24"/>
          <w:szCs w:val="24"/>
          <w:rtl/>
        </w:rPr>
        <w:t>הממד השני: גילה של התובעת</w:t>
      </w:r>
      <w:r>
        <w:rPr>
          <w:rFonts w:ascii="FrankRuehl" w:hAnsi="FrankRuehl" w:cs="FrankRuehl"/>
          <w:sz w:val="28"/>
          <w:szCs w:val="28"/>
          <w:rtl/>
        </w:rPr>
        <w:t xml:space="preserve">. התובעת היא ילידת שנת 1984. הייתה בת 27 במועד האירועים ובת 38 כיום. התובעת הייתה צעירה יחסית, אמא לקטינים ולא ניתן לומר שהעתיד לא היה סלול לפניה. יש להניח כי ככל שגיל הקורבן במועד ביצוע העוולה כלפיו צעיר יותר, כך גדולים יותר ממדי הפגיעה הלא-ממונית, ביחס לעבר ולבטח ביחס לעתיד.  </w:t>
      </w:r>
    </w:p>
    <w:p w:rsidR="005B04DD" w:rsidRDefault="005B04DD" w:rsidP="005B04DD">
      <w:pPr>
        <w:pStyle w:val="ad"/>
        <w:spacing w:after="0" w:line="360" w:lineRule="auto"/>
        <w:rPr>
          <w:rFonts w:ascii="FrankRuehl" w:hAnsi="FrankRuehl" w:cs="FrankRuehl"/>
          <w:sz w:val="20"/>
          <w:szCs w:val="20"/>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Miriam" w:hAnsi="Miriam" w:cs="Miriam"/>
          <w:sz w:val="24"/>
          <w:szCs w:val="24"/>
          <w:rtl/>
        </w:rPr>
        <w:t>הממד השלישי: שיעור הנכות</w:t>
      </w:r>
      <w:r>
        <w:rPr>
          <w:rFonts w:ascii="FrankRuehl" w:hAnsi="FrankRuehl" w:cs="FrankRuehl"/>
          <w:sz w:val="28"/>
          <w:szCs w:val="28"/>
          <w:rtl/>
        </w:rPr>
        <w:t>. כאמור, התובעת נותרה עם נכות רפואית נפשית בשיעור 30% וכן סבלה מנכויות זמניות בשיעור 40% למשך כשנתיים. לפי חוות הדעת של המומחית, התובעת סובלת מהפרעת אכילה קשה, מנטייה להתמכרות לחדר כושר ולריטלין, סובלת מחרדה, מנפילות דיכאוניות, מפגיעה בערך העצמי ובביטחון והיא סובלת מתסמינים בתר-חבלתיים (פוסט-טראומטיים) אך ללא קווים הסטריוניים. חוות הדעת עמדה על המשבר הזוגי שעברה התובעת, אשר הוביל לגירושיה ולהתרחקות שלה מילדיה.</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Miriam" w:hAnsi="Miriam" w:cs="Miriam"/>
          <w:sz w:val="24"/>
          <w:szCs w:val="24"/>
          <w:rtl/>
        </w:rPr>
        <w:t>פיצויים עונשיים</w:t>
      </w:r>
      <w:r>
        <w:rPr>
          <w:rFonts w:ascii="FrankRuehl" w:hAnsi="FrankRuehl" w:cs="FrankRuehl"/>
          <w:sz w:val="28"/>
          <w:szCs w:val="28"/>
          <w:rtl/>
        </w:rPr>
        <w:t xml:space="preserve">: הם חריג לדיני הפיצויים הרגילים אשר נועדו להציב את הניזוק במקום שבו היה אילולא אירוע הנזק. הוא נפסק במקרים חריגים שבהן מדובר בהתנהגות של המזיק שהיא מכוונת או שיש עמה מעין כוונה, התנהגות זדונית ומקוממת במיוחד ויש מקום להביע סלידה ממנה [ע"א 9656/06  </w:t>
      </w:r>
      <w:r>
        <w:rPr>
          <w:rFonts w:ascii="Miriam" w:hAnsi="Miriam" w:cs="Miriam"/>
          <w:sz w:val="24"/>
          <w:szCs w:val="24"/>
          <w:rtl/>
        </w:rPr>
        <w:t>עיזבון המנוחה ברטה מרציאנו ז"ל נ' ד"ר זינגר יהורם</w:t>
      </w:r>
      <w:r>
        <w:rPr>
          <w:rFonts w:ascii="FrankRuehl" w:hAnsi="FrankRuehl" w:cs="FrankRuehl"/>
          <w:sz w:val="28"/>
          <w:szCs w:val="28"/>
          <w:rtl/>
        </w:rPr>
        <w:t xml:space="preserve"> (11.4.2005); ע"א 140/00 </w:t>
      </w:r>
      <w:r>
        <w:rPr>
          <w:rFonts w:ascii="Miriam" w:hAnsi="Miriam" w:cs="Miriam"/>
          <w:sz w:val="24"/>
          <w:szCs w:val="24"/>
          <w:rtl/>
        </w:rPr>
        <w:t>עיזבון המנוח מיכאל אטינגר ז"ל נ' החברה לשיקום ופיתוח הרובע היהודי בעיר העתיקה בירושלים בע"מ</w:t>
      </w:r>
      <w:r>
        <w:rPr>
          <w:rFonts w:ascii="FrankRuehl" w:hAnsi="FrankRuehl" w:cs="FrankRuehl"/>
          <w:sz w:val="28"/>
          <w:szCs w:val="28"/>
          <w:rtl/>
        </w:rPr>
        <w:t xml:space="preserve">, פ"ד נח(4) 486 (2004)]. הסלידה החברתית מהתנהגות המזיק, משתקפת בפסיקת פיצויים עונשיים שתכליתם מבוססת על רציונלים של ענישה והרתעה (ע"א 132/21 </w:t>
      </w:r>
      <w:r>
        <w:rPr>
          <w:rFonts w:ascii="Miriam" w:hAnsi="Miriam" w:cs="Miriam"/>
          <w:sz w:val="24"/>
          <w:szCs w:val="24"/>
          <w:rtl/>
        </w:rPr>
        <w:t>פלונית נ' פלוני</w:t>
      </w:r>
      <w:r>
        <w:rPr>
          <w:rFonts w:ascii="FrankRuehl" w:hAnsi="FrankRuehl" w:cs="FrankRuehl"/>
          <w:sz w:val="28"/>
          <w:szCs w:val="28"/>
          <w:rtl/>
        </w:rPr>
        <w:t xml:space="preserve"> (13.4.2022); ע"א 4576/08 </w:t>
      </w:r>
      <w:r>
        <w:rPr>
          <w:rFonts w:ascii="Miriam" w:hAnsi="Miriam" w:cs="Miriam"/>
          <w:sz w:val="24"/>
          <w:szCs w:val="24"/>
          <w:rtl/>
        </w:rPr>
        <w:t>ליה עטרה בן-צבי נ' פרופ' יהודה היס</w:t>
      </w:r>
      <w:r>
        <w:rPr>
          <w:rFonts w:ascii="FrankRuehl" w:hAnsi="FrankRuehl" w:cs="FrankRuehl"/>
          <w:sz w:val="28"/>
          <w:szCs w:val="28"/>
          <w:rtl/>
        </w:rPr>
        <w:t xml:space="preserve"> (7.7.2011)]. </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ואולם, מקום בו כבר הושתה על המזיק סנקציה פלילית, פסיקת פיצוי עונשי תהיה במקרים חריגים שבחריגים (רע"א 9670/07 </w:t>
      </w:r>
      <w:r>
        <w:rPr>
          <w:rFonts w:ascii="Miriam" w:hAnsi="Miriam" w:cs="Miriam"/>
          <w:sz w:val="24"/>
          <w:szCs w:val="24"/>
          <w:rtl/>
        </w:rPr>
        <w:t>פלונית נ' פלוני</w:t>
      </w:r>
      <w:r>
        <w:rPr>
          <w:rFonts w:ascii="FrankRuehl" w:hAnsi="FrankRuehl" w:cs="FrankRuehl"/>
          <w:sz w:val="28"/>
          <w:szCs w:val="28"/>
          <w:rtl/>
        </w:rPr>
        <w:t xml:space="preserve"> (6.7.2009), בקשה לדיון נוסף נדחתה - דנ"א 7565/09 מיום 1.4.2010).  </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במקרה לפנינו, יש להביע שאט נפש ממעשיו האסורים והפסולים של הנתבע, שביצע את אשר ביצע, תוך שהוא מנצל את האמון של התובעת וההיכרות "</w:t>
      </w:r>
      <w:r>
        <w:rPr>
          <w:rFonts w:ascii="Miriam" w:hAnsi="Miriam" w:cs="Miriam"/>
          <w:sz w:val="24"/>
          <w:szCs w:val="24"/>
          <w:rtl/>
        </w:rPr>
        <w:t>הטובה</w:t>
      </w:r>
      <w:r>
        <w:rPr>
          <w:rFonts w:ascii="FrankRuehl" w:hAnsi="FrankRuehl" w:cs="FrankRuehl"/>
          <w:sz w:val="28"/>
          <w:szCs w:val="28"/>
          <w:rtl/>
        </w:rPr>
        <w:t xml:space="preserve">" בין משפחותיהם (ש' 1, ע' 18). מעשיו מטים את הכף לחייבו בפיצוי מוגבר בגין נזק לא ממוני לנוכח ייסוריה של התובעת וההשפעה הניכרת של האירועים על מהלך חייה בהמשך [ראו והשוו: ת.א. (שלום - אש') 12102-12-15 </w:t>
      </w:r>
      <w:r>
        <w:rPr>
          <w:rFonts w:ascii="Miriam" w:hAnsi="Miriam" w:cs="Miriam"/>
          <w:sz w:val="24"/>
          <w:szCs w:val="24"/>
          <w:rtl/>
        </w:rPr>
        <w:t>פלוני נ' מחמדסלי שהיב חמדי</w:t>
      </w:r>
      <w:r>
        <w:rPr>
          <w:rFonts w:ascii="FrankRuehl" w:hAnsi="FrankRuehl" w:cs="FrankRuehl"/>
          <w:sz w:val="28"/>
          <w:szCs w:val="28"/>
          <w:rtl/>
        </w:rPr>
        <w:t>, פסקה 26 (14.6.2020)]. ואולם, כזכור, הוא נשפט בדין הפלילי והושתו עליו עונשי מאסר ופיצויים. הנתבע כבר שילם את חובו לחברה. מכאן, אינני סבור כי יש מקום להשית פיצוי עונשי נוסף כפי עתירת התובעת.</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לאור האמור, נפסק בזאת פיצוי לתובעת בראש נזק זה בסך </w:t>
      </w:r>
      <w:r>
        <w:rPr>
          <w:rFonts w:ascii="FrankRuehl" w:hAnsi="FrankRuehl" w:cs="FrankRuehl"/>
          <w:sz w:val="28"/>
          <w:szCs w:val="28"/>
          <w:u w:val="single"/>
          <w:rtl/>
        </w:rPr>
        <w:t>200,000 ₪</w:t>
      </w:r>
      <w:r>
        <w:rPr>
          <w:rFonts w:ascii="FrankRuehl" w:hAnsi="FrankRuehl" w:cs="FrankRuehl"/>
          <w:sz w:val="28"/>
          <w:szCs w:val="28"/>
          <w:rtl/>
        </w:rPr>
        <w:t xml:space="preserve">. </w:t>
      </w:r>
    </w:p>
    <w:p w:rsidR="005B04DD" w:rsidRDefault="005B04DD" w:rsidP="005B04DD">
      <w:pPr>
        <w:spacing w:line="360" w:lineRule="auto"/>
        <w:jc w:val="both"/>
        <w:rPr>
          <w:rFonts w:ascii="FrankRuehl" w:hAnsi="FrankRuehl" w:cs="FrankRuehl"/>
          <w:b/>
          <w:bCs/>
          <w:sz w:val="20"/>
          <w:szCs w:val="20"/>
          <w:rtl/>
        </w:rPr>
      </w:pPr>
    </w:p>
    <w:p w:rsidR="005B04DD" w:rsidRDefault="005B04DD" w:rsidP="005B04DD">
      <w:pPr>
        <w:spacing w:line="360" w:lineRule="auto"/>
        <w:jc w:val="both"/>
        <w:rPr>
          <w:rFonts w:ascii="Miriam" w:hAnsi="Miriam" w:cs="Miriam"/>
          <w:u w:val="single"/>
        </w:rPr>
      </w:pPr>
      <w:r>
        <w:rPr>
          <w:rFonts w:ascii="Miriam" w:hAnsi="Miriam" w:cs="Miriam"/>
          <w:u w:val="single"/>
          <w:rtl/>
        </w:rPr>
        <w:t>גריעה מכושר ההשתכרות</w:t>
      </w:r>
    </w:p>
    <w:p w:rsidR="005B04DD" w:rsidRDefault="005B04DD" w:rsidP="005B04DD">
      <w:pPr>
        <w:spacing w:line="360" w:lineRule="auto"/>
        <w:jc w:val="both"/>
        <w:rPr>
          <w:rFonts w:ascii="FrankRuehl" w:hAnsi="FrankRuehl" w:cs="FrankRuehl"/>
          <w:sz w:val="20"/>
          <w:szCs w:val="20"/>
          <w:rtl/>
        </w:rPr>
      </w:pPr>
    </w:p>
    <w:p w:rsidR="005B04DD" w:rsidRDefault="005B04DD" w:rsidP="008B0BB9">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התובעת טוענת, כי עובר לאירועים היא השתכרה באופן חלקי ב</w:t>
      </w:r>
      <w:r w:rsidR="008B0BB9">
        <w:rPr>
          <w:rFonts w:ascii="FrankRuehl" w:hAnsi="FrankRuehl" w:cs="FrankRuehl" w:hint="cs"/>
          <w:sz w:val="28"/>
          <w:szCs w:val="28"/>
          <w:rtl/>
        </w:rPr>
        <w:t>[......]</w:t>
      </w:r>
      <w:r>
        <w:rPr>
          <w:rFonts w:ascii="FrankRuehl" w:hAnsi="FrankRuehl" w:cs="FrankRuehl"/>
          <w:sz w:val="28"/>
          <w:szCs w:val="28"/>
          <w:rtl/>
        </w:rPr>
        <w:t>. אז, היא הייתה בת 27 ובתחילת חייה. התובעת עותרת לפיצוי בגין העבר בסך כ-222,000 ₪ וביחס לעתיד בסך כ-563,000 ₪, כאשר סכומים אלה משקפים שיעור הנכות הרפואית ובסיס שכר 5,000 ₪ ביחס לעבר ו-8,000 ₪ ביחס לעתיד.</w:t>
      </w:r>
    </w:p>
    <w:p w:rsidR="005B04DD" w:rsidRDefault="005B04DD" w:rsidP="005B04DD">
      <w:pPr>
        <w:pStyle w:val="ad"/>
        <w:spacing w:after="0"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הנתבע טוען מנגד, כי התובעת לא הוכיחה את נזקיה בראש נזק זה. היא צירפה נתוני שכר רק לאחר האירוע. לאור האמור, אין לפסוק פיצוי בגין העבר. ביחס לעתיד, טוען הנתבע, כי התובעת לא רכשה עובר לאירוע שום הכשרה מקצועית ולא הוכיחה את כושר השתכרותה אז. לעומת זאת, לאחר האירוע היא עבדה במספר מקומות עבודה ללא התמדה ובשכר נמוך. הנכות הרפואית אינה תפקודית. מוצע לפסוק סכום של 41,000 ₪. </w:t>
      </w:r>
    </w:p>
    <w:p w:rsidR="005B04DD" w:rsidRDefault="005B04DD" w:rsidP="005B04DD">
      <w:pPr>
        <w:pStyle w:val="ad"/>
        <w:rPr>
          <w:rFonts w:ascii="FrankRuehl" w:hAnsi="FrankRuehl" w:cs="FrankRuehl"/>
          <w:sz w:val="20"/>
          <w:szCs w:val="20"/>
        </w:rPr>
      </w:pPr>
    </w:p>
    <w:p w:rsidR="005B04DD" w:rsidRDefault="005B04DD" w:rsidP="008B0BB9">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ביחס </w:t>
      </w:r>
      <w:r>
        <w:rPr>
          <w:rFonts w:ascii="Miriam" w:hAnsi="Miriam" w:cs="Miriam"/>
          <w:sz w:val="24"/>
          <w:szCs w:val="24"/>
          <w:rtl/>
        </w:rPr>
        <w:t>לעבר</w:t>
      </w:r>
      <w:r>
        <w:rPr>
          <w:rFonts w:ascii="FrankRuehl" w:hAnsi="FrankRuehl" w:cs="FrankRuehl"/>
          <w:sz w:val="28"/>
          <w:szCs w:val="28"/>
          <w:rtl/>
        </w:rPr>
        <w:t xml:space="preserve">, לאחר שנתתי את דעתי לטיעוני הצדדים בנדון, לא נפסק פיצוי בראש נזק זה. מדובר בנזק מיוחד ולכן עליו להיות נתמך בראיות ממשיות. אמנם טוענת התובעת בתצהירה כי עובר לאירועים היא קיימה בביתה </w:t>
      </w:r>
      <w:r w:rsidR="008B0BB9">
        <w:rPr>
          <w:rFonts w:ascii="FrankRuehl" w:hAnsi="FrankRuehl" w:cs="FrankRuehl" w:hint="cs"/>
          <w:sz w:val="28"/>
          <w:szCs w:val="28"/>
          <w:rtl/>
        </w:rPr>
        <w:t>[......]</w:t>
      </w:r>
      <w:r>
        <w:rPr>
          <w:rFonts w:ascii="FrankRuehl" w:hAnsi="FrankRuehl" w:cs="FrankRuehl"/>
          <w:sz w:val="28"/>
          <w:szCs w:val="28"/>
          <w:rtl/>
        </w:rPr>
        <w:t>, היא לא הציגה כל ראיה בנדון, הן לעצם טיב הפעילות, הן להיקף העסק ובעיקר, לא להיקף ההכנסה. מאז האירועים ועד מועד מתן עדותה במשפט, עברו כעשר שנים. גם ביחס לתקופה זו, התמונה הראייתית לעניין התעסוקה היא דלילה ביותר ולא ניתן להשתית עליה אומדן נזק בגין העבר.</w:t>
      </w:r>
    </w:p>
    <w:p w:rsidR="005B04DD" w:rsidRDefault="005B04DD" w:rsidP="005B04DD">
      <w:pPr>
        <w:pStyle w:val="ad"/>
        <w:rPr>
          <w:rFonts w:ascii="FrankRuehl" w:hAnsi="FrankRuehl" w:cs="FrankRuehl"/>
          <w:sz w:val="20"/>
          <w:szCs w:val="20"/>
          <w:rtl/>
        </w:rPr>
      </w:pPr>
    </w:p>
    <w:p w:rsidR="005B04DD" w:rsidRDefault="005B04DD" w:rsidP="008B0BB9">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ביחס </w:t>
      </w:r>
      <w:r>
        <w:rPr>
          <w:rFonts w:ascii="Miriam" w:hAnsi="Miriam" w:cs="Miriam"/>
          <w:sz w:val="24"/>
          <w:szCs w:val="24"/>
          <w:rtl/>
        </w:rPr>
        <w:t>לעתיד</w:t>
      </w:r>
      <w:r>
        <w:rPr>
          <w:rFonts w:ascii="FrankRuehl" w:hAnsi="FrankRuehl" w:cs="FrankRuehl"/>
          <w:sz w:val="28"/>
          <w:szCs w:val="28"/>
          <w:rtl/>
        </w:rPr>
        <w:t xml:space="preserve">, גם כאן התמונה היא מורכבת אך שונה. אסביר. התובעת כיום היא בת 38. יש לה ילדה אחת מבן-זוגה הנוכחי. היא כבר מנהלת אורח חיים שונה מזה שקדם לאירועים. היא טוענת בתצהירה, כי לומדת היום </w:t>
      </w:r>
      <w:r w:rsidR="008B0BB9">
        <w:rPr>
          <w:rFonts w:ascii="FrankRuehl" w:hAnsi="FrankRuehl" w:cs="FrankRuehl" w:hint="cs"/>
          <w:sz w:val="28"/>
          <w:szCs w:val="28"/>
          <w:rtl/>
        </w:rPr>
        <w:t xml:space="preserve">[.......] </w:t>
      </w:r>
      <w:r>
        <w:rPr>
          <w:rFonts w:ascii="FrankRuehl" w:hAnsi="FrankRuehl" w:cs="FrankRuehl"/>
          <w:sz w:val="28"/>
          <w:szCs w:val="28"/>
          <w:rtl/>
        </w:rPr>
        <w:t xml:space="preserve">כדי לנתק את התלות הכלכלית שלה בהוריה ובבן-זוגה. התובעת לא צירפה מסמכים בנדון. היא העידה לפניי (ש' 22-13, ע' 35), כי היא עובדת </w:t>
      </w:r>
      <w:r w:rsidR="008B0BB9">
        <w:rPr>
          <w:rFonts w:ascii="FrankRuehl" w:hAnsi="FrankRuehl" w:cs="FrankRuehl" w:hint="cs"/>
          <w:sz w:val="28"/>
          <w:szCs w:val="28"/>
          <w:rtl/>
        </w:rPr>
        <w:t>ב[.......]</w:t>
      </w:r>
      <w:r w:rsidR="008B0BB9">
        <w:rPr>
          <w:rFonts w:ascii="FrankRuehl" w:hAnsi="FrankRuehl" w:cs="FrankRuehl"/>
          <w:sz w:val="28"/>
          <w:szCs w:val="28"/>
          <w:rtl/>
        </w:rPr>
        <w:t xml:space="preserve"> </w:t>
      </w:r>
      <w:r>
        <w:rPr>
          <w:rFonts w:ascii="FrankRuehl" w:hAnsi="FrankRuehl" w:cs="FrankRuehl"/>
          <w:sz w:val="28"/>
          <w:szCs w:val="28"/>
          <w:rtl/>
        </w:rPr>
        <w:t>מאחר ויש בו "</w:t>
      </w:r>
      <w:r>
        <w:rPr>
          <w:rFonts w:ascii="Miriam" w:hAnsi="Miriam" w:cs="Miriam"/>
          <w:sz w:val="24"/>
          <w:szCs w:val="24"/>
          <w:rtl/>
        </w:rPr>
        <w:t>תזוזה</w:t>
      </w:r>
      <w:r>
        <w:rPr>
          <w:rFonts w:ascii="FrankRuehl" w:hAnsi="FrankRuehl" w:cs="FrankRuehl"/>
          <w:sz w:val="28"/>
          <w:szCs w:val="28"/>
          <w:rtl/>
        </w:rPr>
        <w:t>" והיא מתקשה לשהות במקומות סגורים; היא מסבירה את חוסר היציבות התעסוקתית "</w:t>
      </w:r>
      <w:r>
        <w:rPr>
          <w:rFonts w:ascii="Miriam" w:hAnsi="Miriam" w:cs="Miriam"/>
          <w:sz w:val="24"/>
          <w:szCs w:val="24"/>
          <w:rtl/>
        </w:rPr>
        <w:t>פה חודש, פה חודשיים פה חצי שנה גג</w:t>
      </w:r>
      <w:r>
        <w:rPr>
          <w:rFonts w:ascii="FrankRuehl" w:hAnsi="FrankRuehl" w:cs="FrankRuehl"/>
          <w:sz w:val="28"/>
          <w:szCs w:val="28"/>
          <w:rtl/>
        </w:rPr>
        <w:t>" בכך שלא מצליחה לעבוד שעות ארוכות ואז מפטרים אותה. לדבריה היא סובלת גם מבעיות קשב וריכוז.</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ילדיה מבעלה הראשון נמצאים במשמורתו. יש להניח כי הם כבר גדלו בחלוף התקופה מאז האירועים. התובעת הציגה תלושי שכר בודדים עם משכורות נמוכות ביחס לשנים 2018 ו-2019. העדר מסמכים זאת גם ביחס לאלה שכבר צורפו, מעיד כי אין יציבות תעסוקתית. אמנם אין בזאת כאמור כדי להשתית פיצוי עבור העבר, אך יש באלה - להשקפתי - כדי להוות אינדיקציה מובהקת לכך שהתובעת, בהינתן הנסיבות שמניתי לעיל, היא בעלת פוטנציאל ממשי לשוב למעגל העבודה. </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פוטנציאל זה נפגע עקב המגבלה הרפואית ויש ליתן לכך ביטוי בפיצוי הכספי. לפי חוות הדעת של המומחית, התובעת סובלת מפוסט-טראומה לצד הפרעות אכילה, נפילות דיכאוניות, חרדות ומתח (ראו גם עדות המומחית לעניין ביטויי המחלה בע' 34-32). המומחית הסבירה כיצד התקפי חרדה, זיכרונות חודרניים, "</w:t>
      </w:r>
      <w:r>
        <w:rPr>
          <w:rFonts w:ascii="Miriam" w:hAnsi="Miriam" w:cs="Miriam"/>
          <w:sz w:val="24"/>
          <w:szCs w:val="24"/>
          <w:rtl/>
        </w:rPr>
        <w:t>טריגרים</w:t>
      </w:r>
      <w:r>
        <w:rPr>
          <w:rFonts w:ascii="FrankRuehl" w:hAnsi="FrankRuehl" w:cs="FrankRuehl"/>
          <w:sz w:val="28"/>
          <w:szCs w:val="28"/>
          <w:rtl/>
        </w:rPr>
        <w:t>" מאתגרים וגם "</w:t>
      </w:r>
      <w:r>
        <w:rPr>
          <w:rFonts w:ascii="Miriam" w:hAnsi="Miriam" w:cs="Miriam"/>
          <w:sz w:val="24"/>
          <w:szCs w:val="24"/>
          <w:rtl/>
        </w:rPr>
        <w:t>פלשבקים</w:t>
      </w:r>
      <w:r>
        <w:rPr>
          <w:rFonts w:ascii="FrankRuehl" w:hAnsi="FrankRuehl" w:cs="FrankRuehl"/>
          <w:sz w:val="28"/>
          <w:szCs w:val="28"/>
          <w:rtl/>
        </w:rPr>
        <w:t>" וסיוטים יכולים לפגוע בכושר העבודה (ש' 13-8, ע' 37).</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האמור מקשה על היציבות התעסוקתית, שלא לומר כי זה גם מציב משוכות בשלבי החזרה לשוק העבודה. מכאן, נראה שלפגימה הרפואית קיימת משמעות תפקודית אך שלא בהלימה מלאה: </w:t>
      </w:r>
      <w:r>
        <w:rPr>
          <w:rFonts w:ascii="Miriam" w:hAnsi="Miriam" w:cs="Miriam"/>
          <w:sz w:val="24"/>
          <w:szCs w:val="24"/>
          <w:rtl/>
        </w:rPr>
        <w:t>ראשית</w:t>
      </w:r>
      <w:r>
        <w:rPr>
          <w:rFonts w:ascii="FrankRuehl" w:hAnsi="FrankRuehl" w:cs="FrankRuehl"/>
          <w:sz w:val="28"/>
          <w:szCs w:val="28"/>
          <w:rtl/>
        </w:rPr>
        <w:t xml:space="preserve"> - נוכח מסד הנתונים החסר לעניין התפקוד (אי-העדת בן-הזוג, אי-צירוף נתוני שכר עדכניים וכו'); </w:t>
      </w:r>
      <w:r>
        <w:rPr>
          <w:rFonts w:ascii="Miriam" w:hAnsi="Miriam" w:cs="Miriam"/>
          <w:sz w:val="24"/>
          <w:szCs w:val="24"/>
          <w:rtl/>
        </w:rPr>
        <w:t>שנית</w:t>
      </w:r>
      <w:r>
        <w:rPr>
          <w:rFonts w:ascii="FrankRuehl" w:hAnsi="FrankRuehl" w:cs="FrankRuehl"/>
          <w:sz w:val="28"/>
          <w:szCs w:val="28"/>
          <w:rtl/>
        </w:rPr>
        <w:t xml:space="preserve"> - לאור תשובות המומחית לעניין ההיבט התפקודי החלקי של התובעת. כמשתמע מדבריה, התובעת יכולה לעבוד (ש' 6, ע' 37), וכן להגיע לתפקוד "</w:t>
      </w:r>
      <w:r>
        <w:rPr>
          <w:rFonts w:ascii="Miriam" w:hAnsi="Miriam" w:cs="Miriam"/>
          <w:sz w:val="24"/>
          <w:szCs w:val="24"/>
          <w:rtl/>
        </w:rPr>
        <w:t>לא רע בכלל</w:t>
      </w:r>
      <w:r>
        <w:rPr>
          <w:rFonts w:ascii="FrankRuehl" w:hAnsi="FrankRuehl" w:cs="FrankRuehl"/>
          <w:sz w:val="28"/>
          <w:szCs w:val="28"/>
          <w:rtl/>
        </w:rPr>
        <w:t xml:space="preserve">" אם כי היא תמשיך לסחוב את הפגיעה למשך שנים (ש' 19-17, ע' 38). </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למעשה במקרה דנן, "ע</w:t>
      </w:r>
      <w:r>
        <w:rPr>
          <w:rFonts w:ascii="Miriam" w:hAnsi="Miriam" w:cs="Miriam"/>
          <w:sz w:val="24"/>
          <w:szCs w:val="24"/>
          <w:rtl/>
        </w:rPr>
        <w:t>רכו של אומדן כושר ההשתכרות נמדד על-פי אבדן ההשתכרות הצפויה</w:t>
      </w:r>
      <w:r>
        <w:rPr>
          <w:rFonts w:ascii="FrankRuehl" w:hAnsi="FrankRuehl" w:cs="FrankRuehl"/>
          <w:sz w:val="28"/>
          <w:szCs w:val="28"/>
          <w:rtl/>
        </w:rPr>
        <w:t xml:space="preserve">" [ע"א 237/80 </w:t>
      </w:r>
      <w:r>
        <w:rPr>
          <w:rFonts w:ascii="Miriam" w:hAnsi="Miriam" w:cs="Miriam"/>
          <w:sz w:val="24"/>
          <w:szCs w:val="24"/>
          <w:rtl/>
        </w:rPr>
        <w:t>שבה ברששת נ' יגאל האשאש</w:t>
      </w:r>
      <w:r>
        <w:rPr>
          <w:rFonts w:ascii="FrankRuehl" w:hAnsi="FrankRuehl" w:cs="FrankRuehl"/>
          <w:sz w:val="28"/>
          <w:szCs w:val="28"/>
          <w:rtl/>
        </w:rPr>
        <w:t>, פ"ד לו(1) 283 (1981)].</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על כן, גם בהיעדר נתוני תעסוקה מעברה (דומה לניזוקה שהייתה עקרת בית לפני אירוע הנזק, או ניזוקה שלא עבדה למשך שנים ארוכות לפני התאונה), אך בהינתן הפגיעה המוכחת בפוטנציאל התעסוקתי והסבירות הגבוהה שהתובעת תשתלב במעגל העבודה, סביר בעיניי להעמיד את גובה הפיצוי בראש נזק זה על סך </w:t>
      </w:r>
      <w:r>
        <w:rPr>
          <w:rFonts w:ascii="FrankRuehl" w:hAnsi="FrankRuehl" w:cs="FrankRuehl"/>
          <w:sz w:val="28"/>
          <w:szCs w:val="28"/>
          <w:u w:val="single"/>
          <w:rtl/>
        </w:rPr>
        <w:t>250,000 ₪</w:t>
      </w:r>
      <w:r>
        <w:rPr>
          <w:rFonts w:ascii="FrankRuehl" w:hAnsi="FrankRuehl" w:cs="FrankRuehl"/>
          <w:sz w:val="28"/>
          <w:szCs w:val="28"/>
          <w:rtl/>
        </w:rPr>
        <w:t xml:space="preserve">. </w:t>
      </w:r>
    </w:p>
    <w:p w:rsidR="005B04DD" w:rsidRDefault="005B04DD" w:rsidP="005B04DD">
      <w:pPr>
        <w:pStyle w:val="ad"/>
        <w:rPr>
          <w:rFonts w:ascii="FrankRuehl" w:hAnsi="FrankRuehl" w:cs="FrankRuehl"/>
          <w:sz w:val="20"/>
          <w:szCs w:val="20"/>
          <w:rtl/>
        </w:rPr>
      </w:pPr>
    </w:p>
    <w:p w:rsidR="005B04DD" w:rsidRDefault="005B04DD" w:rsidP="005B04DD">
      <w:pPr>
        <w:pStyle w:val="ad"/>
        <w:spacing w:after="0" w:line="360" w:lineRule="auto"/>
        <w:jc w:val="both"/>
        <w:rPr>
          <w:rFonts w:ascii="FrankRuehl" w:hAnsi="FrankRuehl" w:cs="FrankRuehl"/>
          <w:sz w:val="28"/>
          <w:szCs w:val="28"/>
        </w:rPr>
      </w:pPr>
      <w:r>
        <w:rPr>
          <w:rFonts w:ascii="FrankRuehl" w:hAnsi="FrankRuehl" w:cs="FrankRuehl"/>
          <w:sz w:val="28"/>
          <w:szCs w:val="28"/>
          <w:rtl/>
        </w:rPr>
        <w:t xml:space="preserve">הסכום האמור משקף בקירוב, שיעור גריעה מכושר ההשתכרות 20% (2/3 מתחשיב מלא), בסיס שכר 5,000 ₪, מקדם היוון עד גיל 67, וכן בצירוף פיצוי בגין אובדן זכויות סוציאליות לפי שיעור 12.5% [ראו והשוו: ת.א. (שלום - קריות) 51577-09-14 </w:t>
      </w:r>
      <w:r>
        <w:rPr>
          <w:rFonts w:ascii="Miriam" w:hAnsi="Miriam" w:cs="Miriam"/>
          <w:sz w:val="24"/>
          <w:szCs w:val="24"/>
          <w:rtl/>
        </w:rPr>
        <w:t>פלונית נ' אברהים דראושה</w:t>
      </w:r>
      <w:r>
        <w:rPr>
          <w:rFonts w:ascii="FrankRuehl" w:hAnsi="FrankRuehl" w:cs="FrankRuehl"/>
          <w:sz w:val="28"/>
          <w:szCs w:val="28"/>
          <w:rtl/>
        </w:rPr>
        <w:t xml:space="preserve"> (21.2.2018); ת.א. (שלום - ת"א-יפו) 17660-02-16 </w:t>
      </w:r>
      <w:r>
        <w:rPr>
          <w:rFonts w:ascii="Miriam" w:hAnsi="Miriam" w:cs="Miriam"/>
          <w:sz w:val="24"/>
          <w:szCs w:val="24"/>
          <w:rtl/>
        </w:rPr>
        <w:t>פלונית נ' הפניקס חברה לביטוח בע"מ</w:t>
      </w:r>
      <w:r>
        <w:rPr>
          <w:rFonts w:ascii="FrankRuehl" w:hAnsi="FrankRuehl" w:cs="FrankRuehl"/>
          <w:sz w:val="28"/>
          <w:szCs w:val="28"/>
          <w:rtl/>
        </w:rPr>
        <w:t xml:space="preserve"> (13.6.2019)].</w:t>
      </w:r>
    </w:p>
    <w:p w:rsidR="005B04DD" w:rsidRDefault="005B04DD" w:rsidP="005B04DD">
      <w:pPr>
        <w:spacing w:line="360" w:lineRule="auto"/>
        <w:jc w:val="both"/>
        <w:rPr>
          <w:rFonts w:ascii="FrankRuehl" w:hAnsi="FrankRuehl" w:cs="FrankRuehl"/>
          <w:sz w:val="28"/>
          <w:szCs w:val="28"/>
          <w:rtl/>
        </w:rPr>
      </w:pPr>
      <w:r>
        <w:rPr>
          <w:rFonts w:ascii="FrankRuehl" w:hAnsi="FrankRuehl" w:cs="FrankRuehl"/>
          <w:sz w:val="28"/>
          <w:szCs w:val="28"/>
          <w:rtl/>
        </w:rPr>
        <w:t xml:space="preserve">    </w:t>
      </w:r>
    </w:p>
    <w:p w:rsidR="005B04DD" w:rsidRDefault="005B04DD" w:rsidP="005B04DD">
      <w:pPr>
        <w:spacing w:line="360" w:lineRule="auto"/>
        <w:jc w:val="both"/>
        <w:rPr>
          <w:rFonts w:ascii="Miriam" w:hAnsi="Miriam" w:cs="Miriam"/>
          <w:u w:val="single"/>
        </w:rPr>
      </w:pPr>
      <w:r>
        <w:rPr>
          <w:rFonts w:ascii="Miriam" w:hAnsi="Miriam" w:cs="Miriam"/>
          <w:u w:val="single"/>
          <w:rtl/>
        </w:rPr>
        <w:t>עזרת הזולת</w:t>
      </w:r>
    </w:p>
    <w:p w:rsidR="005B04DD" w:rsidRDefault="005B04DD" w:rsidP="005B04DD">
      <w:pPr>
        <w:spacing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התובעת טוענת שהיא הפסידה את כל העזרה שמקבלים בתא המשפחתי. התובעת נזקקה לעזרה ותמיכה חיצונית וגם כיום היא תלויה בעמותות, בבן-זוגה ובמשפחתה. ככל שהזוגיות שלה לא תצליח, היא תמצא את עצמה לבדה שוב והיא לא תעמוד בכך והעזרה שתזדקק לה תהיה גבוהה מאוד. התובעת מעריכה את התלותיות שלה בגין עזרה זו לתוחלת חייה הארוכים בסך גלובלי מוערך 150,000 ₪. הנתבע טוען מנגד, שהתובעת לא הוכיחה ראש נזק זה ולא צירפה קבלות אשר מעידות שהיא נזקקה לעזרה. בנוסף, פגיעתה אינה פיזית והיא אף עוסקת בפעילות גוף באופן קבוע (מדריכת כושר) לכן לא מגיע לה כל פיצוי.</w:t>
      </w:r>
    </w:p>
    <w:p w:rsidR="005B04DD" w:rsidRDefault="005B04DD" w:rsidP="005B04DD">
      <w:pPr>
        <w:pStyle w:val="ad"/>
        <w:spacing w:after="0"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זולת עדות התובעת, לא הובאו על-ידה עדויות נוספות בנדון, בין ביחס לתקופה שלאחר האירועים ובין כיום. חֶסֶר זה רובץ לפתחה של התביעה. עם זאת, מוכן אני להניח כי התובעת, במיוחד בתקופה שלאחר האירועים ובאופן נלווה גם להליך הפלילי שהתנהל, נזקקה לסיוע, ובעיקר, לתמיכה רגשית מצד בן-זוגה. פגיעתה הרפואית מתבטאת גם בנפילות דיכאוניות, במתחים וגם מחרדות. ללא ספק מצבים אלה יש בהם להגביר את ההיזקקות לתמיכה ולסיוע שלעתים הוא גם פיזי בשל מגבלת התפקוד. ברם, גם לעניין זה יש להניח תשתית ראייתית מתאימה. הדברים יפים שבעתיים עת מדובר בנזק שחלקו מתייחס לעבר ומדובר בנזק מיוחד. </w:t>
      </w:r>
    </w:p>
    <w:p w:rsidR="005B04DD" w:rsidRDefault="005B04DD" w:rsidP="005B04DD">
      <w:pPr>
        <w:pStyle w:val="ad"/>
        <w:rPr>
          <w:rFonts w:ascii="FrankRuehl" w:hAnsi="FrankRuehl" w:cs="FrankRuehl"/>
          <w:sz w:val="20"/>
          <w:szCs w:val="20"/>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לאחר כל זאת, נוכח הקושי הראייתי בנדון מצד אחד, ועל מנת שלא תקופח זכותה לפיצוי בראש נזק זה מצד שני, נפסק בזאת סכום גלובלי עבור העבר והעתיד בראש נזק זה בסך </w:t>
      </w:r>
      <w:r>
        <w:rPr>
          <w:rFonts w:ascii="FrankRuehl" w:hAnsi="FrankRuehl" w:cs="FrankRuehl"/>
          <w:sz w:val="28"/>
          <w:szCs w:val="28"/>
          <w:u w:val="single"/>
          <w:rtl/>
        </w:rPr>
        <w:t>15,000 ₪</w:t>
      </w:r>
      <w:r>
        <w:rPr>
          <w:rFonts w:ascii="FrankRuehl" w:hAnsi="FrankRuehl" w:cs="FrankRuehl"/>
          <w:sz w:val="28"/>
          <w:szCs w:val="28"/>
          <w:rtl/>
        </w:rPr>
        <w:t>.</w:t>
      </w:r>
    </w:p>
    <w:p w:rsidR="005B04DD" w:rsidRDefault="005B04DD" w:rsidP="005B04DD">
      <w:pPr>
        <w:spacing w:line="360" w:lineRule="auto"/>
        <w:jc w:val="both"/>
        <w:rPr>
          <w:rFonts w:ascii="FrankRuehl" w:hAnsi="FrankRuehl" w:cs="FrankRuehl"/>
          <w:sz w:val="20"/>
          <w:szCs w:val="20"/>
          <w:rtl/>
        </w:rPr>
      </w:pPr>
    </w:p>
    <w:p w:rsidR="005B04DD" w:rsidRDefault="005B04DD" w:rsidP="005B04DD">
      <w:pPr>
        <w:spacing w:line="360" w:lineRule="auto"/>
        <w:jc w:val="both"/>
        <w:rPr>
          <w:rFonts w:ascii="Miriam" w:hAnsi="Miriam" w:cs="Miriam"/>
          <w:u w:val="single"/>
        </w:rPr>
      </w:pPr>
      <w:r>
        <w:rPr>
          <w:rFonts w:ascii="Miriam" w:hAnsi="Miriam" w:cs="Miriam"/>
          <w:u w:val="single"/>
          <w:rtl/>
        </w:rPr>
        <w:t>הוצאות רפואיות</w:t>
      </w:r>
    </w:p>
    <w:p w:rsidR="005B04DD" w:rsidRDefault="005B04DD" w:rsidP="005B04DD">
      <w:pPr>
        <w:spacing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 xml:space="preserve">התובעת עותרת לפיצוי בראש נזק זה בגין הטיפולים הפסיכיאטריים לצמיתות שאינם בסל הבריאות, סך של 50,000 ₪. הנתבע טוען כי הטיפולים הפסיכיאטרים מכוסים בסל הבריאות וברפואה הציבורית ואין לפסוק בגינם כל פיצוי. </w:t>
      </w:r>
    </w:p>
    <w:p w:rsidR="005B04DD" w:rsidRDefault="005B04DD" w:rsidP="005B04DD">
      <w:pPr>
        <w:pStyle w:val="ad"/>
        <w:spacing w:after="0"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לאחר שנתתי את דעתי לטיעוני הצדדים בנדון, מעמיד את גובה הפיצוי בראש נזק על סך גלובלי </w:t>
      </w:r>
      <w:r>
        <w:rPr>
          <w:rFonts w:ascii="FrankRuehl" w:hAnsi="FrankRuehl" w:cs="FrankRuehl"/>
          <w:sz w:val="28"/>
          <w:szCs w:val="28"/>
          <w:u w:val="single"/>
          <w:rtl/>
        </w:rPr>
        <w:t>7,500 ₪</w:t>
      </w:r>
      <w:r>
        <w:rPr>
          <w:rFonts w:ascii="FrankRuehl" w:hAnsi="FrankRuehl" w:cs="FrankRuehl"/>
          <w:sz w:val="28"/>
          <w:szCs w:val="28"/>
          <w:rtl/>
        </w:rPr>
        <w:t xml:space="preserve"> ביחס לעבר והעתיד. </w:t>
      </w:r>
      <w:r>
        <w:rPr>
          <w:rFonts w:ascii="Miriam" w:hAnsi="Miriam" w:cs="Miriam"/>
          <w:sz w:val="24"/>
          <w:szCs w:val="24"/>
          <w:rtl/>
        </w:rPr>
        <w:t>ראשית</w:t>
      </w:r>
      <w:r>
        <w:rPr>
          <w:rFonts w:ascii="FrankRuehl" w:hAnsi="FrankRuehl" w:cs="FrankRuehl"/>
          <w:sz w:val="28"/>
          <w:szCs w:val="28"/>
          <w:rtl/>
        </w:rPr>
        <w:t xml:space="preserve"> - ביחס לעבר, לא צורפו קבלות כלשהן או ראיות אחרות. עם זאת, כעולה מחוות הדעת, התובעת עברה טיפולים נפשיים למשך תקופה ארוכה. </w:t>
      </w:r>
      <w:r>
        <w:rPr>
          <w:rFonts w:ascii="Miriam" w:hAnsi="Miriam" w:cs="Miriam"/>
          <w:sz w:val="24"/>
          <w:szCs w:val="24"/>
          <w:rtl/>
        </w:rPr>
        <w:t>שנית</w:t>
      </w:r>
      <w:r>
        <w:rPr>
          <w:rFonts w:ascii="FrankRuehl" w:hAnsi="FrankRuehl" w:cs="FrankRuehl"/>
          <w:sz w:val="28"/>
          <w:szCs w:val="28"/>
          <w:rtl/>
        </w:rPr>
        <w:t xml:space="preserve"> - ביחס לעתיד, הגם המומחית ממליצה על המשך טיפולים פסיכיאטריים תרופתיים, אך התובעת מתנגדת לכך (ש' 27-18, ע' 45). לצד זאת, המומחית הסבירה, כי הטיפול הנפשי הוא תהליך קשה וכואב (ש' 24-19, ע' 36). נזכיר מדובר בנכות בשיעור לא נמוך, בלשון המעטה. אי-לכך, על מנת שלא תקופח זכות התובעת לפיצוי בראש נזק זה שהוכח כי קיים, נפסק הסכום לעיל.</w:t>
      </w:r>
    </w:p>
    <w:p w:rsidR="005B04DD" w:rsidRDefault="005B04DD" w:rsidP="005B04DD">
      <w:pPr>
        <w:spacing w:line="360" w:lineRule="auto"/>
        <w:jc w:val="both"/>
        <w:rPr>
          <w:rFonts w:ascii="FrankRuehl" w:hAnsi="FrankRuehl" w:cs="FrankRuehl"/>
          <w:sz w:val="20"/>
          <w:szCs w:val="20"/>
        </w:rPr>
      </w:pPr>
    </w:p>
    <w:p w:rsidR="005B04DD" w:rsidRDefault="005B04DD" w:rsidP="005B04DD">
      <w:pPr>
        <w:spacing w:line="360" w:lineRule="auto"/>
        <w:jc w:val="both"/>
        <w:rPr>
          <w:rFonts w:ascii="FrankRuehl" w:hAnsi="FrankRuehl" w:cs="FrankRuehl"/>
          <w:sz w:val="28"/>
          <w:szCs w:val="28"/>
          <w:rtl/>
        </w:rPr>
      </w:pPr>
      <w:r>
        <w:rPr>
          <w:rFonts w:ascii="Miriam" w:hAnsi="Miriam" w:cs="Miriam"/>
          <w:u w:val="single"/>
          <w:rtl/>
        </w:rPr>
        <w:t>ניכויים</w:t>
      </w:r>
    </w:p>
    <w:p w:rsidR="005B04DD" w:rsidRDefault="005B04DD" w:rsidP="005B04DD">
      <w:pPr>
        <w:spacing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 xml:space="preserve">אין מחלוקת כי בהליך הפלילי נפסק פיצוי לתובעת בס 30,000 ₪. הסכום האמור ינוכה מסך הפיצויים שנפסקו לעיל. </w:t>
      </w:r>
    </w:p>
    <w:p w:rsidR="005B04DD" w:rsidRDefault="005B04DD" w:rsidP="005B04DD">
      <w:pPr>
        <w:spacing w:line="360" w:lineRule="auto"/>
        <w:jc w:val="both"/>
        <w:rPr>
          <w:rFonts w:ascii="FrankRuehl" w:hAnsi="FrankRuehl" w:cs="FrankRuehl"/>
          <w:sz w:val="20"/>
          <w:szCs w:val="20"/>
          <w:rtl/>
        </w:rPr>
      </w:pPr>
    </w:p>
    <w:p w:rsidR="005B04DD" w:rsidRDefault="005B04DD" w:rsidP="005B04DD">
      <w:pPr>
        <w:spacing w:line="360" w:lineRule="auto"/>
        <w:jc w:val="both"/>
        <w:rPr>
          <w:rFonts w:ascii="FrankRuehl" w:hAnsi="FrankRuehl" w:cs="FrankRuehl"/>
          <w:sz w:val="28"/>
          <w:szCs w:val="28"/>
          <w:rtl/>
        </w:rPr>
      </w:pPr>
      <w:r>
        <w:rPr>
          <w:rFonts w:ascii="Miriam" w:hAnsi="Miriam" w:cs="Miriam"/>
          <w:u w:val="single"/>
          <w:rtl/>
        </w:rPr>
        <w:t>תוצאה</w:t>
      </w:r>
    </w:p>
    <w:p w:rsidR="005B04DD" w:rsidRDefault="005B04DD" w:rsidP="005B04DD">
      <w:pPr>
        <w:spacing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לאור האמור, התביעה מתקבלת.</w:t>
      </w:r>
    </w:p>
    <w:p w:rsidR="005B04DD" w:rsidRDefault="005B04DD" w:rsidP="005B04DD">
      <w:pPr>
        <w:pStyle w:val="ad"/>
        <w:spacing w:after="0" w:line="360" w:lineRule="auto"/>
        <w:jc w:val="both"/>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הנתבע יפצה את התובעת בסך 442,500 ₪. הסכום מורכב מסכומים אלה ולאחר ניכוי הפיצוי שהושת בהליך הפלילי, כלהלן:</w:t>
      </w:r>
    </w:p>
    <w:p w:rsidR="005B04DD" w:rsidRDefault="005B04DD" w:rsidP="005B04DD">
      <w:pPr>
        <w:ind w:left="720"/>
        <w:jc w:val="both"/>
        <w:rPr>
          <w:rFonts w:ascii="FrankRuehl" w:hAnsi="FrankRuehl" w:cs="FrankRuehl"/>
          <w:sz w:val="28"/>
          <w:szCs w:val="28"/>
        </w:rPr>
      </w:pPr>
      <w:r>
        <w:rPr>
          <w:rFonts w:ascii="FrankRuehl" w:hAnsi="FrankRuehl" w:cs="FrankRuehl"/>
          <w:sz w:val="28"/>
          <w:szCs w:val="28"/>
          <w:rtl/>
        </w:rPr>
        <w:t xml:space="preserve">כאב וסבל </w:t>
      </w:r>
      <w:r>
        <w:rPr>
          <w:rFonts w:ascii="FrankRuehl" w:hAnsi="FrankRuehl" w:cs="FrankRuehl"/>
          <w:sz w:val="28"/>
          <w:szCs w:val="28"/>
          <w:rtl/>
        </w:rPr>
        <w:tab/>
        <w:t>-</w:t>
      </w:r>
      <w:r>
        <w:rPr>
          <w:rFonts w:ascii="FrankRuehl" w:hAnsi="FrankRuehl" w:cs="FrankRuehl"/>
          <w:sz w:val="28"/>
          <w:szCs w:val="28"/>
          <w:rtl/>
        </w:rPr>
        <w:tab/>
        <w:t>200,000 ₪</w:t>
      </w:r>
    </w:p>
    <w:p w:rsidR="005B04DD" w:rsidRDefault="005B04DD" w:rsidP="005B04DD">
      <w:pPr>
        <w:ind w:left="720"/>
        <w:jc w:val="both"/>
        <w:rPr>
          <w:rFonts w:ascii="FrankRuehl" w:hAnsi="FrankRuehl" w:cs="FrankRuehl"/>
          <w:sz w:val="28"/>
          <w:szCs w:val="28"/>
        </w:rPr>
      </w:pPr>
      <w:r>
        <w:rPr>
          <w:rFonts w:ascii="FrankRuehl" w:hAnsi="FrankRuehl" w:cs="FrankRuehl"/>
          <w:sz w:val="28"/>
          <w:szCs w:val="28"/>
          <w:rtl/>
        </w:rPr>
        <w:t xml:space="preserve">הפסדי שכר </w:t>
      </w:r>
      <w:r>
        <w:rPr>
          <w:rFonts w:ascii="FrankRuehl" w:hAnsi="FrankRuehl" w:cs="FrankRuehl"/>
          <w:sz w:val="28"/>
          <w:szCs w:val="28"/>
          <w:rtl/>
        </w:rPr>
        <w:tab/>
        <w:t>-</w:t>
      </w:r>
      <w:r>
        <w:rPr>
          <w:rFonts w:ascii="FrankRuehl" w:hAnsi="FrankRuehl" w:cs="FrankRuehl"/>
          <w:sz w:val="28"/>
          <w:szCs w:val="28"/>
          <w:rtl/>
        </w:rPr>
        <w:tab/>
        <w:t>250,000 ₪</w:t>
      </w:r>
    </w:p>
    <w:p w:rsidR="005B04DD" w:rsidRDefault="005B04DD" w:rsidP="005B04DD">
      <w:pPr>
        <w:ind w:left="720"/>
        <w:jc w:val="both"/>
        <w:rPr>
          <w:rFonts w:ascii="FrankRuehl" w:hAnsi="FrankRuehl" w:cs="FrankRuehl"/>
          <w:sz w:val="28"/>
          <w:szCs w:val="28"/>
          <w:rtl/>
        </w:rPr>
      </w:pPr>
      <w:r>
        <w:rPr>
          <w:rFonts w:ascii="FrankRuehl" w:hAnsi="FrankRuehl" w:cs="FrankRuehl"/>
          <w:sz w:val="28"/>
          <w:szCs w:val="28"/>
          <w:rtl/>
        </w:rPr>
        <w:t>עזרת הזולת</w:t>
      </w:r>
      <w:r>
        <w:rPr>
          <w:rFonts w:ascii="FrankRuehl" w:hAnsi="FrankRuehl" w:cs="FrankRuehl"/>
          <w:sz w:val="28"/>
          <w:szCs w:val="28"/>
          <w:rtl/>
        </w:rPr>
        <w:tab/>
        <w:t>-</w:t>
      </w:r>
      <w:r>
        <w:rPr>
          <w:rFonts w:ascii="FrankRuehl" w:hAnsi="FrankRuehl" w:cs="FrankRuehl"/>
          <w:sz w:val="28"/>
          <w:szCs w:val="28"/>
          <w:rtl/>
        </w:rPr>
        <w:tab/>
        <w:t>15,000 ₪</w:t>
      </w:r>
    </w:p>
    <w:p w:rsidR="005B04DD" w:rsidRDefault="005B04DD" w:rsidP="005B04DD">
      <w:pPr>
        <w:ind w:left="720"/>
        <w:jc w:val="both"/>
        <w:rPr>
          <w:rFonts w:ascii="FrankRuehl" w:hAnsi="FrankRuehl" w:cs="FrankRuehl"/>
          <w:sz w:val="28"/>
          <w:szCs w:val="28"/>
          <w:rtl/>
        </w:rPr>
      </w:pPr>
      <w:r>
        <w:rPr>
          <w:rFonts w:ascii="FrankRuehl" w:hAnsi="FrankRuehl" w:cs="FrankRuehl"/>
          <w:sz w:val="28"/>
          <w:szCs w:val="28"/>
          <w:rtl/>
        </w:rPr>
        <w:t>הוצאות רפואיות-</w:t>
      </w:r>
      <w:r>
        <w:rPr>
          <w:rFonts w:ascii="FrankRuehl" w:hAnsi="FrankRuehl" w:cs="FrankRuehl"/>
          <w:sz w:val="28"/>
          <w:szCs w:val="28"/>
          <w:rtl/>
        </w:rPr>
        <w:tab/>
        <w:t>7,500 ₪</w:t>
      </w:r>
    </w:p>
    <w:p w:rsidR="005B04DD" w:rsidRDefault="005B04DD" w:rsidP="005B04DD">
      <w:pPr>
        <w:ind w:left="720"/>
        <w:jc w:val="both"/>
        <w:rPr>
          <w:rFonts w:ascii="FrankRuehl" w:hAnsi="FrankRuehl" w:cs="FrankRuehl"/>
          <w:sz w:val="28"/>
          <w:szCs w:val="28"/>
          <w:rtl/>
        </w:rPr>
      </w:pPr>
      <w:r>
        <w:rPr>
          <w:rFonts w:ascii="FrankRuehl" w:hAnsi="FrankRuehl" w:cs="FrankRuehl"/>
          <w:sz w:val="28"/>
          <w:szCs w:val="28"/>
          <w:rtl/>
        </w:rPr>
        <w:t>(ניכוי)</w:t>
      </w:r>
      <w:r>
        <w:rPr>
          <w:rFonts w:ascii="FrankRuehl" w:hAnsi="FrankRuehl" w:cs="FrankRuehl"/>
          <w:sz w:val="28"/>
          <w:szCs w:val="28"/>
          <w:rtl/>
        </w:rPr>
        <w:tab/>
      </w:r>
      <w:r>
        <w:rPr>
          <w:rFonts w:ascii="FrankRuehl" w:hAnsi="FrankRuehl" w:cs="FrankRuehl"/>
          <w:sz w:val="28"/>
          <w:szCs w:val="28"/>
          <w:rtl/>
        </w:rPr>
        <w:tab/>
        <w:t xml:space="preserve">- </w:t>
      </w:r>
      <w:r>
        <w:rPr>
          <w:rFonts w:ascii="FrankRuehl" w:hAnsi="FrankRuehl" w:cs="FrankRuehl"/>
          <w:sz w:val="28"/>
          <w:szCs w:val="28"/>
          <w:rtl/>
        </w:rPr>
        <w:tab/>
        <w:t>(30,000 ₪)</w:t>
      </w:r>
    </w:p>
    <w:p w:rsidR="005B04DD" w:rsidRDefault="005B04DD" w:rsidP="005B04DD">
      <w:pPr>
        <w:pStyle w:val="ad"/>
        <w:spacing w:after="0" w:line="360" w:lineRule="auto"/>
        <w:rPr>
          <w:rFonts w:ascii="FrankRuehl" w:hAnsi="FrankRuehl" w:cs="FrankRuehl"/>
          <w:sz w:val="28"/>
          <w:szCs w:val="28"/>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tl/>
        </w:rPr>
      </w:pPr>
      <w:r>
        <w:rPr>
          <w:rFonts w:ascii="FrankRuehl" w:hAnsi="FrankRuehl" w:cs="FrankRuehl"/>
          <w:sz w:val="28"/>
          <w:szCs w:val="28"/>
          <w:rtl/>
        </w:rPr>
        <w:t xml:space="preserve">לסכום האמור יתווספו הוצאות משפט בסך </w:t>
      </w:r>
      <w:r>
        <w:rPr>
          <w:rFonts w:ascii="FrankRuehl" w:hAnsi="FrankRuehl" w:cs="FrankRuehl"/>
          <w:sz w:val="28"/>
          <w:szCs w:val="28"/>
          <w:u w:val="single"/>
          <w:rtl/>
        </w:rPr>
        <w:t>כולל</w:t>
      </w:r>
      <w:r>
        <w:rPr>
          <w:rFonts w:ascii="FrankRuehl" w:hAnsi="FrankRuehl" w:cs="FrankRuehl"/>
          <w:sz w:val="28"/>
          <w:szCs w:val="28"/>
          <w:rtl/>
        </w:rPr>
        <w:t xml:space="preserve"> 10,000 ₪ ושכר טרחת עורך-דין בשיעור 20% בצירוף מע"מ כדין.</w:t>
      </w:r>
    </w:p>
    <w:p w:rsidR="005B04DD" w:rsidRDefault="005B04DD" w:rsidP="005B04DD">
      <w:pPr>
        <w:pStyle w:val="ad"/>
        <w:spacing w:after="0" w:line="360" w:lineRule="auto"/>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הסכומים האמורים ישולמו לתובעת תוך 30 יום, שאם לא כן, הם יישאו הפרשי הצמדה וריבית ממועד פסק הדין ועד מועד ביצוע התשלום בפועל.</w:t>
      </w:r>
    </w:p>
    <w:p w:rsidR="005B04DD" w:rsidRDefault="005B04DD" w:rsidP="005B04DD">
      <w:pPr>
        <w:pStyle w:val="ad"/>
        <w:rPr>
          <w:rFonts w:ascii="FrankRuehl" w:hAnsi="FrankRuehl" w:cs="FrankRuehl"/>
          <w:sz w:val="20"/>
          <w:szCs w:val="20"/>
          <w:rtl/>
        </w:rPr>
      </w:pPr>
    </w:p>
    <w:p w:rsidR="005B04DD" w:rsidRDefault="005B04DD" w:rsidP="005B04DD">
      <w:pPr>
        <w:pStyle w:val="ad"/>
        <w:numPr>
          <w:ilvl w:val="0"/>
          <w:numId w:val="1"/>
        </w:numPr>
        <w:spacing w:after="0" w:line="360" w:lineRule="auto"/>
        <w:ind w:hanging="636"/>
        <w:jc w:val="both"/>
        <w:rPr>
          <w:rFonts w:ascii="FrankRuehl" w:hAnsi="FrankRuehl" w:cs="FrankRuehl"/>
          <w:sz w:val="28"/>
          <w:szCs w:val="28"/>
        </w:rPr>
      </w:pPr>
      <w:r>
        <w:rPr>
          <w:rFonts w:ascii="FrankRuehl" w:hAnsi="FrankRuehl" w:cs="FrankRuehl"/>
          <w:sz w:val="28"/>
          <w:szCs w:val="28"/>
          <w:rtl/>
        </w:rPr>
        <w:t xml:space="preserve">נוכח ההיבטים המשפטיים שבפסק הדין, בית המשפט שוקל לפרסמו ללא פרטים מזהים. ככל שמי מהצדדים מתנגד לכך, יגיש את נימוקי התנגדותו </w:t>
      </w:r>
      <w:r>
        <w:rPr>
          <w:rFonts w:ascii="FrankRuehl" w:hAnsi="FrankRuehl" w:cs="FrankRuehl"/>
          <w:sz w:val="28"/>
          <w:szCs w:val="28"/>
          <w:u w:val="single"/>
          <w:rtl/>
        </w:rPr>
        <w:t>עד יום 21.6.2022</w:t>
      </w:r>
      <w:r>
        <w:rPr>
          <w:rFonts w:ascii="FrankRuehl" w:hAnsi="FrankRuehl" w:cs="FrankRuehl"/>
          <w:sz w:val="28"/>
          <w:szCs w:val="28"/>
          <w:rtl/>
        </w:rPr>
        <w:t>.</w:t>
      </w:r>
    </w:p>
    <w:p w:rsidR="005B04DD" w:rsidRDefault="005B04DD" w:rsidP="005B04DD">
      <w:pPr>
        <w:spacing w:line="360" w:lineRule="auto"/>
        <w:jc w:val="both"/>
        <w:rPr>
          <w:rFonts w:ascii="FrankRuehl" w:hAnsi="FrankRuehl" w:cs="FrankRuehl"/>
          <w:sz w:val="20"/>
          <w:szCs w:val="20"/>
          <w:rtl/>
        </w:rPr>
      </w:pPr>
    </w:p>
    <w:p w:rsidR="005B04DD" w:rsidRDefault="005B04DD" w:rsidP="005B04DD">
      <w:pPr>
        <w:spacing w:line="360" w:lineRule="auto"/>
        <w:jc w:val="both"/>
        <w:rPr>
          <w:rFonts w:ascii="FrankRuehl" w:hAnsi="FrankRuehl" w:cs="FrankRuehl"/>
          <w:sz w:val="28"/>
          <w:szCs w:val="28"/>
        </w:rPr>
      </w:pPr>
      <w:r>
        <w:rPr>
          <w:rFonts w:ascii="FrankRuehl" w:hAnsi="FrankRuehl" w:cs="FrankRuehl"/>
          <w:sz w:val="28"/>
          <w:szCs w:val="28"/>
          <w:rtl/>
        </w:rPr>
        <w:t>זכות ערעור כקבוע בדין.</w:t>
      </w:r>
    </w:p>
    <w:p w:rsidR="005B04DD" w:rsidRDefault="005B04DD" w:rsidP="005B04DD">
      <w:pPr>
        <w:spacing w:line="360" w:lineRule="auto"/>
        <w:jc w:val="both"/>
        <w:rPr>
          <w:rFonts w:ascii="FrankRuehl" w:hAnsi="FrankRuehl" w:cs="FrankRuehl"/>
          <w:sz w:val="20"/>
          <w:szCs w:val="20"/>
          <w:rtl/>
        </w:rPr>
      </w:pPr>
    </w:p>
    <w:p w:rsidR="00694556" w:rsidRPr="00C770E3" w:rsidRDefault="005B04DD" w:rsidP="005B04DD">
      <w:pPr>
        <w:spacing w:line="360" w:lineRule="auto"/>
        <w:jc w:val="both"/>
        <w:rPr>
          <w:rFonts w:ascii="Arial" w:hAnsi="Arial"/>
          <w:noProof w:val="0"/>
          <w:rtl/>
        </w:rPr>
      </w:pPr>
      <w:r>
        <w:rPr>
          <w:rFonts w:ascii="FrankRuehl" w:hAnsi="FrankRuehl" w:cs="FrankRuehl"/>
          <w:sz w:val="28"/>
          <w:szCs w:val="28"/>
          <w:u w:val="single"/>
          <w:rtl/>
        </w:rPr>
        <w:t>המזכירות - להודיע לצדדים ולהמציא להם את פסק הדין בהתאם</w:t>
      </w:r>
      <w:r>
        <w:rPr>
          <w:rFonts w:ascii="FrankRuehl" w:hAnsi="FrankRuehl" w:cs="FrankRuehl"/>
          <w:sz w:val="28"/>
          <w:szCs w:val="28"/>
          <w:rtl/>
        </w:rPr>
        <w:t>.</w:t>
      </w:r>
    </w:p>
    <w:p w:rsidR="00694556" w:rsidRPr="00C770E3" w:rsidRDefault="00694556">
      <w:pPr>
        <w:spacing w:line="360" w:lineRule="auto"/>
        <w:jc w:val="both"/>
        <w:rPr>
          <w:rFonts w:ascii="Arial" w:hAnsi="Arial"/>
          <w:noProof w:val="0"/>
          <w:rtl/>
        </w:rPr>
      </w:pPr>
    </w:p>
    <w:p w:rsidR="00487701" w:rsidRPr="00C770E3" w:rsidRDefault="00487701" w:rsidP="00406B24">
      <w:pPr>
        <w:spacing w:line="360" w:lineRule="auto"/>
        <w:jc w:val="both"/>
        <w:rPr>
          <w:rFonts w:ascii="Arial" w:hAnsi="Arial"/>
          <w:noProof w:val="0"/>
          <w:rtl/>
        </w:rPr>
      </w:pPr>
      <w:r w:rsidRPr="00487701">
        <w:rPr>
          <w:rFonts w:ascii="FrankRuehl" w:hAnsi="FrankRuehl" w:cs="FrankRuehl"/>
          <w:noProof w:val="0"/>
          <w:sz w:val="28"/>
          <w:szCs w:val="28"/>
          <w:rtl/>
        </w:rPr>
        <w:t>הערה: פסק הדין ניתן ביום 9.6.2022. היום מפורסם הנוסח שמותר לפרסום</w:t>
      </w:r>
      <w:r>
        <w:rPr>
          <w:rFonts w:ascii="Arial" w:hAnsi="Arial" w:hint="cs"/>
          <w:noProof w:val="0"/>
          <w:rtl/>
        </w:rPr>
        <w:t>.</w:t>
      </w: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כ"ז אב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24 אוגוסט 2022</w:t>
          </w:r>
        </w:sdtContent>
      </w:sdt>
      <w:r w:rsidR="00005C8B">
        <w:rPr>
          <w:rFonts w:ascii="Arial" w:hAnsi="Arial"/>
          <w:noProof w:val="0"/>
          <w:rtl/>
        </w:rPr>
        <w:t>, בהעדר הצדדים.</w:t>
      </w:r>
    </w:p>
    <w:p w:rsidR="00C43648" w:rsidRDefault="00BD6ED2"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1209808"/>
        </w:sdtPr>
        <w:sdtEndPr/>
        <w:sdtContent>
          <w:r w:rsidR="0028287F">
            <w:drawing>
              <wp:inline distT="0" distB="0" distL="0" distR="0" wp14:editId="50D07946">
                <wp:extent cx="1685925" cy="139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685925" cy="13906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default" r:id="rId9"/>
      <w:footerReference w:type="default" r:id="rId10"/>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06B24" w:rsidRDefault="000C3B60">
    <w:pPr>
      <w:pStyle w:val="a4"/>
      <w:jc w:val="center"/>
      <w:rPr>
        <w:rStyle w:val="ab"/>
        <w:rFonts w:ascii="David" w:hAnsi="David"/>
      </w:rPr>
    </w:pPr>
    <w:r w:rsidRPr="00406B24">
      <w:rPr>
        <w:rStyle w:val="ab"/>
        <w:rFonts w:ascii="David" w:hAnsi="David"/>
      </w:rPr>
      <w:fldChar w:fldCharType="begin"/>
    </w:r>
    <w:r w:rsidR="00005C8B" w:rsidRPr="00406B24">
      <w:rPr>
        <w:rStyle w:val="ab"/>
        <w:rFonts w:ascii="David" w:hAnsi="David"/>
      </w:rPr>
      <w:instrText xml:space="preserve"> PAGE </w:instrText>
    </w:r>
    <w:r w:rsidRPr="00406B24">
      <w:rPr>
        <w:rStyle w:val="ab"/>
        <w:rFonts w:ascii="David" w:hAnsi="David"/>
      </w:rPr>
      <w:fldChar w:fldCharType="separate"/>
    </w:r>
    <w:r w:rsidR="00BD6ED2">
      <w:rPr>
        <w:rStyle w:val="ab"/>
        <w:rFonts w:ascii="David" w:hAnsi="David"/>
        <w:rtl/>
      </w:rPr>
      <w:t>1</w:t>
    </w:r>
    <w:r w:rsidRPr="00406B24">
      <w:rPr>
        <w:rStyle w:val="ab"/>
        <w:rFonts w:ascii="David" w:hAnsi="David"/>
      </w:rPr>
      <w:fldChar w:fldCharType="end"/>
    </w:r>
    <w:r w:rsidR="00005C8B" w:rsidRPr="00406B24">
      <w:rPr>
        <w:rStyle w:val="ab"/>
        <w:rFonts w:ascii="David" w:hAnsi="David"/>
        <w:rtl/>
      </w:rPr>
      <w:t xml:space="preserve"> מתוך </w:t>
    </w:r>
    <w:r w:rsidRPr="00406B24">
      <w:rPr>
        <w:rStyle w:val="ab"/>
        <w:rFonts w:ascii="David" w:hAnsi="David"/>
      </w:rPr>
      <w:fldChar w:fldCharType="begin"/>
    </w:r>
    <w:r w:rsidR="00005C8B" w:rsidRPr="00406B24">
      <w:rPr>
        <w:rStyle w:val="ab"/>
        <w:rFonts w:ascii="David" w:hAnsi="David"/>
      </w:rPr>
      <w:instrText xml:space="preserve"> NUMPAGES </w:instrText>
    </w:r>
    <w:r w:rsidRPr="00406B24">
      <w:rPr>
        <w:rStyle w:val="ab"/>
        <w:rFonts w:ascii="David" w:hAnsi="David"/>
      </w:rPr>
      <w:fldChar w:fldCharType="separate"/>
    </w:r>
    <w:r w:rsidR="00BD6ED2">
      <w:rPr>
        <w:rStyle w:val="ab"/>
        <w:rFonts w:ascii="David" w:hAnsi="David"/>
        <w:rtl/>
      </w:rPr>
      <w:t>1</w:t>
    </w:r>
    <w:r w:rsidRPr="00406B24">
      <w:rPr>
        <w:rStyle w:val="ab"/>
        <w:rFonts w:ascii="David" w:hAnsi="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BD6ED2" w:rsidP="005B04DD">
          <w:pPr>
            <w:rPr>
              <w:b/>
              <w:bCs/>
              <w:noProof w:val="0"/>
              <w:sz w:val="26"/>
              <w:szCs w:val="26"/>
              <w:rtl/>
            </w:rPr>
          </w:pPr>
          <w:sdt>
            <w:sdtPr>
              <w:rPr>
                <w:rtl/>
              </w:rPr>
              <w:alias w:val="1170"/>
              <w:tag w:val="1170"/>
              <w:id w:val="1066377040"/>
              <w:text w:multiLine="1"/>
            </w:sdtPr>
            <w:sdtEndPr/>
            <w:sdtContent>
              <w:r w:rsidR="00B859C5">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B859C5">
                <w:rPr>
                  <w:b/>
                  <w:bCs/>
                  <w:noProof w:val="0"/>
                  <w:sz w:val="26"/>
                  <w:szCs w:val="26"/>
                  <w:rtl/>
                </w:rPr>
                <w:t>18840-03-18</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פלוני</w:t>
              </w:r>
              <w:r w:rsidR="005B04DD">
                <w:rPr>
                  <w:rFonts w:hint="cs"/>
                  <w:b/>
                  <w:bCs/>
                  <w:noProof w:val="0"/>
                  <w:sz w:val="26"/>
                  <w:szCs w:val="26"/>
                  <w:rtl/>
                </w:rPr>
                <w:t>ת</w:t>
              </w:r>
              <w:r w:rsidR="00B859C5">
                <w:rPr>
                  <w:b/>
                  <w:bCs/>
                  <w:noProof w:val="0"/>
                  <w:sz w:val="26"/>
                  <w:szCs w:val="26"/>
                  <w:rtl/>
                </w:rPr>
                <w:t xml:space="preserve"> נ' </w:t>
              </w:r>
              <w:r w:rsidR="005B04DD">
                <w:rPr>
                  <w:rFonts w:hint="cs"/>
                  <w:b/>
                  <w:bCs/>
                  <w:noProof w:val="0"/>
                  <w:sz w:val="26"/>
                  <w:szCs w:val="26"/>
                  <w:rtl/>
                </w:rPr>
                <w:t>פלוני</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8D10B2" w:rsidRPr="00E1068A" w:rsidRDefault="007D45E3" w:rsidP="005B04DD">
          <w:pPr>
            <w:rPr>
              <w:sz w:val="20"/>
              <w:szCs w:val="20"/>
              <w:rtl/>
            </w:rPr>
          </w:pPr>
          <w:r>
            <w:rPr>
              <w:rFonts w:hint="cs"/>
              <w:rtl/>
            </w:rPr>
            <w:t xml:space="preserve">                           </w:t>
          </w:r>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F32B95"/>
    <w:multiLevelType w:val="hybridMultilevel"/>
    <w:tmpl w:val="87AC6A72"/>
    <w:lvl w:ilvl="0" w:tplc="2F3EB3D2">
      <w:start w:val="1"/>
      <w:numFmt w:val="decimal"/>
      <w:lvlText w:val="%1)"/>
      <w:lvlJc w:val="left"/>
      <w:pPr>
        <w:ind w:left="720" w:hanging="360"/>
      </w:pPr>
      <w:rPr>
        <w:rFonts w:asciiTheme="minorHAnsi" w:hAnsiTheme="minorHAnsi" w:cstheme="minorHAnsi" w:hint="default"/>
        <w:b/>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14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74503"/>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71B56"/>
    <w:rsid w:val="00272E32"/>
    <w:rsid w:val="0028287F"/>
    <w:rsid w:val="00285713"/>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C5C28"/>
    <w:rsid w:val="003D1C8C"/>
    <w:rsid w:val="003E38C7"/>
    <w:rsid w:val="003F32AB"/>
    <w:rsid w:val="0040096C"/>
    <w:rsid w:val="00406B24"/>
    <w:rsid w:val="00414F1F"/>
    <w:rsid w:val="0043125D"/>
    <w:rsid w:val="0043502B"/>
    <w:rsid w:val="00436827"/>
    <w:rsid w:val="004443AC"/>
    <w:rsid w:val="00444B02"/>
    <w:rsid w:val="00451E28"/>
    <w:rsid w:val="00462C62"/>
    <w:rsid w:val="00465D36"/>
    <w:rsid w:val="00487701"/>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385"/>
    <w:rsid w:val="00576A86"/>
    <w:rsid w:val="005B04DD"/>
    <w:rsid w:val="005E4CE4"/>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B0BB9"/>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0C24"/>
    <w:rsid w:val="00AA3229"/>
    <w:rsid w:val="00AA7596"/>
    <w:rsid w:val="00AB1A68"/>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D6ED2"/>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6649"/>
    <w:rsid w:val="00DC1259"/>
    <w:rsid w:val="00DC1BD2"/>
    <w:rsid w:val="00DC2571"/>
    <w:rsid w:val="00DC487C"/>
    <w:rsid w:val="00DD05A8"/>
    <w:rsid w:val="00DD4335"/>
    <w:rsid w:val="00DE1E7D"/>
    <w:rsid w:val="00DE6BF6"/>
    <w:rsid w:val="00DF5EA4"/>
    <w:rsid w:val="00E00709"/>
    <w:rsid w:val="00E1068A"/>
    <w:rsid w:val="00E25884"/>
    <w:rsid w:val="00E25B55"/>
    <w:rsid w:val="00E31C2B"/>
    <w:rsid w:val="00E5426A"/>
    <w:rsid w:val="00E54642"/>
    <w:rsid w:val="00E80CBE"/>
    <w:rsid w:val="00E9269D"/>
    <w:rsid w:val="00E962E3"/>
    <w:rsid w:val="00EB6C79"/>
    <w:rsid w:val="00EC37E9"/>
    <w:rsid w:val="00ED5AF3"/>
    <w:rsid w:val="00F038D8"/>
    <w:rsid w:val="00F06995"/>
    <w:rsid w:val="00F12D66"/>
    <w:rsid w:val="00F13623"/>
    <w:rsid w:val="00F44D1D"/>
    <w:rsid w:val="00F84B6D"/>
    <w:rsid w:val="00F924E2"/>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401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5B04DD"/>
    <w:pPr>
      <w:spacing w:after="160" w:line="254"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732964">
      <w:bodyDiv w:val="1"/>
      <w:marLeft w:val="0"/>
      <w:marRight w:val="0"/>
      <w:marTop w:val="0"/>
      <w:marBottom w:val="0"/>
      <w:divBdr>
        <w:top w:val="none" w:sz="0" w:space="0" w:color="auto"/>
        <w:left w:val="none" w:sz="0" w:space="0" w:color="auto"/>
        <w:bottom w:val="none" w:sz="0" w:space="0" w:color="auto"/>
        <w:right w:val="none" w:sz="0" w:space="0" w:color="auto"/>
      </w:divBdr>
    </w:div>
    <w:div w:id="116038783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6790C" w:rsidP="0036790C">
          <w:pPr>
            <w:pStyle w:val="E460D38E05664FF79D4EFF282EF8EC9926"/>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D0835A28627A476594973290286577B2"/>
        <w:category>
          <w:name w:val="כללי"/>
          <w:gallery w:val="placeholder"/>
        </w:category>
        <w:types>
          <w:type w:val="bbPlcHdr"/>
        </w:types>
        <w:behaviors>
          <w:behavior w:val="content"/>
        </w:behaviors>
        <w:guid w:val="{B58AC2E4-A63A-41F5-B07A-05150DB4A8E9}"/>
      </w:docPartPr>
      <w:docPartBody>
        <w:p w:rsidR="00817811" w:rsidRDefault="00817811" w:rsidP="00817811">
          <w:pPr>
            <w:pStyle w:val="D0835A28627A476594973290286577B21"/>
          </w:pPr>
          <w:r w:rsidRPr="007C2453">
            <w:rPr>
              <w:rFonts w:ascii="Arial" w:hAnsi="Arial"/>
              <w:b/>
              <w:bCs/>
              <w:noProof w:val="0"/>
              <w:sz w:val="26"/>
              <w:szCs w:val="26"/>
              <w:rtl/>
            </w:rPr>
            <w:t>שם צד ג'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817811" w:rsidRDefault="00817811" w:rsidP="00817811">
          <w:pPr>
            <w:pStyle w:val="C0D9D4EB038F4D9DB24B5A2B7A8F2E7B1"/>
          </w:pPr>
          <w:r w:rsidRPr="00272E32">
            <w:rPr>
              <w:rFonts w:ascii="Arial" w:hAnsi="Arial"/>
              <w:b/>
              <w:bCs/>
              <w:noProof w:val="0"/>
              <w:sz w:val="26"/>
              <w:szCs w:val="26"/>
              <w:rtl/>
            </w:rPr>
            <w:t>מעמד.כינוי צד ג'</w:t>
          </w:r>
        </w:p>
      </w:docPartBody>
    </w:docPart>
    <w:docPart>
      <w:docPartPr>
        <w:name w:val="506C484190394284B234A40201C744A6"/>
        <w:category>
          <w:name w:val="כללי"/>
          <w:gallery w:val="placeholder"/>
        </w:category>
        <w:types>
          <w:type w:val="bbPlcHdr"/>
        </w:types>
        <w:behaviors>
          <w:behavior w:val="content"/>
        </w:behaviors>
        <w:guid w:val="{07F971C8-DD22-4C6B-9356-B0F753BBB41E}"/>
      </w:docPartPr>
      <w:docPartBody>
        <w:p w:rsidR="00D47E8B" w:rsidRDefault="0036790C" w:rsidP="0036790C">
          <w:pPr>
            <w:pStyle w:val="506C484190394284B234A40201C744A6"/>
          </w:pPr>
          <w:r>
            <w:rPr>
              <w:rFonts w:ascii="Arial" w:hAnsi="Arial"/>
              <w:b/>
              <w:bCs/>
              <w:sz w:val="26"/>
              <w:szCs w:val="26"/>
              <w:rtl/>
            </w:rPr>
            <w:t>שם צד א' ללא שם של חסוי</w:t>
          </w:r>
        </w:p>
      </w:docPartBody>
    </w:docPart>
    <w:docPart>
      <w:docPartPr>
        <w:name w:val="17B003EB72AA489B9E4A240556F3C79F"/>
        <w:category>
          <w:name w:val="כללי"/>
          <w:gallery w:val="placeholder"/>
        </w:category>
        <w:types>
          <w:type w:val="bbPlcHdr"/>
        </w:types>
        <w:behaviors>
          <w:behavior w:val="content"/>
        </w:behaviors>
        <w:guid w:val="{36142881-15B8-4FCC-ACED-D245B8FCED31}"/>
      </w:docPartPr>
      <w:docPartBody>
        <w:p w:rsidR="00D47E8B" w:rsidRDefault="0036790C" w:rsidP="0036790C">
          <w:pPr>
            <w:pStyle w:val="17B003EB72AA489B9E4A240556F3C79F"/>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36790C"/>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D47E8B"/>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6790C"/>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36790C"/>
    <w:pPr>
      <w:bidi/>
      <w:spacing w:after="0" w:line="240" w:lineRule="auto"/>
    </w:pPr>
    <w:rPr>
      <w:rFonts w:ascii="Times New Roman" w:eastAsia="Times New Roman" w:hAnsi="Times New Roman" w:cs="David"/>
      <w:noProof/>
      <w:sz w:val="24"/>
      <w:szCs w:val="24"/>
    </w:rPr>
  </w:style>
  <w:style w:type="paragraph" w:customStyle="1" w:styleId="F9E7054655F84B11A466ACCB919EA52B">
    <w:name w:val="F9E7054655F84B11A466ACCB919EA52B"/>
    <w:rsid w:val="0036790C"/>
    <w:pPr>
      <w:bidi/>
      <w:spacing w:after="160" w:line="259" w:lineRule="auto"/>
    </w:pPr>
  </w:style>
  <w:style w:type="paragraph" w:customStyle="1" w:styleId="B4B28C11421F4335B7C680D9165AD395">
    <w:name w:val="B4B28C11421F4335B7C680D9165AD395"/>
    <w:rsid w:val="0036790C"/>
    <w:pPr>
      <w:bidi/>
      <w:spacing w:after="160" w:line="259" w:lineRule="auto"/>
    </w:pPr>
  </w:style>
  <w:style w:type="paragraph" w:customStyle="1" w:styleId="C1C293918CB44F6DA16E2C82C7EE517F">
    <w:name w:val="C1C293918CB44F6DA16E2C82C7EE517F"/>
    <w:rsid w:val="0036790C"/>
    <w:pPr>
      <w:bidi/>
      <w:spacing w:after="160" w:line="259" w:lineRule="auto"/>
    </w:pPr>
  </w:style>
  <w:style w:type="paragraph" w:customStyle="1" w:styleId="94BFBD07DD7F479988BF5E7D50FA3375">
    <w:name w:val="94BFBD07DD7F479988BF5E7D50FA3375"/>
    <w:rsid w:val="0036790C"/>
    <w:pPr>
      <w:bidi/>
      <w:spacing w:after="160" w:line="259" w:lineRule="auto"/>
    </w:pPr>
  </w:style>
  <w:style w:type="paragraph" w:customStyle="1" w:styleId="506C484190394284B234A40201C744A6">
    <w:name w:val="506C484190394284B234A40201C744A6"/>
    <w:rsid w:val="0036790C"/>
    <w:pPr>
      <w:bidi/>
      <w:spacing w:after="160" w:line="259" w:lineRule="auto"/>
    </w:pPr>
  </w:style>
  <w:style w:type="paragraph" w:customStyle="1" w:styleId="17B003EB72AA489B9E4A240556F3C79F">
    <w:name w:val="17B003EB72AA489B9E4A240556F3C79F"/>
    <w:rsid w:val="0036790C"/>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4943</Words>
  <Characters>24717</Characters>
  <Application>Microsoft Office Word</Application>
  <DocSecurity>4</DocSecurity>
  <Lines>205</Lines>
  <Paragraphs>59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cp:lastPrinted>2022-08-24T12:04:00Z</cp:lastPrinted>
  <dcterms:created xsi:type="dcterms:W3CDTF">2022-09-13T12:09:00Z</dcterms:created>
  <dcterms:modified xsi:type="dcterms:W3CDTF">2022-09-13T12:09:00Z</dcterms:modified>
</cp:coreProperties>
</file>