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B0D" w:rsidRPr="00A76B0D" w:rsidRDefault="00A76B0D" w:rsidP="00A76B0D">
      <w:pPr>
        <w:pStyle w:val="Ruller41"/>
        <w:jc w:val="center"/>
        <w:rPr>
          <w:b/>
          <w:bCs/>
          <w:sz w:val="30"/>
          <w:szCs w:val="36"/>
          <w:u w:val="single"/>
          <w:rtl/>
        </w:rPr>
      </w:pPr>
      <w:bookmarkStart w:id="0" w:name="_GoBack"/>
      <w:bookmarkEnd w:id="0"/>
      <w:r w:rsidRPr="00A76B0D">
        <w:rPr>
          <w:rFonts w:hint="cs"/>
          <w:b/>
          <w:bCs/>
          <w:sz w:val="30"/>
          <w:szCs w:val="36"/>
          <w:u w:val="single"/>
          <w:rtl/>
        </w:rPr>
        <w:t>תקציר</w:t>
      </w:r>
    </w:p>
    <w:p w:rsidR="004E147C" w:rsidRDefault="00002743" w:rsidP="00A76B0D">
      <w:pPr>
        <w:pStyle w:val="Ruller41"/>
        <w:jc w:val="center"/>
        <w:rPr>
          <w:b/>
          <w:bCs/>
          <w:u w:val="single"/>
          <w:rtl/>
        </w:rPr>
      </w:pPr>
      <w:r w:rsidRPr="00A76B0D">
        <w:rPr>
          <w:rFonts w:hint="cs"/>
          <w:b/>
          <w:bCs/>
          <w:u w:val="single"/>
          <w:rtl/>
        </w:rPr>
        <w:t xml:space="preserve">ע"א 1726/21 בכרי נ' </w:t>
      </w:r>
      <w:proofErr w:type="spellStart"/>
      <w:r w:rsidRPr="00A76B0D">
        <w:rPr>
          <w:rFonts w:hint="cs"/>
          <w:b/>
          <w:bCs/>
          <w:u w:val="single"/>
          <w:rtl/>
        </w:rPr>
        <w:t>מגנאג'י</w:t>
      </w:r>
      <w:proofErr w:type="spellEnd"/>
      <w:r w:rsidRPr="00A76B0D">
        <w:rPr>
          <w:rFonts w:hint="cs"/>
          <w:b/>
          <w:bCs/>
          <w:u w:val="single"/>
          <w:rtl/>
        </w:rPr>
        <w:t xml:space="preserve"> </w:t>
      </w:r>
      <w:r w:rsidR="003335F9" w:rsidRPr="00A76B0D">
        <w:rPr>
          <w:rFonts w:hint="cs"/>
          <w:b/>
          <w:bCs/>
          <w:u w:val="single"/>
          <w:rtl/>
        </w:rPr>
        <w:t>(</w:t>
      </w:r>
      <w:r w:rsidR="003335F9" w:rsidRPr="00A76B0D">
        <w:rPr>
          <w:b/>
          <w:bCs/>
          <w:u w:val="single"/>
          <w:rtl/>
        </w:rPr>
        <w:t>23</w:t>
      </w:r>
      <w:r w:rsidR="003335F9" w:rsidRPr="00A76B0D">
        <w:rPr>
          <w:rFonts w:hint="cs"/>
          <w:b/>
          <w:bCs/>
          <w:u w:val="single"/>
          <w:rtl/>
        </w:rPr>
        <w:t>.11.2022)</w:t>
      </w:r>
    </w:p>
    <w:p w:rsidR="00A76B0D" w:rsidRPr="00A76B0D" w:rsidRDefault="00A76B0D" w:rsidP="00A76B0D">
      <w:pPr>
        <w:pStyle w:val="Ruller41"/>
        <w:jc w:val="center"/>
        <w:rPr>
          <w:rFonts w:ascii="Century" w:hAnsi="Century"/>
          <w:rtl/>
        </w:rPr>
      </w:pPr>
      <w:r w:rsidRPr="00A76B0D">
        <w:rPr>
          <w:rFonts w:ascii="Century" w:hAnsi="Century" w:hint="cs"/>
          <w:rtl/>
        </w:rPr>
        <w:t xml:space="preserve">(השופטים </w:t>
      </w:r>
      <w:r w:rsidRPr="00A76B0D">
        <w:rPr>
          <w:rFonts w:ascii="Century" w:hAnsi="Century" w:cs="Miriam" w:hint="cs"/>
          <w:b/>
          <w:spacing w:val="0"/>
          <w:szCs w:val="24"/>
          <w:rtl/>
        </w:rPr>
        <w:t>י' עמית</w:t>
      </w:r>
      <w:r w:rsidRPr="00A76B0D">
        <w:rPr>
          <w:rFonts w:ascii="Century" w:hAnsi="Century" w:hint="cs"/>
          <w:rtl/>
        </w:rPr>
        <w:t xml:space="preserve">, </w:t>
      </w:r>
      <w:r w:rsidRPr="00A76B0D">
        <w:rPr>
          <w:rFonts w:ascii="Century" w:hAnsi="Century" w:cs="Miriam" w:hint="cs"/>
          <w:b/>
          <w:spacing w:val="0"/>
          <w:szCs w:val="24"/>
          <w:rtl/>
        </w:rPr>
        <w:t>ד' מינץ</w:t>
      </w:r>
      <w:r w:rsidRPr="00A76B0D">
        <w:rPr>
          <w:rFonts w:ascii="Century" w:hAnsi="Century" w:hint="cs"/>
          <w:rtl/>
        </w:rPr>
        <w:t xml:space="preserve">, </w:t>
      </w:r>
      <w:r w:rsidRPr="00A76B0D">
        <w:rPr>
          <w:rFonts w:ascii="Century" w:hAnsi="Century" w:cs="Miriam" w:hint="cs"/>
          <w:b/>
          <w:spacing w:val="0"/>
          <w:szCs w:val="24"/>
          <w:rtl/>
        </w:rPr>
        <w:t>א' שטיין</w:t>
      </w:r>
      <w:r w:rsidRPr="00A76B0D">
        <w:rPr>
          <w:rFonts w:ascii="Century" w:hAnsi="Century" w:hint="cs"/>
          <w:rtl/>
        </w:rPr>
        <w:t>)</w:t>
      </w:r>
    </w:p>
    <w:p w:rsidR="00D421E4" w:rsidRPr="00D421E4" w:rsidRDefault="00D421E4" w:rsidP="00D421E4">
      <w:pPr>
        <w:pStyle w:val="Ruller41"/>
        <w:spacing w:line="240" w:lineRule="auto"/>
        <w:rPr>
          <w:b/>
          <w:bCs/>
          <w:sz w:val="16"/>
          <w:szCs w:val="22"/>
          <w:rtl/>
        </w:rPr>
      </w:pPr>
    </w:p>
    <w:p w:rsidR="006C1127" w:rsidRPr="005240D8" w:rsidRDefault="00002743" w:rsidP="00A76B0D">
      <w:pPr>
        <w:pStyle w:val="Ruller41"/>
        <w:rPr>
          <w:b/>
          <w:bCs/>
          <w:rtl/>
        </w:rPr>
      </w:pPr>
      <w:r w:rsidRPr="005240D8">
        <w:rPr>
          <w:rFonts w:hint="cs"/>
          <w:b/>
          <w:bCs/>
          <w:rtl/>
        </w:rPr>
        <w:t xml:space="preserve">בית המשפט העליון דן בערעור שהגיש מוחמד בכרי, היוצר, הבמאי והמפיק של הסרט "ג'נין </w:t>
      </w:r>
      <w:proofErr w:type="spellStart"/>
      <w:r w:rsidRPr="005240D8">
        <w:rPr>
          <w:rFonts w:hint="cs"/>
          <w:b/>
          <w:bCs/>
          <w:rtl/>
        </w:rPr>
        <w:t>ג'נין</w:t>
      </w:r>
      <w:proofErr w:type="spellEnd"/>
      <w:r w:rsidRPr="005240D8">
        <w:rPr>
          <w:rFonts w:hint="cs"/>
          <w:b/>
          <w:bCs/>
          <w:rtl/>
        </w:rPr>
        <w:t>"</w:t>
      </w:r>
      <w:r w:rsidR="002B6767" w:rsidRPr="005240D8">
        <w:rPr>
          <w:rFonts w:hint="cs"/>
          <w:b/>
          <w:bCs/>
          <w:rtl/>
        </w:rPr>
        <w:t xml:space="preserve">, בעקבות תביעת לשון הרע שהתקבלה </w:t>
      </w:r>
      <w:r w:rsidR="00B82D05" w:rsidRPr="005240D8">
        <w:rPr>
          <w:rFonts w:hint="cs"/>
          <w:b/>
          <w:bCs/>
          <w:rtl/>
        </w:rPr>
        <w:t xml:space="preserve">נגדו </w:t>
      </w:r>
      <w:r w:rsidR="002B6767" w:rsidRPr="005240D8">
        <w:rPr>
          <w:rFonts w:hint="cs"/>
          <w:b/>
          <w:bCs/>
          <w:rtl/>
        </w:rPr>
        <w:t>בבית המשפט המחוזי</w:t>
      </w:r>
      <w:r w:rsidRPr="005240D8">
        <w:rPr>
          <w:rFonts w:hint="cs"/>
          <w:b/>
          <w:bCs/>
          <w:rtl/>
        </w:rPr>
        <w:t xml:space="preserve">. </w:t>
      </w:r>
      <w:r w:rsidR="006C1127" w:rsidRPr="005240D8">
        <w:rPr>
          <w:rFonts w:hint="cs"/>
          <w:b/>
          <w:bCs/>
          <w:rtl/>
        </w:rPr>
        <w:t xml:space="preserve">בפסק הדין בערעור נקבע, פה אחד, כי יש להטיל על בכרי אחריות בגין ארבע הקרנות של הסרט שבוצעו בין השנים 2012-2010. עוד נקבע, בדעת רוב של השופטים שטיין ומינץ, כי יש להטיל על בכרי אחריות בגין פרסום הסרט באתר </w:t>
      </w:r>
      <w:r w:rsidR="00F0552C" w:rsidRPr="003A29D9">
        <w:rPr>
          <w:rFonts w:asciiTheme="majorBidi" w:hAnsiTheme="majorBidi" w:cstheme="majorBidi"/>
          <w:b/>
          <w:bCs/>
          <w:sz w:val="24"/>
          <w:szCs w:val="24"/>
        </w:rPr>
        <w:t>YouTube</w:t>
      </w:r>
      <w:r w:rsidR="006C1127" w:rsidRPr="005240D8">
        <w:rPr>
          <w:rFonts w:hint="cs"/>
          <w:b/>
          <w:bCs/>
          <w:rtl/>
        </w:rPr>
        <w:t xml:space="preserve">, וכי יש להותיר את </w:t>
      </w:r>
      <w:proofErr w:type="spellStart"/>
      <w:r w:rsidR="006C1127" w:rsidRPr="005240D8">
        <w:rPr>
          <w:rFonts w:hint="cs"/>
          <w:b/>
          <w:bCs/>
          <w:rtl/>
        </w:rPr>
        <w:t>הסעד</w:t>
      </w:r>
      <w:r w:rsidR="008E302E">
        <w:rPr>
          <w:rFonts w:hint="cs"/>
          <w:b/>
          <w:bCs/>
          <w:rtl/>
        </w:rPr>
        <w:t>ים</w:t>
      </w:r>
      <w:proofErr w:type="spellEnd"/>
      <w:r w:rsidR="006C1127" w:rsidRPr="005240D8">
        <w:rPr>
          <w:rFonts w:hint="cs"/>
          <w:b/>
          <w:bCs/>
          <w:rtl/>
        </w:rPr>
        <w:t xml:space="preserve"> ש</w:t>
      </w:r>
      <w:r w:rsidR="008E302E">
        <w:rPr>
          <w:rFonts w:hint="cs"/>
          <w:b/>
          <w:bCs/>
          <w:rtl/>
        </w:rPr>
        <w:t>נ</w:t>
      </w:r>
      <w:r w:rsidR="006C1127" w:rsidRPr="005240D8">
        <w:rPr>
          <w:rFonts w:hint="cs"/>
          <w:b/>
          <w:bCs/>
          <w:rtl/>
        </w:rPr>
        <w:t>פסק</w:t>
      </w:r>
      <w:r w:rsidR="008E302E">
        <w:rPr>
          <w:rFonts w:hint="cs"/>
          <w:b/>
          <w:bCs/>
          <w:rtl/>
        </w:rPr>
        <w:t>ו</w:t>
      </w:r>
      <w:r w:rsidR="006C1127" w:rsidRPr="005240D8">
        <w:rPr>
          <w:rFonts w:hint="cs"/>
          <w:b/>
          <w:bCs/>
          <w:rtl/>
        </w:rPr>
        <w:t xml:space="preserve"> </w:t>
      </w:r>
      <w:r w:rsidR="008E302E">
        <w:rPr>
          <w:rFonts w:hint="cs"/>
          <w:b/>
          <w:bCs/>
          <w:rtl/>
        </w:rPr>
        <w:t>ב</w:t>
      </w:r>
      <w:r w:rsidR="006C1127" w:rsidRPr="005240D8">
        <w:rPr>
          <w:rFonts w:hint="cs"/>
          <w:b/>
          <w:bCs/>
          <w:rtl/>
        </w:rPr>
        <w:t>בית המשפט המחוזי</w:t>
      </w:r>
      <w:r w:rsidR="004B1CF3">
        <w:rPr>
          <w:rFonts w:hint="cs"/>
          <w:b/>
          <w:bCs/>
          <w:rtl/>
        </w:rPr>
        <w:t>, ובכלל</w:t>
      </w:r>
      <w:r w:rsidR="008E302E">
        <w:rPr>
          <w:rFonts w:hint="cs"/>
          <w:b/>
          <w:bCs/>
          <w:rtl/>
        </w:rPr>
        <w:t>ם</w:t>
      </w:r>
      <w:r w:rsidR="004B1CF3">
        <w:rPr>
          <w:rFonts w:hint="cs"/>
          <w:b/>
          <w:bCs/>
          <w:rtl/>
        </w:rPr>
        <w:t xml:space="preserve"> צו מניעה גורף האוסר על הקרנת הסרט בישראל,</w:t>
      </w:r>
      <w:r w:rsidR="006C1127" w:rsidRPr="005240D8">
        <w:rPr>
          <w:rFonts w:hint="cs"/>
          <w:b/>
          <w:bCs/>
          <w:rtl/>
        </w:rPr>
        <w:t xml:space="preserve"> על </w:t>
      </w:r>
      <w:r w:rsidR="00203388">
        <w:rPr>
          <w:rFonts w:hint="cs"/>
          <w:b/>
          <w:bCs/>
          <w:rtl/>
        </w:rPr>
        <w:t xml:space="preserve">כנם. </w:t>
      </w:r>
    </w:p>
    <w:p w:rsidR="00002743" w:rsidRDefault="00002743" w:rsidP="00002743">
      <w:pPr>
        <w:pStyle w:val="Ruller41"/>
        <w:rPr>
          <w:rtl/>
        </w:rPr>
      </w:pPr>
    </w:p>
    <w:p w:rsidR="00002743" w:rsidRPr="00D421E4" w:rsidRDefault="00002743" w:rsidP="002B6767">
      <w:pPr>
        <w:pStyle w:val="Ruller41"/>
        <w:rPr>
          <w:sz w:val="26"/>
          <w:szCs w:val="26"/>
          <w:rtl/>
        </w:rPr>
      </w:pPr>
      <w:r w:rsidRPr="00D421E4">
        <w:rPr>
          <w:rFonts w:hint="cs"/>
          <w:sz w:val="26"/>
          <w:szCs w:val="26"/>
          <w:rtl/>
        </w:rPr>
        <w:t xml:space="preserve">הרקע, בתמצית: בחודש אפריל 2002, במהלך האינתיפאדה </w:t>
      </w:r>
      <w:proofErr w:type="spellStart"/>
      <w:r w:rsidRPr="00D421E4">
        <w:rPr>
          <w:rFonts w:hint="cs"/>
          <w:sz w:val="26"/>
          <w:szCs w:val="26"/>
          <w:rtl/>
        </w:rPr>
        <w:t>השניה</w:t>
      </w:r>
      <w:proofErr w:type="spellEnd"/>
      <w:r w:rsidRPr="00D421E4">
        <w:rPr>
          <w:rFonts w:hint="cs"/>
          <w:sz w:val="26"/>
          <w:szCs w:val="26"/>
          <w:rtl/>
        </w:rPr>
        <w:t>, יצא צה"ל למבצע "חומת מגן" בעקבות פיגוע התאבדות רצחני שאירע בליל</w:t>
      </w:r>
      <w:r w:rsidR="002B6767" w:rsidRPr="00D421E4">
        <w:rPr>
          <w:rFonts w:hint="cs"/>
          <w:sz w:val="26"/>
          <w:szCs w:val="26"/>
          <w:rtl/>
        </w:rPr>
        <w:t>-</w:t>
      </w:r>
      <w:r w:rsidRPr="00D421E4">
        <w:rPr>
          <w:rFonts w:hint="cs"/>
          <w:sz w:val="26"/>
          <w:szCs w:val="26"/>
          <w:rtl/>
        </w:rPr>
        <w:t>הסדר במלון "פארק" בנתניה, שבו נרצחו 30 ישראלים ונפצעו רבים</w:t>
      </w:r>
      <w:r w:rsidR="002B6767" w:rsidRPr="00D421E4">
        <w:rPr>
          <w:rFonts w:hint="cs"/>
          <w:sz w:val="26"/>
          <w:szCs w:val="26"/>
          <w:rtl/>
        </w:rPr>
        <w:t xml:space="preserve"> נוספים</w:t>
      </w:r>
      <w:r w:rsidRPr="00D421E4">
        <w:rPr>
          <w:rFonts w:hint="cs"/>
          <w:sz w:val="26"/>
          <w:szCs w:val="26"/>
          <w:rtl/>
        </w:rPr>
        <w:t xml:space="preserve">. במהלך המבצע נכנסו כוחות צה"ל למחנה הפליטים בעיר ג'נין, שהיוותה מוקד מרכזי להתארגנויות לפיגועים. כוחות צה"ל התריעו בפני </w:t>
      </w:r>
      <w:proofErr w:type="spellStart"/>
      <w:r w:rsidRPr="00D421E4">
        <w:rPr>
          <w:rFonts w:hint="cs"/>
          <w:sz w:val="26"/>
          <w:szCs w:val="26"/>
          <w:rtl/>
        </w:rPr>
        <w:t>האוכלוסיה</w:t>
      </w:r>
      <w:proofErr w:type="spellEnd"/>
      <w:r w:rsidRPr="00D421E4">
        <w:rPr>
          <w:rFonts w:hint="cs"/>
          <w:sz w:val="26"/>
          <w:szCs w:val="26"/>
          <w:rtl/>
        </w:rPr>
        <w:t xml:space="preserve"> האזרחית לעזוב את המקום, ולאחר מכן ניהלו לחימה בתנאים קשים בשטח בנוי ומאוכלס בצפיפות. </w:t>
      </w:r>
      <w:r w:rsidR="002B6767" w:rsidRPr="00D421E4">
        <w:rPr>
          <w:rFonts w:hint="cs"/>
          <w:sz w:val="26"/>
          <w:szCs w:val="26"/>
          <w:rtl/>
        </w:rPr>
        <w:t>בקרבות נהרגו 23 חיילי צה"ל ונפצעו עשרות. בצד הפלסטיני נהרגו 52 איש, כמחציתם מחבלים.</w:t>
      </w:r>
    </w:p>
    <w:p w:rsidR="002B6767" w:rsidRPr="00D421E4" w:rsidRDefault="002B6767" w:rsidP="00D421E4">
      <w:pPr>
        <w:pStyle w:val="Ruller41"/>
        <w:spacing w:line="240" w:lineRule="auto"/>
        <w:rPr>
          <w:sz w:val="26"/>
          <w:szCs w:val="26"/>
          <w:rtl/>
        </w:rPr>
      </w:pPr>
    </w:p>
    <w:p w:rsidR="002B6767" w:rsidRPr="00D421E4" w:rsidRDefault="002B6767" w:rsidP="00F14CDB">
      <w:pPr>
        <w:pStyle w:val="Ruller41"/>
        <w:rPr>
          <w:sz w:val="26"/>
          <w:szCs w:val="26"/>
          <w:rtl/>
        </w:rPr>
      </w:pPr>
      <w:r w:rsidRPr="00D421E4">
        <w:rPr>
          <w:rFonts w:hint="cs"/>
          <w:sz w:val="26"/>
          <w:szCs w:val="26"/>
          <w:rtl/>
        </w:rPr>
        <w:t>בסמוך לאחר המבצע, יצר בכרי את סרטו הדוקומנטארי-כביכול, שבו מובאות תגובות של תושבים פלסטיני</w:t>
      </w:r>
      <w:r w:rsidR="00B82D05" w:rsidRPr="00D421E4">
        <w:rPr>
          <w:rFonts w:hint="cs"/>
          <w:sz w:val="26"/>
          <w:szCs w:val="26"/>
          <w:rtl/>
        </w:rPr>
        <w:t>י</w:t>
      </w:r>
      <w:r w:rsidRPr="00D421E4">
        <w:rPr>
          <w:rFonts w:hint="cs"/>
          <w:sz w:val="26"/>
          <w:szCs w:val="26"/>
          <w:rtl/>
        </w:rPr>
        <w:t>ם לאירועים שהתרחשו במהלך המבצע</w:t>
      </w:r>
      <w:r w:rsidR="00C40E95" w:rsidRPr="00D421E4">
        <w:rPr>
          <w:rFonts w:hint="cs"/>
          <w:sz w:val="26"/>
          <w:szCs w:val="26"/>
          <w:rtl/>
        </w:rPr>
        <w:t xml:space="preserve">, </w:t>
      </w:r>
      <w:r w:rsidR="009C4681" w:rsidRPr="00D421E4">
        <w:rPr>
          <w:rFonts w:hint="cs"/>
          <w:sz w:val="26"/>
          <w:szCs w:val="26"/>
          <w:rtl/>
        </w:rPr>
        <w:t xml:space="preserve">ובכללן </w:t>
      </w:r>
      <w:r w:rsidR="00C40E95" w:rsidRPr="00D421E4">
        <w:rPr>
          <w:rFonts w:hint="cs"/>
          <w:sz w:val="26"/>
          <w:szCs w:val="26"/>
          <w:rtl/>
        </w:rPr>
        <w:t>תיאור</w:t>
      </w:r>
      <w:r w:rsidR="00B82D05" w:rsidRPr="00D421E4">
        <w:rPr>
          <w:rFonts w:hint="cs"/>
          <w:sz w:val="26"/>
          <w:szCs w:val="26"/>
          <w:rtl/>
        </w:rPr>
        <w:t>ים של</w:t>
      </w:r>
      <w:r w:rsidR="00C40E95" w:rsidRPr="00D421E4">
        <w:rPr>
          <w:rFonts w:hint="cs"/>
          <w:sz w:val="26"/>
          <w:szCs w:val="26"/>
          <w:rtl/>
        </w:rPr>
        <w:t xml:space="preserve"> מעשים קשים שבוצעו כביכול על ידי חיילי צה"ל במהלך הלחימה</w:t>
      </w:r>
      <w:r w:rsidRPr="00D421E4">
        <w:rPr>
          <w:rFonts w:hint="cs"/>
          <w:sz w:val="26"/>
          <w:szCs w:val="26"/>
          <w:rtl/>
        </w:rPr>
        <w:t xml:space="preserve">. תביעתו של </w:t>
      </w:r>
      <w:proofErr w:type="spellStart"/>
      <w:r w:rsidR="00C40E95" w:rsidRPr="00D421E4">
        <w:rPr>
          <w:rFonts w:hint="cs"/>
          <w:sz w:val="26"/>
          <w:szCs w:val="26"/>
          <w:rtl/>
        </w:rPr>
        <w:t>מגנאג'י</w:t>
      </w:r>
      <w:proofErr w:type="spellEnd"/>
      <w:r w:rsidR="00C40E95" w:rsidRPr="00D421E4">
        <w:rPr>
          <w:rFonts w:hint="cs"/>
          <w:sz w:val="26"/>
          <w:szCs w:val="26"/>
          <w:rtl/>
        </w:rPr>
        <w:t xml:space="preserve">, שהשתתף בלחימה בג'נין, </w:t>
      </w:r>
      <w:r w:rsidRPr="00D421E4">
        <w:rPr>
          <w:rFonts w:hint="cs"/>
          <w:sz w:val="26"/>
          <w:szCs w:val="26"/>
          <w:rtl/>
        </w:rPr>
        <w:t>הוגשה בשנת 2016</w:t>
      </w:r>
      <w:r w:rsidR="00C40E95" w:rsidRPr="00D421E4">
        <w:rPr>
          <w:rFonts w:hint="cs"/>
          <w:sz w:val="26"/>
          <w:szCs w:val="26"/>
          <w:rtl/>
        </w:rPr>
        <w:t xml:space="preserve">, </w:t>
      </w:r>
      <w:r w:rsidRPr="00D421E4">
        <w:rPr>
          <w:rFonts w:hint="cs"/>
          <w:sz w:val="26"/>
          <w:szCs w:val="26"/>
          <w:rtl/>
        </w:rPr>
        <w:t>לאחר ש</w:t>
      </w:r>
      <w:r w:rsidR="009C4681" w:rsidRPr="00D421E4">
        <w:rPr>
          <w:rFonts w:hint="cs"/>
          <w:sz w:val="26"/>
          <w:szCs w:val="26"/>
          <w:rtl/>
        </w:rPr>
        <w:t>גילה</w:t>
      </w:r>
      <w:r w:rsidRPr="00D421E4">
        <w:rPr>
          <w:rFonts w:hint="cs"/>
          <w:sz w:val="26"/>
          <w:szCs w:val="26"/>
          <w:rtl/>
        </w:rPr>
        <w:t xml:space="preserve"> כי צילום שבו הוא מזוהה שולב בעיצומה של אחת הסצנות בסרט.</w:t>
      </w:r>
      <w:r w:rsidR="00C40E95" w:rsidRPr="00D421E4">
        <w:rPr>
          <w:rFonts w:hint="cs"/>
          <w:sz w:val="26"/>
          <w:szCs w:val="26"/>
          <w:rtl/>
        </w:rPr>
        <w:t xml:space="preserve"> התביעה הוגשה בגין </w:t>
      </w:r>
      <w:r w:rsidR="00F14CDB" w:rsidRPr="00D421E4">
        <w:rPr>
          <w:rFonts w:hint="cs"/>
          <w:sz w:val="26"/>
          <w:szCs w:val="26"/>
          <w:rtl/>
        </w:rPr>
        <w:t xml:space="preserve">ארבע </w:t>
      </w:r>
      <w:r w:rsidR="00C40E95" w:rsidRPr="00D421E4">
        <w:rPr>
          <w:rFonts w:hint="cs"/>
          <w:sz w:val="26"/>
          <w:szCs w:val="26"/>
          <w:rtl/>
        </w:rPr>
        <w:t xml:space="preserve">הקרנות של הסרט שנערכו בין השנים 2012-2010, וכן בגין העלאת הסרט לאתר </w:t>
      </w:r>
      <w:r w:rsidR="005320F3" w:rsidRPr="00D421E4">
        <w:rPr>
          <w:rFonts w:asciiTheme="majorBidi" w:hAnsiTheme="majorBidi" w:cstheme="majorBidi"/>
          <w:szCs w:val="22"/>
        </w:rPr>
        <w:t>YouTube</w:t>
      </w:r>
      <w:r w:rsidR="00C40E95" w:rsidRPr="00D421E4">
        <w:rPr>
          <w:rFonts w:hint="cs"/>
          <w:sz w:val="26"/>
          <w:szCs w:val="26"/>
          <w:rtl/>
        </w:rPr>
        <w:t>.</w:t>
      </w:r>
    </w:p>
    <w:p w:rsidR="002B6767" w:rsidRPr="00D421E4" w:rsidRDefault="002B6767" w:rsidP="00D421E4">
      <w:pPr>
        <w:pStyle w:val="Ruller41"/>
        <w:spacing w:line="240" w:lineRule="auto"/>
        <w:rPr>
          <w:sz w:val="26"/>
          <w:szCs w:val="26"/>
          <w:rtl/>
        </w:rPr>
      </w:pPr>
    </w:p>
    <w:p w:rsidR="002B6767" w:rsidRPr="00D421E4" w:rsidRDefault="009C4681" w:rsidP="005320F3">
      <w:pPr>
        <w:pStyle w:val="Ruller41"/>
        <w:rPr>
          <w:sz w:val="26"/>
          <w:szCs w:val="26"/>
          <w:rtl/>
        </w:rPr>
      </w:pPr>
      <w:r w:rsidRPr="00D421E4">
        <w:rPr>
          <w:rFonts w:hint="cs"/>
          <w:sz w:val="26"/>
          <w:szCs w:val="26"/>
          <w:rtl/>
        </w:rPr>
        <w:t xml:space="preserve">בפתח פסק דינו, </w:t>
      </w:r>
      <w:r w:rsidR="002B6767" w:rsidRPr="00D421E4">
        <w:rPr>
          <w:rFonts w:hint="cs"/>
          <w:sz w:val="26"/>
          <w:szCs w:val="26"/>
          <w:rtl/>
        </w:rPr>
        <w:t xml:space="preserve">בית המשפט העליון חזר </w:t>
      </w:r>
      <w:r w:rsidRPr="00D421E4">
        <w:rPr>
          <w:rFonts w:hint="cs"/>
          <w:sz w:val="26"/>
          <w:szCs w:val="26"/>
          <w:rtl/>
        </w:rPr>
        <w:t>בקול צלול וברור</w:t>
      </w:r>
      <w:r w:rsidR="00C40E95" w:rsidRPr="00D421E4">
        <w:rPr>
          <w:rFonts w:hint="cs"/>
          <w:sz w:val="26"/>
          <w:szCs w:val="26"/>
          <w:rtl/>
        </w:rPr>
        <w:t xml:space="preserve"> </w:t>
      </w:r>
      <w:r w:rsidR="002B6767" w:rsidRPr="00D421E4">
        <w:rPr>
          <w:rFonts w:hint="cs"/>
          <w:sz w:val="26"/>
          <w:szCs w:val="26"/>
          <w:rtl/>
        </w:rPr>
        <w:t xml:space="preserve">על קביעות שנאמרו בעבר בפסיקה, ולפיהן הסרט "ג'נין </w:t>
      </w:r>
      <w:proofErr w:type="spellStart"/>
      <w:r w:rsidR="002B6767" w:rsidRPr="00D421E4">
        <w:rPr>
          <w:rFonts w:hint="cs"/>
          <w:sz w:val="26"/>
          <w:szCs w:val="26"/>
          <w:rtl/>
        </w:rPr>
        <w:t>ג'נין</w:t>
      </w:r>
      <w:proofErr w:type="spellEnd"/>
      <w:r w:rsidR="002B6767" w:rsidRPr="00D421E4">
        <w:rPr>
          <w:rFonts w:hint="cs"/>
          <w:sz w:val="26"/>
          <w:szCs w:val="26"/>
          <w:rtl/>
        </w:rPr>
        <w:t xml:space="preserve">" הוא סרט </w:t>
      </w:r>
      <w:r w:rsidR="002B6767" w:rsidRPr="00D421E4">
        <w:rPr>
          <w:rFonts w:ascii="Century" w:hAnsi="Century" w:cs="Miriam" w:hint="cs"/>
          <w:b/>
          <w:spacing w:val="0"/>
          <w:sz w:val="23"/>
          <w:szCs w:val="23"/>
          <w:rtl/>
        </w:rPr>
        <w:t>שקרי</w:t>
      </w:r>
      <w:r w:rsidR="002B6767" w:rsidRPr="00D421E4">
        <w:rPr>
          <w:rFonts w:hint="cs"/>
          <w:sz w:val="26"/>
          <w:szCs w:val="26"/>
          <w:rtl/>
        </w:rPr>
        <w:t xml:space="preserve"> הכולל </w:t>
      </w:r>
      <w:r w:rsidR="00C40E95" w:rsidRPr="00D421E4">
        <w:rPr>
          <w:rFonts w:hint="cs"/>
          <w:sz w:val="26"/>
          <w:szCs w:val="26"/>
          <w:rtl/>
        </w:rPr>
        <w:t>כזבים</w:t>
      </w:r>
      <w:r w:rsidR="002B6767" w:rsidRPr="00D421E4">
        <w:rPr>
          <w:rFonts w:hint="cs"/>
          <w:sz w:val="26"/>
          <w:szCs w:val="26"/>
          <w:rtl/>
        </w:rPr>
        <w:t xml:space="preserve"> ובדיות על חיילי צה"ל. </w:t>
      </w:r>
      <w:r w:rsidR="00C40E95" w:rsidRPr="00D421E4">
        <w:rPr>
          <w:rFonts w:hint="cs"/>
          <w:sz w:val="26"/>
          <w:szCs w:val="26"/>
          <w:rtl/>
        </w:rPr>
        <w:t xml:space="preserve">כמו כן, נקבע כי הסרט מהווה לשון הרע כלפי </w:t>
      </w:r>
      <w:proofErr w:type="spellStart"/>
      <w:r w:rsidR="00C40E95" w:rsidRPr="00D421E4">
        <w:rPr>
          <w:rFonts w:hint="cs"/>
          <w:sz w:val="26"/>
          <w:szCs w:val="26"/>
          <w:rtl/>
        </w:rPr>
        <w:t>מגנאג'י</w:t>
      </w:r>
      <w:proofErr w:type="spellEnd"/>
      <w:r w:rsidR="002373E2" w:rsidRPr="00D421E4">
        <w:rPr>
          <w:rFonts w:hint="cs"/>
          <w:sz w:val="26"/>
          <w:szCs w:val="26"/>
          <w:rtl/>
        </w:rPr>
        <w:t xml:space="preserve"> באופן אישי</w:t>
      </w:r>
      <w:r w:rsidR="00C40E95" w:rsidRPr="00D421E4">
        <w:rPr>
          <w:rFonts w:hint="cs"/>
          <w:sz w:val="26"/>
          <w:szCs w:val="26"/>
          <w:rtl/>
        </w:rPr>
        <w:t xml:space="preserve">. זאת, משום ששילוב צילומו של </w:t>
      </w:r>
      <w:proofErr w:type="spellStart"/>
      <w:r w:rsidR="00C40E95" w:rsidRPr="00D421E4">
        <w:rPr>
          <w:rFonts w:hint="cs"/>
          <w:sz w:val="26"/>
          <w:szCs w:val="26"/>
          <w:rtl/>
        </w:rPr>
        <w:t>מגנאג'י</w:t>
      </w:r>
      <w:proofErr w:type="spellEnd"/>
      <w:r w:rsidR="00C40E95" w:rsidRPr="00D421E4">
        <w:rPr>
          <w:rFonts w:hint="cs"/>
          <w:sz w:val="26"/>
          <w:szCs w:val="26"/>
          <w:rtl/>
        </w:rPr>
        <w:t xml:space="preserve"> בעיצומה של סצנה </w:t>
      </w:r>
      <w:r w:rsidR="00C40E95" w:rsidRPr="00D421E4">
        <w:rPr>
          <w:sz w:val="26"/>
          <w:szCs w:val="26"/>
          <w:rtl/>
        </w:rPr>
        <w:t>–</w:t>
      </w:r>
      <w:r w:rsidR="00C40E95" w:rsidRPr="00D421E4">
        <w:rPr>
          <w:rFonts w:hint="cs"/>
          <w:sz w:val="26"/>
          <w:szCs w:val="26"/>
          <w:rtl/>
        </w:rPr>
        <w:t xml:space="preserve"> שבה תואר מעשה ביזה </w:t>
      </w:r>
      <w:r w:rsidR="006C1127" w:rsidRPr="00D421E4">
        <w:rPr>
          <w:rFonts w:hint="cs"/>
          <w:sz w:val="26"/>
          <w:szCs w:val="26"/>
          <w:rtl/>
        </w:rPr>
        <w:t>ש</w:t>
      </w:r>
      <w:r w:rsidR="00B82D05" w:rsidRPr="00D421E4">
        <w:rPr>
          <w:rFonts w:hint="cs"/>
          <w:sz w:val="26"/>
          <w:szCs w:val="26"/>
          <w:rtl/>
        </w:rPr>
        <w:t xml:space="preserve">כביכול </w:t>
      </w:r>
      <w:r w:rsidR="00C40E95" w:rsidRPr="00D421E4">
        <w:rPr>
          <w:rFonts w:hint="cs"/>
          <w:sz w:val="26"/>
          <w:szCs w:val="26"/>
          <w:rtl/>
        </w:rPr>
        <w:t xml:space="preserve">בוצע באיומי נשק כלפי אחד המרואיינים בסרט </w:t>
      </w:r>
      <w:r w:rsidR="00C40E95" w:rsidRPr="00D421E4">
        <w:rPr>
          <w:sz w:val="26"/>
          <w:szCs w:val="26"/>
          <w:rtl/>
        </w:rPr>
        <w:t>–</w:t>
      </w:r>
      <w:r w:rsidR="00C40E95" w:rsidRPr="00D421E4">
        <w:rPr>
          <w:rFonts w:hint="cs"/>
          <w:sz w:val="26"/>
          <w:szCs w:val="26"/>
          <w:rtl/>
        </w:rPr>
        <w:t xml:space="preserve"> בכוח</w:t>
      </w:r>
      <w:r w:rsidR="005320F3" w:rsidRPr="00D421E4">
        <w:rPr>
          <w:rFonts w:hint="cs"/>
          <w:sz w:val="26"/>
          <w:szCs w:val="26"/>
          <w:rtl/>
        </w:rPr>
        <w:t>ו</w:t>
      </w:r>
      <w:r w:rsidR="00C40E95" w:rsidRPr="00D421E4">
        <w:rPr>
          <w:rFonts w:hint="cs"/>
          <w:sz w:val="26"/>
          <w:szCs w:val="26"/>
          <w:rtl/>
        </w:rPr>
        <w:t xml:space="preserve"> לקשור בין מעשה הביזה הנטען </w:t>
      </w:r>
      <w:proofErr w:type="spellStart"/>
      <w:r w:rsidR="00C40E95" w:rsidRPr="00D421E4">
        <w:rPr>
          <w:rFonts w:hint="cs"/>
          <w:sz w:val="26"/>
          <w:szCs w:val="26"/>
          <w:rtl/>
        </w:rPr>
        <w:t>למגנאג'י</w:t>
      </w:r>
      <w:proofErr w:type="spellEnd"/>
      <w:r w:rsidR="00C40E95" w:rsidRPr="00D421E4">
        <w:rPr>
          <w:rFonts w:hint="cs"/>
          <w:sz w:val="26"/>
          <w:szCs w:val="26"/>
          <w:rtl/>
        </w:rPr>
        <w:t xml:space="preserve"> עצמו. בנוסף</w:t>
      </w:r>
      <w:r w:rsidR="00D35FA2" w:rsidRPr="00D421E4">
        <w:rPr>
          <w:rFonts w:hint="cs"/>
          <w:sz w:val="26"/>
          <w:szCs w:val="26"/>
          <w:rtl/>
        </w:rPr>
        <w:t xml:space="preserve"> לכך</w:t>
      </w:r>
      <w:r w:rsidR="00C40E95" w:rsidRPr="00D421E4">
        <w:rPr>
          <w:rFonts w:hint="cs"/>
          <w:sz w:val="26"/>
          <w:szCs w:val="26"/>
          <w:rtl/>
        </w:rPr>
        <w:t>, נקבע כי יש בהקשר הדברים הכול</w:t>
      </w:r>
      <w:r w:rsidRPr="00D421E4">
        <w:rPr>
          <w:rFonts w:hint="cs"/>
          <w:sz w:val="26"/>
          <w:szCs w:val="26"/>
          <w:rtl/>
        </w:rPr>
        <w:t>ל</w:t>
      </w:r>
      <w:r w:rsidR="00C40E95" w:rsidRPr="00D421E4">
        <w:rPr>
          <w:rFonts w:hint="cs"/>
          <w:sz w:val="26"/>
          <w:szCs w:val="26"/>
          <w:rtl/>
        </w:rPr>
        <w:t xml:space="preserve"> של הסרט כדי להשליך על האופן שבו הצופה הסביר צפוי לתפוש את </w:t>
      </w:r>
      <w:proofErr w:type="spellStart"/>
      <w:r w:rsidR="00C40E95" w:rsidRPr="00D421E4">
        <w:rPr>
          <w:rFonts w:hint="cs"/>
          <w:sz w:val="26"/>
          <w:szCs w:val="26"/>
          <w:rtl/>
        </w:rPr>
        <w:t>מגנאג'י</w:t>
      </w:r>
      <w:proofErr w:type="spellEnd"/>
      <w:r w:rsidR="00C40E95" w:rsidRPr="00D421E4">
        <w:rPr>
          <w:rFonts w:hint="cs"/>
          <w:sz w:val="26"/>
          <w:szCs w:val="26"/>
          <w:rtl/>
        </w:rPr>
        <w:t>, בהיותו מזוהה כמי שנטל חלק בלחימה בג'נין במבצע "חומת מגן".</w:t>
      </w:r>
    </w:p>
    <w:p w:rsidR="00C40E95" w:rsidRPr="00D421E4" w:rsidRDefault="00C40E95" w:rsidP="00D421E4">
      <w:pPr>
        <w:pStyle w:val="Ruller41"/>
        <w:spacing w:line="240" w:lineRule="auto"/>
        <w:rPr>
          <w:sz w:val="26"/>
          <w:szCs w:val="26"/>
          <w:rtl/>
        </w:rPr>
      </w:pPr>
    </w:p>
    <w:p w:rsidR="000D00A4" w:rsidRPr="00D421E4" w:rsidRDefault="00325E34" w:rsidP="00260BF1">
      <w:pPr>
        <w:pStyle w:val="Ruller41"/>
        <w:rPr>
          <w:sz w:val="26"/>
          <w:szCs w:val="26"/>
          <w:rtl/>
        </w:rPr>
      </w:pPr>
      <w:r w:rsidRPr="00D421E4">
        <w:rPr>
          <w:rFonts w:hint="cs"/>
          <w:sz w:val="26"/>
          <w:szCs w:val="26"/>
          <w:rtl/>
        </w:rPr>
        <w:t>עיקר הדיון בפסק הדין נסב</w:t>
      </w:r>
      <w:r w:rsidR="006C1127" w:rsidRPr="00D421E4">
        <w:rPr>
          <w:rFonts w:hint="cs"/>
          <w:sz w:val="26"/>
          <w:szCs w:val="26"/>
          <w:rtl/>
        </w:rPr>
        <w:t xml:space="preserve"> על סוגיית ההתיישנות</w:t>
      </w:r>
      <w:r w:rsidR="007463ED" w:rsidRPr="00D421E4">
        <w:rPr>
          <w:rFonts w:hint="cs"/>
          <w:sz w:val="26"/>
          <w:szCs w:val="26"/>
          <w:rtl/>
        </w:rPr>
        <w:t>, ש</w:t>
      </w:r>
      <w:r w:rsidR="005320F3" w:rsidRPr="00D421E4">
        <w:rPr>
          <w:rFonts w:hint="cs"/>
          <w:sz w:val="26"/>
          <w:szCs w:val="26"/>
          <w:rtl/>
        </w:rPr>
        <w:t xml:space="preserve">ביחס לחלק מהיבטיה </w:t>
      </w:r>
      <w:r w:rsidR="007463ED" w:rsidRPr="00D421E4">
        <w:rPr>
          <w:rFonts w:hint="cs"/>
          <w:sz w:val="26"/>
          <w:szCs w:val="26"/>
          <w:rtl/>
        </w:rPr>
        <w:t>נחלקו דעות השופטים</w:t>
      </w:r>
      <w:r w:rsidR="006C1127" w:rsidRPr="00D421E4">
        <w:rPr>
          <w:rFonts w:hint="cs"/>
          <w:sz w:val="26"/>
          <w:szCs w:val="26"/>
          <w:rtl/>
        </w:rPr>
        <w:t xml:space="preserve">. </w:t>
      </w:r>
      <w:r w:rsidR="007463ED" w:rsidRPr="00D421E4">
        <w:rPr>
          <w:rFonts w:hint="cs"/>
          <w:sz w:val="26"/>
          <w:szCs w:val="26"/>
          <w:rtl/>
        </w:rPr>
        <w:t xml:space="preserve">לגישתם של שלושת השופטים, תביעתו </w:t>
      </w:r>
      <w:r w:rsidR="005240D8" w:rsidRPr="00D421E4">
        <w:rPr>
          <w:rFonts w:hint="cs"/>
          <w:sz w:val="26"/>
          <w:szCs w:val="26"/>
          <w:rtl/>
        </w:rPr>
        <w:t xml:space="preserve">של </w:t>
      </w:r>
      <w:proofErr w:type="spellStart"/>
      <w:r w:rsidR="005240D8" w:rsidRPr="00D421E4">
        <w:rPr>
          <w:rFonts w:hint="cs"/>
          <w:sz w:val="26"/>
          <w:szCs w:val="26"/>
          <w:rtl/>
        </w:rPr>
        <w:t>מגנאג'י</w:t>
      </w:r>
      <w:proofErr w:type="spellEnd"/>
      <w:r w:rsidR="005240D8" w:rsidRPr="00D421E4">
        <w:rPr>
          <w:rFonts w:hint="cs"/>
          <w:sz w:val="26"/>
          <w:szCs w:val="26"/>
          <w:rtl/>
        </w:rPr>
        <w:t xml:space="preserve"> לא התיישנה</w:t>
      </w:r>
      <w:r w:rsidR="007463ED" w:rsidRPr="00D421E4">
        <w:rPr>
          <w:rFonts w:hint="cs"/>
          <w:sz w:val="26"/>
          <w:szCs w:val="26"/>
          <w:rtl/>
        </w:rPr>
        <w:t>.</w:t>
      </w:r>
      <w:r w:rsidR="005240D8" w:rsidRPr="00D421E4">
        <w:rPr>
          <w:rFonts w:hint="cs"/>
          <w:sz w:val="26"/>
          <w:szCs w:val="26"/>
          <w:rtl/>
        </w:rPr>
        <w:t xml:space="preserve"> </w:t>
      </w:r>
      <w:r w:rsidR="007463ED" w:rsidRPr="00D421E4">
        <w:rPr>
          <w:rFonts w:hint="cs"/>
          <w:sz w:val="26"/>
          <w:szCs w:val="26"/>
          <w:rtl/>
        </w:rPr>
        <w:t xml:space="preserve">השופט שטיין </w:t>
      </w:r>
      <w:r w:rsidR="004575F3" w:rsidRPr="00D421E4">
        <w:rPr>
          <w:rFonts w:hint="cs"/>
          <w:sz w:val="26"/>
          <w:szCs w:val="26"/>
          <w:rtl/>
        </w:rPr>
        <w:t xml:space="preserve">(בהסכמת השופט מינץ) </w:t>
      </w:r>
      <w:r w:rsidR="007463ED" w:rsidRPr="00D421E4">
        <w:rPr>
          <w:rFonts w:hint="cs"/>
          <w:sz w:val="26"/>
          <w:szCs w:val="26"/>
          <w:rtl/>
        </w:rPr>
        <w:t>סבר כי יש לסווג את פרסום הסרט כ"עוולה נמשכת"</w:t>
      </w:r>
      <w:r w:rsidR="00D2021F" w:rsidRPr="00D421E4">
        <w:rPr>
          <w:rFonts w:hint="cs"/>
          <w:sz w:val="26"/>
          <w:szCs w:val="26"/>
          <w:rtl/>
        </w:rPr>
        <w:t xml:space="preserve"> </w:t>
      </w:r>
      <w:r w:rsidR="00A07C18" w:rsidRPr="00D421E4">
        <w:rPr>
          <w:rFonts w:hint="cs"/>
          <w:sz w:val="26"/>
          <w:szCs w:val="26"/>
          <w:rtl/>
        </w:rPr>
        <w:t xml:space="preserve">החל </w:t>
      </w:r>
      <w:r w:rsidR="007463ED" w:rsidRPr="00D421E4">
        <w:rPr>
          <w:rFonts w:hint="cs"/>
          <w:sz w:val="26"/>
          <w:szCs w:val="26"/>
          <w:rtl/>
        </w:rPr>
        <w:t xml:space="preserve"> </w:t>
      </w:r>
      <w:r w:rsidR="00260BF1" w:rsidRPr="00D421E4">
        <w:rPr>
          <w:rFonts w:hint="cs"/>
          <w:sz w:val="26"/>
          <w:szCs w:val="26"/>
          <w:rtl/>
        </w:rPr>
        <w:t>ממועד צאתו של הסרט לאור ב</w:t>
      </w:r>
      <w:r w:rsidR="007463ED" w:rsidRPr="00D421E4">
        <w:rPr>
          <w:rFonts w:hint="cs"/>
          <w:sz w:val="26"/>
          <w:szCs w:val="26"/>
          <w:rtl/>
        </w:rPr>
        <w:t xml:space="preserve">שנת 2002 ועד עצם היום הזה, </w:t>
      </w:r>
      <w:r w:rsidR="00D2021F" w:rsidRPr="00D421E4">
        <w:rPr>
          <w:rFonts w:hint="cs"/>
          <w:sz w:val="26"/>
          <w:szCs w:val="26"/>
          <w:rtl/>
        </w:rPr>
        <w:t xml:space="preserve">וכי </w:t>
      </w:r>
      <w:r w:rsidR="00F14CDB" w:rsidRPr="00D421E4">
        <w:rPr>
          <w:rFonts w:hint="cs"/>
          <w:sz w:val="26"/>
          <w:szCs w:val="26"/>
          <w:rtl/>
        </w:rPr>
        <w:t>תביעתו</w:t>
      </w:r>
      <w:r w:rsidR="00D2021F" w:rsidRPr="00D421E4">
        <w:rPr>
          <w:rFonts w:hint="cs"/>
          <w:sz w:val="26"/>
          <w:szCs w:val="26"/>
          <w:rtl/>
        </w:rPr>
        <w:t xml:space="preserve"> של </w:t>
      </w:r>
      <w:proofErr w:type="spellStart"/>
      <w:r w:rsidR="00D2021F" w:rsidRPr="00D421E4">
        <w:rPr>
          <w:rFonts w:hint="cs"/>
          <w:sz w:val="26"/>
          <w:szCs w:val="26"/>
          <w:rtl/>
        </w:rPr>
        <w:t>מגנאג'י</w:t>
      </w:r>
      <w:proofErr w:type="spellEnd"/>
      <w:r w:rsidR="00D2021F" w:rsidRPr="00D421E4">
        <w:rPr>
          <w:rFonts w:hint="cs"/>
          <w:sz w:val="26"/>
          <w:szCs w:val="26"/>
          <w:rtl/>
        </w:rPr>
        <w:t xml:space="preserve"> </w:t>
      </w:r>
      <w:r w:rsidR="00E70E83" w:rsidRPr="00D421E4">
        <w:rPr>
          <w:rFonts w:hint="cs"/>
          <w:sz w:val="26"/>
          <w:szCs w:val="26"/>
          <w:rtl/>
        </w:rPr>
        <w:t xml:space="preserve">כלל </w:t>
      </w:r>
      <w:r w:rsidR="00D2021F" w:rsidRPr="00D421E4">
        <w:rPr>
          <w:rFonts w:hint="cs"/>
          <w:sz w:val="26"/>
          <w:szCs w:val="26"/>
          <w:rtl/>
        </w:rPr>
        <w:t xml:space="preserve">לא התיישנה </w:t>
      </w:r>
      <w:r w:rsidR="00E70E83" w:rsidRPr="00D421E4">
        <w:rPr>
          <w:rFonts w:hint="cs"/>
          <w:sz w:val="26"/>
          <w:szCs w:val="26"/>
          <w:rtl/>
        </w:rPr>
        <w:t>ביחס לכל התקופה האמורה</w:t>
      </w:r>
      <w:r w:rsidR="00DD51A7" w:rsidRPr="00D421E4">
        <w:rPr>
          <w:rFonts w:hint="cs"/>
          <w:sz w:val="26"/>
          <w:szCs w:val="26"/>
          <w:rtl/>
        </w:rPr>
        <w:t xml:space="preserve">. </w:t>
      </w:r>
      <w:r w:rsidR="007463ED" w:rsidRPr="00D421E4">
        <w:rPr>
          <w:rFonts w:hint="cs"/>
          <w:sz w:val="26"/>
          <w:szCs w:val="26"/>
          <w:rtl/>
        </w:rPr>
        <w:t>זאת, משעה שמדובר בפרסום פוגעני שנותר במרחב הציבורי ולא הוסר ממנו במשך כל התקופה.</w:t>
      </w:r>
      <w:r w:rsidR="00DD51A7" w:rsidRPr="00D421E4">
        <w:rPr>
          <w:rFonts w:hint="cs"/>
          <w:sz w:val="26"/>
          <w:szCs w:val="26"/>
          <w:rtl/>
        </w:rPr>
        <w:t xml:space="preserve"> </w:t>
      </w:r>
      <w:r w:rsidR="005320F3" w:rsidRPr="00D421E4">
        <w:rPr>
          <w:rFonts w:hint="cs"/>
          <w:sz w:val="26"/>
          <w:szCs w:val="26"/>
          <w:rtl/>
        </w:rPr>
        <w:t xml:space="preserve">לעומת זאת, השופט עמית סבר </w:t>
      </w:r>
      <w:r w:rsidR="007463ED" w:rsidRPr="00D421E4">
        <w:rPr>
          <w:rFonts w:hint="cs"/>
          <w:sz w:val="26"/>
          <w:szCs w:val="26"/>
          <w:rtl/>
        </w:rPr>
        <w:t xml:space="preserve">בדעת מיעוט </w:t>
      </w:r>
      <w:r w:rsidR="00DD51A7" w:rsidRPr="00D421E4">
        <w:rPr>
          <w:rFonts w:hint="cs"/>
          <w:sz w:val="26"/>
          <w:szCs w:val="26"/>
          <w:rtl/>
        </w:rPr>
        <w:t xml:space="preserve">כי </w:t>
      </w:r>
      <w:r w:rsidR="00E70E83" w:rsidRPr="00D421E4">
        <w:rPr>
          <w:rFonts w:hint="cs"/>
          <w:sz w:val="26"/>
          <w:szCs w:val="26"/>
          <w:rtl/>
        </w:rPr>
        <w:t xml:space="preserve">אין מדובר בעוולה נמשכת, וכי </w:t>
      </w:r>
      <w:r w:rsidR="00DD51A7" w:rsidRPr="00D421E4">
        <w:rPr>
          <w:rFonts w:hint="cs"/>
          <w:sz w:val="26"/>
          <w:szCs w:val="26"/>
          <w:rtl/>
        </w:rPr>
        <w:t xml:space="preserve">יש להשקיף על </w:t>
      </w:r>
      <w:r w:rsidR="00F14CDB" w:rsidRPr="00D421E4">
        <w:rPr>
          <w:rFonts w:hint="cs"/>
          <w:sz w:val="26"/>
          <w:szCs w:val="26"/>
          <w:rtl/>
        </w:rPr>
        <w:t xml:space="preserve">ארבע </w:t>
      </w:r>
      <w:r w:rsidR="00DD51A7" w:rsidRPr="00D421E4">
        <w:rPr>
          <w:rFonts w:hint="cs"/>
          <w:sz w:val="26"/>
          <w:szCs w:val="26"/>
          <w:rtl/>
        </w:rPr>
        <w:t>ההקרנות המאוחרות של הסרט (בשנים 2012-2010)</w:t>
      </w:r>
      <w:r w:rsidR="00E70E83" w:rsidRPr="00D421E4">
        <w:rPr>
          <w:rFonts w:hint="cs"/>
          <w:sz w:val="26"/>
          <w:szCs w:val="26"/>
          <w:rtl/>
        </w:rPr>
        <w:t xml:space="preserve"> שבגינן הוגשה התביעה</w:t>
      </w:r>
      <w:r w:rsidR="00DD51A7" w:rsidRPr="00D421E4">
        <w:rPr>
          <w:rFonts w:hint="cs"/>
          <w:sz w:val="26"/>
          <w:szCs w:val="26"/>
          <w:rtl/>
        </w:rPr>
        <w:t xml:space="preserve">, כעל פרסום חוזר המקים לנפגע עילת תביעה עצמאית, </w:t>
      </w:r>
      <w:r w:rsidR="00E70E83" w:rsidRPr="00D421E4">
        <w:rPr>
          <w:rFonts w:hint="cs"/>
          <w:sz w:val="26"/>
          <w:szCs w:val="26"/>
          <w:rtl/>
        </w:rPr>
        <w:t>כך</w:t>
      </w:r>
      <w:r w:rsidR="00DD51A7" w:rsidRPr="00D421E4">
        <w:rPr>
          <w:rFonts w:hint="cs"/>
          <w:sz w:val="26"/>
          <w:szCs w:val="26"/>
          <w:rtl/>
        </w:rPr>
        <w:t xml:space="preserve"> </w:t>
      </w:r>
      <w:r w:rsidR="00E70E83" w:rsidRPr="00D421E4">
        <w:rPr>
          <w:rFonts w:hint="cs"/>
          <w:sz w:val="26"/>
          <w:szCs w:val="26"/>
          <w:rtl/>
        </w:rPr>
        <w:t>ש</w:t>
      </w:r>
      <w:r w:rsidR="00DD51A7" w:rsidRPr="00D421E4">
        <w:rPr>
          <w:rFonts w:hint="cs"/>
          <w:sz w:val="26"/>
          <w:szCs w:val="26"/>
          <w:rtl/>
        </w:rPr>
        <w:t>יש למנות את תקופת ההתיישנות ממועד ביצוען של הקרנות</w:t>
      </w:r>
      <w:r w:rsidR="00260BF1" w:rsidRPr="00D421E4">
        <w:rPr>
          <w:rFonts w:hint="cs"/>
          <w:sz w:val="26"/>
          <w:szCs w:val="26"/>
          <w:rtl/>
        </w:rPr>
        <w:t xml:space="preserve"> אלו</w:t>
      </w:r>
      <w:r w:rsidR="00DD51A7" w:rsidRPr="00D421E4">
        <w:rPr>
          <w:rFonts w:hint="cs"/>
          <w:sz w:val="26"/>
          <w:szCs w:val="26"/>
          <w:rtl/>
        </w:rPr>
        <w:t xml:space="preserve">. זאת, לנוכח פרק הזמן הממושך שחלף בין מועד צאתו של הסרט לאור בשנת 2002 לבין </w:t>
      </w:r>
      <w:r w:rsidR="00F14CDB" w:rsidRPr="00D421E4">
        <w:rPr>
          <w:rFonts w:hint="cs"/>
          <w:sz w:val="26"/>
          <w:szCs w:val="26"/>
          <w:rtl/>
        </w:rPr>
        <w:t xml:space="preserve">מועד ארבע </w:t>
      </w:r>
      <w:r w:rsidR="00DD51A7" w:rsidRPr="00D421E4">
        <w:rPr>
          <w:rFonts w:hint="cs"/>
          <w:sz w:val="26"/>
          <w:szCs w:val="26"/>
          <w:rtl/>
        </w:rPr>
        <w:t xml:space="preserve">ההקרנות האמורות, ובהעדר הקרנה רציפה של הסרט במהלך השנים. </w:t>
      </w:r>
      <w:r w:rsidR="004575F3" w:rsidRPr="00D421E4">
        <w:rPr>
          <w:rFonts w:hint="cs"/>
          <w:sz w:val="26"/>
          <w:szCs w:val="26"/>
          <w:rtl/>
        </w:rPr>
        <w:t xml:space="preserve">בנוסף לכך, </w:t>
      </w:r>
      <w:r w:rsidR="005320F3" w:rsidRPr="00D421E4">
        <w:rPr>
          <w:rFonts w:hint="cs"/>
          <w:sz w:val="26"/>
          <w:szCs w:val="26"/>
          <w:rtl/>
        </w:rPr>
        <w:t xml:space="preserve">השופט עמית </w:t>
      </w:r>
      <w:r w:rsidR="004575F3" w:rsidRPr="00D421E4">
        <w:rPr>
          <w:rFonts w:hint="cs"/>
          <w:sz w:val="26"/>
          <w:szCs w:val="26"/>
          <w:rtl/>
        </w:rPr>
        <w:t xml:space="preserve">קבע </w:t>
      </w:r>
      <w:r w:rsidR="005320F3" w:rsidRPr="00D421E4">
        <w:rPr>
          <w:rFonts w:hint="cs"/>
          <w:sz w:val="26"/>
          <w:szCs w:val="26"/>
          <w:rtl/>
        </w:rPr>
        <w:t xml:space="preserve">(בהסכמת השופט מינץ) כי בחירתו של </w:t>
      </w:r>
      <w:proofErr w:type="spellStart"/>
      <w:r w:rsidR="005320F3" w:rsidRPr="00D421E4">
        <w:rPr>
          <w:rFonts w:hint="cs"/>
          <w:sz w:val="26"/>
          <w:szCs w:val="26"/>
          <w:rtl/>
        </w:rPr>
        <w:t>מגנאג'י</w:t>
      </w:r>
      <w:proofErr w:type="spellEnd"/>
      <w:r w:rsidR="005320F3" w:rsidRPr="00D421E4">
        <w:rPr>
          <w:rFonts w:hint="cs"/>
          <w:sz w:val="26"/>
          <w:szCs w:val="26"/>
          <w:rtl/>
        </w:rPr>
        <w:t xml:space="preserve"> שלא לצפות בסרט במשך שנים ארוכות, למרות ידיעתו על אודות הסרט ועל ההליכים המשפטיים שהוגשו בעקבותיו, אין בה כדי לדחות את פתיחת </w:t>
      </w:r>
      <w:proofErr w:type="spellStart"/>
      <w:r w:rsidR="005320F3" w:rsidRPr="00D421E4">
        <w:rPr>
          <w:rFonts w:hint="cs"/>
          <w:sz w:val="26"/>
          <w:szCs w:val="26"/>
          <w:rtl/>
        </w:rPr>
        <w:t>מירוץ</w:t>
      </w:r>
      <w:proofErr w:type="spellEnd"/>
      <w:r w:rsidR="005320F3" w:rsidRPr="00D421E4">
        <w:rPr>
          <w:rFonts w:hint="cs"/>
          <w:sz w:val="26"/>
          <w:szCs w:val="26"/>
          <w:rtl/>
        </w:rPr>
        <w:t xml:space="preserve"> ההתיישנות.</w:t>
      </w:r>
    </w:p>
    <w:p w:rsidR="005320F3" w:rsidRPr="00D421E4" w:rsidRDefault="005320F3" w:rsidP="00D421E4">
      <w:pPr>
        <w:pStyle w:val="Ruller41"/>
        <w:spacing w:line="240" w:lineRule="auto"/>
        <w:rPr>
          <w:sz w:val="26"/>
          <w:szCs w:val="26"/>
          <w:rtl/>
        </w:rPr>
      </w:pPr>
    </w:p>
    <w:p w:rsidR="0074242E" w:rsidRPr="00D421E4" w:rsidRDefault="00DD51A7" w:rsidP="008D06BA">
      <w:pPr>
        <w:pStyle w:val="Ruller41"/>
        <w:rPr>
          <w:sz w:val="26"/>
          <w:szCs w:val="26"/>
          <w:rtl/>
        </w:rPr>
      </w:pPr>
      <w:r w:rsidRPr="00D421E4">
        <w:rPr>
          <w:rFonts w:hint="cs"/>
          <w:sz w:val="26"/>
          <w:szCs w:val="26"/>
          <w:rtl/>
        </w:rPr>
        <w:t xml:space="preserve">באשר להעלאת הסרט לאתר </w:t>
      </w:r>
      <w:r w:rsidRPr="00D421E4">
        <w:rPr>
          <w:rFonts w:asciiTheme="majorBidi" w:hAnsiTheme="majorBidi" w:cstheme="majorBidi"/>
          <w:szCs w:val="22"/>
        </w:rPr>
        <w:t>YouTube</w:t>
      </w:r>
      <w:r w:rsidRPr="00D421E4">
        <w:rPr>
          <w:rFonts w:hint="cs"/>
          <w:sz w:val="26"/>
          <w:szCs w:val="26"/>
          <w:rtl/>
        </w:rPr>
        <w:t xml:space="preserve">, נקבע ברוב דעות של השופטים שטיין ומינץ כי </w:t>
      </w:r>
      <w:r w:rsidR="0074242E" w:rsidRPr="00D421E4">
        <w:rPr>
          <w:rFonts w:hint="cs"/>
          <w:sz w:val="26"/>
          <w:szCs w:val="26"/>
          <w:rtl/>
        </w:rPr>
        <w:t xml:space="preserve">חרף העדרן של ראיות הקושרות את בכרי להעלאת הסרט לאתר, יש </w:t>
      </w:r>
      <w:r w:rsidRPr="00D421E4">
        <w:rPr>
          <w:rFonts w:hint="cs"/>
          <w:sz w:val="26"/>
          <w:szCs w:val="26"/>
          <w:rtl/>
        </w:rPr>
        <w:t>להטיל על</w:t>
      </w:r>
      <w:r w:rsidR="0074242E" w:rsidRPr="00D421E4">
        <w:rPr>
          <w:rFonts w:hint="cs"/>
          <w:sz w:val="26"/>
          <w:szCs w:val="26"/>
          <w:rtl/>
        </w:rPr>
        <w:t>יו</w:t>
      </w:r>
      <w:r w:rsidRPr="00D421E4">
        <w:rPr>
          <w:rFonts w:hint="cs"/>
          <w:sz w:val="26"/>
          <w:szCs w:val="26"/>
          <w:rtl/>
        </w:rPr>
        <w:t xml:space="preserve"> אחריות בשל כך</w:t>
      </w:r>
      <w:r w:rsidR="0074242E" w:rsidRPr="00D421E4">
        <w:rPr>
          <w:rFonts w:hint="cs"/>
          <w:sz w:val="26"/>
          <w:szCs w:val="26"/>
          <w:rtl/>
        </w:rPr>
        <w:t xml:space="preserve">. זאת, בשל </w:t>
      </w:r>
      <w:r w:rsidR="0074242E" w:rsidRPr="00D421E4">
        <w:rPr>
          <w:rFonts w:hint="cs"/>
          <w:sz w:val="26"/>
          <w:szCs w:val="26"/>
          <w:rtl/>
        </w:rPr>
        <w:lastRenderedPageBreak/>
        <w:t xml:space="preserve">השילוב בין מעשהו המקורי של בכרי המתבטא בהצגת הסרט במרחב הציבורי, לבין מחדלו המתמשך המתבטא בהעדר כל ניסיון מצדו להביא להסרת הסרט מהאתר, </w:t>
      </w:r>
      <w:r w:rsidR="004B1CF3" w:rsidRPr="00D421E4">
        <w:rPr>
          <w:rFonts w:hint="cs"/>
          <w:sz w:val="26"/>
          <w:szCs w:val="26"/>
          <w:rtl/>
        </w:rPr>
        <w:t>בהעדר הכחש</w:t>
      </w:r>
      <w:r w:rsidR="008D06BA" w:rsidRPr="00D421E4">
        <w:rPr>
          <w:rFonts w:hint="cs"/>
          <w:sz w:val="26"/>
          <w:szCs w:val="26"/>
          <w:rtl/>
        </w:rPr>
        <w:t>ה</w:t>
      </w:r>
      <w:r w:rsidR="004B1CF3" w:rsidRPr="00D421E4">
        <w:rPr>
          <w:rFonts w:hint="cs"/>
          <w:sz w:val="26"/>
          <w:szCs w:val="26"/>
          <w:rtl/>
        </w:rPr>
        <w:t xml:space="preserve"> </w:t>
      </w:r>
      <w:r w:rsidR="008D06BA" w:rsidRPr="00D421E4">
        <w:rPr>
          <w:rFonts w:hint="cs"/>
          <w:sz w:val="26"/>
          <w:szCs w:val="26"/>
          <w:rtl/>
        </w:rPr>
        <w:t xml:space="preserve">מצדו לגבי אמיתות </w:t>
      </w:r>
      <w:r w:rsidR="004B1CF3" w:rsidRPr="00D421E4">
        <w:rPr>
          <w:rFonts w:hint="cs"/>
          <w:sz w:val="26"/>
          <w:szCs w:val="26"/>
          <w:rtl/>
        </w:rPr>
        <w:t xml:space="preserve">תוכנו של הסרט, </w:t>
      </w:r>
      <w:r w:rsidR="0074242E" w:rsidRPr="00D421E4">
        <w:rPr>
          <w:rFonts w:hint="cs"/>
          <w:sz w:val="26"/>
          <w:szCs w:val="26"/>
          <w:rtl/>
        </w:rPr>
        <w:t xml:space="preserve">ובהתחשב בציפייה הסבירה כי הסרט יתגלגל אל רשת האינטרנט. </w:t>
      </w:r>
      <w:r w:rsidR="004575F3" w:rsidRPr="00D421E4">
        <w:rPr>
          <w:rFonts w:hint="cs"/>
          <w:sz w:val="26"/>
          <w:szCs w:val="26"/>
          <w:rtl/>
        </w:rPr>
        <w:t xml:space="preserve">מנגד, </w:t>
      </w:r>
      <w:r w:rsidR="0074242E" w:rsidRPr="00D421E4">
        <w:rPr>
          <w:rFonts w:hint="cs"/>
          <w:sz w:val="26"/>
          <w:szCs w:val="26"/>
          <w:rtl/>
        </w:rPr>
        <w:t xml:space="preserve">השופט עמית </w:t>
      </w:r>
      <w:r w:rsidR="004575F3" w:rsidRPr="00D421E4">
        <w:rPr>
          <w:rFonts w:hint="cs"/>
          <w:sz w:val="26"/>
          <w:szCs w:val="26"/>
          <w:rtl/>
        </w:rPr>
        <w:t>עמד על כך</w:t>
      </w:r>
      <w:r w:rsidR="0074242E" w:rsidRPr="00D421E4">
        <w:rPr>
          <w:rFonts w:hint="cs"/>
          <w:sz w:val="26"/>
          <w:szCs w:val="26"/>
          <w:rtl/>
        </w:rPr>
        <w:t xml:space="preserve"> </w:t>
      </w:r>
      <w:r w:rsidR="004575F3" w:rsidRPr="00D421E4">
        <w:rPr>
          <w:rFonts w:hint="cs"/>
          <w:sz w:val="26"/>
          <w:szCs w:val="26"/>
          <w:rtl/>
        </w:rPr>
        <w:t>שלפי ה</w:t>
      </w:r>
      <w:r w:rsidR="0074242E" w:rsidRPr="00D421E4">
        <w:rPr>
          <w:rFonts w:hint="cs"/>
          <w:sz w:val="26"/>
          <w:szCs w:val="26"/>
          <w:rtl/>
        </w:rPr>
        <w:t>תשתית הראייתית</w:t>
      </w:r>
      <w:r w:rsidR="004575F3" w:rsidRPr="00D421E4">
        <w:rPr>
          <w:rFonts w:hint="cs"/>
          <w:sz w:val="26"/>
          <w:szCs w:val="26"/>
          <w:rtl/>
        </w:rPr>
        <w:t xml:space="preserve"> שהונחה</w:t>
      </w:r>
      <w:r w:rsidR="0074242E" w:rsidRPr="00D421E4">
        <w:rPr>
          <w:rFonts w:hint="cs"/>
          <w:sz w:val="26"/>
          <w:szCs w:val="26"/>
          <w:rtl/>
        </w:rPr>
        <w:t>, ה</w:t>
      </w:r>
      <w:r w:rsidR="0074242E" w:rsidRPr="00D421E4">
        <w:rPr>
          <w:rFonts w:ascii="Century" w:hAnsi="Century" w:hint="cs"/>
          <w:sz w:val="26"/>
          <w:szCs w:val="26"/>
          <w:rtl/>
        </w:rPr>
        <w:t>עלאת הסרט ל</w:t>
      </w:r>
      <w:r w:rsidR="004575F3" w:rsidRPr="00D421E4">
        <w:rPr>
          <w:rFonts w:ascii="Century" w:hAnsi="Century" w:hint="cs"/>
          <w:sz w:val="26"/>
          <w:szCs w:val="26"/>
          <w:rtl/>
        </w:rPr>
        <w:t xml:space="preserve">אתר </w:t>
      </w:r>
      <w:r w:rsidR="00260BF1" w:rsidRPr="00D421E4">
        <w:rPr>
          <w:rFonts w:asciiTheme="majorBidi" w:hAnsiTheme="majorBidi" w:cstheme="majorBidi"/>
          <w:szCs w:val="22"/>
        </w:rPr>
        <w:t>YouTube</w:t>
      </w:r>
      <w:r w:rsidR="00260BF1" w:rsidRPr="00D421E4">
        <w:rPr>
          <w:rFonts w:ascii="Century" w:hAnsi="Century" w:hint="cs"/>
          <w:sz w:val="26"/>
          <w:szCs w:val="26"/>
          <w:rtl/>
        </w:rPr>
        <w:t xml:space="preserve"> </w:t>
      </w:r>
      <w:r w:rsidR="0074242E" w:rsidRPr="00D421E4">
        <w:rPr>
          <w:rFonts w:ascii="Century" w:hAnsi="Century" w:hint="cs"/>
          <w:sz w:val="26"/>
          <w:szCs w:val="26"/>
          <w:rtl/>
        </w:rPr>
        <w:t>נעשתה על ידי צד שלישי, ללא ידיעת בכרי ומבלי שנתקבלה הסכמתו</w:t>
      </w:r>
      <w:r w:rsidR="004575F3" w:rsidRPr="00D421E4">
        <w:rPr>
          <w:rFonts w:ascii="Century" w:hAnsi="Century" w:hint="cs"/>
          <w:sz w:val="26"/>
          <w:szCs w:val="26"/>
          <w:rtl/>
        </w:rPr>
        <w:t>.</w:t>
      </w:r>
      <w:r w:rsidR="0074242E" w:rsidRPr="00D421E4">
        <w:rPr>
          <w:rFonts w:ascii="Century" w:hAnsi="Century" w:hint="cs"/>
          <w:sz w:val="26"/>
          <w:szCs w:val="26"/>
          <w:rtl/>
        </w:rPr>
        <w:t xml:space="preserve"> </w:t>
      </w:r>
      <w:r w:rsidR="004575F3" w:rsidRPr="00D421E4">
        <w:rPr>
          <w:rFonts w:ascii="Century" w:hAnsi="Century" w:hint="cs"/>
          <w:sz w:val="26"/>
          <w:szCs w:val="26"/>
          <w:rtl/>
        </w:rPr>
        <w:t xml:space="preserve">לפיכך, השופט עמית סבר, בדעת מיעוט, כי </w:t>
      </w:r>
      <w:r w:rsidR="0074242E" w:rsidRPr="00D421E4">
        <w:rPr>
          <w:rFonts w:ascii="Century" w:hAnsi="Century" w:hint="cs"/>
          <w:sz w:val="26"/>
          <w:szCs w:val="26"/>
          <w:rtl/>
        </w:rPr>
        <w:t xml:space="preserve">לא ניתן </w:t>
      </w:r>
      <w:r w:rsidR="001B193F" w:rsidRPr="00D421E4">
        <w:rPr>
          <w:rFonts w:ascii="Century" w:hAnsi="Century" w:hint="cs"/>
          <w:sz w:val="26"/>
          <w:szCs w:val="26"/>
          <w:rtl/>
        </w:rPr>
        <w:t>להטיל על</w:t>
      </w:r>
      <w:r w:rsidR="008D06BA" w:rsidRPr="00D421E4">
        <w:rPr>
          <w:rFonts w:ascii="Century" w:hAnsi="Century" w:hint="cs"/>
          <w:sz w:val="26"/>
          <w:szCs w:val="26"/>
          <w:rtl/>
        </w:rPr>
        <w:t xml:space="preserve"> בכרי</w:t>
      </w:r>
      <w:r w:rsidR="001B193F" w:rsidRPr="00D421E4">
        <w:rPr>
          <w:rFonts w:ascii="Century" w:hAnsi="Century" w:hint="cs"/>
          <w:sz w:val="26"/>
          <w:szCs w:val="26"/>
          <w:rtl/>
        </w:rPr>
        <w:t xml:space="preserve"> אחריות בשל כך.</w:t>
      </w:r>
    </w:p>
    <w:p w:rsidR="005320F3" w:rsidRPr="00D421E4" w:rsidRDefault="005320F3" w:rsidP="00D421E4">
      <w:pPr>
        <w:pStyle w:val="Ruller41"/>
        <w:spacing w:line="240" w:lineRule="auto"/>
        <w:rPr>
          <w:sz w:val="26"/>
          <w:szCs w:val="26"/>
          <w:rtl/>
        </w:rPr>
      </w:pPr>
    </w:p>
    <w:p w:rsidR="00260BF1" w:rsidRPr="00203388" w:rsidRDefault="00942F78" w:rsidP="00DB036D">
      <w:pPr>
        <w:pStyle w:val="Ruller41"/>
        <w:rPr>
          <w:rtl/>
        </w:rPr>
      </w:pPr>
      <w:r w:rsidRPr="00D421E4">
        <w:rPr>
          <w:rFonts w:hint="cs"/>
          <w:sz w:val="26"/>
          <w:szCs w:val="26"/>
          <w:rtl/>
        </w:rPr>
        <w:t>במישור הסעד</w:t>
      </w:r>
      <w:r w:rsidR="00D35FA2" w:rsidRPr="00D421E4">
        <w:rPr>
          <w:rFonts w:hint="cs"/>
          <w:sz w:val="26"/>
          <w:szCs w:val="26"/>
          <w:rtl/>
        </w:rPr>
        <w:t>:</w:t>
      </w:r>
      <w:r w:rsidR="00B82D05" w:rsidRPr="00D421E4">
        <w:rPr>
          <w:rFonts w:hint="cs"/>
          <w:sz w:val="26"/>
          <w:szCs w:val="26"/>
          <w:rtl/>
        </w:rPr>
        <w:t xml:space="preserve"> </w:t>
      </w:r>
      <w:r w:rsidR="001B193F" w:rsidRPr="00D421E4">
        <w:rPr>
          <w:rFonts w:hint="cs"/>
          <w:sz w:val="26"/>
          <w:szCs w:val="26"/>
          <w:rtl/>
        </w:rPr>
        <w:t>בדעת רוב של השופטים שטיין ומינץ, נקבע כי יש להותיר על כנ</w:t>
      </w:r>
      <w:r w:rsidR="004575F3" w:rsidRPr="00D421E4">
        <w:rPr>
          <w:rFonts w:hint="cs"/>
          <w:sz w:val="26"/>
          <w:szCs w:val="26"/>
          <w:rtl/>
        </w:rPr>
        <w:t>ם</w:t>
      </w:r>
      <w:r w:rsidR="001B193F" w:rsidRPr="00D421E4">
        <w:rPr>
          <w:rFonts w:hint="cs"/>
          <w:sz w:val="26"/>
          <w:szCs w:val="26"/>
          <w:rtl/>
        </w:rPr>
        <w:t xml:space="preserve"> את </w:t>
      </w:r>
      <w:proofErr w:type="spellStart"/>
      <w:r w:rsidR="001B193F" w:rsidRPr="00D421E4">
        <w:rPr>
          <w:rFonts w:hint="cs"/>
          <w:sz w:val="26"/>
          <w:szCs w:val="26"/>
          <w:rtl/>
        </w:rPr>
        <w:t>הסעד</w:t>
      </w:r>
      <w:r w:rsidR="004575F3" w:rsidRPr="00D421E4">
        <w:rPr>
          <w:rFonts w:hint="cs"/>
          <w:sz w:val="26"/>
          <w:szCs w:val="26"/>
          <w:rtl/>
        </w:rPr>
        <w:t>ים</w:t>
      </w:r>
      <w:proofErr w:type="spellEnd"/>
      <w:r w:rsidR="001B193F" w:rsidRPr="00D421E4">
        <w:rPr>
          <w:rFonts w:hint="cs"/>
          <w:sz w:val="26"/>
          <w:szCs w:val="26"/>
          <w:rtl/>
        </w:rPr>
        <w:t xml:space="preserve"> שפסק בית המשפט המחוזי</w:t>
      </w:r>
      <w:r w:rsidR="004575F3" w:rsidRPr="00D421E4">
        <w:rPr>
          <w:rFonts w:hint="cs"/>
          <w:sz w:val="26"/>
          <w:szCs w:val="26"/>
          <w:rtl/>
        </w:rPr>
        <w:t xml:space="preserve">, </w:t>
      </w:r>
      <w:r w:rsidR="003335F9" w:rsidRPr="00D421E4">
        <w:rPr>
          <w:rFonts w:hint="cs"/>
          <w:sz w:val="26"/>
          <w:szCs w:val="26"/>
          <w:rtl/>
        </w:rPr>
        <w:t xml:space="preserve">בכללם </w:t>
      </w:r>
      <w:r w:rsidR="001B193F" w:rsidRPr="00D421E4">
        <w:rPr>
          <w:rFonts w:hint="cs"/>
          <w:sz w:val="26"/>
          <w:szCs w:val="26"/>
          <w:rtl/>
        </w:rPr>
        <w:t xml:space="preserve">צו מניעה גורף האוסר על הקרנת הסרט </w:t>
      </w:r>
      <w:r w:rsidR="008D06BA" w:rsidRPr="00D421E4">
        <w:rPr>
          <w:rFonts w:hint="cs"/>
          <w:sz w:val="26"/>
          <w:szCs w:val="26"/>
          <w:rtl/>
        </w:rPr>
        <w:t xml:space="preserve">בישראל </w:t>
      </w:r>
      <w:r w:rsidR="001B193F" w:rsidRPr="00D421E4">
        <w:rPr>
          <w:rFonts w:hint="cs"/>
          <w:sz w:val="26"/>
          <w:szCs w:val="26"/>
          <w:rtl/>
        </w:rPr>
        <w:t xml:space="preserve">ופיצוי </w:t>
      </w:r>
      <w:proofErr w:type="spellStart"/>
      <w:r w:rsidR="001B193F" w:rsidRPr="00D421E4">
        <w:rPr>
          <w:rFonts w:hint="cs"/>
          <w:sz w:val="26"/>
          <w:szCs w:val="26"/>
          <w:rtl/>
        </w:rPr>
        <w:t>למגנאג'י</w:t>
      </w:r>
      <w:proofErr w:type="spellEnd"/>
      <w:r w:rsidR="001B193F" w:rsidRPr="00D421E4">
        <w:rPr>
          <w:rFonts w:hint="cs"/>
          <w:sz w:val="26"/>
          <w:szCs w:val="26"/>
          <w:rtl/>
        </w:rPr>
        <w:t xml:space="preserve"> בסך 175,000 ₪. השופט עמית סבר, בדעת מיעוט, כי יש לצמצם את היקפו של צו המניעה. לגישתו, בהינתן שאורכו של הסרט המלא עומד על </w:t>
      </w:r>
      <w:r w:rsidR="001B193F" w:rsidRPr="00D421E4">
        <w:rPr>
          <w:rFonts w:ascii="Century" w:hAnsi="Century" w:cs="Miriam" w:hint="cs"/>
          <w:b/>
          <w:spacing w:val="0"/>
          <w:sz w:val="23"/>
          <w:szCs w:val="23"/>
          <w:rtl/>
        </w:rPr>
        <w:t>למעלה מ-50 דקות</w:t>
      </w:r>
      <w:r w:rsidR="001B193F" w:rsidRPr="00D421E4">
        <w:rPr>
          <w:rFonts w:hint="cs"/>
          <w:sz w:val="26"/>
          <w:szCs w:val="26"/>
          <w:rtl/>
        </w:rPr>
        <w:t>, ובהינתן ש</w:t>
      </w:r>
      <w:r w:rsidR="004575F3" w:rsidRPr="00D421E4">
        <w:rPr>
          <w:rFonts w:hint="cs"/>
          <w:sz w:val="26"/>
          <w:szCs w:val="26"/>
          <w:rtl/>
        </w:rPr>
        <w:t xml:space="preserve">אורכו של </w:t>
      </w:r>
      <w:r w:rsidR="001B193F" w:rsidRPr="00D421E4">
        <w:rPr>
          <w:rFonts w:hint="cs"/>
          <w:sz w:val="26"/>
          <w:szCs w:val="26"/>
          <w:rtl/>
        </w:rPr>
        <w:t xml:space="preserve">הקטע </w:t>
      </w:r>
      <w:r w:rsidR="005320F3" w:rsidRPr="00D421E4">
        <w:rPr>
          <w:rFonts w:hint="cs"/>
          <w:sz w:val="26"/>
          <w:szCs w:val="26"/>
          <w:rtl/>
        </w:rPr>
        <w:t xml:space="preserve">בסרט </w:t>
      </w:r>
      <w:r w:rsidR="001B193F" w:rsidRPr="00D421E4">
        <w:rPr>
          <w:rFonts w:hint="cs"/>
          <w:sz w:val="26"/>
          <w:szCs w:val="26"/>
          <w:rtl/>
        </w:rPr>
        <w:t xml:space="preserve">שבו מופיע </w:t>
      </w:r>
      <w:proofErr w:type="spellStart"/>
      <w:r w:rsidR="001B193F" w:rsidRPr="00D421E4">
        <w:rPr>
          <w:rFonts w:hint="cs"/>
          <w:sz w:val="26"/>
          <w:szCs w:val="26"/>
          <w:rtl/>
        </w:rPr>
        <w:t>מגנאג'י</w:t>
      </w:r>
      <w:proofErr w:type="spellEnd"/>
      <w:r w:rsidR="001B193F" w:rsidRPr="00D421E4">
        <w:rPr>
          <w:rFonts w:hint="cs"/>
          <w:sz w:val="26"/>
          <w:szCs w:val="26"/>
          <w:rtl/>
        </w:rPr>
        <w:t xml:space="preserve"> מסתכם </w:t>
      </w:r>
      <w:r w:rsidR="001B193F" w:rsidRPr="00D421E4">
        <w:rPr>
          <w:rFonts w:ascii="Century" w:hAnsi="Century" w:cs="Miriam" w:hint="cs"/>
          <w:b/>
          <w:spacing w:val="0"/>
          <w:sz w:val="23"/>
          <w:szCs w:val="23"/>
          <w:rtl/>
        </w:rPr>
        <w:t>בארבע שניות בלבד</w:t>
      </w:r>
      <w:r w:rsidR="001B193F" w:rsidRPr="00D421E4">
        <w:rPr>
          <w:rFonts w:hint="cs"/>
          <w:sz w:val="26"/>
          <w:szCs w:val="26"/>
          <w:rtl/>
        </w:rPr>
        <w:t xml:space="preserve">, </w:t>
      </w:r>
      <w:r w:rsidR="005320F3" w:rsidRPr="00D421E4">
        <w:rPr>
          <w:rFonts w:hint="cs"/>
          <w:sz w:val="26"/>
          <w:szCs w:val="26"/>
          <w:rtl/>
        </w:rPr>
        <w:t>אזי יש</w:t>
      </w:r>
      <w:r w:rsidR="001B193F" w:rsidRPr="00D421E4">
        <w:rPr>
          <w:rFonts w:hint="cs"/>
          <w:sz w:val="26"/>
          <w:szCs w:val="26"/>
          <w:rtl/>
        </w:rPr>
        <w:t xml:space="preserve"> להסתפק </w:t>
      </w:r>
      <w:r w:rsidR="004575F3" w:rsidRPr="00D421E4">
        <w:rPr>
          <w:rFonts w:hint="cs"/>
          <w:sz w:val="26"/>
          <w:szCs w:val="26"/>
          <w:rtl/>
        </w:rPr>
        <w:t>ב</w:t>
      </w:r>
      <w:r w:rsidR="001B193F" w:rsidRPr="00D421E4">
        <w:rPr>
          <w:rFonts w:hint="cs"/>
          <w:sz w:val="26"/>
          <w:szCs w:val="26"/>
          <w:rtl/>
        </w:rPr>
        <w:t>הסרת הקטע בסרט שבו מופיע צילומו של</w:t>
      </w:r>
      <w:r w:rsidR="004575F3" w:rsidRPr="00D421E4">
        <w:rPr>
          <w:rFonts w:hint="cs"/>
          <w:sz w:val="26"/>
          <w:szCs w:val="26"/>
          <w:rtl/>
        </w:rPr>
        <w:t xml:space="preserve"> </w:t>
      </w:r>
      <w:proofErr w:type="spellStart"/>
      <w:r w:rsidR="004575F3" w:rsidRPr="00D421E4">
        <w:rPr>
          <w:rFonts w:hint="cs"/>
          <w:sz w:val="26"/>
          <w:szCs w:val="26"/>
          <w:rtl/>
        </w:rPr>
        <w:t>מגנאג'י</w:t>
      </w:r>
      <w:proofErr w:type="spellEnd"/>
      <w:r w:rsidR="005320F3" w:rsidRPr="00D421E4">
        <w:rPr>
          <w:rFonts w:hint="cs"/>
          <w:sz w:val="26"/>
          <w:szCs w:val="26"/>
          <w:rtl/>
        </w:rPr>
        <w:t xml:space="preserve">. כמו כן, </w:t>
      </w:r>
      <w:r w:rsidR="001B193F" w:rsidRPr="00D421E4">
        <w:rPr>
          <w:rFonts w:hint="cs"/>
          <w:sz w:val="26"/>
          <w:szCs w:val="26"/>
          <w:rtl/>
        </w:rPr>
        <w:t>לנוכח מסקנתו</w:t>
      </w:r>
      <w:r w:rsidR="005320F3" w:rsidRPr="00D421E4">
        <w:rPr>
          <w:rFonts w:hint="cs"/>
          <w:sz w:val="26"/>
          <w:szCs w:val="26"/>
          <w:rtl/>
        </w:rPr>
        <w:t xml:space="preserve"> </w:t>
      </w:r>
      <w:r w:rsidR="001B193F" w:rsidRPr="00D421E4">
        <w:rPr>
          <w:rFonts w:hint="cs"/>
          <w:sz w:val="26"/>
          <w:szCs w:val="26"/>
          <w:rtl/>
        </w:rPr>
        <w:t xml:space="preserve">בדבר העדר אחריות של בכרי להעלאת הסרט לאתר </w:t>
      </w:r>
      <w:r w:rsidRPr="00D421E4">
        <w:rPr>
          <w:rFonts w:asciiTheme="majorBidi" w:hAnsiTheme="majorBidi" w:cstheme="majorBidi"/>
          <w:szCs w:val="22"/>
        </w:rPr>
        <w:t>YouTube</w:t>
      </w:r>
      <w:r w:rsidR="001B193F" w:rsidRPr="00D421E4">
        <w:rPr>
          <w:rFonts w:hint="cs"/>
          <w:sz w:val="26"/>
          <w:szCs w:val="26"/>
          <w:rtl/>
        </w:rPr>
        <w:t xml:space="preserve">, </w:t>
      </w:r>
      <w:r w:rsidR="00D72B58" w:rsidRPr="00D421E4">
        <w:rPr>
          <w:rFonts w:hint="cs"/>
          <w:sz w:val="26"/>
          <w:szCs w:val="26"/>
          <w:rtl/>
        </w:rPr>
        <w:t xml:space="preserve">השופט עמית </w:t>
      </w:r>
      <w:r w:rsidR="005320F3" w:rsidRPr="00D421E4">
        <w:rPr>
          <w:rFonts w:hint="cs"/>
          <w:sz w:val="26"/>
          <w:szCs w:val="26"/>
          <w:rtl/>
        </w:rPr>
        <w:t xml:space="preserve">סבר כי </w:t>
      </w:r>
      <w:r w:rsidR="001B193F" w:rsidRPr="00D421E4">
        <w:rPr>
          <w:rFonts w:hint="cs"/>
          <w:sz w:val="26"/>
          <w:szCs w:val="26"/>
          <w:rtl/>
        </w:rPr>
        <w:t>יש לה</w:t>
      </w:r>
      <w:r w:rsidR="005320F3" w:rsidRPr="00D421E4">
        <w:rPr>
          <w:rFonts w:hint="cs"/>
          <w:sz w:val="26"/>
          <w:szCs w:val="26"/>
          <w:rtl/>
        </w:rPr>
        <w:t xml:space="preserve">תאים את שיעור הפיצוי </w:t>
      </w:r>
      <w:r w:rsidR="001B193F" w:rsidRPr="00D421E4">
        <w:rPr>
          <w:rFonts w:hint="cs"/>
          <w:sz w:val="26"/>
          <w:szCs w:val="26"/>
          <w:rtl/>
        </w:rPr>
        <w:t>ולהעמידו על סך של 100,000 ₪.</w:t>
      </w:r>
      <w:r w:rsidR="00DB036D" w:rsidRPr="00D421E4">
        <w:rPr>
          <w:rFonts w:hint="cs"/>
          <w:sz w:val="26"/>
          <w:szCs w:val="26"/>
          <w:rtl/>
        </w:rPr>
        <w:t xml:space="preserve"> </w:t>
      </w:r>
      <w:r w:rsidR="00DB036D" w:rsidRPr="00D421E4">
        <w:rPr>
          <w:rFonts w:hint="eastAsia"/>
          <w:sz w:val="26"/>
          <w:szCs w:val="26"/>
          <w:rtl/>
        </w:rPr>
        <w:t>בהעדר</w:t>
      </w:r>
      <w:r w:rsidR="00DB036D" w:rsidRPr="00D421E4">
        <w:rPr>
          <w:sz w:val="26"/>
          <w:szCs w:val="26"/>
          <w:rtl/>
        </w:rPr>
        <w:t xml:space="preserve"> ערעור מצדו של </w:t>
      </w:r>
      <w:proofErr w:type="spellStart"/>
      <w:r w:rsidR="00DB036D" w:rsidRPr="00D421E4">
        <w:rPr>
          <w:rFonts w:hint="eastAsia"/>
          <w:sz w:val="26"/>
          <w:szCs w:val="26"/>
          <w:rtl/>
        </w:rPr>
        <w:t>מגנאג</w:t>
      </w:r>
      <w:r w:rsidR="00DB036D" w:rsidRPr="00D421E4">
        <w:rPr>
          <w:sz w:val="26"/>
          <w:szCs w:val="26"/>
          <w:rtl/>
        </w:rPr>
        <w:t>'י</w:t>
      </w:r>
      <w:proofErr w:type="spellEnd"/>
      <w:r w:rsidR="00DB036D" w:rsidRPr="00D421E4">
        <w:rPr>
          <w:sz w:val="26"/>
          <w:szCs w:val="26"/>
          <w:rtl/>
        </w:rPr>
        <w:t xml:space="preserve"> על פסק דינו של בית המשפט המחוזי, </w:t>
      </w:r>
      <w:r w:rsidR="00DB036D" w:rsidRPr="00D421E4">
        <w:rPr>
          <w:rFonts w:hint="eastAsia"/>
          <w:sz w:val="26"/>
          <w:szCs w:val="26"/>
          <w:rtl/>
        </w:rPr>
        <w:t>שלושת</w:t>
      </w:r>
      <w:r w:rsidR="00DB036D" w:rsidRPr="00D421E4">
        <w:rPr>
          <w:sz w:val="26"/>
          <w:szCs w:val="26"/>
          <w:rtl/>
        </w:rPr>
        <w:t xml:space="preserve"> השופטים הותירו על כנה את </w:t>
      </w:r>
      <w:r w:rsidR="00DB036D" w:rsidRPr="00D421E4">
        <w:rPr>
          <w:rFonts w:hint="eastAsia"/>
          <w:sz w:val="26"/>
          <w:szCs w:val="26"/>
          <w:rtl/>
        </w:rPr>
        <w:t>הקביעה</w:t>
      </w:r>
      <w:r w:rsidR="00DB036D" w:rsidRPr="00D421E4">
        <w:rPr>
          <w:sz w:val="26"/>
          <w:szCs w:val="26"/>
          <w:rtl/>
        </w:rPr>
        <w:t xml:space="preserve"> </w:t>
      </w:r>
      <w:r w:rsidR="00DB036D" w:rsidRPr="00D421E4">
        <w:rPr>
          <w:rFonts w:hint="eastAsia"/>
          <w:sz w:val="26"/>
          <w:szCs w:val="26"/>
          <w:rtl/>
        </w:rPr>
        <w:t>כי</w:t>
      </w:r>
      <w:r w:rsidR="00DB036D" w:rsidRPr="00D421E4">
        <w:rPr>
          <w:sz w:val="26"/>
          <w:szCs w:val="26"/>
          <w:rtl/>
        </w:rPr>
        <w:t xml:space="preserve"> אין מקום </w:t>
      </w:r>
      <w:proofErr w:type="spellStart"/>
      <w:r w:rsidR="00DB036D" w:rsidRPr="00D421E4">
        <w:rPr>
          <w:rFonts w:hint="eastAsia"/>
          <w:sz w:val="26"/>
          <w:szCs w:val="26"/>
          <w:rtl/>
        </w:rPr>
        <w:t>ליתן</w:t>
      </w:r>
      <w:proofErr w:type="spellEnd"/>
      <w:r w:rsidR="00DB036D" w:rsidRPr="00D421E4">
        <w:rPr>
          <w:sz w:val="26"/>
          <w:szCs w:val="26"/>
          <w:rtl/>
        </w:rPr>
        <w:t xml:space="preserve"> צו המורה על הסרת הסרט מאתר </w:t>
      </w:r>
      <w:r w:rsidR="00DB036D" w:rsidRPr="00D421E4">
        <w:rPr>
          <w:rFonts w:asciiTheme="majorBidi" w:hAnsiTheme="majorBidi" w:cstheme="majorBidi"/>
          <w:szCs w:val="22"/>
        </w:rPr>
        <w:t>YouTube</w:t>
      </w:r>
      <w:r w:rsidR="00DB036D" w:rsidRPr="00D421E4">
        <w:rPr>
          <w:sz w:val="26"/>
          <w:szCs w:val="26"/>
          <w:rtl/>
        </w:rPr>
        <w:t>.</w:t>
      </w:r>
    </w:p>
    <w:sectPr w:rsidR="00260BF1" w:rsidRPr="00203388" w:rsidSect="002F342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F10" w:rsidRDefault="00592F10">
      <w:r>
        <w:separator/>
      </w:r>
    </w:p>
  </w:endnote>
  <w:endnote w:type="continuationSeparator" w:id="0">
    <w:p w:rsidR="00592F10" w:rsidRDefault="0059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DavidFix">
    <w:charset w:val="B1"/>
    <w:family w:val="auto"/>
    <w:pitch w:val="variable"/>
    <w:sig w:usb0="00001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4C" w:rsidRDefault="002D044C">
    <w:pPr>
      <w:pStyle w:val="a3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>
      <w:rPr>
        <w:rStyle w:val="a4"/>
        <w:rtl/>
      </w:rPr>
      <w:t>1</w:t>
    </w:r>
    <w:r>
      <w:rPr>
        <w:rStyle w:val="a4"/>
        <w:rtl/>
      </w:rPr>
      <w:fldChar w:fldCharType="end"/>
    </w:r>
  </w:p>
  <w:p w:rsidR="002D044C" w:rsidRDefault="002D044C">
    <w:pPr>
      <w:pStyle w:val="a3"/>
      <w:rPr>
        <w:rtl/>
      </w:rPr>
    </w:pPr>
  </w:p>
  <w:p w:rsidR="002D044C" w:rsidRDefault="002D04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4C" w:rsidRDefault="002D044C">
    <w:pPr>
      <w:pStyle w:val="a3"/>
      <w:bidi w:val="0"/>
    </w:pPr>
  </w:p>
  <w:p w:rsidR="002D044C" w:rsidRDefault="002D044C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F10" w:rsidRDefault="00592F10">
      <w:r>
        <w:separator/>
      </w:r>
    </w:p>
  </w:footnote>
  <w:footnote w:type="continuationSeparator" w:id="0">
    <w:p w:rsidR="00592F10" w:rsidRDefault="0059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4C" w:rsidRDefault="002D044C">
    <w:pPr>
      <w:pStyle w:val="a5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>
      <w:rPr>
        <w:rStyle w:val="a4"/>
        <w:rtl/>
      </w:rPr>
      <w:t>1</w:t>
    </w:r>
    <w:r>
      <w:rPr>
        <w:rStyle w:val="a4"/>
        <w:rtl/>
      </w:rPr>
      <w:fldChar w:fldCharType="end"/>
    </w:r>
  </w:p>
  <w:p w:rsidR="002D044C" w:rsidRDefault="002D044C">
    <w:pPr>
      <w:pStyle w:val="a5"/>
      <w:rPr>
        <w:rtl/>
      </w:rPr>
    </w:pPr>
  </w:p>
  <w:p w:rsidR="002D044C" w:rsidRDefault="002D04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44C" w:rsidRDefault="002D044C">
    <w:pPr>
      <w:pStyle w:val="a5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B628D6">
      <w:rPr>
        <w:rStyle w:val="a4"/>
        <w:noProof/>
        <w:rtl/>
      </w:rPr>
      <w:t>2</w:t>
    </w:r>
    <w:r>
      <w:rPr>
        <w:rStyle w:val="a4"/>
        <w:rtl/>
      </w:rPr>
      <w:fldChar w:fldCharType="end"/>
    </w:r>
  </w:p>
  <w:p w:rsidR="002D044C" w:rsidRDefault="002D044C">
    <w:pPr>
      <w:pStyle w:val="a5"/>
      <w:rPr>
        <w:rtl/>
      </w:rPr>
    </w:pPr>
  </w:p>
  <w:p w:rsidR="002D044C" w:rsidRDefault="002D04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B0D" w:rsidRDefault="00A76B0D" w:rsidP="00A76B0D">
    <w:pPr>
      <w:pStyle w:val="a5"/>
      <w:jc w:val="center"/>
      <w:rPr>
        <w:rtl/>
        <w:cs/>
      </w:rPr>
    </w:pPr>
    <w:r w:rsidRPr="00A76B0D">
      <w:rPr>
        <w:noProof/>
        <w:rtl/>
      </w:rPr>
      <w:drawing>
        <wp:inline distT="0" distB="0" distL="0" distR="0">
          <wp:extent cx="523875" cy="609600"/>
          <wp:effectExtent l="0" t="0" r="9525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76B0D" w:rsidRDefault="00A76B0D" w:rsidP="00A76B0D">
    <w:pPr>
      <w:pStyle w:val="a5"/>
      <w:jc w:val="center"/>
      <w:rPr>
        <w:rFonts w:ascii="FrankRuehl" w:hAnsi="FrankRuehl"/>
        <w:sz w:val="18"/>
        <w:szCs w:val="26"/>
        <w:rtl/>
        <w:cs/>
      </w:rPr>
    </w:pPr>
    <w:r w:rsidRPr="00A76B0D">
      <w:rPr>
        <w:rFonts w:ascii="FrankRuehl" w:hAnsi="FrankRuehl"/>
        <w:b/>
        <w:bCs/>
        <w:color w:val="000081"/>
        <w:spacing w:val="0"/>
        <w:sz w:val="30"/>
        <w:szCs w:val="30"/>
        <w:rtl/>
      </w:rPr>
      <w:t>בית</w:t>
    </w:r>
    <w:r w:rsidRPr="00A76B0D">
      <w:rPr>
        <w:rFonts w:ascii="FrankRuehl" w:hAnsi="FrankRuehl"/>
        <w:b/>
        <w:bCs/>
        <w:color w:val="000081"/>
        <w:spacing w:val="0"/>
        <w:sz w:val="30"/>
        <w:szCs w:val="30"/>
      </w:rPr>
      <w:t xml:space="preserve"> </w:t>
    </w:r>
    <w:r w:rsidRPr="00A76B0D">
      <w:rPr>
        <w:rFonts w:ascii="FrankRuehl" w:hAnsi="FrankRuehl"/>
        <w:b/>
        <w:bCs/>
        <w:color w:val="000081"/>
        <w:spacing w:val="0"/>
        <w:sz w:val="30"/>
        <w:szCs w:val="30"/>
        <w:rtl/>
      </w:rPr>
      <w:t>המשפט</w:t>
    </w:r>
    <w:r w:rsidRPr="00A76B0D">
      <w:rPr>
        <w:rFonts w:ascii="FrankRuehl" w:hAnsi="FrankRuehl"/>
        <w:b/>
        <w:bCs/>
        <w:color w:val="000081"/>
        <w:spacing w:val="0"/>
        <w:sz w:val="30"/>
        <w:szCs w:val="30"/>
      </w:rPr>
      <w:t xml:space="preserve"> </w:t>
    </w:r>
    <w:r w:rsidRPr="00A76B0D">
      <w:rPr>
        <w:rFonts w:ascii="FrankRuehl" w:hAnsi="FrankRuehl"/>
        <w:b/>
        <w:bCs/>
        <w:color w:val="000081"/>
        <w:spacing w:val="0"/>
        <w:sz w:val="30"/>
        <w:szCs w:val="30"/>
        <w:rtl/>
      </w:rPr>
      <w:t>העליון</w:t>
    </w:r>
  </w:p>
  <w:p w:rsidR="00A76B0D" w:rsidRPr="00D421E4" w:rsidRDefault="00A76B0D" w:rsidP="00A76B0D">
    <w:pPr>
      <w:pStyle w:val="a5"/>
      <w:jc w:val="center"/>
      <w:rPr>
        <w:rFonts w:ascii="FrankRuehl" w:hAnsi="FrankRuehl"/>
        <w:sz w:val="4"/>
        <w:szCs w:val="12"/>
        <w:rtl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001B"/>
    <w:multiLevelType w:val="hybridMultilevel"/>
    <w:tmpl w:val="B2C4B5E4"/>
    <w:lvl w:ilvl="0" w:tplc="5F9C772A">
      <w:start w:val="1"/>
      <w:numFmt w:val="decimal"/>
      <w:pStyle w:val="Ruller4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E70B62"/>
    <w:multiLevelType w:val="hybridMultilevel"/>
    <w:tmpl w:val="ADA8711E"/>
    <w:lvl w:ilvl="0" w:tplc="DBB0A036">
      <w:start w:val="1"/>
      <w:numFmt w:val="hebrew1"/>
      <w:pStyle w:val="Ruller40"/>
      <w:lvlText w:val="%1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43"/>
    <w:rsid w:val="00002743"/>
    <w:rsid w:val="00006F39"/>
    <w:rsid w:val="00020E06"/>
    <w:rsid w:val="00021638"/>
    <w:rsid w:val="00064573"/>
    <w:rsid w:val="00072C1D"/>
    <w:rsid w:val="0009258F"/>
    <w:rsid w:val="000A6ABA"/>
    <w:rsid w:val="000B256A"/>
    <w:rsid w:val="000B2ECF"/>
    <w:rsid w:val="000B7CB1"/>
    <w:rsid w:val="000C0407"/>
    <w:rsid w:val="000D00A4"/>
    <w:rsid w:val="000D20EC"/>
    <w:rsid w:val="000D4CD3"/>
    <w:rsid w:val="000E727A"/>
    <w:rsid w:val="000F5245"/>
    <w:rsid w:val="000F6A92"/>
    <w:rsid w:val="0010484A"/>
    <w:rsid w:val="0010649F"/>
    <w:rsid w:val="0018467D"/>
    <w:rsid w:val="00190B7D"/>
    <w:rsid w:val="001B193F"/>
    <w:rsid w:val="001C1CD4"/>
    <w:rsid w:val="001C289E"/>
    <w:rsid w:val="001E024A"/>
    <w:rsid w:val="001E1AA2"/>
    <w:rsid w:val="001F69E3"/>
    <w:rsid w:val="00203388"/>
    <w:rsid w:val="002219EB"/>
    <w:rsid w:val="00227345"/>
    <w:rsid w:val="00230156"/>
    <w:rsid w:val="002373E2"/>
    <w:rsid w:val="0024615A"/>
    <w:rsid w:val="00254B7B"/>
    <w:rsid w:val="00260BF1"/>
    <w:rsid w:val="00267300"/>
    <w:rsid w:val="002956E0"/>
    <w:rsid w:val="002B25BB"/>
    <w:rsid w:val="002B3337"/>
    <w:rsid w:val="002B390C"/>
    <w:rsid w:val="002B6767"/>
    <w:rsid w:val="002C1541"/>
    <w:rsid w:val="002C2AF4"/>
    <w:rsid w:val="002C6A88"/>
    <w:rsid w:val="002D044C"/>
    <w:rsid w:val="002E4ECB"/>
    <w:rsid w:val="002E694B"/>
    <w:rsid w:val="002E6ECE"/>
    <w:rsid w:val="002F3420"/>
    <w:rsid w:val="00304FA2"/>
    <w:rsid w:val="003100DA"/>
    <w:rsid w:val="00311FB2"/>
    <w:rsid w:val="00320125"/>
    <w:rsid w:val="00325E34"/>
    <w:rsid w:val="003335F9"/>
    <w:rsid w:val="00344285"/>
    <w:rsid w:val="00365A27"/>
    <w:rsid w:val="0037204C"/>
    <w:rsid w:val="003A29D9"/>
    <w:rsid w:val="003A351F"/>
    <w:rsid w:val="003D1D6E"/>
    <w:rsid w:val="003D51F1"/>
    <w:rsid w:val="003E1D52"/>
    <w:rsid w:val="003E4ABA"/>
    <w:rsid w:val="003F3926"/>
    <w:rsid w:val="00404CC4"/>
    <w:rsid w:val="00405772"/>
    <w:rsid w:val="00406A1D"/>
    <w:rsid w:val="004403F1"/>
    <w:rsid w:val="004575F3"/>
    <w:rsid w:val="0046584A"/>
    <w:rsid w:val="004922A6"/>
    <w:rsid w:val="004A00E1"/>
    <w:rsid w:val="004A3AB8"/>
    <w:rsid w:val="004B1CF3"/>
    <w:rsid w:val="004B2948"/>
    <w:rsid w:val="004D6812"/>
    <w:rsid w:val="004D7E67"/>
    <w:rsid w:val="004E147C"/>
    <w:rsid w:val="004F1D87"/>
    <w:rsid w:val="00515999"/>
    <w:rsid w:val="005240D8"/>
    <w:rsid w:val="005320F3"/>
    <w:rsid w:val="00540530"/>
    <w:rsid w:val="00592F10"/>
    <w:rsid w:val="005B01CA"/>
    <w:rsid w:val="005B0C21"/>
    <w:rsid w:val="005B642B"/>
    <w:rsid w:val="005D29C7"/>
    <w:rsid w:val="005D6398"/>
    <w:rsid w:val="005E058C"/>
    <w:rsid w:val="005E774C"/>
    <w:rsid w:val="005F1C3E"/>
    <w:rsid w:val="005F6E31"/>
    <w:rsid w:val="006073F7"/>
    <w:rsid w:val="00617540"/>
    <w:rsid w:val="00653164"/>
    <w:rsid w:val="006649F8"/>
    <w:rsid w:val="00667670"/>
    <w:rsid w:val="00673854"/>
    <w:rsid w:val="006760FF"/>
    <w:rsid w:val="00676F26"/>
    <w:rsid w:val="00682B8E"/>
    <w:rsid w:val="00692DF7"/>
    <w:rsid w:val="006A273B"/>
    <w:rsid w:val="006A6B7E"/>
    <w:rsid w:val="006C1127"/>
    <w:rsid w:val="006C1457"/>
    <w:rsid w:val="006D44B6"/>
    <w:rsid w:val="006D5502"/>
    <w:rsid w:val="006D66C7"/>
    <w:rsid w:val="006E0822"/>
    <w:rsid w:val="006E608D"/>
    <w:rsid w:val="00712C0D"/>
    <w:rsid w:val="00720DD8"/>
    <w:rsid w:val="00734E7B"/>
    <w:rsid w:val="0074242E"/>
    <w:rsid w:val="007457EF"/>
    <w:rsid w:val="007463ED"/>
    <w:rsid w:val="00747BBF"/>
    <w:rsid w:val="007603C3"/>
    <w:rsid w:val="007C024A"/>
    <w:rsid w:val="007D0F1F"/>
    <w:rsid w:val="007D54D2"/>
    <w:rsid w:val="008044FC"/>
    <w:rsid w:val="008062F1"/>
    <w:rsid w:val="00816F92"/>
    <w:rsid w:val="00824761"/>
    <w:rsid w:val="00834802"/>
    <w:rsid w:val="0085651C"/>
    <w:rsid w:val="008647F4"/>
    <w:rsid w:val="00871866"/>
    <w:rsid w:val="00874E8F"/>
    <w:rsid w:val="008A397C"/>
    <w:rsid w:val="008B2508"/>
    <w:rsid w:val="008B2605"/>
    <w:rsid w:val="008D06BA"/>
    <w:rsid w:val="008E302E"/>
    <w:rsid w:val="008E6C36"/>
    <w:rsid w:val="008F249C"/>
    <w:rsid w:val="0092421A"/>
    <w:rsid w:val="0092473C"/>
    <w:rsid w:val="00932DB2"/>
    <w:rsid w:val="00942F78"/>
    <w:rsid w:val="00953DBB"/>
    <w:rsid w:val="00954640"/>
    <w:rsid w:val="00956D4B"/>
    <w:rsid w:val="00956F05"/>
    <w:rsid w:val="009651BF"/>
    <w:rsid w:val="0097777C"/>
    <w:rsid w:val="009922A6"/>
    <w:rsid w:val="00995C07"/>
    <w:rsid w:val="009A35ED"/>
    <w:rsid w:val="009B5E2F"/>
    <w:rsid w:val="009C4681"/>
    <w:rsid w:val="009D467D"/>
    <w:rsid w:val="009E088D"/>
    <w:rsid w:val="009F432B"/>
    <w:rsid w:val="00A065FC"/>
    <w:rsid w:val="00A07C18"/>
    <w:rsid w:val="00A270C2"/>
    <w:rsid w:val="00A55AC3"/>
    <w:rsid w:val="00A642FC"/>
    <w:rsid w:val="00A6437C"/>
    <w:rsid w:val="00A719D9"/>
    <w:rsid w:val="00A76B0D"/>
    <w:rsid w:val="00A81E51"/>
    <w:rsid w:val="00A91186"/>
    <w:rsid w:val="00AD1836"/>
    <w:rsid w:val="00AE28BA"/>
    <w:rsid w:val="00AE2AC0"/>
    <w:rsid w:val="00AF4C42"/>
    <w:rsid w:val="00B00F33"/>
    <w:rsid w:val="00B02C0B"/>
    <w:rsid w:val="00B04933"/>
    <w:rsid w:val="00B14131"/>
    <w:rsid w:val="00B15CC3"/>
    <w:rsid w:val="00B278D9"/>
    <w:rsid w:val="00B4648F"/>
    <w:rsid w:val="00B478E7"/>
    <w:rsid w:val="00B5465E"/>
    <w:rsid w:val="00B571F4"/>
    <w:rsid w:val="00B628D6"/>
    <w:rsid w:val="00B7785D"/>
    <w:rsid w:val="00B82D05"/>
    <w:rsid w:val="00B83D24"/>
    <w:rsid w:val="00B94695"/>
    <w:rsid w:val="00BE389F"/>
    <w:rsid w:val="00BE43A1"/>
    <w:rsid w:val="00BF532D"/>
    <w:rsid w:val="00C1683B"/>
    <w:rsid w:val="00C22776"/>
    <w:rsid w:val="00C40E95"/>
    <w:rsid w:val="00C72486"/>
    <w:rsid w:val="00C834DA"/>
    <w:rsid w:val="00C86F90"/>
    <w:rsid w:val="00CA04EF"/>
    <w:rsid w:val="00CD4CE9"/>
    <w:rsid w:val="00CF5B1C"/>
    <w:rsid w:val="00D13403"/>
    <w:rsid w:val="00D157D4"/>
    <w:rsid w:val="00D2021F"/>
    <w:rsid w:val="00D24750"/>
    <w:rsid w:val="00D2732E"/>
    <w:rsid w:val="00D35FA2"/>
    <w:rsid w:val="00D421E4"/>
    <w:rsid w:val="00D506DE"/>
    <w:rsid w:val="00D511DD"/>
    <w:rsid w:val="00D552BF"/>
    <w:rsid w:val="00D72B58"/>
    <w:rsid w:val="00D746B8"/>
    <w:rsid w:val="00DB036D"/>
    <w:rsid w:val="00DD51A7"/>
    <w:rsid w:val="00DF2933"/>
    <w:rsid w:val="00E12233"/>
    <w:rsid w:val="00E14012"/>
    <w:rsid w:val="00E276C1"/>
    <w:rsid w:val="00E55704"/>
    <w:rsid w:val="00E70E83"/>
    <w:rsid w:val="00E749DA"/>
    <w:rsid w:val="00E76D54"/>
    <w:rsid w:val="00EA1395"/>
    <w:rsid w:val="00EA6060"/>
    <w:rsid w:val="00EB2628"/>
    <w:rsid w:val="00EB3781"/>
    <w:rsid w:val="00EB462F"/>
    <w:rsid w:val="00EC2864"/>
    <w:rsid w:val="00ED3BEA"/>
    <w:rsid w:val="00ED7E0B"/>
    <w:rsid w:val="00EE19AE"/>
    <w:rsid w:val="00EE2D4A"/>
    <w:rsid w:val="00F031AC"/>
    <w:rsid w:val="00F0552C"/>
    <w:rsid w:val="00F12C64"/>
    <w:rsid w:val="00F12DB9"/>
    <w:rsid w:val="00F14CDB"/>
    <w:rsid w:val="00F33239"/>
    <w:rsid w:val="00F6085C"/>
    <w:rsid w:val="00F60A9E"/>
    <w:rsid w:val="00F75B32"/>
    <w:rsid w:val="00F76209"/>
    <w:rsid w:val="00F76B1C"/>
    <w:rsid w:val="00F85A9B"/>
    <w:rsid w:val="00F8734F"/>
    <w:rsid w:val="00F94205"/>
    <w:rsid w:val="00FA075F"/>
    <w:rsid w:val="00FA7EB3"/>
    <w:rsid w:val="00FB568A"/>
    <w:rsid w:val="00FE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877224-DD99-4213-BF98-EEAAF32AF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9EB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ascii="Century" w:hAnsi="Century" w:cs="FrankRuehl"/>
      <w:spacing w:val="1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uller3">
    <w:name w:val="Ruller 3"/>
    <w:basedOn w:val="a"/>
    <w:link w:val="Ruller30"/>
    <w:rsid w:val="00D506DE"/>
    <w:pPr>
      <w:tabs>
        <w:tab w:val="left" w:pos="3210"/>
        <w:tab w:val="left" w:pos="6753"/>
      </w:tabs>
    </w:pPr>
    <w:rPr>
      <w:sz w:val="22"/>
    </w:rPr>
  </w:style>
  <w:style w:type="paragraph" w:customStyle="1" w:styleId="Pskdinhead">
    <w:name w:val="Pskdin head"/>
    <w:basedOn w:val="a"/>
    <w:rPr>
      <w:b/>
      <w:bCs/>
      <w:u w:val="single"/>
    </w:rPr>
  </w:style>
  <w:style w:type="paragraph" w:customStyle="1" w:styleId="FileNumber">
    <w:name w:val="File Number"/>
    <w:basedOn w:val="a"/>
    <w:pPr>
      <w:jc w:val="right"/>
    </w:pPr>
    <w:rPr>
      <w:bCs/>
    </w:rPr>
  </w:style>
  <w:style w:type="paragraph" w:customStyle="1" w:styleId="FirstpagestylePsakdin">
    <w:name w:val="First page style Psak din"/>
    <w:basedOn w:val="Ruller3"/>
    <w:pPr>
      <w:tabs>
        <w:tab w:val="clear" w:pos="3210"/>
        <w:tab w:val="left" w:pos="3209"/>
      </w:tabs>
    </w:pPr>
    <w:rPr>
      <w:bCs/>
    </w:rPr>
  </w:style>
  <w:style w:type="paragraph" w:customStyle="1" w:styleId="TyutaDate">
    <w:name w:val="Tyuta Date"/>
    <w:basedOn w:val="a"/>
    <w:pPr>
      <w:jc w:val="center"/>
    </w:pPr>
    <w:rPr>
      <w:b/>
      <w:bCs/>
      <w:i/>
      <w:iCs/>
      <w:sz w:val="28"/>
    </w:rPr>
  </w:style>
  <w:style w:type="paragraph" w:customStyle="1" w:styleId="DocumentHead">
    <w:name w:val="Document Head"/>
    <w:basedOn w:val="a"/>
    <w:pPr>
      <w:jc w:val="center"/>
    </w:pPr>
    <w:rPr>
      <w:bCs/>
      <w:spacing w:val="30"/>
      <w:u w:val="single"/>
    </w:rPr>
  </w:style>
  <w:style w:type="paragraph" w:customStyle="1" w:styleId="TfutzaList">
    <w:name w:val="Tfutza List"/>
    <w:basedOn w:val="a"/>
    <w:rPr>
      <w:i/>
      <w:iCs/>
    </w:rPr>
  </w:style>
  <w:style w:type="paragraph" w:customStyle="1" w:styleId="Ruller41">
    <w:name w:val="Ruller4"/>
    <w:basedOn w:val="a"/>
    <w:rsid w:val="00D506DE"/>
    <w:pPr>
      <w:tabs>
        <w:tab w:val="left" w:pos="800"/>
      </w:tabs>
      <w:jc w:val="both"/>
    </w:pPr>
    <w:rPr>
      <w:rFonts w:ascii="Arial TUR" w:hAnsi="Arial TUR"/>
      <w:sz w:val="22"/>
    </w:rPr>
  </w:style>
  <w:style w:type="paragraph" w:customStyle="1" w:styleId="Ruller5">
    <w:name w:val="Ruller5"/>
    <w:basedOn w:val="a"/>
    <w:rsid w:val="00D506DE"/>
    <w:pPr>
      <w:spacing w:line="240" w:lineRule="auto"/>
      <w:ind w:left="1644" w:right="1276"/>
      <w:jc w:val="both"/>
    </w:pPr>
    <w:rPr>
      <w:rFonts w:ascii="Arial TUR" w:hAnsi="Arial TUR"/>
      <w:sz w:val="22"/>
    </w:rPr>
  </w:style>
  <w:style w:type="paragraph" w:customStyle="1" w:styleId="Ruller6">
    <w:name w:val="Ruller6"/>
    <w:basedOn w:val="a"/>
    <w:rsid w:val="00D506DE"/>
    <w:pPr>
      <w:tabs>
        <w:tab w:val="left" w:pos="794"/>
        <w:tab w:val="left" w:pos="2268"/>
        <w:tab w:val="left" w:pos="5783"/>
        <w:tab w:val="left" w:pos="7371"/>
      </w:tabs>
    </w:pPr>
    <w:rPr>
      <w:rFonts w:ascii="Arial TUR" w:hAnsi="Arial TUR" w:cs="DavidFix"/>
      <w:sz w:val="22"/>
      <w:szCs w:val="20"/>
    </w:rPr>
  </w:style>
  <w:style w:type="character" w:customStyle="1" w:styleId="Delete">
    <w:name w:val="Delete"/>
    <w:rPr>
      <w:strike/>
    </w:rPr>
  </w:style>
  <w:style w:type="paragraph" w:customStyle="1" w:styleId="WriterName">
    <w:name w:val="Writer Name"/>
    <w:basedOn w:val="Ruller41"/>
    <w:next w:val="Ruller41"/>
    <w:rPr>
      <w:rFonts w:cs="David"/>
      <w:b/>
      <w:bCs/>
      <w:u w:val="single"/>
    </w:rPr>
  </w:style>
  <w:style w:type="character" w:customStyle="1" w:styleId="Hand">
    <w:name w:val="Hand"/>
    <w:rPr>
      <w:rFonts w:cs="Guttman Yad"/>
    </w:rPr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2">
    <w:name w:val="ñâðåï2"/>
    <w:basedOn w:val="a"/>
    <w:pPr>
      <w:overflowPunct/>
      <w:textAlignment w:val="auto"/>
    </w:pPr>
    <w:rPr>
      <w:rFonts w:cs="Times New Roman"/>
    </w:rPr>
  </w:style>
  <w:style w:type="paragraph" w:customStyle="1" w:styleId="Casenameintextbody">
    <w:name w:val="Case name in text body"/>
    <w:basedOn w:val="a"/>
    <w:pPr>
      <w:overflowPunct/>
      <w:jc w:val="right"/>
      <w:textAlignment w:val="auto"/>
    </w:pPr>
    <w:rPr>
      <w:rFonts w:cs="Times New Roman"/>
      <w:b/>
      <w:bCs/>
      <w:u w:val="single"/>
    </w:rPr>
  </w:style>
  <w:style w:type="paragraph" w:customStyle="1" w:styleId="precasestyle">
    <w:name w:val="pre_case style"/>
    <w:basedOn w:val="a"/>
    <w:pPr>
      <w:tabs>
        <w:tab w:val="left" w:pos="2552"/>
      </w:tabs>
      <w:overflowPunct/>
      <w:ind w:right="2549"/>
      <w:textAlignment w:val="auto"/>
    </w:pPr>
    <w:rPr>
      <w:rFonts w:cs="Times New Roman"/>
    </w:rPr>
  </w:style>
  <w:style w:type="paragraph" w:customStyle="1" w:styleId="BodyRuller">
    <w:name w:val="Body Ruller"/>
    <w:basedOn w:val="a"/>
    <w:link w:val="BodyRuller0"/>
    <w:rsid w:val="00B94695"/>
    <w:rPr>
      <w:sz w:val="22"/>
    </w:rPr>
  </w:style>
  <w:style w:type="paragraph" w:customStyle="1" w:styleId="Ruller38">
    <w:name w:val="סגנון Ruller 3 + (מורכב) ‏8 נק"/>
    <w:basedOn w:val="BodyRuller"/>
    <w:link w:val="Ruller380"/>
    <w:rsid w:val="004D7E67"/>
    <w:rPr>
      <w:szCs w:val="16"/>
    </w:rPr>
  </w:style>
  <w:style w:type="character" w:customStyle="1" w:styleId="Ruller30">
    <w:name w:val="Ruller 3 תו"/>
    <w:link w:val="Ruller3"/>
    <w:rsid w:val="004D7E67"/>
    <w:rPr>
      <w:rFonts w:cs="FrankRuehl"/>
      <w:sz w:val="22"/>
      <w:szCs w:val="28"/>
      <w:lang w:val="en-US" w:eastAsia="en-US" w:bidi="he-IL"/>
    </w:rPr>
  </w:style>
  <w:style w:type="character" w:customStyle="1" w:styleId="BodyRuller0">
    <w:name w:val="Body Ruller תו"/>
    <w:link w:val="BodyRuller"/>
    <w:rsid w:val="00B94695"/>
    <w:rPr>
      <w:rFonts w:cs="David"/>
      <w:sz w:val="22"/>
      <w:szCs w:val="28"/>
      <w:lang w:val="en-US" w:eastAsia="en-US" w:bidi="he-IL"/>
    </w:rPr>
  </w:style>
  <w:style w:type="character" w:customStyle="1" w:styleId="Ruller380">
    <w:name w:val="סגנון Ruller 3 + (מורכב) ‏8 נק תו"/>
    <w:link w:val="Ruller38"/>
    <w:rsid w:val="004D7E67"/>
    <w:rPr>
      <w:rFonts w:cs="David"/>
      <w:sz w:val="22"/>
      <w:szCs w:val="16"/>
      <w:lang w:val="en-US" w:eastAsia="en-US" w:bidi="he-IL"/>
    </w:rPr>
  </w:style>
  <w:style w:type="paragraph" w:customStyle="1" w:styleId="Ruller4">
    <w:name w:val="Ruller 4 ממוספר"/>
    <w:basedOn w:val="Ruller41"/>
    <w:next w:val="Ruller41"/>
    <w:rsid w:val="00956F05"/>
    <w:pPr>
      <w:numPr>
        <w:numId w:val="1"/>
      </w:numPr>
    </w:pPr>
    <w:rPr>
      <w:rFonts w:ascii="Garamond" w:hAnsi="Garamond"/>
      <w:sz w:val="24"/>
    </w:rPr>
  </w:style>
  <w:style w:type="paragraph" w:customStyle="1" w:styleId="Ruller40">
    <w:name w:val="Ruller4 אלפביתי"/>
    <w:basedOn w:val="Ruller41"/>
    <w:next w:val="Ruller41"/>
    <w:rsid w:val="00D511DD"/>
    <w:pPr>
      <w:numPr>
        <w:numId w:val="2"/>
      </w:numPr>
    </w:pPr>
  </w:style>
  <w:style w:type="paragraph" w:styleId="a7">
    <w:name w:val="Balloon Text"/>
    <w:basedOn w:val="a"/>
    <w:link w:val="a8"/>
    <w:semiHidden/>
    <w:unhideWhenUsed/>
    <w:rsid w:val="00A07C18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semiHidden/>
    <w:rsid w:val="00A07C18"/>
    <w:rPr>
      <w:rFonts w:ascii="Tahoma" w:hAnsi="Tahoma" w:cs="Tahoma"/>
      <w:spacing w:val="10"/>
      <w:sz w:val="18"/>
      <w:szCs w:val="18"/>
    </w:rPr>
  </w:style>
  <w:style w:type="character" w:customStyle="1" w:styleId="a6">
    <w:name w:val="כותרת עליונה תו"/>
    <w:basedOn w:val="a0"/>
    <w:link w:val="a5"/>
    <w:uiPriority w:val="99"/>
    <w:rsid w:val="00A76B0D"/>
    <w:rPr>
      <w:rFonts w:ascii="Century" w:hAnsi="Century" w:cs="FrankRuehl"/>
      <w:spacing w:val="1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F6A11-CAF4-42AF-BE81-342D2158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3602</Characters>
  <Application>Microsoft Office Word</Application>
  <DocSecurity>4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רועי גרוסברגר</dc:creator>
  <cp:keywords/>
  <dc:description/>
  <cp:lastModifiedBy>הדס לרנר</cp:lastModifiedBy>
  <cp:revision>2</cp:revision>
  <cp:lastPrinted>2022-11-23T12:58:00Z</cp:lastPrinted>
  <dcterms:created xsi:type="dcterms:W3CDTF">2022-11-23T13:16:00Z</dcterms:created>
  <dcterms:modified xsi:type="dcterms:W3CDTF">2022-11-23T13:16:00Z</dcterms:modified>
</cp:coreProperties>
</file>