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6EC" w:rsidRDefault="006816EC" w:rsidP="006816EC">
      <w:pPr>
        <w:suppressLineNumbers/>
        <w:rPr>
          <w:sz w:val="26"/>
          <w:szCs w:val="26"/>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49"/>
        <w:gridCol w:w="5571"/>
      </w:tblGrid>
      <w:tr w:rsidR="004C5CA7" w:rsidRPr="00CD0055" w:rsidTr="00E13236">
        <w:trPr>
          <w:jc w:val="center"/>
        </w:trPr>
        <w:tc>
          <w:tcPr>
            <w:tcW w:w="8820" w:type="dxa"/>
            <w:gridSpan w:val="2"/>
            <w:hideMark/>
          </w:tcPr>
          <w:p w:rsidR="004C5CA7" w:rsidRPr="004C5CA7" w:rsidRDefault="004C5CA7" w:rsidP="004C5CA7">
            <w:pPr>
              <w:jc w:val="both"/>
              <w:rPr>
                <w:b/>
                <w:bCs/>
                <w:sz w:val="26"/>
                <w:szCs w:val="26"/>
              </w:rPr>
            </w:pPr>
            <w:r w:rsidRPr="000C53C9">
              <w:rPr>
                <w:rFonts w:hint="cs"/>
                <w:b/>
                <w:bCs/>
                <w:sz w:val="28"/>
                <w:szCs w:val="28"/>
                <w:rtl/>
              </w:rPr>
              <w:t xml:space="preserve">לפני </w:t>
            </w:r>
            <w:r w:rsidRPr="000C53C9">
              <w:rPr>
                <w:rFonts w:ascii="Arial" w:hAnsi="Arial" w:hint="cs"/>
                <w:b/>
                <w:bCs/>
                <w:sz w:val="28"/>
                <w:szCs w:val="28"/>
                <w:rtl/>
              </w:rPr>
              <w:t>כבוד ה</w:t>
            </w:r>
            <w:sdt>
              <w:sdtPr>
                <w:rPr>
                  <w:sz w:val="28"/>
                  <w:szCs w:val="28"/>
                  <w:rtl/>
                </w:rPr>
                <w:alias w:val="1574"/>
                <w:tag w:val="1574"/>
                <w:id w:val="-868990752"/>
                <w:text w:multiLine="1"/>
              </w:sdtPr>
              <w:sdtEndPr/>
              <w:sdtContent>
                <w:r w:rsidRPr="000C53C9">
                  <w:rPr>
                    <w:rFonts w:ascii="Arial" w:hAnsi="Arial"/>
                    <w:b/>
                    <w:bCs/>
                    <w:sz w:val="28"/>
                    <w:szCs w:val="28"/>
                    <w:rtl/>
                  </w:rPr>
                  <w:t>שופט</w:t>
                </w:r>
              </w:sdtContent>
            </w:sdt>
            <w:r w:rsidRPr="000C53C9">
              <w:rPr>
                <w:rFonts w:ascii="Arial" w:hAnsi="Arial" w:hint="cs"/>
                <w:b/>
                <w:bCs/>
                <w:sz w:val="28"/>
                <w:szCs w:val="28"/>
                <w:rtl/>
              </w:rPr>
              <w:t xml:space="preserve"> </w:t>
            </w:r>
            <w:sdt>
              <w:sdtPr>
                <w:rPr>
                  <w:sz w:val="28"/>
                  <w:szCs w:val="28"/>
                  <w:rtl/>
                </w:rPr>
                <w:alias w:val="1573"/>
                <w:tag w:val="1573"/>
                <w:id w:val="407734867"/>
                <w:text w:multiLine="1"/>
              </w:sdtPr>
              <w:sdtEndPr/>
              <w:sdtContent>
                <w:r w:rsidRPr="000C53C9">
                  <w:rPr>
                    <w:rFonts w:ascii="Arial" w:hAnsi="Arial"/>
                    <w:b/>
                    <w:bCs/>
                    <w:sz w:val="28"/>
                    <w:szCs w:val="28"/>
                    <w:rtl/>
                  </w:rPr>
                  <w:t>אביים ברקאי</w:t>
                </w:r>
              </w:sdtContent>
            </w:sdt>
          </w:p>
        </w:tc>
      </w:tr>
      <w:tr w:rsidR="006816EC" w:rsidRPr="00CD0055" w:rsidTr="006816EC">
        <w:trPr>
          <w:jc w:val="center"/>
        </w:trPr>
        <w:tc>
          <w:tcPr>
            <w:tcW w:w="3249" w:type="dxa"/>
          </w:tcPr>
          <w:p w:rsidR="006816EC" w:rsidRPr="00CD0055" w:rsidRDefault="006816EC">
            <w:pPr>
              <w:bidi w:val="0"/>
              <w:rPr>
                <w:rFonts w:ascii="Arial (W1)" w:hAnsi="Arial (W1)"/>
                <w:b/>
                <w:bCs/>
                <w:noProof w:val="0"/>
                <w:sz w:val="26"/>
                <w:szCs w:val="26"/>
                <w:rtl/>
              </w:rPr>
            </w:pPr>
          </w:p>
          <w:p w:rsidR="006816EC" w:rsidRPr="00CD0055" w:rsidRDefault="00A62BD0" w:rsidP="000C53C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0"/>
                <w:tag w:val="1180"/>
                <w:id w:val="-803768281"/>
                <w:text w:multiLine="1"/>
              </w:sdtPr>
              <w:sdtEndPr/>
              <w:sdtContent>
                <w:r w:rsidR="000C53C9">
                  <w:rPr>
                    <w:rFonts w:hint="cs"/>
                    <w:b/>
                    <w:bCs/>
                    <w:noProof w:val="0"/>
                    <w:sz w:val="26"/>
                    <w:szCs w:val="26"/>
                    <w:rtl/>
                  </w:rPr>
                  <w:t>תובע</w:t>
                </w:r>
              </w:sdtContent>
            </w:sdt>
            <w:r w:rsidRPr="00A62BD0">
              <w:rPr>
                <w:rFonts w:hint="cs"/>
                <w:b/>
                <w:bCs/>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1"/>
                <w:tag w:val="3151"/>
                <w:id w:val="1398553265"/>
                <w:placeholder>
                  <w:docPart w:val="CF23C55E153C472887A89D9B7136BCD7"/>
                </w:placeholder>
                <w:text w:multiLine="1"/>
              </w:sdtPr>
              <w:sdtEndPr/>
              <w:sdtContent>
                <w:r>
                  <w:rPr>
                    <w:rFonts w:ascii="Arial" w:hAnsi="Arial"/>
                    <w:b/>
                    <w:bCs/>
                    <w:noProof w:val="0"/>
                    <w:sz w:val="26"/>
                    <w:szCs w:val="26"/>
                    <w:rtl/>
                  </w:rPr>
                  <w:t>עדי דויטש</w:t>
                </w:r>
              </w:sdtContent>
            </w:sdt>
          </w:p>
          <w:p w:rsidR="006816EC" w:rsidRPr="00590BFF" w:rsidRDefault="006816EC" w:rsidP="00934F1C">
            <w:pPr>
              <w:rPr>
                <w:sz w:val="26"/>
                <w:szCs w:val="26"/>
              </w:rPr>
            </w:pPr>
          </w:p>
        </w:tc>
      </w:tr>
      <w:tr w:rsidR="006816EC" w:rsidRPr="00CD0055" w:rsidTr="006816EC">
        <w:trPr>
          <w:jc w:val="center"/>
        </w:trPr>
        <w:tc>
          <w:tcPr>
            <w:tcW w:w="8820" w:type="dxa"/>
            <w:gridSpan w:val="2"/>
          </w:tcPr>
          <w:p w:rsidR="006816EC" w:rsidRPr="00CD0055" w:rsidRDefault="006816EC">
            <w:pPr>
              <w:rPr>
                <w:rFonts w:ascii="Arial (W1)" w:hAnsi="Arial (W1)"/>
                <w:b/>
                <w:bCs/>
                <w:noProof w:val="0"/>
                <w:sz w:val="26"/>
                <w:szCs w:val="26"/>
                <w:rtl/>
              </w:rPr>
            </w:pPr>
          </w:p>
          <w:p w:rsidR="006816EC" w:rsidRPr="00CD0055" w:rsidRDefault="006816EC">
            <w:pPr>
              <w:jc w:val="center"/>
              <w:rPr>
                <w:b/>
                <w:bCs/>
                <w:noProof w:val="0"/>
                <w:sz w:val="26"/>
                <w:szCs w:val="26"/>
                <w:rtl/>
              </w:rPr>
            </w:pPr>
            <w:r w:rsidRPr="00CD0055">
              <w:rPr>
                <w:rFonts w:hint="cs"/>
                <w:b/>
                <w:bCs/>
                <w:noProof w:val="0"/>
                <w:sz w:val="26"/>
                <w:szCs w:val="26"/>
                <w:rtl/>
              </w:rPr>
              <w:t>נגד</w:t>
            </w:r>
          </w:p>
          <w:p w:rsidR="006816EC" w:rsidRPr="00A62BD0" w:rsidRDefault="006816EC">
            <w:pPr>
              <w:rPr>
                <w:rFonts w:ascii="Arial (W1)" w:hAnsi="Arial (W1)"/>
                <w:b/>
                <w:bCs/>
                <w:noProof w:val="0"/>
                <w:sz w:val="22"/>
                <w:szCs w:val="22"/>
              </w:rPr>
            </w:pPr>
          </w:p>
        </w:tc>
      </w:tr>
      <w:tr w:rsidR="006816EC" w:rsidRPr="00CD0055" w:rsidTr="006816EC">
        <w:trPr>
          <w:jc w:val="center"/>
        </w:trPr>
        <w:tc>
          <w:tcPr>
            <w:tcW w:w="3249" w:type="dxa"/>
          </w:tcPr>
          <w:p w:rsidR="006816EC" w:rsidRPr="00CD0055" w:rsidRDefault="006816EC">
            <w:pPr>
              <w:rPr>
                <w:rFonts w:ascii="Arial (W1)" w:hAnsi="Arial (W1)"/>
                <w:b/>
                <w:bCs/>
                <w:noProof w:val="0"/>
                <w:sz w:val="26"/>
                <w:szCs w:val="26"/>
                <w:rtl/>
              </w:rPr>
            </w:pPr>
          </w:p>
          <w:p w:rsidR="006816EC" w:rsidRPr="00CD0055" w:rsidRDefault="00A62BD0" w:rsidP="000C53C9">
            <w:pPr>
              <w:rPr>
                <w:rFonts w:ascii="Arial (W1)" w:hAnsi="Arial (W1)"/>
                <w:b/>
                <w:bCs/>
                <w:noProof w:val="0"/>
                <w:sz w:val="26"/>
                <w:szCs w:val="26"/>
              </w:rPr>
            </w:pPr>
            <w:r w:rsidRPr="00A62BD0">
              <w:rPr>
                <w:rFonts w:hint="cs"/>
                <w:b/>
                <w:bCs/>
                <w:sz w:val="26"/>
                <w:szCs w:val="26"/>
                <w:rtl/>
              </w:rPr>
              <w:t>ה</w:t>
            </w:r>
            <w:sdt>
              <w:sdtPr>
                <w:rPr>
                  <w:rFonts w:hint="cs"/>
                  <w:sz w:val="26"/>
                  <w:szCs w:val="26"/>
                  <w:rtl/>
                </w:rPr>
                <w:alias w:val="1184"/>
                <w:tag w:val="1184"/>
                <w:id w:val="-910234160"/>
                <w:text w:multiLine="1"/>
              </w:sdtPr>
              <w:sdtEndPr/>
              <w:sdtContent>
                <w:r>
                  <w:rPr>
                    <w:rFonts w:hint="cs"/>
                    <w:b/>
                    <w:bCs/>
                    <w:noProof w:val="0"/>
                    <w:sz w:val="26"/>
                    <w:szCs w:val="26"/>
                    <w:rtl/>
                  </w:rPr>
                  <w:t>נתבע</w:t>
                </w:r>
                <w:r w:rsidR="000C53C9">
                  <w:rPr>
                    <w:rFonts w:hint="cs"/>
                    <w:b/>
                    <w:bCs/>
                    <w:noProof w:val="0"/>
                    <w:sz w:val="26"/>
                    <w:szCs w:val="26"/>
                    <w:rtl/>
                  </w:rPr>
                  <w:t>ת</w:t>
                </w:r>
              </w:sdtContent>
            </w:sdt>
            <w:r>
              <w:rPr>
                <w:rFonts w:ascii="Arial (W1)" w:hAnsi="Arial (W1)" w:hint="cs"/>
                <w:b/>
                <w:bCs/>
                <w:noProof w:val="0"/>
                <w:sz w:val="26"/>
                <w:szCs w:val="26"/>
                <w:rtl/>
              </w:rPr>
              <w:t>:</w:t>
            </w:r>
          </w:p>
        </w:tc>
        <w:tc>
          <w:tcPr>
            <w:tcW w:w="5571" w:type="dxa"/>
          </w:tcPr>
          <w:p w:rsidR="006816EC" w:rsidRPr="00CD0055" w:rsidRDefault="006816EC">
            <w:pPr>
              <w:rPr>
                <w:rFonts w:ascii="Arial (W1)" w:hAnsi="Arial (W1)"/>
                <w:b/>
                <w:bCs/>
                <w:noProof w:val="0"/>
                <w:sz w:val="26"/>
                <w:szCs w:val="26"/>
                <w:rtl/>
              </w:rPr>
            </w:pPr>
          </w:p>
          <w:p w:rsidR="00590BFF" w:rsidRDefault="00590BFF" w:rsidP="00590BFF">
            <w:pPr>
              <w:suppressLineNumbers/>
            </w:pPr>
            <w:r>
              <w:rPr>
                <w:rFonts w:ascii="Arial" w:hAnsi="Arial"/>
                <w:b/>
                <w:bCs/>
                <w:noProof w:val="0"/>
                <w:sz w:val="26"/>
                <w:szCs w:val="26"/>
                <w:rtl/>
              </w:rPr>
              <w:t xml:space="preserve"> </w:t>
            </w:r>
            <w:sdt>
              <w:sdtPr>
                <w:rPr>
                  <w:rFonts w:ascii="Arial" w:hAnsi="Arial"/>
                  <w:b/>
                  <w:bCs/>
                  <w:noProof w:val="0"/>
                  <w:sz w:val="26"/>
                  <w:szCs w:val="26"/>
                  <w:rtl/>
                </w:rPr>
                <w:alias w:val="3152"/>
                <w:tag w:val="3152"/>
                <w:id w:val="1920052440"/>
                <w:placeholder>
                  <w:docPart w:val="194E34B33324450F97AD1D486216FCF5"/>
                </w:placeholder>
                <w:text w:multiLine="1"/>
              </w:sdtPr>
              <w:sdtEndPr/>
              <w:sdtContent>
                <w:r>
                  <w:rPr>
                    <w:rFonts w:ascii="Arial" w:hAnsi="Arial"/>
                    <w:b/>
                    <w:bCs/>
                    <w:noProof w:val="0"/>
                    <w:sz w:val="26"/>
                    <w:szCs w:val="26"/>
                    <w:rtl/>
                  </w:rPr>
                  <w:t>אוניברסיטת תל אביב</w:t>
                </w:r>
              </w:sdtContent>
            </w:sdt>
          </w:p>
          <w:p w:rsidR="006816EC" w:rsidRPr="00590BFF" w:rsidRDefault="006816EC" w:rsidP="00934F1C">
            <w:pPr>
              <w:rPr>
                <w:sz w:val="26"/>
                <w:szCs w:val="26"/>
              </w:rPr>
            </w:pPr>
          </w:p>
        </w:tc>
      </w:tr>
    </w:tbl>
    <w:p w:rsidR="006816EC" w:rsidRPr="000C53C9" w:rsidRDefault="006816EC" w:rsidP="00E13360">
      <w:pPr>
        <w:suppressLineNumbers/>
        <w:rPr>
          <w:rFonts w:ascii="Arial (W1)" w:hAnsi="Arial (W1)"/>
          <w:rtl/>
        </w:rPr>
      </w:pPr>
    </w:p>
    <w:p w:rsidR="000C53C9" w:rsidRPr="000C53C9" w:rsidRDefault="000C53C9" w:rsidP="000C53C9">
      <w:pPr>
        <w:suppressLineNumbers/>
        <w:ind w:left="-624"/>
        <w:rPr>
          <w:rFonts w:ascii="Arial (W1)" w:hAnsi="Arial (W1)"/>
          <w:rtl/>
        </w:rPr>
      </w:pPr>
      <w:r w:rsidRPr="000C53C9">
        <w:rPr>
          <w:rFonts w:ascii="Arial (W1)" w:hAnsi="Arial (W1)" w:hint="cs"/>
          <w:rtl/>
        </w:rPr>
        <w:t>ב"כ התובע:</w:t>
      </w:r>
      <w:r w:rsidRPr="000C53C9">
        <w:rPr>
          <w:rFonts w:ascii="Arial (W1)" w:hAnsi="Arial (W1)"/>
          <w:rtl/>
        </w:rPr>
        <w:tab/>
      </w:r>
      <w:r w:rsidRPr="000C53C9">
        <w:rPr>
          <w:rFonts w:ascii="Arial (W1)" w:hAnsi="Arial (W1)" w:hint="cs"/>
          <w:rtl/>
        </w:rPr>
        <w:t>עו"ד אסף בנמלך, מהמוקד המשפטי תנועת נאמני תורה ועבודה</w:t>
      </w:r>
    </w:p>
    <w:p w:rsidR="000C53C9" w:rsidRPr="000C53C9" w:rsidRDefault="000C53C9" w:rsidP="000C53C9">
      <w:pPr>
        <w:suppressLineNumbers/>
        <w:ind w:left="-624"/>
        <w:rPr>
          <w:rFonts w:ascii="Arial (W1)" w:hAnsi="Arial (W1)"/>
          <w:rtl/>
        </w:rPr>
      </w:pPr>
      <w:r w:rsidRPr="000C53C9">
        <w:rPr>
          <w:rFonts w:ascii="Arial (W1)" w:hAnsi="Arial (W1)" w:hint="cs"/>
          <w:rtl/>
        </w:rPr>
        <w:t>ב"כ הנתבעת:</w:t>
      </w:r>
      <w:r w:rsidRPr="000C53C9">
        <w:rPr>
          <w:rFonts w:ascii="Arial (W1)" w:hAnsi="Arial (W1)"/>
          <w:rtl/>
        </w:rPr>
        <w:tab/>
      </w:r>
      <w:r w:rsidRPr="000C53C9">
        <w:rPr>
          <w:rFonts w:ascii="Arial (W1)" w:hAnsi="Arial (W1)" w:hint="cs"/>
          <w:rtl/>
        </w:rPr>
        <w:t xml:space="preserve">עו"ד עופר דרורי ועו"ד לילך כהן ממשרד משה נסים, רינקוב, סנדרוביץ </w:t>
      </w:r>
      <w:r w:rsidRPr="000C53C9">
        <w:rPr>
          <w:rFonts w:ascii="Arial (W1)" w:hAnsi="Arial (W1)"/>
          <w:rtl/>
        </w:rPr>
        <w:t>–</w:t>
      </w:r>
      <w:r w:rsidRPr="000C53C9">
        <w:rPr>
          <w:rFonts w:ascii="Arial (W1)" w:hAnsi="Arial (W1)" w:hint="cs"/>
          <w:rtl/>
        </w:rPr>
        <w:t xml:space="preserve"> עורכי דין</w:t>
      </w:r>
    </w:p>
    <w:p w:rsidR="000C53C9" w:rsidRPr="00E13360" w:rsidRDefault="000C53C9" w:rsidP="00E13360">
      <w:pPr>
        <w:suppressLineNumbers/>
        <w:rPr>
          <w:rFonts w:ascii="Arial (W1)" w:hAnsi="Arial (W1)"/>
          <w:sz w:val="28"/>
          <w:szCs w:val="28"/>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trPr>
          <w:jc w:val="center"/>
        </w:trPr>
        <w:tc>
          <w:tcPr>
            <w:tcW w:w="8820" w:type="dxa"/>
          </w:tcPr>
          <w:p w:rsidR="00694556" w:rsidRDefault="00005C8B">
            <w:pPr>
              <w:bidi w:val="0"/>
              <w:jc w:val="center"/>
              <w:rPr>
                <w:rFonts w:ascii="Arial" w:hAnsi="Arial"/>
                <w:b/>
                <w:bCs/>
                <w:noProof w:val="0"/>
                <w:sz w:val="28"/>
                <w:szCs w:val="28"/>
                <w:u w:val="single"/>
              </w:rPr>
            </w:pPr>
            <w:r w:rsidRPr="000C53C9">
              <w:rPr>
                <w:rFonts w:ascii="Arial" w:hAnsi="Arial"/>
                <w:b/>
                <w:bCs/>
                <w:noProof w:val="0"/>
                <w:sz w:val="34"/>
                <w:szCs w:val="34"/>
                <w:u w:val="single"/>
                <w:rtl/>
              </w:rPr>
              <w:t>פסק דין</w:t>
            </w:r>
          </w:p>
        </w:tc>
      </w:tr>
    </w:tbl>
    <w:p w:rsidR="00694556" w:rsidRDefault="00694556">
      <w:pPr>
        <w:spacing w:line="360" w:lineRule="auto"/>
        <w:jc w:val="both"/>
        <w:rPr>
          <w:rFonts w:ascii="Arial" w:hAnsi="Arial"/>
          <w:noProof w:val="0"/>
          <w:rtl/>
        </w:rPr>
      </w:pPr>
    </w:p>
    <w:p w:rsidR="000C53C9" w:rsidRDefault="000C53C9" w:rsidP="000C53C9">
      <w:pPr>
        <w:pStyle w:val="af"/>
        <w:spacing w:line="360" w:lineRule="auto"/>
        <w:ind w:left="-739"/>
        <w:jc w:val="both"/>
        <w:rPr>
          <w:rFonts w:ascii="David" w:hAnsi="David" w:cs="David"/>
          <w:b/>
          <w:bCs/>
          <w:sz w:val="28"/>
          <w:szCs w:val="28"/>
          <w:u w:val="single"/>
        </w:rPr>
      </w:pPr>
      <w:r>
        <w:rPr>
          <w:rFonts w:ascii="David" w:hAnsi="David" w:cs="David"/>
          <w:b/>
          <w:bCs/>
          <w:sz w:val="28"/>
          <w:szCs w:val="28"/>
          <w:u w:val="single"/>
          <w:rtl/>
        </w:rPr>
        <w:t>חלק ראשון – פתח דבר; מי ומי בהליך; השאלות העיקריות בפסק הדין; תוכן עניינים</w:t>
      </w:r>
    </w:p>
    <w:p w:rsidR="000C53C9" w:rsidRDefault="000C53C9" w:rsidP="000C53C9">
      <w:pPr>
        <w:pStyle w:val="af"/>
        <w:spacing w:line="360" w:lineRule="auto"/>
        <w:ind w:left="-739"/>
        <w:jc w:val="both"/>
        <w:rPr>
          <w:rFonts w:ascii="David" w:hAnsi="David" w:cs="David"/>
          <w:sz w:val="28"/>
          <w:szCs w:val="28"/>
          <w:rtl/>
        </w:rPr>
      </w:pPr>
    </w:p>
    <w:p w:rsidR="000C53C9" w:rsidRDefault="000C53C9" w:rsidP="000C53C9">
      <w:pPr>
        <w:pStyle w:val="af"/>
        <w:numPr>
          <w:ilvl w:val="0"/>
          <w:numId w:val="1"/>
        </w:numPr>
        <w:spacing w:line="360" w:lineRule="auto"/>
        <w:ind w:left="-172" w:hanging="284"/>
        <w:jc w:val="both"/>
        <w:rPr>
          <w:rFonts w:ascii="David" w:hAnsi="David" w:cs="David"/>
          <w:sz w:val="24"/>
          <w:szCs w:val="24"/>
        </w:rPr>
      </w:pPr>
      <w:r>
        <w:rPr>
          <w:rFonts w:ascii="David" w:eastAsia="Calibri" w:hAnsi="David" w:cs="David"/>
          <w:b/>
          <w:bCs/>
          <w:sz w:val="24"/>
          <w:szCs w:val="24"/>
          <w:u w:val="single"/>
          <w:rtl/>
        </w:rPr>
        <w:t>פתח דבר</w:t>
      </w:r>
    </w:p>
    <w:p w:rsidR="000C53C9" w:rsidRDefault="000C53C9" w:rsidP="000C53C9">
      <w:pPr>
        <w:pStyle w:val="af"/>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מהות המחלוקת</w:t>
      </w:r>
    </w:p>
    <w:p w:rsidR="000C53C9" w:rsidRDefault="000C53C9" w:rsidP="000C53C9">
      <w:pPr>
        <w:pStyle w:val="af"/>
        <w:numPr>
          <w:ilvl w:val="0"/>
          <w:numId w:val="2"/>
        </w:numPr>
        <w:spacing w:line="360" w:lineRule="auto"/>
        <w:jc w:val="both"/>
        <w:rPr>
          <w:rFonts w:ascii="David" w:hAnsi="David" w:cs="David"/>
          <w:sz w:val="24"/>
          <w:szCs w:val="24"/>
        </w:rPr>
      </w:pPr>
      <w:r>
        <w:rPr>
          <w:rFonts w:ascii="David" w:hAnsi="David" w:cs="David"/>
          <w:sz w:val="24"/>
          <w:szCs w:val="24"/>
          <w:rtl/>
        </w:rPr>
        <w:t xml:space="preserve">עניינו של פסק דין זה הוא עתירת התובע לפיצוי כספי וכן למתן צו מניעה בגין הפליה אסורה </w:t>
      </w:r>
      <w:r>
        <w:rPr>
          <w:rFonts w:ascii="David" w:hAnsi="David" w:cs="David"/>
          <w:b/>
          <w:bCs/>
          <w:sz w:val="24"/>
          <w:szCs w:val="24"/>
          <w:rtl/>
        </w:rPr>
        <w:t>"מחמת דת או מחמת קבוצה דתית"</w:t>
      </w:r>
      <w:r>
        <w:rPr>
          <w:rFonts w:ascii="David" w:hAnsi="David" w:cs="David"/>
          <w:sz w:val="24"/>
          <w:szCs w:val="24"/>
          <w:rtl/>
        </w:rPr>
        <w:t>. התובע נכלל במועדים הרלוונטיים על ציבור הסטודנטים באוניברסיטת תל אביב. התובע הפנה לארבעת אירועי נטוורקינג (</w:t>
      </w:r>
      <w:r>
        <w:rPr>
          <w:rFonts w:ascii="David" w:hAnsi="David" w:cs="David"/>
          <w:b/>
          <w:bCs/>
          <w:sz w:val="24"/>
          <w:szCs w:val="24"/>
          <w:rtl/>
        </w:rPr>
        <w:t>"רישות"</w:t>
      </w:r>
      <w:r>
        <w:rPr>
          <w:rFonts w:ascii="David" w:hAnsi="David" w:cs="David"/>
          <w:sz w:val="24"/>
          <w:szCs w:val="24"/>
          <w:rtl/>
        </w:rPr>
        <w:t xml:space="preserve">) עם סטודנטים זרים מסין אליהם הוזמן לדבריו על ידי האוניברסיטה  כאשר כל האירועים התקיימו במסעדות שאינה כשרה ובהן מאכלים </w:t>
      </w:r>
      <w:r>
        <w:rPr>
          <w:rFonts w:ascii="David" w:hAnsi="David" w:cs="David"/>
          <w:b/>
          <w:bCs/>
          <w:sz w:val="24"/>
          <w:szCs w:val="24"/>
          <w:rtl/>
        </w:rPr>
        <w:t>"שאנשים שומרי כשרות אינם מורשים על פי ההלכה לאכול"</w:t>
      </w:r>
      <w:r>
        <w:rPr>
          <w:rFonts w:ascii="David" w:hAnsi="David" w:cs="David"/>
          <w:sz w:val="24"/>
          <w:szCs w:val="24"/>
          <w:rtl/>
        </w:rPr>
        <w:t>.</w:t>
      </w:r>
    </w:p>
    <w:p w:rsidR="000C53C9" w:rsidRDefault="000C53C9" w:rsidP="000C53C9">
      <w:pPr>
        <w:pStyle w:val="af"/>
        <w:spacing w:line="360" w:lineRule="auto"/>
        <w:ind w:left="755"/>
        <w:jc w:val="both"/>
        <w:rPr>
          <w:rFonts w:ascii="David" w:hAnsi="David" w:cs="David"/>
          <w:sz w:val="24"/>
          <w:szCs w:val="24"/>
        </w:rPr>
      </w:pPr>
    </w:p>
    <w:p w:rsidR="000C53C9" w:rsidRDefault="000C53C9" w:rsidP="000C53C9">
      <w:pPr>
        <w:pStyle w:val="af"/>
        <w:numPr>
          <w:ilvl w:val="0"/>
          <w:numId w:val="2"/>
        </w:numPr>
        <w:spacing w:line="360" w:lineRule="auto"/>
        <w:jc w:val="both"/>
        <w:rPr>
          <w:rFonts w:ascii="David" w:hAnsi="David" w:cs="David"/>
          <w:sz w:val="24"/>
          <w:szCs w:val="24"/>
        </w:rPr>
      </w:pPr>
      <w:r>
        <w:rPr>
          <w:rFonts w:ascii="David" w:hAnsi="David" w:cs="David"/>
          <w:sz w:val="24"/>
          <w:szCs w:val="24"/>
          <w:rtl/>
        </w:rPr>
        <w:t xml:space="preserve">התובע פנה לשווא פעם אחר פעם לאוניברסיטה, ובהמשך אף לדיקאן הפקולטה לניהול, לנשיא האוניברסיטה ולרקטור האוניברסיטה. התובע הפציר, ביקש ואף דרש לקיים האירועים ולדבריו לכל הפחות אחד מהם, במסעדה כשרה. למרות פניות התובע לא נמצאו מסעדות כשרות ואף </w:t>
      </w:r>
      <w:r>
        <w:rPr>
          <w:rFonts w:ascii="David" w:hAnsi="David" w:cs="David"/>
          <w:sz w:val="24"/>
          <w:szCs w:val="24"/>
          <w:u w:val="single"/>
          <w:rtl/>
        </w:rPr>
        <w:t>לא חיפשו</w:t>
      </w:r>
      <w:r>
        <w:rPr>
          <w:rFonts w:ascii="David" w:hAnsi="David" w:cs="David"/>
          <w:sz w:val="24"/>
          <w:szCs w:val="24"/>
          <w:rtl/>
        </w:rPr>
        <w:t xml:space="preserve"> מסעדות כשרות בעיר תל אביב ובסביבותיה. ארבע פעמים הוחלט על מסעדות לא כשרות מתוכן שלוש פעמים הוזמנו הסטודנטים לאותה מסעדה, פעם אחר פעם. "התרנגול הכחול" שמה. לאחר שהובאו הראיות התברר שאותה מסעדה זוכה וזכתה להזמנות נוספות גם בעבר. ענין זה וריבוי הפניות דווקא למסעדה אחת אפשר וגם הוא מעורר סימני שאלה אך אינו מנושאי פסק דין זה.</w:t>
      </w:r>
    </w:p>
    <w:p w:rsidR="000C53C9" w:rsidRDefault="000C53C9" w:rsidP="000C53C9">
      <w:pPr>
        <w:pStyle w:val="af"/>
        <w:spacing w:line="360" w:lineRule="auto"/>
        <w:ind w:left="755"/>
        <w:jc w:val="both"/>
        <w:rPr>
          <w:rFonts w:ascii="David" w:hAnsi="David" w:cs="David"/>
          <w:sz w:val="24"/>
          <w:szCs w:val="24"/>
        </w:rPr>
      </w:pPr>
    </w:p>
    <w:p w:rsidR="000C53C9" w:rsidRDefault="000C53C9" w:rsidP="000C53C9">
      <w:pPr>
        <w:pStyle w:val="af"/>
        <w:numPr>
          <w:ilvl w:val="0"/>
          <w:numId w:val="2"/>
        </w:numPr>
        <w:spacing w:line="360" w:lineRule="auto"/>
        <w:jc w:val="both"/>
        <w:rPr>
          <w:rFonts w:ascii="David" w:hAnsi="David" w:cs="David"/>
          <w:sz w:val="24"/>
          <w:szCs w:val="24"/>
        </w:rPr>
      </w:pPr>
      <w:r>
        <w:rPr>
          <w:rFonts w:ascii="David" w:hAnsi="David" w:cs="David"/>
          <w:sz w:val="24"/>
          <w:szCs w:val="24"/>
          <w:rtl/>
        </w:rPr>
        <w:t xml:space="preserve">במהלך הדיון התברר ששאלת כשרות המסעדות אפילו </w:t>
      </w:r>
      <w:r>
        <w:rPr>
          <w:rFonts w:ascii="David" w:hAnsi="David" w:cs="David"/>
          <w:sz w:val="24"/>
          <w:szCs w:val="24"/>
          <w:u w:val="single"/>
          <w:rtl/>
        </w:rPr>
        <w:t>לא נבחנה</w:t>
      </w:r>
      <w:r>
        <w:rPr>
          <w:rFonts w:ascii="David" w:hAnsi="David" w:cs="David"/>
          <w:sz w:val="24"/>
          <w:szCs w:val="24"/>
          <w:rtl/>
        </w:rPr>
        <w:t xml:space="preserve"> על ידי האוניברסיטה. לא בטרם פניית התובע ואף לא לאחר מכן. אפילו לא נערכה עבודת מטה, בחינה, או ישיבה בה התקבלה החלטה לערוך את הארוחות במסעדות אלה. הובהר שאין זה אחד מהקריטריונים. שהדבר איננו "פקטור" ובכלל ש"האוכל עצמו חסר משמעות". כלומר, על פניו אין מדובר </w:t>
      </w:r>
      <w:r>
        <w:rPr>
          <w:rFonts w:ascii="David" w:hAnsi="David" w:cs="David"/>
          <w:sz w:val="24"/>
          <w:szCs w:val="24"/>
          <w:rtl/>
        </w:rPr>
        <w:lastRenderedPageBreak/>
        <w:t>בהחלטה מושכלת של האוניברסיטה אשר על פי שיקוליה הגיעה למסקנה שיש לקיים את כל הסעודות במסעדה לא כשרה. האוניברסיטה אשר מקפידה על כשרות בכל המסעדות בקמפוס, דבקה בכך שאין מדובר בפעילות המשויכת לה ושאין כל חובה לערוך את הארוחות במסעדה כשרה.</w:t>
      </w:r>
    </w:p>
    <w:p w:rsidR="000C53C9" w:rsidRDefault="000C53C9" w:rsidP="000C53C9">
      <w:pPr>
        <w:pStyle w:val="af"/>
        <w:rPr>
          <w:rFonts w:ascii="David" w:hAnsi="David" w:cs="David"/>
          <w:sz w:val="24"/>
          <w:szCs w:val="24"/>
        </w:rPr>
      </w:pPr>
    </w:p>
    <w:p w:rsidR="000C53C9" w:rsidRDefault="000C53C9" w:rsidP="000C53C9">
      <w:pPr>
        <w:pStyle w:val="af"/>
        <w:rPr>
          <w:rFonts w:ascii="David" w:hAnsi="David" w:cs="David"/>
          <w:sz w:val="24"/>
          <w:szCs w:val="24"/>
          <w:rtl/>
        </w:rPr>
      </w:pPr>
    </w:p>
    <w:p w:rsidR="000C53C9" w:rsidRDefault="000C53C9" w:rsidP="000C53C9">
      <w:pPr>
        <w:pStyle w:val="af"/>
        <w:numPr>
          <w:ilvl w:val="0"/>
          <w:numId w:val="2"/>
        </w:numPr>
        <w:spacing w:line="360" w:lineRule="auto"/>
        <w:jc w:val="both"/>
        <w:rPr>
          <w:rFonts w:ascii="David" w:hAnsi="David" w:cs="David"/>
          <w:sz w:val="24"/>
          <w:szCs w:val="24"/>
          <w:rtl/>
        </w:rPr>
      </w:pPr>
      <w:r>
        <w:rPr>
          <w:rFonts w:ascii="David" w:hAnsi="David" w:cs="David"/>
          <w:sz w:val="24"/>
          <w:szCs w:val="24"/>
          <w:rtl/>
        </w:rPr>
        <w:t xml:space="preserve">כעולה מכתב התביעה, עריכת </w:t>
      </w:r>
      <w:r>
        <w:rPr>
          <w:rFonts w:ascii="David" w:hAnsi="David" w:cs="David"/>
          <w:sz w:val="24"/>
          <w:szCs w:val="24"/>
          <w:u w:val="single"/>
          <w:rtl/>
        </w:rPr>
        <w:t>כל</w:t>
      </w:r>
      <w:r>
        <w:rPr>
          <w:rFonts w:ascii="David" w:hAnsi="David" w:cs="David"/>
          <w:sz w:val="24"/>
          <w:szCs w:val="24"/>
          <w:rtl/>
        </w:rPr>
        <w:t xml:space="preserve"> אירועי הרישות (נטוורקינג) במסעדות לא כשרות, הדירו את התובע מאירועים אלה. העובדה שהתובע לא יכול היה להשתתף בסעודות מטעמי דת – מהווה לטעמו הפלייתו על רקע דת, בניגוד לדין ובניגוד לאיסור ספציפי הקבוע ב</w:t>
      </w:r>
      <w:r>
        <w:rPr>
          <w:rFonts w:ascii="David" w:hAnsi="David" w:cs="David"/>
          <w:sz w:val="24"/>
          <w:szCs w:val="24"/>
          <w:u w:val="single"/>
          <w:rtl/>
        </w:rPr>
        <w:t>חוק איסור הפליה במוצרים, בשירותים ובכניסה למקומות בידור ולמקומות ציבוריים</w:t>
      </w:r>
      <w:r>
        <w:rPr>
          <w:rFonts w:ascii="David" w:hAnsi="David" w:cs="David"/>
          <w:sz w:val="24"/>
          <w:szCs w:val="24"/>
          <w:rtl/>
        </w:rPr>
        <w:t xml:space="preserve"> – תשס"א – 2000. עוד טען התובע, בין היתר, לקיומה של עוולה חוקתית ולהפרת חובה חקוקה.</w:t>
      </w:r>
    </w:p>
    <w:p w:rsidR="000C53C9" w:rsidRDefault="000C53C9" w:rsidP="000C53C9">
      <w:pPr>
        <w:pStyle w:val="af"/>
        <w:spacing w:line="360" w:lineRule="auto"/>
        <w:ind w:left="395"/>
        <w:jc w:val="both"/>
        <w:rPr>
          <w:rFonts w:ascii="David" w:hAnsi="David" w:cs="David"/>
          <w:sz w:val="24"/>
          <w:szCs w:val="24"/>
        </w:rPr>
      </w:pPr>
    </w:p>
    <w:p w:rsidR="000C53C9" w:rsidRDefault="000C53C9" w:rsidP="000C53C9">
      <w:pPr>
        <w:pStyle w:val="af"/>
        <w:numPr>
          <w:ilvl w:val="1"/>
          <w:numId w:val="1"/>
        </w:numPr>
        <w:spacing w:line="360" w:lineRule="auto"/>
        <w:ind w:left="395" w:hanging="567"/>
        <w:jc w:val="both"/>
        <w:rPr>
          <w:rFonts w:ascii="David" w:hAnsi="David" w:cs="David"/>
          <w:sz w:val="24"/>
          <w:szCs w:val="24"/>
        </w:rPr>
      </w:pPr>
      <w:r>
        <w:rPr>
          <w:rFonts w:ascii="David" w:hAnsi="David" w:cs="David"/>
          <w:b/>
          <w:bCs/>
          <w:sz w:val="24"/>
          <w:szCs w:val="24"/>
          <w:u w:val="single"/>
          <w:rtl/>
        </w:rPr>
        <w:t>האוניברסיטה מתייחסת לפניותיו בכתב של התובע ולתביעה עצמה כאל בריונות פסולה ומקוממת</w:t>
      </w:r>
      <w:r>
        <w:rPr>
          <w:rFonts w:ascii="David" w:hAnsi="David" w:cs="David"/>
          <w:sz w:val="24"/>
          <w:szCs w:val="24"/>
          <w:rtl/>
        </w:rPr>
        <w:t xml:space="preserve"> </w:t>
      </w:r>
    </w:p>
    <w:p w:rsidR="000C53C9" w:rsidRDefault="000C53C9" w:rsidP="000C53C9">
      <w:pPr>
        <w:pStyle w:val="af"/>
        <w:numPr>
          <w:ilvl w:val="0"/>
          <w:numId w:val="2"/>
        </w:numPr>
        <w:spacing w:line="360" w:lineRule="auto"/>
        <w:jc w:val="both"/>
        <w:rPr>
          <w:rFonts w:ascii="David" w:hAnsi="David" w:cs="David"/>
          <w:sz w:val="24"/>
          <w:szCs w:val="24"/>
        </w:rPr>
      </w:pPr>
      <w:r>
        <w:rPr>
          <w:rFonts w:ascii="David" w:hAnsi="David" w:cs="David"/>
          <w:sz w:val="24"/>
          <w:szCs w:val="24"/>
          <w:rtl/>
        </w:rPr>
        <w:t xml:space="preserve">הנתבעת טוענת שיש לדחות את התביעה, טוענת שאין מדובר בפעילות של האוניברסיטה וכי התובע יכול היה להשלים לימודיו גם ללא השתתפות במפגשים אלה. עוד מעלה הנתבעת טענות שונות אליהן יתייחס פסק הדין. </w:t>
      </w:r>
    </w:p>
    <w:p w:rsidR="000C53C9" w:rsidRDefault="000C53C9" w:rsidP="000C53C9">
      <w:pPr>
        <w:pStyle w:val="af"/>
        <w:spacing w:line="360" w:lineRule="auto"/>
        <w:ind w:left="755"/>
        <w:jc w:val="both"/>
        <w:rPr>
          <w:rFonts w:ascii="David" w:hAnsi="David" w:cs="David"/>
          <w:sz w:val="24"/>
          <w:szCs w:val="24"/>
        </w:rPr>
      </w:pPr>
    </w:p>
    <w:p w:rsidR="000C53C9" w:rsidRDefault="000C53C9" w:rsidP="000C53C9">
      <w:pPr>
        <w:pStyle w:val="af"/>
        <w:numPr>
          <w:ilvl w:val="0"/>
          <w:numId w:val="2"/>
        </w:numPr>
        <w:spacing w:line="360" w:lineRule="auto"/>
        <w:jc w:val="both"/>
        <w:rPr>
          <w:rFonts w:ascii="David" w:hAnsi="David" w:cs="David"/>
          <w:sz w:val="24"/>
          <w:szCs w:val="24"/>
        </w:rPr>
      </w:pPr>
      <w:r>
        <w:rPr>
          <w:rFonts w:ascii="David" w:hAnsi="David" w:cs="David"/>
          <w:sz w:val="24"/>
          <w:szCs w:val="24"/>
          <w:rtl/>
        </w:rPr>
        <w:t xml:space="preserve">אך לא רק זאת. בעוד התובע ביקש לקבל זכויות שלטעמו הוא זכאי להם הרי הנתבעת לא היססה להאשים אותו דווקא בבריונות. וכך למשל ציינה הנתבעת בפתח סיכומיה (סעיף 2, ההדגשות אינן במקור) </w:t>
      </w:r>
      <w:r>
        <w:rPr>
          <w:rFonts w:ascii="David" w:hAnsi="David" w:cs="David"/>
          <w:b/>
          <w:bCs/>
          <w:sz w:val="24"/>
          <w:szCs w:val="24"/>
          <w:rtl/>
        </w:rPr>
        <w:t xml:space="preserve"> - "תובענה זו היא ניסיון </w:t>
      </w:r>
      <w:r>
        <w:rPr>
          <w:rFonts w:ascii="David" w:hAnsi="David" w:cs="David"/>
          <w:b/>
          <w:bCs/>
          <w:sz w:val="24"/>
          <w:szCs w:val="24"/>
          <w:u w:val="single"/>
          <w:rtl/>
        </w:rPr>
        <w:t>בריוני, פסול ומקומם</w:t>
      </w:r>
      <w:r>
        <w:rPr>
          <w:rFonts w:ascii="David" w:hAnsi="David" w:cs="David"/>
          <w:b/>
          <w:bCs/>
          <w:sz w:val="24"/>
          <w:szCs w:val="24"/>
          <w:rtl/>
        </w:rPr>
        <w:t>, להכתיב לאוניברסיטה ולכלל הסטודנטים – לרבות לסטודנטים זרים המממנים את אירועי הרישות מכיסם – את אמונתו האישית של התובע ושל תנועת נאמני תורה ועבודה"</w:t>
      </w:r>
      <w:r>
        <w:rPr>
          <w:rFonts w:ascii="David" w:hAnsi="David" w:cs="David"/>
          <w:sz w:val="24"/>
          <w:szCs w:val="24"/>
          <w:rtl/>
        </w:rPr>
        <w:t xml:space="preserve">. כך. </w:t>
      </w:r>
    </w:p>
    <w:p w:rsidR="000C53C9" w:rsidRDefault="000C53C9" w:rsidP="000C53C9">
      <w:pPr>
        <w:pStyle w:val="af"/>
        <w:spacing w:line="360" w:lineRule="auto"/>
        <w:ind w:left="678"/>
        <w:jc w:val="both"/>
        <w:rPr>
          <w:rFonts w:ascii="David" w:hAnsi="David" w:cs="David"/>
          <w:sz w:val="24"/>
          <w:szCs w:val="24"/>
        </w:rPr>
      </w:pPr>
      <w:r>
        <w:rPr>
          <w:rFonts w:ascii="David" w:hAnsi="David" w:cs="David"/>
          <w:sz w:val="24"/>
          <w:szCs w:val="24"/>
          <w:rtl/>
        </w:rPr>
        <w:t>כאן ייאמר שאין חולק על כך שפניות התובע התמצו בכתב, בהגשת התביעה ובאמור בתביעה. בפניותיו וכן בתביעה ביקש התובע להגן על אינטרס שלטעמו הוא לגיטימי. נראה שהגדרת התובע כבריון אינה במקומה.</w:t>
      </w:r>
    </w:p>
    <w:p w:rsidR="000C53C9" w:rsidRDefault="000C53C9" w:rsidP="000C53C9">
      <w:pPr>
        <w:pStyle w:val="af"/>
        <w:spacing w:line="360" w:lineRule="auto"/>
        <w:ind w:left="395"/>
        <w:jc w:val="both"/>
        <w:rPr>
          <w:rFonts w:ascii="David" w:hAnsi="David" w:cs="David"/>
          <w:sz w:val="24"/>
          <w:szCs w:val="24"/>
          <w:rtl/>
        </w:rPr>
      </w:pPr>
    </w:p>
    <w:p w:rsidR="000C53C9" w:rsidRDefault="000C53C9" w:rsidP="000C53C9">
      <w:pPr>
        <w:pStyle w:val="af"/>
        <w:numPr>
          <w:ilvl w:val="1"/>
          <w:numId w:val="1"/>
        </w:numPr>
        <w:spacing w:line="360" w:lineRule="auto"/>
        <w:ind w:left="395" w:hanging="567"/>
        <w:jc w:val="both"/>
        <w:rPr>
          <w:rFonts w:ascii="David" w:hAnsi="David" w:cs="David"/>
          <w:sz w:val="24"/>
          <w:szCs w:val="24"/>
          <w:rtl/>
        </w:rPr>
      </w:pPr>
      <w:r>
        <w:rPr>
          <w:rFonts w:ascii="David" w:hAnsi="David" w:cs="David"/>
          <w:b/>
          <w:bCs/>
          <w:sz w:val="24"/>
          <w:szCs w:val="24"/>
          <w:u w:val="single"/>
          <w:rtl/>
        </w:rPr>
        <w:t>שני הסעדים הנדרשים (פיצוי כספי על סך של 100,000 ש"ח ומתן צו מניעה)</w:t>
      </w:r>
    </w:p>
    <w:p w:rsidR="000C53C9" w:rsidRDefault="000C53C9" w:rsidP="000C53C9">
      <w:pPr>
        <w:pStyle w:val="af"/>
        <w:spacing w:line="360" w:lineRule="auto"/>
        <w:ind w:left="395"/>
        <w:jc w:val="both"/>
        <w:rPr>
          <w:rFonts w:ascii="David" w:hAnsi="David" w:cs="David"/>
          <w:b/>
          <w:bCs/>
          <w:sz w:val="24"/>
          <w:szCs w:val="24"/>
          <w:u w:val="single"/>
        </w:rPr>
      </w:pPr>
      <w:r>
        <w:rPr>
          <w:rFonts w:ascii="David" w:hAnsi="David" w:cs="David"/>
          <w:sz w:val="24"/>
          <w:szCs w:val="24"/>
          <w:rtl/>
        </w:rPr>
        <w:t>התובע עותר לשני סעדים:</w:t>
      </w:r>
    </w:p>
    <w:p w:rsidR="000C53C9" w:rsidRDefault="000C53C9" w:rsidP="000C53C9">
      <w:pPr>
        <w:pStyle w:val="af"/>
        <w:spacing w:line="360" w:lineRule="auto"/>
        <w:ind w:left="755"/>
        <w:jc w:val="both"/>
        <w:rPr>
          <w:rFonts w:ascii="David" w:hAnsi="David" w:cs="David"/>
          <w:sz w:val="24"/>
          <w:szCs w:val="24"/>
          <w:rtl/>
        </w:rPr>
      </w:pPr>
    </w:p>
    <w:p w:rsidR="000C53C9" w:rsidRDefault="000C53C9" w:rsidP="000C53C9">
      <w:pPr>
        <w:pStyle w:val="af"/>
        <w:numPr>
          <w:ilvl w:val="0"/>
          <w:numId w:val="3"/>
        </w:numPr>
        <w:spacing w:line="360" w:lineRule="auto"/>
        <w:jc w:val="both"/>
        <w:rPr>
          <w:rFonts w:ascii="David" w:hAnsi="David" w:cs="David"/>
          <w:sz w:val="24"/>
          <w:szCs w:val="24"/>
          <w:u w:val="single"/>
        </w:rPr>
      </w:pPr>
      <w:r>
        <w:rPr>
          <w:rFonts w:ascii="David" w:hAnsi="David" w:cs="David"/>
          <w:sz w:val="24"/>
          <w:szCs w:val="24"/>
          <w:rtl/>
        </w:rPr>
        <w:t xml:space="preserve">פיצוי כספי - פיצוי כספי בסך של 100,000 ₪, פיצוי נזיקי תוך הפניה בין היתר להוראות </w:t>
      </w:r>
      <w:r>
        <w:rPr>
          <w:rFonts w:ascii="David" w:hAnsi="David" w:cs="David"/>
          <w:sz w:val="24"/>
          <w:szCs w:val="24"/>
          <w:u w:val="single"/>
          <w:rtl/>
        </w:rPr>
        <w:t>חוק איסור הפליה במוצרים, בשירותים ובכניסה למקומות בידור ולמקומות ציבוריים</w:t>
      </w:r>
      <w:r>
        <w:rPr>
          <w:rFonts w:ascii="David" w:hAnsi="David" w:cs="David"/>
          <w:sz w:val="24"/>
          <w:szCs w:val="24"/>
          <w:rtl/>
        </w:rPr>
        <w:t xml:space="preserve"> – תשס"א – 2000 (להלן: "חוק איסור הפליה במוצרים ושירותים").</w:t>
      </w:r>
    </w:p>
    <w:p w:rsidR="000C53C9" w:rsidRDefault="000C53C9" w:rsidP="000C53C9">
      <w:pPr>
        <w:pStyle w:val="af"/>
        <w:spacing w:line="360" w:lineRule="auto"/>
        <w:ind w:left="755"/>
        <w:jc w:val="both"/>
        <w:rPr>
          <w:rFonts w:ascii="David" w:hAnsi="David" w:cs="David"/>
          <w:sz w:val="24"/>
          <w:szCs w:val="24"/>
          <w:u w:val="single"/>
        </w:rPr>
      </w:pPr>
    </w:p>
    <w:p w:rsidR="000C53C9" w:rsidRDefault="000C53C9" w:rsidP="000C53C9">
      <w:pPr>
        <w:pStyle w:val="af"/>
        <w:numPr>
          <w:ilvl w:val="0"/>
          <w:numId w:val="3"/>
        </w:numPr>
        <w:spacing w:line="360" w:lineRule="auto"/>
        <w:jc w:val="both"/>
        <w:rPr>
          <w:rFonts w:ascii="David" w:hAnsi="David" w:cs="David"/>
          <w:sz w:val="24"/>
          <w:szCs w:val="24"/>
          <w:u w:val="single"/>
        </w:rPr>
      </w:pPr>
      <w:r>
        <w:rPr>
          <w:rFonts w:ascii="David" w:hAnsi="David" w:cs="David"/>
          <w:sz w:val="24"/>
          <w:szCs w:val="24"/>
          <w:rtl/>
        </w:rPr>
        <w:t xml:space="preserve">צו מניעה – מתן צו מניעה האוסר "על הנתבעת להפלות בין תלמידיה בדרך של עריכת אירועים מהסוג המתואר בכתב התביעה כמו גם כל אירוע אחר הנמצא בזיקה ישירה לפעילות האוניברסיטה במסעדות לא כשרות".   </w:t>
      </w:r>
      <w:r>
        <w:rPr>
          <w:rFonts w:ascii="David" w:hAnsi="David" w:cs="David"/>
          <w:sz w:val="24"/>
          <w:szCs w:val="24"/>
          <w:u w:val="single"/>
          <w:rtl/>
        </w:rPr>
        <w:t xml:space="preserve"> </w:t>
      </w:r>
    </w:p>
    <w:p w:rsidR="000C53C9" w:rsidRDefault="000C53C9" w:rsidP="000C53C9">
      <w:pPr>
        <w:pStyle w:val="af"/>
        <w:rPr>
          <w:rFonts w:ascii="David" w:eastAsia="Calibri" w:hAnsi="David" w:cs="David"/>
          <w:sz w:val="24"/>
          <w:szCs w:val="24"/>
          <w:rtl/>
        </w:rPr>
      </w:pPr>
    </w:p>
    <w:p w:rsidR="000C53C9" w:rsidRDefault="000C53C9" w:rsidP="000C53C9">
      <w:pPr>
        <w:pStyle w:val="af"/>
        <w:rPr>
          <w:rFonts w:ascii="David" w:eastAsia="Calibri" w:hAnsi="David" w:cs="David"/>
          <w:sz w:val="24"/>
          <w:szCs w:val="24"/>
          <w:rtl/>
        </w:rPr>
      </w:pP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מי ומי בהליך – בעלי הדין ושני העדים שנחקרו</w:t>
      </w:r>
    </w:p>
    <w:p w:rsidR="000C53C9" w:rsidRDefault="000C53C9" w:rsidP="000C53C9">
      <w:pPr>
        <w:pStyle w:val="af"/>
        <w:numPr>
          <w:ilvl w:val="1"/>
          <w:numId w:val="1"/>
        </w:numPr>
        <w:spacing w:line="360" w:lineRule="auto"/>
        <w:ind w:left="253" w:hanging="425"/>
        <w:jc w:val="both"/>
        <w:rPr>
          <w:rFonts w:ascii="David" w:eastAsia="Calibri" w:hAnsi="David" w:cs="David"/>
          <w:sz w:val="24"/>
          <w:szCs w:val="24"/>
          <w:u w:val="single"/>
        </w:rPr>
      </w:pPr>
      <w:r>
        <w:rPr>
          <w:rFonts w:ascii="David" w:eastAsia="Calibri" w:hAnsi="David" w:cs="David"/>
          <w:sz w:val="24"/>
          <w:szCs w:val="24"/>
          <w:rtl/>
        </w:rPr>
        <w:t>התובע הוא מי שהיה במועדים הרלוונטיים לתביעה סטודנט באוניברסיטת תל אביב ללימודי תואר שני במנהל עסקים בפקולטה לניהול (להלן: "</w:t>
      </w:r>
      <w:r>
        <w:rPr>
          <w:rFonts w:ascii="David" w:eastAsia="Calibri" w:hAnsi="David" w:cs="David"/>
          <w:b/>
          <w:bCs/>
          <w:sz w:val="24"/>
          <w:szCs w:val="24"/>
          <w:rtl/>
        </w:rPr>
        <w:t>התובע</w:t>
      </w:r>
      <w:r>
        <w:rPr>
          <w:rFonts w:ascii="David" w:eastAsia="Calibri" w:hAnsi="David" w:cs="David"/>
          <w:sz w:val="24"/>
          <w:szCs w:val="24"/>
          <w:rtl/>
        </w:rPr>
        <w:t>").</w:t>
      </w:r>
    </w:p>
    <w:p w:rsidR="000C53C9" w:rsidRDefault="000C53C9" w:rsidP="000C53C9">
      <w:pPr>
        <w:pStyle w:val="af"/>
        <w:spacing w:line="360" w:lineRule="auto"/>
        <w:ind w:left="1080"/>
        <w:jc w:val="both"/>
        <w:rPr>
          <w:rFonts w:ascii="David" w:eastAsia="Calibri" w:hAnsi="David" w:cs="David"/>
          <w:sz w:val="24"/>
          <w:szCs w:val="24"/>
        </w:rPr>
      </w:pPr>
    </w:p>
    <w:p w:rsidR="000C53C9" w:rsidRDefault="000C53C9" w:rsidP="000C53C9">
      <w:pPr>
        <w:pStyle w:val="af"/>
        <w:numPr>
          <w:ilvl w:val="1"/>
          <w:numId w:val="1"/>
        </w:numPr>
        <w:spacing w:line="360" w:lineRule="auto"/>
        <w:ind w:left="253" w:hanging="425"/>
        <w:jc w:val="both"/>
        <w:rPr>
          <w:rFonts w:ascii="David" w:eastAsia="Calibri" w:hAnsi="David" w:cs="David"/>
          <w:sz w:val="24"/>
          <w:szCs w:val="24"/>
        </w:rPr>
      </w:pPr>
      <w:r>
        <w:rPr>
          <w:rFonts w:ascii="David" w:eastAsia="Calibri" w:hAnsi="David" w:cs="David"/>
          <w:sz w:val="24"/>
          <w:szCs w:val="24"/>
          <w:rtl/>
        </w:rPr>
        <w:t>הנתבעת היא אוניברסיטת תל אביב, מוסד להשכלה גבוהה (להלן: "</w:t>
      </w:r>
      <w:r>
        <w:rPr>
          <w:rFonts w:ascii="David" w:eastAsia="Calibri" w:hAnsi="David" w:cs="David"/>
          <w:b/>
          <w:bCs/>
          <w:sz w:val="24"/>
          <w:szCs w:val="24"/>
          <w:rtl/>
        </w:rPr>
        <w:t>האוניברסיטה/הנתבעת</w:t>
      </w:r>
      <w:r>
        <w:rPr>
          <w:rFonts w:ascii="David" w:eastAsia="Calibri" w:hAnsi="David" w:cs="David"/>
          <w:sz w:val="24"/>
          <w:szCs w:val="24"/>
          <w:rtl/>
        </w:rPr>
        <w:t>").</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253" w:hanging="425"/>
        <w:jc w:val="both"/>
        <w:rPr>
          <w:rFonts w:ascii="David" w:eastAsia="Calibri" w:hAnsi="David" w:cs="David"/>
          <w:sz w:val="24"/>
          <w:szCs w:val="24"/>
          <w:rtl/>
        </w:rPr>
      </w:pPr>
      <w:r>
        <w:rPr>
          <w:rFonts w:ascii="David" w:eastAsia="Calibri" w:hAnsi="David" w:cs="David"/>
          <w:sz w:val="24"/>
          <w:szCs w:val="24"/>
          <w:rtl/>
        </w:rPr>
        <w:t>במהלך הדיון העידו שניים:</w:t>
      </w:r>
    </w:p>
    <w:p w:rsidR="000C53C9" w:rsidRDefault="000C53C9" w:rsidP="000C53C9">
      <w:pPr>
        <w:pStyle w:val="af"/>
        <w:numPr>
          <w:ilvl w:val="0"/>
          <w:numId w:val="3"/>
        </w:numPr>
        <w:spacing w:line="360" w:lineRule="auto"/>
        <w:jc w:val="both"/>
        <w:rPr>
          <w:rFonts w:ascii="David" w:eastAsia="Calibri" w:hAnsi="David" w:cs="David"/>
          <w:sz w:val="24"/>
          <w:szCs w:val="24"/>
        </w:rPr>
      </w:pPr>
      <w:r>
        <w:rPr>
          <w:rFonts w:ascii="David" w:eastAsia="Calibri" w:hAnsi="David" w:cs="David"/>
          <w:sz w:val="24"/>
          <w:szCs w:val="24"/>
          <w:rtl/>
        </w:rPr>
        <w:t>מטעם התביעה העיד התובע עצמו.</w:t>
      </w:r>
    </w:p>
    <w:p w:rsidR="000C53C9" w:rsidRDefault="000C53C9" w:rsidP="000C53C9">
      <w:pPr>
        <w:pStyle w:val="af"/>
        <w:numPr>
          <w:ilvl w:val="0"/>
          <w:numId w:val="3"/>
        </w:numPr>
        <w:spacing w:line="360" w:lineRule="auto"/>
        <w:jc w:val="both"/>
        <w:rPr>
          <w:rFonts w:ascii="David" w:eastAsia="Calibri" w:hAnsi="David" w:cs="David"/>
          <w:sz w:val="24"/>
          <w:szCs w:val="24"/>
        </w:rPr>
      </w:pPr>
      <w:r>
        <w:rPr>
          <w:rFonts w:ascii="David" w:eastAsia="Calibri" w:hAnsi="David" w:cs="David"/>
          <w:sz w:val="24"/>
          <w:szCs w:val="24"/>
          <w:rtl/>
        </w:rPr>
        <w:t xml:space="preserve">מטעם האוניברסיטה העיד מר אודי אהרוני שהציג עצמו כמנהל תכניות </w:t>
      </w:r>
      <w:r>
        <w:rPr>
          <w:rFonts w:ascii="David" w:eastAsia="Calibri" w:hAnsi="David" w:cs="David"/>
          <w:sz w:val="24"/>
          <w:szCs w:val="24"/>
        </w:rPr>
        <w:t>DBI</w:t>
      </w:r>
      <w:r>
        <w:rPr>
          <w:rFonts w:ascii="David" w:eastAsia="Calibri" w:hAnsi="David" w:cs="David"/>
          <w:sz w:val="24"/>
          <w:szCs w:val="24"/>
          <w:rtl/>
        </w:rPr>
        <w:t xml:space="preserve"> בפקולטה לניהול ע"ש קולר של האוניברסיטה וכן מנכ"ל עמותת לה"ב לימודי הכשרה בניהול ומנכ"ל להב פיתוח מנהלים בע"מ (חל"צ).</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השאלות העיקריות בהן יעסוק פסק הדין</w:t>
      </w:r>
    </w:p>
    <w:p w:rsidR="000C53C9" w:rsidRDefault="000C53C9" w:rsidP="000C53C9">
      <w:pPr>
        <w:pStyle w:val="af"/>
        <w:spacing w:line="360" w:lineRule="auto"/>
        <w:ind w:left="-172"/>
        <w:jc w:val="both"/>
        <w:rPr>
          <w:rFonts w:ascii="David" w:eastAsia="Calibri" w:hAnsi="David" w:cs="David"/>
          <w:sz w:val="24"/>
          <w:szCs w:val="24"/>
        </w:rPr>
      </w:pPr>
      <w:r>
        <w:rPr>
          <w:rFonts w:ascii="David" w:eastAsia="Calibri" w:hAnsi="David" w:cs="David"/>
          <w:sz w:val="24"/>
          <w:szCs w:val="24"/>
          <w:rtl/>
        </w:rPr>
        <w:t>במסגרת הדיון בפסק הדין תובא התייחסות לשאלות הבאות:</w:t>
      </w:r>
    </w:p>
    <w:p w:rsidR="000C53C9" w:rsidRDefault="000C53C9" w:rsidP="000C53C9">
      <w:pPr>
        <w:pStyle w:val="af"/>
        <w:spacing w:line="360" w:lineRule="auto"/>
        <w:ind w:left="-172"/>
        <w:jc w:val="both"/>
        <w:rPr>
          <w:rFonts w:ascii="David" w:eastAsia="Calibri" w:hAnsi="David" w:cs="David"/>
          <w:sz w:val="24"/>
          <w:szCs w:val="24"/>
          <w:rtl/>
        </w:rPr>
      </w:pPr>
    </w:p>
    <w:p w:rsidR="000C53C9" w:rsidRDefault="000C53C9" w:rsidP="000C53C9">
      <w:pPr>
        <w:pStyle w:val="af"/>
        <w:numPr>
          <w:ilvl w:val="0"/>
          <w:numId w:val="3"/>
        </w:numPr>
        <w:spacing w:line="360" w:lineRule="auto"/>
        <w:jc w:val="both"/>
        <w:rPr>
          <w:rFonts w:ascii="David" w:eastAsia="Calibri" w:hAnsi="David" w:cs="David"/>
          <w:sz w:val="24"/>
          <w:szCs w:val="24"/>
          <w:rtl/>
        </w:rPr>
      </w:pPr>
      <w:r>
        <w:rPr>
          <w:rFonts w:ascii="David" w:eastAsia="Calibri" w:hAnsi="David" w:cs="David"/>
          <w:b/>
          <w:bCs/>
          <w:sz w:val="24"/>
          <w:szCs w:val="24"/>
          <w:u w:val="single"/>
          <w:rtl/>
        </w:rPr>
        <w:t>ראשית</w:t>
      </w:r>
      <w:r>
        <w:rPr>
          <w:rFonts w:ascii="David" w:eastAsia="Calibri" w:hAnsi="David" w:cs="David"/>
          <w:sz w:val="24"/>
          <w:szCs w:val="24"/>
          <w:rtl/>
        </w:rPr>
        <w:t xml:space="preserve"> – האם הפעילות אליה התייחס התובע היא פעילות השייכת לאוניברסיטה והאם קמה לו זכות להשתתף בה? התשובה לשאלה זו חיובית, כפי שעולה משורה ארוכה של נימוקים שיובאו בסעיף 7 להלן.</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0"/>
          <w:numId w:val="3"/>
        </w:numPr>
        <w:spacing w:line="360" w:lineRule="auto"/>
        <w:jc w:val="both"/>
        <w:rPr>
          <w:rFonts w:ascii="David" w:eastAsia="Calibri" w:hAnsi="David" w:cs="David"/>
          <w:sz w:val="24"/>
          <w:szCs w:val="24"/>
        </w:rPr>
      </w:pPr>
      <w:r>
        <w:rPr>
          <w:rFonts w:ascii="David" w:eastAsia="Calibri" w:hAnsi="David" w:cs="David"/>
          <w:b/>
          <w:bCs/>
          <w:sz w:val="24"/>
          <w:szCs w:val="24"/>
          <w:u w:val="single"/>
          <w:rtl/>
        </w:rPr>
        <w:t>שנית</w:t>
      </w:r>
      <w:r>
        <w:rPr>
          <w:rFonts w:ascii="David" w:eastAsia="Calibri" w:hAnsi="David" w:cs="David"/>
          <w:sz w:val="24"/>
          <w:szCs w:val="24"/>
          <w:rtl/>
        </w:rPr>
        <w:t xml:space="preserve"> -  האם הבקשה לערוך אירוע או אירועים במסעדה כשרה היא כה מופרכת? כך בכלל וכך למשל באוניברסיטה שמקפידה שכל המסעדות בתחומה יהיו כשרות. כלומר מודעת לרגישות שבכשרות. כיצד יש להתייחס לכך שהאוניברסיטה אפילו לא התייחסה לשאלה זו, גם לא לאחר פניית התובע? לכך תובא התייחסות בסעיפים 8 ו-9 לפסק הדין. </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3"/>
        </w:numPr>
        <w:spacing w:line="360" w:lineRule="auto"/>
        <w:jc w:val="both"/>
        <w:rPr>
          <w:rFonts w:ascii="David" w:eastAsia="Calibri" w:hAnsi="David" w:cs="David"/>
          <w:sz w:val="24"/>
          <w:szCs w:val="24"/>
          <w:rtl/>
        </w:rPr>
      </w:pPr>
      <w:r>
        <w:rPr>
          <w:rFonts w:ascii="David" w:eastAsia="Calibri" w:hAnsi="David" w:cs="David"/>
          <w:b/>
          <w:bCs/>
          <w:sz w:val="24"/>
          <w:szCs w:val="24"/>
          <w:u w:val="single"/>
          <w:rtl/>
        </w:rPr>
        <w:t>שלישית</w:t>
      </w:r>
      <w:r>
        <w:rPr>
          <w:rFonts w:ascii="David" w:eastAsia="Calibri" w:hAnsi="David" w:cs="David"/>
          <w:sz w:val="24"/>
          <w:szCs w:val="24"/>
          <w:rtl/>
        </w:rPr>
        <w:t xml:space="preserve"> – האם העובדה שמבחינת "דת" התובע לא יכול היה לסעוד במסעדות שאינם קשורות, מקימה עוולה של הפליה על רקע "דת" כמשמעה בחוק איסור הפליה במוצרים ושירותים. על כך בסעיפים 10 ו-11 לפסק הדין. </w:t>
      </w:r>
    </w:p>
    <w:p w:rsidR="000C53C9" w:rsidRDefault="000C53C9" w:rsidP="000C53C9">
      <w:pPr>
        <w:pStyle w:val="af"/>
        <w:rPr>
          <w:rFonts w:ascii="David" w:eastAsia="Calibri" w:hAnsi="David" w:cs="David"/>
          <w:sz w:val="24"/>
          <w:szCs w:val="24"/>
        </w:rPr>
      </w:pPr>
    </w:p>
    <w:p w:rsidR="000C53C9" w:rsidRDefault="000C53C9" w:rsidP="000C53C9">
      <w:pPr>
        <w:pStyle w:val="af"/>
        <w:rPr>
          <w:rFonts w:ascii="David" w:eastAsia="Calibri" w:hAnsi="David" w:cs="David"/>
          <w:sz w:val="24"/>
          <w:szCs w:val="24"/>
          <w:rtl/>
        </w:rPr>
      </w:pP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תוכן עניינים</w:t>
      </w:r>
      <w:r w:rsidR="00E6185F">
        <w:rPr>
          <w:rFonts w:ascii="David" w:eastAsia="Calibri" w:hAnsi="David" w:cs="David" w:hint="cs"/>
          <w:b/>
          <w:bCs/>
          <w:sz w:val="24"/>
          <w:szCs w:val="24"/>
          <w:u w:val="single"/>
          <w:rtl/>
        </w:rPr>
        <w:t xml:space="preserve"> ותמצית פסק הדין</w:t>
      </w:r>
    </w:p>
    <w:p w:rsidR="000C53C9" w:rsidRDefault="000C53C9" w:rsidP="000C53C9">
      <w:pPr>
        <w:pStyle w:val="af"/>
        <w:numPr>
          <w:ilvl w:val="1"/>
          <w:numId w:val="1"/>
        </w:numPr>
        <w:spacing w:line="360" w:lineRule="auto"/>
        <w:ind w:left="536" w:hanging="708"/>
        <w:jc w:val="both"/>
        <w:rPr>
          <w:rFonts w:ascii="David" w:eastAsia="Calibri" w:hAnsi="David" w:cs="David"/>
          <w:sz w:val="24"/>
          <w:szCs w:val="24"/>
        </w:rPr>
      </w:pPr>
      <w:r>
        <w:rPr>
          <w:rFonts w:ascii="David" w:eastAsia="Calibri" w:hAnsi="David" w:cs="David"/>
          <w:sz w:val="24"/>
          <w:szCs w:val="24"/>
          <w:rtl/>
        </w:rPr>
        <w:t>טענות הצדדים יובאו בסעיפים 5 ו-6 לפסק הדין.</w:t>
      </w:r>
    </w:p>
    <w:p w:rsidR="000C53C9" w:rsidRDefault="000C53C9" w:rsidP="000C53C9">
      <w:pPr>
        <w:pStyle w:val="af"/>
        <w:spacing w:line="360" w:lineRule="auto"/>
        <w:ind w:left="536"/>
        <w:jc w:val="both"/>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Pr>
      </w:pPr>
      <w:r>
        <w:rPr>
          <w:rFonts w:ascii="David" w:eastAsia="Calibri" w:hAnsi="David" w:cs="David"/>
          <w:sz w:val="24"/>
          <w:szCs w:val="24"/>
          <w:rtl/>
        </w:rPr>
        <w:t>הפעילות המתוארת בתביעה היא פעילות המשויכת לאוניברסיטה, לעניין זה יובאו בסעיף 7 לפסק הדין שישה נימוקים:</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4"/>
        </w:numPr>
        <w:spacing w:line="360" w:lineRule="auto"/>
        <w:jc w:val="both"/>
        <w:rPr>
          <w:rFonts w:ascii="David" w:eastAsia="Calibri" w:hAnsi="David" w:cs="David"/>
          <w:sz w:val="24"/>
          <w:szCs w:val="24"/>
          <w:rtl/>
        </w:rPr>
      </w:pPr>
      <w:r>
        <w:rPr>
          <w:rFonts w:ascii="David" w:eastAsia="Calibri" w:hAnsi="David" w:cs="David"/>
          <w:sz w:val="24"/>
          <w:szCs w:val="24"/>
          <w:rtl/>
        </w:rPr>
        <w:t>על כך שהפעילות משויכת לאוניברסיטה למדים מכתב ההגנה וכן התצהיר מטען האוניברסיטה – ור' סעיף 7.2 (א) לפסק הדין.</w:t>
      </w:r>
    </w:p>
    <w:p w:rsidR="000C53C9" w:rsidRDefault="000C53C9" w:rsidP="000C53C9">
      <w:pPr>
        <w:pStyle w:val="af"/>
        <w:numPr>
          <w:ilvl w:val="0"/>
          <w:numId w:val="4"/>
        </w:numPr>
        <w:spacing w:line="360" w:lineRule="auto"/>
        <w:jc w:val="both"/>
        <w:rPr>
          <w:rFonts w:ascii="David" w:eastAsia="Calibri" w:hAnsi="David" w:cs="David"/>
          <w:sz w:val="24"/>
          <w:szCs w:val="24"/>
        </w:rPr>
      </w:pPr>
      <w:r>
        <w:rPr>
          <w:rFonts w:ascii="David" w:eastAsia="Calibri" w:hAnsi="David" w:cs="David"/>
          <w:sz w:val="24"/>
          <w:szCs w:val="24"/>
          <w:rtl/>
        </w:rPr>
        <w:t>האוניברסיטה אף קיבלה תמורה ישירה בגין האירועים – על כך בסעיף 7.2 (ב) לפסק הדין.</w:t>
      </w:r>
    </w:p>
    <w:p w:rsidR="000C53C9" w:rsidRDefault="000C53C9" w:rsidP="000C53C9">
      <w:pPr>
        <w:pStyle w:val="af"/>
        <w:numPr>
          <w:ilvl w:val="0"/>
          <w:numId w:val="4"/>
        </w:numPr>
        <w:spacing w:line="360" w:lineRule="auto"/>
        <w:jc w:val="both"/>
        <w:rPr>
          <w:rFonts w:ascii="David" w:eastAsia="Calibri" w:hAnsi="David" w:cs="David"/>
          <w:sz w:val="24"/>
          <w:szCs w:val="24"/>
        </w:rPr>
      </w:pPr>
      <w:r>
        <w:rPr>
          <w:rFonts w:ascii="David" w:eastAsia="Calibri" w:hAnsi="David" w:cs="David"/>
          <w:sz w:val="24"/>
          <w:szCs w:val="24"/>
          <w:rtl/>
        </w:rPr>
        <w:t>המזומנים הם סטודנטים לתואר שני הלומדים באוניברסיטה – ור' סעיף 7.2 (ג) לפסק הדין.</w:t>
      </w:r>
    </w:p>
    <w:p w:rsidR="000C53C9" w:rsidRDefault="000C53C9" w:rsidP="000C53C9">
      <w:pPr>
        <w:pStyle w:val="af"/>
        <w:numPr>
          <w:ilvl w:val="0"/>
          <w:numId w:val="4"/>
        </w:numPr>
        <w:spacing w:line="360" w:lineRule="auto"/>
        <w:jc w:val="both"/>
        <w:rPr>
          <w:rFonts w:ascii="David" w:eastAsia="Calibri" w:hAnsi="David" w:cs="David"/>
          <w:sz w:val="24"/>
          <w:szCs w:val="24"/>
        </w:rPr>
      </w:pPr>
      <w:r>
        <w:rPr>
          <w:rFonts w:ascii="David" w:eastAsia="Calibri" w:hAnsi="David" w:cs="David"/>
          <w:sz w:val="24"/>
          <w:szCs w:val="24"/>
          <w:rtl/>
        </w:rPr>
        <w:t>מרצה מטעם האוניברסיטה הזמין את הסטודנטים לאירועים – ור' סעיף 7.2 (ד) לפסק הדין.</w:t>
      </w:r>
    </w:p>
    <w:p w:rsidR="000C53C9" w:rsidRDefault="000C53C9" w:rsidP="000C53C9">
      <w:pPr>
        <w:pStyle w:val="af"/>
        <w:numPr>
          <w:ilvl w:val="0"/>
          <w:numId w:val="4"/>
        </w:numPr>
        <w:spacing w:line="360" w:lineRule="auto"/>
        <w:jc w:val="both"/>
        <w:rPr>
          <w:rFonts w:ascii="David" w:eastAsia="Calibri" w:hAnsi="David" w:cs="David"/>
          <w:sz w:val="24"/>
          <w:szCs w:val="24"/>
        </w:rPr>
      </w:pPr>
      <w:r>
        <w:rPr>
          <w:rFonts w:ascii="David" w:eastAsia="Calibri" w:hAnsi="David" w:cs="David"/>
          <w:sz w:val="24"/>
          <w:szCs w:val="24"/>
          <w:rtl/>
        </w:rPr>
        <w:t>הסטודנטים הוזמנו להיות בין אורחי האוניברסיטה ולא בין אורחי הסטודנטים הזרים – על הבחנה זו יורחב בסעיף 7.2 (ה) לפסק הדין.</w:t>
      </w:r>
    </w:p>
    <w:p w:rsidR="000C53C9" w:rsidRDefault="000C53C9" w:rsidP="000C53C9">
      <w:pPr>
        <w:pStyle w:val="af"/>
        <w:numPr>
          <w:ilvl w:val="0"/>
          <w:numId w:val="4"/>
        </w:numPr>
        <w:spacing w:line="360" w:lineRule="auto"/>
        <w:jc w:val="both"/>
        <w:rPr>
          <w:rFonts w:ascii="David" w:eastAsia="Calibri" w:hAnsi="David" w:cs="David"/>
          <w:sz w:val="24"/>
          <w:szCs w:val="24"/>
        </w:rPr>
      </w:pPr>
      <w:r>
        <w:rPr>
          <w:rFonts w:ascii="David" w:eastAsia="Calibri" w:hAnsi="David" w:cs="David"/>
          <w:sz w:val="24"/>
          <w:szCs w:val="24"/>
          <w:rtl/>
        </w:rPr>
        <w:t xml:space="preserve">גם פרסומי האוניברסיטה מקשרים עצמם לאירועים – ועל כך בסעיף 7.2 (ט) לפסק הדין.  </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tl/>
        </w:rPr>
      </w:pPr>
      <w:r>
        <w:rPr>
          <w:rFonts w:ascii="David" w:eastAsia="Calibri" w:hAnsi="David" w:cs="David"/>
          <w:sz w:val="24"/>
          <w:szCs w:val="24"/>
          <w:rtl/>
        </w:rPr>
        <w:t>הבקשה לערוך את האירועים, או לפחות אחד מהם, במסעדה כשרה – אינה כה מופרכת ונובעת מציוויי דת שאינם זרים לקהל היהודי והמוסלמי. לעניין זה יורחב בסעיף 8 לפסק הדין, במסגרתו יובאו הדברים הבאים:</w:t>
      </w:r>
    </w:p>
    <w:p w:rsidR="000C53C9" w:rsidRDefault="000C53C9" w:rsidP="000C53C9">
      <w:pPr>
        <w:pStyle w:val="af"/>
        <w:spacing w:line="360" w:lineRule="auto"/>
        <w:ind w:left="536"/>
        <w:jc w:val="both"/>
        <w:rPr>
          <w:rFonts w:ascii="David" w:eastAsia="Calibri" w:hAnsi="David" w:cs="David"/>
          <w:sz w:val="24"/>
          <w:szCs w:val="24"/>
        </w:rPr>
      </w:pPr>
    </w:p>
    <w:p w:rsidR="000C53C9" w:rsidRDefault="000C53C9" w:rsidP="000C53C9">
      <w:pPr>
        <w:pStyle w:val="af"/>
        <w:numPr>
          <w:ilvl w:val="0"/>
          <w:numId w:val="5"/>
        </w:numPr>
        <w:spacing w:line="360" w:lineRule="auto"/>
        <w:jc w:val="both"/>
        <w:rPr>
          <w:rFonts w:ascii="David" w:eastAsia="Calibri" w:hAnsi="David" w:cs="David"/>
          <w:sz w:val="24"/>
          <w:szCs w:val="24"/>
        </w:rPr>
      </w:pPr>
      <w:r>
        <w:rPr>
          <w:rFonts w:ascii="David" w:eastAsia="Calibri" w:hAnsi="David" w:cs="David"/>
          <w:sz w:val="24"/>
          <w:szCs w:val="24"/>
          <w:rtl/>
        </w:rPr>
        <w:t>גם האוניברסיטה החילה על עצמה מצוות כשרות, ולעניין זה ר' סעיף 8.2 לפסק הדין.</w:t>
      </w:r>
    </w:p>
    <w:p w:rsidR="000C53C9" w:rsidRDefault="000C53C9" w:rsidP="000C53C9">
      <w:pPr>
        <w:pStyle w:val="af"/>
        <w:numPr>
          <w:ilvl w:val="0"/>
          <w:numId w:val="5"/>
        </w:numPr>
        <w:spacing w:line="360" w:lineRule="auto"/>
        <w:jc w:val="both"/>
        <w:rPr>
          <w:rFonts w:ascii="David" w:eastAsia="Calibri" w:hAnsi="David" w:cs="David"/>
          <w:sz w:val="24"/>
          <w:szCs w:val="24"/>
        </w:rPr>
      </w:pPr>
      <w:r>
        <w:rPr>
          <w:rFonts w:ascii="David" w:eastAsia="Calibri" w:hAnsi="David" w:cs="David"/>
          <w:sz w:val="24"/>
          <w:szCs w:val="24"/>
          <w:rtl/>
        </w:rPr>
        <w:t>ההחלטה לערוך האירועים במסעדות לא כשרות תוך הדרת התובע ודומיו, אינה פרי מחשבה מושכלת. ההחלטה, כפי שעולה מדברי המצהיר מטעם האוניברסיטה נובעת מהתעלמות מכוונת. שאלת הכשרות שהביאה להדרת התובע ודומיו כלל לא נשקלה. על כך בסעיף 8.3 לפסק הדין.</w:t>
      </w:r>
    </w:p>
    <w:p w:rsidR="000C53C9" w:rsidRDefault="000C53C9" w:rsidP="000C53C9">
      <w:pPr>
        <w:pStyle w:val="af"/>
        <w:numPr>
          <w:ilvl w:val="0"/>
          <w:numId w:val="5"/>
        </w:numPr>
        <w:spacing w:line="360" w:lineRule="auto"/>
        <w:jc w:val="both"/>
        <w:rPr>
          <w:rFonts w:ascii="David" w:eastAsia="Calibri" w:hAnsi="David" w:cs="David"/>
          <w:sz w:val="24"/>
          <w:szCs w:val="24"/>
        </w:rPr>
      </w:pPr>
      <w:r>
        <w:rPr>
          <w:rFonts w:ascii="David" w:eastAsia="Calibri" w:hAnsi="David" w:cs="David"/>
          <w:sz w:val="24"/>
          <w:szCs w:val="24"/>
          <w:rtl/>
        </w:rPr>
        <w:t>הבחירה במסעדות לא כשרות הייתה בחירה מודעת. אין מדובר בהחלטה עצמאית של קבוצת סטודנטים מסין, על כך בסעיף 8.4 לפסק הדין.</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tl/>
        </w:rPr>
      </w:pPr>
      <w:r>
        <w:rPr>
          <w:rFonts w:ascii="David" w:eastAsia="Calibri" w:hAnsi="David" w:cs="David"/>
          <w:sz w:val="24"/>
          <w:szCs w:val="24"/>
          <w:rtl/>
        </w:rPr>
        <w:t>התובע פנה אל האוניברסיטה פעם אחר פעם. על פניות התובע והתשובות שקיבל יורחב בסעיף 9 לפסק הדין.</w:t>
      </w:r>
    </w:p>
    <w:p w:rsidR="000C53C9" w:rsidRDefault="000C53C9" w:rsidP="000C53C9">
      <w:pPr>
        <w:pStyle w:val="af"/>
        <w:spacing w:line="360" w:lineRule="auto"/>
        <w:ind w:left="536"/>
        <w:jc w:val="both"/>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Pr>
      </w:pPr>
      <w:r>
        <w:rPr>
          <w:rFonts w:ascii="David" w:eastAsia="Calibri" w:hAnsi="David" w:cs="David"/>
          <w:sz w:val="24"/>
          <w:szCs w:val="24"/>
          <w:rtl/>
        </w:rPr>
        <w:t>קיומם של כל האירועים, ללא יוצא דופן, במסעדות לא כשרות (שלושה מתוך ארבעה במסעדת התרנגול הכחול) הדירה את התובע והפלתה אותו על רקע דתו. על כך יובא הדיון בסעיף 10 לפסק הדין.</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tl/>
        </w:rPr>
      </w:pPr>
      <w:r>
        <w:rPr>
          <w:rFonts w:ascii="David" w:eastAsia="Calibri" w:hAnsi="David" w:cs="David"/>
          <w:sz w:val="24"/>
          <w:szCs w:val="24"/>
          <w:rtl/>
        </w:rPr>
        <w:t xml:space="preserve">קיומם של </w:t>
      </w:r>
      <w:r>
        <w:rPr>
          <w:rFonts w:ascii="David" w:eastAsia="Calibri" w:hAnsi="David" w:cs="David"/>
          <w:sz w:val="24"/>
          <w:szCs w:val="24"/>
          <w:u w:val="single"/>
          <w:rtl/>
        </w:rPr>
        <w:t xml:space="preserve">כל </w:t>
      </w:r>
      <w:r>
        <w:rPr>
          <w:rFonts w:ascii="David" w:eastAsia="Calibri" w:hAnsi="David" w:cs="David"/>
          <w:sz w:val="24"/>
          <w:szCs w:val="24"/>
          <w:rtl/>
        </w:rPr>
        <w:t>האירועים, ללא יוצא דופן, במסעדות לא כשרות הן הפרת הוראות חוק איסור הפליה במוצרים ושירותים – על כך יורחב בסעיף 11 לפסק הדין ובמסגרתו יובא הדיון בנושאים הבאים:</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6"/>
        </w:numPr>
        <w:spacing w:line="360" w:lineRule="auto"/>
        <w:jc w:val="both"/>
        <w:rPr>
          <w:rFonts w:ascii="David" w:eastAsia="Calibri" w:hAnsi="David" w:cs="David"/>
          <w:sz w:val="24"/>
          <w:szCs w:val="24"/>
          <w:rtl/>
        </w:rPr>
      </w:pPr>
      <w:r>
        <w:rPr>
          <w:rFonts w:ascii="David" w:eastAsia="Calibri" w:hAnsi="David" w:cs="David"/>
          <w:sz w:val="24"/>
          <w:szCs w:val="24"/>
          <w:rtl/>
        </w:rPr>
        <w:t>האוניברסיטה כמעניקה שירות ציבורי והתייחסות ל"שירותי חינוך" כמשמעם בחוק, על כך יורחב בסעיף 11.1 לפסק הדין.</w:t>
      </w:r>
    </w:p>
    <w:p w:rsidR="000C53C9" w:rsidRDefault="000C53C9" w:rsidP="000C53C9">
      <w:pPr>
        <w:pStyle w:val="af"/>
        <w:numPr>
          <w:ilvl w:val="0"/>
          <w:numId w:val="6"/>
        </w:numPr>
        <w:spacing w:line="360" w:lineRule="auto"/>
        <w:jc w:val="both"/>
        <w:rPr>
          <w:rFonts w:ascii="David" w:eastAsia="Calibri" w:hAnsi="David" w:cs="David"/>
          <w:sz w:val="24"/>
          <w:szCs w:val="24"/>
        </w:rPr>
      </w:pPr>
      <w:r>
        <w:rPr>
          <w:rFonts w:ascii="David" w:eastAsia="Calibri" w:hAnsi="David" w:cs="David"/>
          <w:sz w:val="24"/>
          <w:szCs w:val="24"/>
          <w:rtl/>
        </w:rPr>
        <w:t>דיון באיסור להפלות השירות הציבורי על רקע דת יובא בסעיף 11.2 לפסק הדין.</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tl/>
        </w:rPr>
      </w:pPr>
      <w:r>
        <w:rPr>
          <w:rFonts w:ascii="David" w:eastAsia="Calibri" w:hAnsi="David" w:cs="David"/>
          <w:sz w:val="24"/>
          <w:szCs w:val="24"/>
          <w:rtl/>
        </w:rPr>
        <w:t xml:space="preserve">דיון בסעדים הנדרשים וכן סוף דבר המחייב את הנתבעת בתשלום פיצוי כספי וכן הוצאות משפט ושכר טרחת עו"ד יובאו בסעיפים 12 ו-13 לפסק הדין </w:t>
      </w:r>
    </w:p>
    <w:p w:rsidR="000C53C9" w:rsidRDefault="000C53C9" w:rsidP="000C53C9">
      <w:pPr>
        <w:pStyle w:val="af"/>
        <w:spacing w:line="360" w:lineRule="auto"/>
        <w:ind w:left="1080"/>
        <w:jc w:val="both"/>
        <w:rPr>
          <w:rFonts w:ascii="David" w:eastAsia="Calibri" w:hAnsi="David" w:cs="David"/>
          <w:sz w:val="24"/>
          <w:szCs w:val="24"/>
          <w:rtl/>
        </w:rPr>
      </w:pPr>
    </w:p>
    <w:p w:rsidR="005824D9" w:rsidRDefault="005824D9" w:rsidP="000C53C9">
      <w:pPr>
        <w:pStyle w:val="af"/>
        <w:spacing w:line="360" w:lineRule="auto"/>
        <w:ind w:left="1080"/>
        <w:jc w:val="both"/>
        <w:rPr>
          <w:rFonts w:ascii="David" w:eastAsia="Calibri" w:hAnsi="David" w:cs="David"/>
          <w:sz w:val="24"/>
          <w:szCs w:val="24"/>
          <w:rtl/>
        </w:rPr>
      </w:pPr>
    </w:p>
    <w:p w:rsidR="005824D9" w:rsidRDefault="005824D9" w:rsidP="000C53C9">
      <w:pPr>
        <w:pStyle w:val="af"/>
        <w:spacing w:line="360" w:lineRule="auto"/>
        <w:ind w:left="1080"/>
        <w:jc w:val="both"/>
        <w:rPr>
          <w:rFonts w:ascii="David" w:eastAsia="Calibri" w:hAnsi="David" w:cs="David"/>
          <w:sz w:val="24"/>
          <w:szCs w:val="24"/>
          <w:rtl/>
        </w:rPr>
      </w:pPr>
    </w:p>
    <w:p w:rsidR="005824D9" w:rsidRDefault="005824D9" w:rsidP="000C53C9">
      <w:pPr>
        <w:pStyle w:val="af"/>
        <w:spacing w:line="360" w:lineRule="auto"/>
        <w:ind w:left="1080"/>
        <w:jc w:val="both"/>
        <w:rPr>
          <w:rFonts w:ascii="David" w:eastAsia="Calibri" w:hAnsi="David" w:cs="David"/>
          <w:sz w:val="24"/>
          <w:szCs w:val="24"/>
          <w:rtl/>
        </w:rPr>
      </w:pPr>
    </w:p>
    <w:p w:rsidR="005824D9" w:rsidRDefault="005824D9" w:rsidP="000C53C9">
      <w:pPr>
        <w:pStyle w:val="af"/>
        <w:spacing w:line="360" w:lineRule="auto"/>
        <w:ind w:left="1080"/>
        <w:jc w:val="both"/>
        <w:rPr>
          <w:rFonts w:ascii="David" w:eastAsia="Calibri" w:hAnsi="David" w:cs="David"/>
          <w:sz w:val="24"/>
          <w:szCs w:val="24"/>
        </w:rPr>
      </w:pPr>
    </w:p>
    <w:p w:rsidR="000C53C9" w:rsidRDefault="000C53C9" w:rsidP="000C53C9">
      <w:pPr>
        <w:pStyle w:val="af"/>
        <w:spacing w:line="360" w:lineRule="auto"/>
        <w:ind w:left="-598"/>
        <w:jc w:val="both"/>
        <w:rPr>
          <w:rFonts w:ascii="David" w:eastAsia="Calibri" w:hAnsi="David" w:cs="David"/>
          <w:b/>
          <w:bCs/>
          <w:sz w:val="24"/>
          <w:szCs w:val="24"/>
          <w:u w:val="single"/>
          <w:rtl/>
        </w:rPr>
      </w:pPr>
      <w:r>
        <w:rPr>
          <w:rFonts w:ascii="David" w:hAnsi="David" w:cs="David"/>
          <w:b/>
          <w:bCs/>
          <w:sz w:val="28"/>
          <w:szCs w:val="28"/>
          <w:u w:val="single"/>
          <w:rtl/>
        </w:rPr>
        <w:t>חלק שני – טענות הצדדים</w:t>
      </w: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Pr>
      </w:pPr>
      <w:r>
        <w:rPr>
          <w:rFonts w:ascii="David" w:eastAsia="Calibri" w:hAnsi="David" w:cs="David"/>
          <w:b/>
          <w:bCs/>
          <w:sz w:val="24"/>
          <w:szCs w:val="24"/>
          <w:u w:val="single"/>
          <w:rtl/>
        </w:rPr>
        <w:t>תמצית טענות התובע</w:t>
      </w:r>
    </w:p>
    <w:p w:rsidR="000C53C9" w:rsidRDefault="000C53C9" w:rsidP="005824D9">
      <w:pPr>
        <w:pStyle w:val="af"/>
        <w:numPr>
          <w:ilvl w:val="1"/>
          <w:numId w:val="1"/>
        </w:numPr>
        <w:spacing w:line="360" w:lineRule="auto"/>
        <w:ind w:left="395" w:hanging="567"/>
        <w:jc w:val="both"/>
        <w:rPr>
          <w:rFonts w:ascii="David" w:eastAsia="Calibri" w:hAnsi="David" w:cs="David"/>
          <w:sz w:val="24"/>
          <w:szCs w:val="24"/>
          <w:u w:val="single"/>
        </w:rPr>
      </w:pPr>
      <w:r>
        <w:rPr>
          <w:rFonts w:ascii="David" w:hAnsi="David" w:cs="David"/>
          <w:sz w:val="24"/>
          <w:szCs w:val="24"/>
          <w:rtl/>
        </w:rPr>
        <w:t xml:space="preserve">התובע היה במועדים הרלוונטיים </w:t>
      </w:r>
      <w:r>
        <w:rPr>
          <w:rFonts w:ascii="David" w:eastAsia="Calibri" w:hAnsi="David" w:cs="David"/>
          <w:sz w:val="24"/>
          <w:szCs w:val="24"/>
          <w:rtl/>
        </w:rPr>
        <w:t xml:space="preserve">סטודנט לתואר שני אצל הנתבעת אשר קיימה אירועים משותפים של סטודנטים ישראלים וזרים במסעדות לא כשרות. </w:t>
      </w:r>
      <w:r>
        <w:rPr>
          <w:rFonts w:ascii="David" w:hAnsi="David" w:cs="David"/>
          <w:sz w:val="24"/>
          <w:szCs w:val="24"/>
          <w:rtl/>
        </w:rPr>
        <w:t xml:space="preserve">התובע טוען שבפועל, הוא הודר מאירועים אלה </w:t>
      </w:r>
      <w:r w:rsidR="005824D9">
        <w:rPr>
          <w:rFonts w:ascii="David" w:hAnsi="David" w:cs="David" w:hint="cs"/>
          <w:sz w:val="24"/>
          <w:szCs w:val="24"/>
          <w:rtl/>
        </w:rPr>
        <w:t xml:space="preserve">בשל </w:t>
      </w:r>
      <w:r>
        <w:rPr>
          <w:rFonts w:ascii="David" w:hAnsi="David" w:cs="David"/>
          <w:sz w:val="24"/>
          <w:szCs w:val="24"/>
          <w:rtl/>
        </w:rPr>
        <w:t xml:space="preserve">קיומם במסעדות לא כשרות, וזאת למרות </w:t>
      </w:r>
      <w:r w:rsidR="005824D9">
        <w:rPr>
          <w:rFonts w:ascii="David" w:hAnsi="David" w:cs="David" w:hint="cs"/>
          <w:sz w:val="24"/>
          <w:szCs w:val="24"/>
          <w:rtl/>
        </w:rPr>
        <w:t>פניותיו לנתבעת.</w:t>
      </w:r>
    </w:p>
    <w:p w:rsidR="000C53C9" w:rsidRDefault="000C53C9" w:rsidP="000C53C9">
      <w:pPr>
        <w:pStyle w:val="af"/>
        <w:spacing w:line="360" w:lineRule="auto"/>
        <w:ind w:left="1080"/>
        <w:jc w:val="both"/>
        <w:rPr>
          <w:rFonts w:ascii="David" w:hAnsi="David" w:cs="David"/>
          <w:sz w:val="24"/>
          <w:szCs w:val="24"/>
        </w:rPr>
      </w:pPr>
    </w:p>
    <w:p w:rsidR="000C53C9" w:rsidRDefault="000C53C9" w:rsidP="000C53C9">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t>התובע טוען שהאירועים נשואי התובענה התקיימו באחריות האוניברסיטה ומטעמה. לטענתו, ההחלטה על עריכת האירועים במקומות לא כשרים נתקבלה בצורה מודעת ומכוונת תוך מתן תשובות שליליות לבקשות חוזרות של התובע להימנע מכך. תשובות אלה, לשיטתו, נמסרו לתובע במענים בוטים ופוגעניים, גם בפן האישי.</w:t>
      </w:r>
    </w:p>
    <w:p w:rsidR="000C53C9" w:rsidRDefault="000C53C9" w:rsidP="000C53C9">
      <w:pPr>
        <w:pStyle w:val="af"/>
        <w:spacing w:line="360" w:lineRule="auto"/>
        <w:ind w:left="1440"/>
        <w:jc w:val="both"/>
        <w:rPr>
          <w:rFonts w:ascii="David" w:hAnsi="David" w:cs="David"/>
          <w:sz w:val="24"/>
          <w:szCs w:val="24"/>
        </w:rPr>
      </w:pPr>
    </w:p>
    <w:p w:rsidR="000C53C9" w:rsidRDefault="000C53C9" w:rsidP="000C53C9">
      <w:pPr>
        <w:pStyle w:val="af"/>
        <w:numPr>
          <w:ilvl w:val="1"/>
          <w:numId w:val="1"/>
        </w:numPr>
        <w:spacing w:line="360" w:lineRule="auto"/>
        <w:ind w:left="395" w:hanging="567"/>
        <w:jc w:val="both"/>
        <w:rPr>
          <w:rFonts w:ascii="David" w:hAnsi="David" w:cs="David"/>
          <w:sz w:val="24"/>
          <w:szCs w:val="24"/>
        </w:rPr>
      </w:pPr>
      <w:r>
        <w:rPr>
          <w:rFonts w:ascii="David" w:hAnsi="David" w:cs="David"/>
          <w:sz w:val="24"/>
          <w:szCs w:val="24"/>
          <w:rtl/>
        </w:rPr>
        <w:t>התובע הוסיף שעריכת אירועים במסעדות לא כשרות מעמידה את הסטודנטים שומרי הכשרות בסיטואציה מורכבת מבחינה הלכתית ומצפונית ולמעשה מדירה אותם מהאירוע. הוא אף טוען שמעשי האוניברסיטה נעשו מתוך מודעות ו/או כוונה ולחלופין מתוך רשלנות.</w:t>
      </w:r>
    </w:p>
    <w:p w:rsidR="000C53C9" w:rsidRDefault="000C53C9" w:rsidP="000C53C9">
      <w:pPr>
        <w:pStyle w:val="af"/>
        <w:spacing w:line="360" w:lineRule="auto"/>
        <w:jc w:val="both"/>
        <w:rPr>
          <w:rFonts w:ascii="David" w:hAnsi="David" w:cs="David"/>
          <w:sz w:val="24"/>
          <w:szCs w:val="24"/>
        </w:rPr>
      </w:pPr>
    </w:p>
    <w:p w:rsidR="000C53C9" w:rsidRDefault="000C53C9" w:rsidP="000C53C9">
      <w:pPr>
        <w:pStyle w:val="af"/>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לטענת התובע הדרה זו עולה כדי הפליה מחמת דת או מחמת השתייכות לקבוצה דתית מכוח סעיף 3 </w:t>
      </w:r>
      <w:r>
        <w:rPr>
          <w:rFonts w:ascii="David" w:eastAsia="Calibri" w:hAnsi="David" w:cs="David"/>
          <w:sz w:val="24"/>
          <w:szCs w:val="24"/>
          <w:rtl/>
        </w:rPr>
        <w:t>ל</w:t>
      </w:r>
      <w:r>
        <w:rPr>
          <w:rFonts w:ascii="David" w:eastAsia="Calibri" w:hAnsi="David" w:cs="David"/>
          <w:sz w:val="24"/>
          <w:szCs w:val="24"/>
          <w:u w:val="single"/>
          <w:rtl/>
        </w:rPr>
        <w:t>חוק איסור הפליה במוצרים, בשירותים ובכניסה למקומות בידור ולמקומות ציבוריים</w:t>
      </w:r>
      <w:r>
        <w:rPr>
          <w:rFonts w:ascii="David" w:eastAsia="Calibri" w:hAnsi="David" w:cs="David"/>
          <w:sz w:val="24"/>
          <w:szCs w:val="24"/>
          <w:rtl/>
        </w:rPr>
        <w:t>, תשס"א-2000</w:t>
      </w:r>
      <w:r>
        <w:rPr>
          <w:rFonts w:ascii="David" w:hAnsi="David" w:cs="David"/>
          <w:sz w:val="24"/>
          <w:szCs w:val="24"/>
          <w:rtl/>
        </w:rPr>
        <w:t xml:space="preserve"> מכיוון שהאירועים נשואי התובענה עולים כדי "שירות ציבורי" כמשמעותי בסעיף 2(א) לחוק. </w:t>
      </w:r>
    </w:p>
    <w:p w:rsidR="000C53C9" w:rsidRDefault="000C53C9" w:rsidP="000C53C9">
      <w:pPr>
        <w:pStyle w:val="af"/>
        <w:spacing w:line="360" w:lineRule="auto"/>
        <w:jc w:val="both"/>
        <w:rPr>
          <w:rFonts w:ascii="David" w:hAnsi="David" w:cs="David"/>
          <w:sz w:val="24"/>
          <w:szCs w:val="24"/>
        </w:rPr>
      </w:pPr>
    </w:p>
    <w:p w:rsidR="000C53C9" w:rsidRDefault="000C53C9" w:rsidP="000C53C9">
      <w:pPr>
        <w:pStyle w:val="af"/>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עוד ציין התובע שמכיוון והנתבעת היא מוסד להשכלה גבוהה הממומן על ידי המדינה, חלים עליה כללי המנהל הציבורי ובתוכם החובה לנהוג בשיווין בתלמידיה. נוסף על כך, חלה עליה החובה להבטיח מזון כשר לתלמידיה נוכח היותה מוסד ציבורי ישראלי ומכוח מעמדה של מדינת ישראל כמדינה יהודית. משכך, פעולותיה עולות כדי עוולה חוקתית ועוולת הפרת חובה חקוקה.</w:t>
      </w:r>
    </w:p>
    <w:p w:rsidR="000C53C9" w:rsidRDefault="000C53C9" w:rsidP="000C53C9">
      <w:pPr>
        <w:pStyle w:val="af"/>
        <w:rPr>
          <w:rFonts w:ascii="David" w:hAnsi="David" w:cs="David"/>
          <w:sz w:val="24"/>
          <w:szCs w:val="24"/>
        </w:rPr>
      </w:pPr>
    </w:p>
    <w:p w:rsidR="000C53C9" w:rsidRDefault="000C53C9" w:rsidP="000C53C9">
      <w:pPr>
        <w:pStyle w:val="af"/>
        <w:numPr>
          <w:ilvl w:val="1"/>
          <w:numId w:val="1"/>
        </w:numPr>
        <w:spacing w:line="360" w:lineRule="auto"/>
        <w:ind w:left="395" w:hanging="567"/>
        <w:jc w:val="both"/>
        <w:rPr>
          <w:rFonts w:ascii="David" w:hAnsi="David" w:cs="David"/>
          <w:sz w:val="24"/>
          <w:szCs w:val="24"/>
          <w:rtl/>
        </w:rPr>
      </w:pPr>
      <w:r>
        <w:rPr>
          <w:rFonts w:ascii="David" w:hAnsi="David" w:cs="David"/>
          <w:sz w:val="24"/>
          <w:szCs w:val="24"/>
          <w:rtl/>
        </w:rPr>
        <w:t xml:space="preserve">התובע עתר לסעד של פיצוי כספי וכן מתן צו מניעה – כפי שפורט בסעיף 1.3 לעיל. </w:t>
      </w:r>
    </w:p>
    <w:p w:rsidR="000C53C9" w:rsidRDefault="000C53C9" w:rsidP="000C53C9">
      <w:pPr>
        <w:pStyle w:val="af"/>
        <w:spacing w:line="360" w:lineRule="auto"/>
        <w:jc w:val="both"/>
        <w:rPr>
          <w:rFonts w:ascii="David" w:hAnsi="David" w:cs="David"/>
          <w:sz w:val="24"/>
          <w:szCs w:val="24"/>
        </w:rPr>
      </w:pPr>
    </w:p>
    <w:p w:rsidR="000C53C9" w:rsidRDefault="000C53C9" w:rsidP="000C53C9">
      <w:pPr>
        <w:pStyle w:val="af"/>
        <w:numPr>
          <w:ilvl w:val="0"/>
          <w:numId w:val="1"/>
        </w:numPr>
        <w:spacing w:line="360" w:lineRule="auto"/>
        <w:ind w:left="-172" w:hanging="284"/>
        <w:jc w:val="both"/>
        <w:rPr>
          <w:rFonts w:ascii="David" w:eastAsia="Calibri" w:hAnsi="David" w:cs="David"/>
          <w:sz w:val="24"/>
          <w:szCs w:val="24"/>
          <w:u w:val="single"/>
          <w:rtl/>
        </w:rPr>
      </w:pPr>
      <w:r>
        <w:rPr>
          <w:rFonts w:ascii="David" w:eastAsia="Calibri" w:hAnsi="David" w:cs="David"/>
          <w:b/>
          <w:bCs/>
          <w:sz w:val="24"/>
          <w:szCs w:val="24"/>
          <w:u w:val="single"/>
          <w:rtl/>
        </w:rPr>
        <w:t>תמצית טענות הנתבעת</w:t>
      </w: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sz w:val="24"/>
          <w:szCs w:val="24"/>
          <w:rtl/>
        </w:rPr>
        <w:t>הנתבעת טוענת שלא הפלתה את התובע, לא הפרה את הוראות חוק איסור הפליה במוצרים ושירותים ולא פעלה בניגוד לחובה המוטלת עליה ולכן יש לדחות את טענות התובע.</w:t>
      </w:r>
    </w:p>
    <w:p w:rsidR="000C53C9" w:rsidRDefault="000C53C9" w:rsidP="000C53C9">
      <w:pPr>
        <w:pStyle w:val="af"/>
        <w:spacing w:line="360" w:lineRule="auto"/>
        <w:ind w:left="395"/>
        <w:jc w:val="both"/>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sz w:val="24"/>
          <w:szCs w:val="24"/>
          <w:rtl/>
        </w:rPr>
        <w:t>הנתבעת טענה שהשתלמויות, דוגמת השתלמות הסטודנטים מסין, ממומנות על ידי האוניברסיטאות הזרות או המשלחות שמגיעות. הנתבעת הודתה לצד זאת לקשר בין ההכנסות מההשתלמויות והאירועים לבין האוניברסיטה וציינה שההכנסות ממפגשים אלה מועברות לפקולטה לרבות הסטודנטים ובכללם התובע.</w:t>
      </w:r>
    </w:p>
    <w:p w:rsidR="000C53C9" w:rsidRDefault="000C53C9" w:rsidP="000C53C9">
      <w:pPr>
        <w:pStyle w:val="af"/>
        <w:spacing w:line="360" w:lineRule="auto"/>
        <w:ind w:left="1440"/>
        <w:jc w:val="both"/>
        <w:rPr>
          <w:rFonts w:ascii="David" w:eastAsia="Calibri" w:hAnsi="David" w:cs="David"/>
          <w:sz w:val="24"/>
          <w:szCs w:val="24"/>
          <w:u w:val="single"/>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sz w:val="24"/>
          <w:szCs w:val="24"/>
          <w:rtl/>
        </w:rPr>
        <w:t>לבקשת האוניברסיטאות הזרות ובהתאם לסיכום איתן, במסגרת השתלמויות אלה נערכים אותם אירועים עם ישראלים. האוניברסיטה אמנם הפנתה את ההזמנות לסטודנטים אך לטענתה דרישת המשלחות הזרות אינה מחייבת פעילות רישות (נטוורקינג) עם סטודנטים דווקא. כך או כך ההזמנות לאירועים הופנו לסטודנטים בפקולטה לניהול של האוניברסיטה, כפי שיתואר להלן.</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eastAsia="Calibri" w:hAnsi="David" w:cs="David"/>
          <w:sz w:val="24"/>
          <w:szCs w:val="24"/>
          <w:rtl/>
        </w:rPr>
        <w:t xml:space="preserve">הנתבעת תיארה כיצד לקראת כל אירוע נשלחת הזמנה לשתי כיתות של סטודנטים </w:t>
      </w:r>
      <w:r>
        <w:rPr>
          <w:rFonts w:ascii="David" w:eastAsia="Calibri" w:hAnsi="David" w:cs="David"/>
          <w:sz w:val="24"/>
          <w:szCs w:val="24"/>
          <w:u w:val="single"/>
          <w:rtl/>
        </w:rPr>
        <w:t>בפקולטה לניהול של האוניברסיטה</w:t>
      </w:r>
      <w:r>
        <w:rPr>
          <w:rFonts w:ascii="David" w:eastAsia="Calibri" w:hAnsi="David" w:cs="David"/>
          <w:sz w:val="24"/>
          <w:szCs w:val="24"/>
          <w:rtl/>
        </w:rPr>
        <w:t xml:space="preserve">. זאת, מכיוון שבאופן כללי הפרופיל של סטודנטים לתואר שני בניהול יהיה דומה לפרופיל של חברי המשלחות הזרות, ונוכח העובדה שרשימות התפוצה זמינות למרצה אשר מנהל את התכנית מטעם האוניברסיטה. הנתבעת טוענת שאירועים אלה הם לא אירועי חובה או רשות מטעם האוניברסיטה. לטענתה האירועים אף </w:t>
      </w:r>
      <w:r>
        <w:rPr>
          <w:rFonts w:ascii="David" w:eastAsia="Calibri" w:hAnsi="David" w:cs="David"/>
          <w:sz w:val="24"/>
          <w:szCs w:val="24"/>
          <w:u w:val="single"/>
          <w:rtl/>
        </w:rPr>
        <w:t>אינם חלק מתכנית הלימודים</w:t>
      </w:r>
      <w:r>
        <w:rPr>
          <w:rFonts w:ascii="David" w:eastAsia="Calibri" w:hAnsi="David" w:cs="David"/>
          <w:sz w:val="24"/>
          <w:szCs w:val="24"/>
          <w:rtl/>
        </w:rPr>
        <w:t xml:space="preserve"> מכיוון שהאחראים עליהם הם המשלחות הזרות שמגיעות, דבר שלטענתם לאוניברסיטה אין שליטה עליו.</w:t>
      </w:r>
    </w:p>
    <w:p w:rsidR="000C53C9" w:rsidRDefault="000C53C9" w:rsidP="000C53C9">
      <w:pPr>
        <w:pStyle w:val="af"/>
        <w:spacing w:line="360" w:lineRule="auto"/>
        <w:jc w:val="both"/>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hAnsi="David" w:cs="David"/>
          <w:sz w:val="24"/>
          <w:szCs w:val="24"/>
          <w:rtl/>
        </w:rPr>
        <w:t>הנתבעת הפנתה לכך ש</w:t>
      </w:r>
      <w:r>
        <w:rPr>
          <w:rFonts w:ascii="David" w:eastAsia="Calibri" w:hAnsi="David" w:cs="David"/>
          <w:sz w:val="24"/>
          <w:szCs w:val="24"/>
          <w:rtl/>
        </w:rPr>
        <w:t xml:space="preserve">בהזמנות שהפקולטה מפנה לסטודנטים נרשמו המילים - "להיות בין אורחינו". ממילים אלה, לטענתה, ניתן להבין שמדובר בתכנית חיצונית לפעילות הלימודים. בנוסף, בין השאר, הסטודנטים נתבקשו לציין פרטים כמו תיאור תחום עסקי ותפקיד וגם מכך ניתן ללמוד שההזמנות נשלחו לסטודנטים שלא בכובעם כסטודנטים אלא כמי שהפרופיל העסקי שלו עשוי להיות רלוונטי לעניין. </w:t>
      </w:r>
    </w:p>
    <w:p w:rsidR="000C53C9" w:rsidRDefault="000C53C9" w:rsidP="000C53C9">
      <w:pPr>
        <w:pStyle w:val="af"/>
        <w:spacing w:line="360" w:lineRule="auto"/>
        <w:jc w:val="both"/>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hAnsi="David" w:cs="David"/>
          <w:sz w:val="24"/>
          <w:szCs w:val="24"/>
          <w:rtl/>
        </w:rPr>
        <w:t xml:space="preserve">באשר למקום </w:t>
      </w:r>
      <w:r>
        <w:rPr>
          <w:rFonts w:ascii="David" w:eastAsia="Calibri" w:hAnsi="David" w:cs="David"/>
          <w:sz w:val="24"/>
          <w:szCs w:val="24"/>
          <w:rtl/>
        </w:rPr>
        <w:t>בו נערכים האירועים, מסרה הנתבעת שבחירת המיקום נעשית על בסיס שיקולים ענייניים ובהתאם לדרישת המשלחות. בין השיקולים נמנים שיקולי קרבה למלון בו המשלחת משתכנת, מגוון המנות הראשונות שהמסעדה מציעה, גודל המסעדה וזמני הפעילות שלה.</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eastAsia="Calibri" w:hAnsi="David" w:cs="David"/>
          <w:sz w:val="24"/>
          <w:szCs w:val="24"/>
          <w:rtl/>
        </w:rPr>
        <w:t>הנתבעת טוענת ש</w:t>
      </w:r>
      <w:r>
        <w:rPr>
          <w:rFonts w:ascii="David" w:eastAsia="Calibri" w:hAnsi="David" w:cs="David"/>
          <w:sz w:val="24"/>
          <w:szCs w:val="24"/>
          <w:u w:val="single"/>
          <w:rtl/>
        </w:rPr>
        <w:t>בחירתו של התובע להגביל עצמו מלאכול מזון שאינו כשר</w:t>
      </w:r>
      <w:r>
        <w:rPr>
          <w:rFonts w:ascii="David" w:eastAsia="Calibri" w:hAnsi="David" w:cs="David"/>
          <w:sz w:val="24"/>
          <w:szCs w:val="24"/>
          <w:rtl/>
        </w:rPr>
        <w:t xml:space="preserve">, דומה להעדפות כמו טבעונות/צמחונות/כשרות מסוג אחר. העדפות אלה הן עניין אישי של מי שצו מצפונו מורה לו כך ולא יעלה על הדעת שהאוניברסיטה חבה בחובה סטטוטורית כלשהי להתאים את עצמה לצו מצפונו. אין כל סימוכין לחובה שבדין מטעמה על האוניברסיטה להבטיח מזון כשר לתלמידים. כבר מיד ייאמר שבכך </w:t>
      </w:r>
      <w:r>
        <w:rPr>
          <w:rFonts w:ascii="David" w:eastAsia="Calibri" w:hAnsi="David" w:cs="David"/>
          <w:sz w:val="24"/>
          <w:szCs w:val="24"/>
          <w:u w:val="single"/>
          <w:rtl/>
        </w:rPr>
        <w:t>התעלמה הנתבעת מהחובה החקוקה למנוע הפליה על רקע דת</w:t>
      </w:r>
      <w:r>
        <w:rPr>
          <w:rFonts w:ascii="David" w:eastAsia="Calibri" w:hAnsi="David" w:cs="David"/>
          <w:sz w:val="24"/>
          <w:szCs w:val="24"/>
          <w:rtl/>
        </w:rPr>
        <w:t>, בעוד לא קיימת חובה חקוקה המתייחסת לצמחונות/טבעונות או כל העדפה אחרת.</w:t>
      </w:r>
    </w:p>
    <w:p w:rsidR="000C53C9" w:rsidRDefault="000C53C9" w:rsidP="000C53C9">
      <w:pPr>
        <w:pStyle w:val="af"/>
        <w:spacing w:line="360" w:lineRule="auto"/>
        <w:jc w:val="both"/>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eastAsia="Calibri" w:hAnsi="David" w:cs="David"/>
          <w:sz w:val="24"/>
          <w:szCs w:val="24"/>
          <w:rtl/>
        </w:rPr>
        <w:t>הנתבעת אף ציינה שלמרות שאין זה מחובתה, הוצעו לתובע מספר דרכים בהן יוכל ליהנות מהארוחה שבאירוע בנוסף להשתתפות במפגש כגון מנה צמחונית אישית או מנת דג עטוף בנייר כסף, דרכים שאומצו בעבר על ידי תלמידים שומרי כשרות.</w:t>
      </w:r>
    </w:p>
    <w:p w:rsidR="000C53C9" w:rsidRDefault="000C53C9" w:rsidP="000C53C9">
      <w:pPr>
        <w:pStyle w:val="af"/>
        <w:spacing w:line="360" w:lineRule="auto"/>
        <w:jc w:val="both"/>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hAnsi="David" w:cs="David"/>
          <w:sz w:val="24"/>
          <w:szCs w:val="24"/>
          <w:rtl/>
        </w:rPr>
        <w:t xml:space="preserve">לטענת הנתבעת </w:t>
      </w:r>
      <w:r>
        <w:rPr>
          <w:rFonts w:ascii="David" w:eastAsia="Calibri" w:hAnsi="David" w:cs="David"/>
          <w:sz w:val="24"/>
          <w:szCs w:val="24"/>
          <w:rtl/>
        </w:rPr>
        <w:t xml:space="preserve">ביסוס התביעה על הגדרת האירועים כ"שירות ציבורי" כהגדרתו </w:t>
      </w:r>
      <w:r>
        <w:rPr>
          <w:rFonts w:ascii="David" w:hAnsi="David" w:cs="David"/>
          <w:sz w:val="24"/>
          <w:szCs w:val="24"/>
          <w:rtl/>
        </w:rPr>
        <w:t>בסעיף</w:t>
      </w:r>
      <w:r>
        <w:rPr>
          <w:rFonts w:ascii="David" w:eastAsia="Calibri" w:hAnsi="David" w:cs="David"/>
          <w:sz w:val="24"/>
          <w:szCs w:val="24"/>
          <w:rtl/>
        </w:rPr>
        <w:t xml:space="preserve"> 2(א) לחוק איסור הפליה משוללת יסוד ואין ההגדרה שבסעיף מתאימה כלל. משכך, גם סעיף 3 לחוק איסור הפליה לא מתאים לעניינינו. בנוסף מציינת לטענתה, גם אין כל יסוד לטענות התובע בעניין פעולה בניגוד לכללי המנהל הציבורי. </w:t>
      </w:r>
    </w:p>
    <w:p w:rsidR="000C53C9" w:rsidRDefault="000C53C9" w:rsidP="000C53C9">
      <w:pPr>
        <w:pStyle w:val="af"/>
        <w:spacing w:line="360" w:lineRule="auto"/>
        <w:jc w:val="both"/>
        <w:rPr>
          <w:rFonts w:ascii="David" w:eastAsia="Calibri" w:hAnsi="David" w:cs="David"/>
          <w:b/>
          <w:bCs/>
          <w:sz w:val="24"/>
          <w:szCs w:val="24"/>
        </w:rPr>
      </w:pPr>
    </w:p>
    <w:p w:rsidR="000C53C9" w:rsidRDefault="000C53C9" w:rsidP="000C53C9">
      <w:pPr>
        <w:pStyle w:val="af"/>
        <w:spacing w:line="360" w:lineRule="auto"/>
        <w:ind w:left="-172"/>
        <w:jc w:val="both"/>
        <w:rPr>
          <w:rFonts w:ascii="David" w:eastAsia="Calibri" w:hAnsi="David" w:cs="David"/>
          <w:b/>
          <w:bCs/>
          <w:sz w:val="24"/>
          <w:szCs w:val="24"/>
          <w:rtl/>
        </w:rPr>
      </w:pPr>
      <w:r>
        <w:rPr>
          <w:rFonts w:ascii="David" w:eastAsia="Calibri" w:hAnsi="David" w:cs="David"/>
          <w:b/>
          <w:bCs/>
          <w:sz w:val="24"/>
          <w:szCs w:val="24"/>
          <w:rtl/>
        </w:rPr>
        <w:t>אין באמור לעיל כדי להביא מלוא טענות הצדדים אך די בכך כדי להציב המסד להמשך פסק הדין.</w:t>
      </w:r>
    </w:p>
    <w:p w:rsidR="000C53C9" w:rsidRDefault="000C53C9" w:rsidP="000C53C9">
      <w:pPr>
        <w:pStyle w:val="af"/>
        <w:spacing w:line="360" w:lineRule="auto"/>
        <w:ind w:left="1080"/>
        <w:jc w:val="both"/>
        <w:rPr>
          <w:rFonts w:ascii="David" w:eastAsia="Calibri" w:hAnsi="David" w:cs="David"/>
          <w:sz w:val="24"/>
          <w:szCs w:val="24"/>
          <w:rtl/>
        </w:rPr>
      </w:pPr>
    </w:p>
    <w:p w:rsidR="000C53C9" w:rsidRDefault="000C53C9" w:rsidP="000C53C9">
      <w:pPr>
        <w:pStyle w:val="af"/>
        <w:spacing w:line="360" w:lineRule="auto"/>
        <w:ind w:left="-598"/>
        <w:jc w:val="both"/>
        <w:rPr>
          <w:rFonts w:ascii="David" w:eastAsia="Calibri" w:hAnsi="David" w:cs="David"/>
          <w:b/>
          <w:bCs/>
          <w:sz w:val="24"/>
          <w:szCs w:val="24"/>
          <w:u w:val="single"/>
          <w:rtl/>
        </w:rPr>
      </w:pPr>
      <w:r>
        <w:rPr>
          <w:rFonts w:ascii="David" w:hAnsi="David" w:cs="David"/>
          <w:b/>
          <w:bCs/>
          <w:sz w:val="28"/>
          <w:szCs w:val="28"/>
          <w:u w:val="single"/>
          <w:rtl/>
        </w:rPr>
        <w:t>חלק שלישי – דיון והכרעה</w:t>
      </w:r>
    </w:p>
    <w:p w:rsidR="000C53C9" w:rsidRDefault="000C53C9" w:rsidP="000C53C9">
      <w:pPr>
        <w:pStyle w:val="af"/>
        <w:spacing w:line="360" w:lineRule="auto"/>
        <w:ind w:left="-172"/>
        <w:jc w:val="both"/>
        <w:rPr>
          <w:rFonts w:ascii="David" w:eastAsia="Calibri" w:hAnsi="David" w:cs="David"/>
          <w:b/>
          <w:bCs/>
          <w:sz w:val="24"/>
          <w:szCs w:val="24"/>
          <w:u w:val="single"/>
          <w:rtl/>
        </w:rPr>
      </w:pP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Pr>
      </w:pPr>
      <w:r>
        <w:rPr>
          <w:rFonts w:ascii="David" w:eastAsia="Calibri" w:hAnsi="David" w:cs="David"/>
          <w:b/>
          <w:bCs/>
          <w:sz w:val="24"/>
          <w:szCs w:val="24"/>
          <w:u w:val="single"/>
          <w:rtl/>
        </w:rPr>
        <w:t>הפעילות המתוארת בתביעה היא פעילות המשויכת לאוניברסיטה (שישה נימוקים לכך)</w:t>
      </w:r>
    </w:p>
    <w:p w:rsidR="000C53C9" w:rsidRDefault="000C53C9" w:rsidP="000C53C9">
      <w:pPr>
        <w:pStyle w:val="af"/>
        <w:spacing w:line="360" w:lineRule="auto"/>
        <w:ind w:left="-172"/>
        <w:jc w:val="both"/>
        <w:rPr>
          <w:rFonts w:ascii="David" w:eastAsia="Calibri" w:hAnsi="David" w:cs="David"/>
          <w:b/>
          <w:bCs/>
          <w:sz w:val="24"/>
          <w:szCs w:val="24"/>
          <w:u w:val="single"/>
        </w:rPr>
      </w:pPr>
    </w:p>
    <w:p w:rsidR="000C53C9" w:rsidRDefault="000C53C9" w:rsidP="000C53C9">
      <w:pPr>
        <w:pStyle w:val="af"/>
        <w:numPr>
          <w:ilvl w:val="1"/>
          <w:numId w:val="1"/>
        </w:numPr>
        <w:spacing w:line="360" w:lineRule="auto"/>
        <w:ind w:left="395" w:hanging="567"/>
        <w:jc w:val="both"/>
        <w:rPr>
          <w:rFonts w:ascii="David" w:eastAsia="Calibri" w:hAnsi="David" w:cs="David"/>
          <w:b/>
          <w:bCs/>
          <w:sz w:val="24"/>
          <w:szCs w:val="24"/>
        </w:rPr>
      </w:pPr>
      <w:r>
        <w:rPr>
          <w:rFonts w:ascii="David" w:eastAsia="Calibri" w:hAnsi="David" w:cs="David"/>
          <w:b/>
          <w:bCs/>
          <w:sz w:val="24"/>
          <w:szCs w:val="24"/>
          <w:u w:val="single"/>
          <w:rtl/>
        </w:rPr>
        <w:t>פסקת מבוא והתייחסות לכך שאפילו אם הפעילות אינה הכרחית להשלמת לימודים, עדיין אסור שתהיה מפלה</w:t>
      </w:r>
    </w:p>
    <w:p w:rsidR="000C53C9" w:rsidRDefault="000C53C9" w:rsidP="000C53C9">
      <w:pPr>
        <w:pStyle w:val="af"/>
        <w:numPr>
          <w:ilvl w:val="0"/>
          <w:numId w:val="7"/>
        </w:numPr>
        <w:spacing w:line="360" w:lineRule="auto"/>
        <w:jc w:val="both"/>
        <w:rPr>
          <w:rFonts w:ascii="David" w:eastAsia="Calibri" w:hAnsi="David" w:cs="David"/>
          <w:sz w:val="24"/>
          <w:szCs w:val="24"/>
        </w:rPr>
      </w:pPr>
      <w:r>
        <w:rPr>
          <w:rFonts w:ascii="David" w:eastAsia="Calibri" w:hAnsi="David" w:cs="David"/>
          <w:sz w:val="24"/>
          <w:szCs w:val="24"/>
          <w:rtl/>
        </w:rPr>
        <w:t>פעילות הרישות (נטוורקינג) הופנתה לסטודנטים של הפקולטה לניהול באוניברסיטה. ההזמנות הוצאו לסטודנטים של האוניברסיטה. כפי שיובא להלן, שורה ארוכה של נימוקים מבססים ומחזקים את הקשר בין הפעילות לבין האוניברסיטה.</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0"/>
          <w:numId w:val="7"/>
        </w:numPr>
        <w:spacing w:line="360" w:lineRule="auto"/>
        <w:jc w:val="both"/>
        <w:rPr>
          <w:rFonts w:ascii="David" w:eastAsia="Calibri" w:hAnsi="David" w:cs="David"/>
          <w:sz w:val="24"/>
          <w:szCs w:val="24"/>
        </w:rPr>
      </w:pPr>
      <w:r>
        <w:rPr>
          <w:rFonts w:ascii="David" w:eastAsia="Calibri" w:hAnsi="David" w:cs="David"/>
          <w:sz w:val="24"/>
          <w:szCs w:val="24"/>
          <w:rtl/>
        </w:rPr>
        <w:t>הנתבעת טוענת שאין מדובר בפעילות חובה ואף מציינת שהתובע, כמו כל סטודנט, יכול להשלים את לימודיו האקדמיים אף ללא השתתפות בפעילות זו.</w:t>
      </w:r>
    </w:p>
    <w:p w:rsidR="000C53C9" w:rsidRDefault="000C53C9" w:rsidP="000C53C9">
      <w:pPr>
        <w:pStyle w:val="af"/>
        <w:spacing w:line="360" w:lineRule="auto"/>
        <w:ind w:left="1387"/>
        <w:jc w:val="both"/>
        <w:rPr>
          <w:rFonts w:ascii="David" w:eastAsia="Calibri" w:hAnsi="David" w:cs="David"/>
          <w:sz w:val="24"/>
          <w:szCs w:val="24"/>
        </w:rPr>
      </w:pPr>
    </w:p>
    <w:p w:rsidR="000C53C9" w:rsidRDefault="000C53C9" w:rsidP="000C53C9">
      <w:pPr>
        <w:pStyle w:val="af"/>
        <w:numPr>
          <w:ilvl w:val="0"/>
          <w:numId w:val="7"/>
        </w:numPr>
        <w:spacing w:line="360" w:lineRule="auto"/>
        <w:jc w:val="both"/>
        <w:rPr>
          <w:rFonts w:ascii="David" w:eastAsia="Calibri" w:hAnsi="David" w:cs="David"/>
          <w:sz w:val="24"/>
          <w:szCs w:val="24"/>
        </w:rPr>
      </w:pPr>
      <w:r>
        <w:rPr>
          <w:rFonts w:ascii="David" w:eastAsia="Calibri" w:hAnsi="David" w:cs="David"/>
          <w:sz w:val="24"/>
          <w:szCs w:val="24"/>
          <w:rtl/>
        </w:rPr>
        <w:t>במלוא הכבוד אין בטענות אלה דבר. העובדה שניתן להשלים לימודים אקדמיים ללא השתתפות בפעילות כזו או אחרת של האוניברסיטה – אינה הופכת את הפעילות לכזו שאינה קשורה לאוניברסיטה. במיוחד ייאמר שהעובדה שניתן להשלים לימודים אקדמיים ללא השתתפות בפעילות כזו או אחרת של האוניברסיטה אינה מבטלת את החובה לקיים את הפעילות כדין ולצורך העניין ללא הפליה בין הסטודנטים השונים.</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7"/>
        </w:numPr>
        <w:spacing w:line="360" w:lineRule="auto"/>
        <w:jc w:val="both"/>
        <w:rPr>
          <w:rFonts w:ascii="David" w:eastAsia="Calibri" w:hAnsi="David" w:cs="David"/>
          <w:sz w:val="24"/>
          <w:szCs w:val="24"/>
          <w:rtl/>
        </w:rPr>
      </w:pPr>
      <w:r>
        <w:rPr>
          <w:rFonts w:ascii="David" w:eastAsia="Calibri" w:hAnsi="David" w:cs="David"/>
          <w:sz w:val="24"/>
          <w:szCs w:val="24"/>
          <w:rtl/>
        </w:rPr>
        <w:t xml:space="preserve">כך למשל, אם ניטול כדוגמא פעילות רשות של האוניברסיטה אשר תהא חסומה לכניסה לסטודנטים בעלי </w:t>
      </w:r>
      <w:r>
        <w:rPr>
          <w:rFonts w:ascii="David" w:eastAsia="Calibri" w:hAnsi="David" w:cs="David"/>
          <w:sz w:val="24"/>
          <w:szCs w:val="24"/>
          <w:u w:val="single"/>
          <w:rtl/>
        </w:rPr>
        <w:t>צבע עור מסוים</w:t>
      </w:r>
      <w:r>
        <w:rPr>
          <w:rFonts w:ascii="David" w:eastAsia="Calibri" w:hAnsi="David" w:cs="David"/>
          <w:sz w:val="24"/>
          <w:szCs w:val="24"/>
          <w:rtl/>
        </w:rPr>
        <w:t>. אותם סטודנטים בעלי צבע העור המסוים יוכלו להשלים את לימודיהם האקדמית גם מבלי להשתתף בפעילות שנחסמה להם. עדיין חסימת הפעילות לבעלי צבע העור המסוים עלולה להיחשב כהפליה, אפילו אם תתקבל תעודה אקדמית בסוף תקופת הלימודים. ולעניינינו, גם חסימת פעילות בשל מגבלות דת עלולה להיחשב כהפליה, אפילו אם תתקבל תעודה אקדמית בסוף תקופת הלימודים.</w:t>
      </w:r>
    </w:p>
    <w:p w:rsidR="000C53C9" w:rsidRDefault="000C53C9" w:rsidP="000C53C9">
      <w:pPr>
        <w:pStyle w:val="af"/>
        <w:spacing w:line="360" w:lineRule="auto"/>
        <w:ind w:left="-172"/>
        <w:jc w:val="both"/>
        <w:rPr>
          <w:rFonts w:ascii="David" w:eastAsia="Calibri" w:hAnsi="David" w:cs="David"/>
          <w:sz w:val="24"/>
          <w:szCs w:val="24"/>
          <w:u w:val="single"/>
          <w:rtl/>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u w:val="single"/>
        </w:rPr>
      </w:pPr>
      <w:r>
        <w:rPr>
          <w:rFonts w:ascii="David" w:eastAsia="Calibri" w:hAnsi="David" w:cs="David"/>
          <w:b/>
          <w:bCs/>
          <w:sz w:val="24"/>
          <w:szCs w:val="24"/>
          <w:u w:val="single"/>
          <w:rtl/>
        </w:rPr>
        <w:t>שישה נימוקים המלמדים שהפעילות במסעדות הלא כשרות משויכת לאוניברסיטה</w:t>
      </w:r>
    </w:p>
    <w:p w:rsidR="000C53C9" w:rsidRDefault="000C53C9" w:rsidP="000C53C9">
      <w:pPr>
        <w:pStyle w:val="af"/>
        <w:spacing w:line="360" w:lineRule="auto"/>
        <w:ind w:left="395"/>
        <w:jc w:val="both"/>
        <w:rPr>
          <w:rFonts w:ascii="David" w:eastAsia="Calibri" w:hAnsi="David" w:cs="David"/>
          <w:sz w:val="24"/>
          <w:szCs w:val="24"/>
        </w:rPr>
      </w:pPr>
      <w:r>
        <w:rPr>
          <w:rFonts w:ascii="David" w:eastAsia="Calibri" w:hAnsi="David" w:cs="David"/>
          <w:sz w:val="24"/>
          <w:szCs w:val="24"/>
          <w:rtl/>
        </w:rPr>
        <w:t>להלן יובאו שישה נימוקים המלמדים שהפעילות במסעדות הלא כשרות משויכת לאוניברסיטה:</w:t>
      </w:r>
    </w:p>
    <w:p w:rsidR="000C53C9" w:rsidRDefault="000C53C9" w:rsidP="000C53C9">
      <w:pPr>
        <w:pStyle w:val="af"/>
        <w:spacing w:line="360" w:lineRule="auto"/>
        <w:ind w:left="395"/>
        <w:jc w:val="both"/>
        <w:rPr>
          <w:rFonts w:ascii="David" w:eastAsia="Calibri" w:hAnsi="David" w:cs="David"/>
          <w:sz w:val="24"/>
          <w:szCs w:val="24"/>
          <w:rtl/>
        </w:rPr>
      </w:pPr>
    </w:p>
    <w:p w:rsidR="000C53C9" w:rsidRDefault="000C53C9" w:rsidP="000C53C9">
      <w:pPr>
        <w:pStyle w:val="af"/>
        <w:numPr>
          <w:ilvl w:val="0"/>
          <w:numId w:val="8"/>
        </w:numPr>
        <w:spacing w:line="360" w:lineRule="auto"/>
        <w:jc w:val="both"/>
        <w:rPr>
          <w:rFonts w:ascii="David" w:eastAsia="Calibri" w:hAnsi="David" w:cs="David"/>
          <w:sz w:val="24"/>
          <w:szCs w:val="24"/>
          <w:rtl/>
        </w:rPr>
      </w:pPr>
      <w:r>
        <w:rPr>
          <w:rFonts w:ascii="David" w:eastAsia="Calibri" w:hAnsi="David" w:cs="David"/>
          <w:b/>
          <w:bCs/>
          <w:sz w:val="24"/>
          <w:szCs w:val="24"/>
          <w:u w:val="single"/>
          <w:rtl/>
        </w:rPr>
        <w:t>נימוק ראשון משישה לכך שהאירועים משויכים לאוניברסיטה ובאחריותה – כך עולה מכתב ההגנה וכן התצהיר מטעם האוניברסיטה</w:t>
      </w:r>
    </w:p>
    <w:p w:rsidR="000C53C9" w:rsidRDefault="000C53C9" w:rsidP="000C53C9">
      <w:pPr>
        <w:pStyle w:val="af"/>
        <w:spacing w:line="360" w:lineRule="auto"/>
        <w:ind w:left="820"/>
        <w:jc w:val="both"/>
        <w:rPr>
          <w:rFonts w:ascii="David" w:eastAsia="Calibri" w:hAnsi="David" w:cs="David"/>
          <w:sz w:val="24"/>
          <w:szCs w:val="24"/>
        </w:rPr>
      </w:pPr>
      <w:r>
        <w:rPr>
          <w:rFonts w:ascii="David" w:eastAsia="Calibri" w:hAnsi="David" w:cs="David"/>
          <w:sz w:val="24"/>
          <w:szCs w:val="24"/>
          <w:rtl/>
        </w:rPr>
        <w:t>אירועי הרישות לא מנותקים מפעילות האוניברסיטה. לעניין זה ציינה האוניברסיטה כבר בסעיף 1 לכתב ההגנה וכן בסעיף 5 לתצהירו של מר אודי אהרוני מטעמה (ההדגשות לא במקור):</w:t>
      </w:r>
    </w:p>
    <w:p w:rsidR="000C53C9" w:rsidRDefault="000C53C9" w:rsidP="000C53C9">
      <w:pPr>
        <w:pStyle w:val="af"/>
        <w:spacing w:line="360" w:lineRule="auto"/>
        <w:ind w:left="678"/>
        <w:jc w:val="both"/>
        <w:rPr>
          <w:rFonts w:ascii="David" w:eastAsia="Calibri" w:hAnsi="David" w:cs="David"/>
          <w:sz w:val="24"/>
          <w:szCs w:val="24"/>
          <w:rtl/>
        </w:rPr>
      </w:pPr>
    </w:p>
    <w:p w:rsidR="000C53C9" w:rsidRDefault="000C53C9" w:rsidP="000C53C9">
      <w:pPr>
        <w:pStyle w:val="af"/>
        <w:spacing w:line="360" w:lineRule="auto"/>
        <w:ind w:left="1440"/>
        <w:jc w:val="both"/>
        <w:rPr>
          <w:rFonts w:ascii="David" w:eastAsia="Calibri" w:hAnsi="David" w:cs="David"/>
          <w:sz w:val="24"/>
          <w:szCs w:val="24"/>
        </w:rPr>
      </w:pPr>
      <w:r>
        <w:rPr>
          <w:rFonts w:ascii="David" w:eastAsia="Calibri" w:hAnsi="David" w:cs="David"/>
          <w:sz w:val="24"/>
          <w:szCs w:val="24"/>
          <w:rtl/>
        </w:rPr>
        <w:t>"</w:t>
      </w:r>
      <w:r>
        <w:rPr>
          <w:rFonts w:ascii="David" w:eastAsia="Calibri" w:hAnsi="David" w:cs="David"/>
          <w:b/>
          <w:bCs/>
          <w:sz w:val="24"/>
          <w:szCs w:val="24"/>
          <w:rtl/>
        </w:rPr>
        <w:t>עניינה של התובענה שבכותרת הינו באירועי רישות (</w:t>
      </w:r>
      <w:r>
        <w:rPr>
          <w:rFonts w:ascii="David" w:eastAsia="Calibri" w:hAnsi="David" w:cs="David"/>
          <w:b/>
          <w:bCs/>
          <w:sz w:val="24"/>
          <w:szCs w:val="24"/>
        </w:rPr>
        <w:t>networking</w:t>
      </w:r>
      <w:r>
        <w:rPr>
          <w:rFonts w:ascii="David" w:eastAsia="Calibri" w:hAnsi="David" w:cs="David"/>
          <w:b/>
          <w:bCs/>
          <w:sz w:val="24"/>
          <w:szCs w:val="24"/>
          <w:rtl/>
        </w:rPr>
        <w:t xml:space="preserve">) הנערכים במסגרת השתלמויות למשלחות של סטודנטים זרים ממדינות שונות </w:t>
      </w:r>
      <w:r>
        <w:rPr>
          <w:rFonts w:ascii="David" w:eastAsia="Calibri" w:hAnsi="David" w:cs="David"/>
          <w:b/>
          <w:bCs/>
          <w:sz w:val="24"/>
          <w:szCs w:val="24"/>
          <w:u w:val="single"/>
          <w:rtl/>
        </w:rPr>
        <w:t>הנערכות על-ידי הפקולטה לניהול</w:t>
      </w:r>
      <w:r>
        <w:rPr>
          <w:rFonts w:ascii="David" w:eastAsia="Calibri" w:hAnsi="David" w:cs="David"/>
          <w:b/>
          <w:bCs/>
          <w:sz w:val="24"/>
          <w:szCs w:val="24"/>
          <w:rtl/>
        </w:rPr>
        <w:t xml:space="preserve"> ע"ש קולר של האוניברסיטה וזאת בשיתוף פעולה עם אוניברסיטאות מאותן מדינות. רובן המכריע של המשלחות מגיע מסין, ובהתאם לכך </w:t>
      </w:r>
      <w:r>
        <w:rPr>
          <w:rFonts w:ascii="David" w:eastAsia="Calibri" w:hAnsi="David" w:cs="David"/>
          <w:b/>
          <w:bCs/>
          <w:sz w:val="24"/>
          <w:szCs w:val="24"/>
          <w:u w:val="single"/>
          <w:rtl/>
        </w:rPr>
        <w:t>הפקולטה מעסיקה לצורך העניין גם עובדים לטיפול במשלחות</w:t>
      </w:r>
      <w:r>
        <w:rPr>
          <w:rFonts w:ascii="David" w:eastAsia="Calibri" w:hAnsi="David" w:cs="David"/>
          <w:b/>
          <w:bCs/>
          <w:sz w:val="24"/>
          <w:szCs w:val="24"/>
          <w:rtl/>
        </w:rPr>
        <w:t xml:space="preserve"> שחלקם דוברים את השפה הסינית"</w:t>
      </w:r>
    </w:p>
    <w:p w:rsidR="000C53C9" w:rsidRDefault="000C53C9" w:rsidP="000C53C9">
      <w:pPr>
        <w:pStyle w:val="af"/>
        <w:spacing w:line="360" w:lineRule="auto"/>
        <w:ind w:left="1440"/>
        <w:jc w:val="both"/>
        <w:rPr>
          <w:rFonts w:ascii="David" w:eastAsia="Calibri" w:hAnsi="David" w:cs="David"/>
          <w:sz w:val="24"/>
          <w:szCs w:val="24"/>
          <w:rtl/>
        </w:rPr>
      </w:pPr>
    </w:p>
    <w:p w:rsidR="000C53C9" w:rsidRDefault="000C53C9" w:rsidP="000C53C9">
      <w:pPr>
        <w:pStyle w:val="af"/>
        <w:spacing w:line="360" w:lineRule="auto"/>
        <w:ind w:left="820"/>
        <w:jc w:val="both"/>
        <w:rPr>
          <w:rFonts w:ascii="David" w:eastAsia="Calibri" w:hAnsi="David" w:cs="David"/>
          <w:sz w:val="24"/>
          <w:szCs w:val="24"/>
          <w:rtl/>
        </w:rPr>
      </w:pPr>
      <w:r>
        <w:rPr>
          <w:rFonts w:ascii="David" w:eastAsia="Calibri" w:hAnsi="David" w:cs="David"/>
          <w:sz w:val="24"/>
          <w:szCs w:val="24"/>
          <w:rtl/>
        </w:rPr>
        <w:t xml:space="preserve">כלומר, מדובר באירועים במסגרת השתלמויות בפקולטה לניהול של האוניברסיטה; האירועים נערכים על ידי הפקולטה לניהול; הפקולטה אף מעסיקה לצורך ארגון האירועים עובדים שמטרתם טיפול במשלחות הסטודנטים הזרים. אין כל רבותא בטענת האוניברסיטה לפיה האירועים ממומנים על ידי המשלחות והאוניברסיטאות הזרות, שכן בכל מקרה מדובר בפעילות האוניברסיטה. יתירה מכך – המימון של המשלחות משמש ישירות לטובת האוניברסיטה ועל כך בפסקה הבאה. </w:t>
      </w:r>
    </w:p>
    <w:p w:rsidR="000C53C9" w:rsidRDefault="000C53C9" w:rsidP="000C53C9">
      <w:pPr>
        <w:pStyle w:val="af"/>
        <w:spacing w:line="360" w:lineRule="auto"/>
        <w:ind w:left="1440"/>
        <w:jc w:val="both"/>
        <w:rPr>
          <w:rFonts w:ascii="David" w:eastAsia="Calibri" w:hAnsi="David" w:cs="David"/>
          <w:sz w:val="24"/>
          <w:szCs w:val="24"/>
          <w:rtl/>
        </w:rPr>
      </w:pPr>
    </w:p>
    <w:p w:rsidR="000C53C9" w:rsidRDefault="000C53C9" w:rsidP="000C53C9">
      <w:pPr>
        <w:pStyle w:val="af"/>
        <w:numPr>
          <w:ilvl w:val="0"/>
          <w:numId w:val="8"/>
        </w:numPr>
        <w:spacing w:line="360" w:lineRule="auto"/>
        <w:jc w:val="both"/>
        <w:rPr>
          <w:rFonts w:ascii="David" w:eastAsia="Calibri" w:hAnsi="David" w:cs="David"/>
          <w:sz w:val="24"/>
          <w:szCs w:val="24"/>
          <w:u w:val="single"/>
          <w:rtl/>
        </w:rPr>
      </w:pPr>
      <w:r>
        <w:rPr>
          <w:rFonts w:ascii="David" w:eastAsia="Calibri" w:hAnsi="David" w:cs="David"/>
          <w:b/>
          <w:bCs/>
          <w:sz w:val="24"/>
          <w:szCs w:val="24"/>
          <w:u w:val="single"/>
          <w:rtl/>
        </w:rPr>
        <w:t>נימוק שני משישה לכך שהאירועים משויכים לאוניברסיטה –</w:t>
      </w:r>
      <w:r>
        <w:rPr>
          <w:rFonts w:ascii="David" w:eastAsia="Calibri" w:hAnsi="David" w:cs="David"/>
          <w:sz w:val="24"/>
          <w:szCs w:val="24"/>
          <w:u w:val="single"/>
          <w:rtl/>
        </w:rPr>
        <w:t xml:space="preserve"> </w:t>
      </w:r>
      <w:r>
        <w:rPr>
          <w:rFonts w:ascii="David" w:eastAsia="Calibri" w:hAnsi="David" w:cs="David"/>
          <w:b/>
          <w:bCs/>
          <w:sz w:val="24"/>
          <w:szCs w:val="24"/>
          <w:u w:val="single"/>
          <w:rtl/>
        </w:rPr>
        <w:t>האוניברסיטה אפילו קיבלה תמורה ישירה בגין האירועים</w:t>
      </w:r>
    </w:p>
    <w:p w:rsidR="000C53C9" w:rsidRDefault="000C53C9" w:rsidP="000C53C9">
      <w:pPr>
        <w:pStyle w:val="af"/>
        <w:spacing w:line="360" w:lineRule="auto"/>
        <w:ind w:left="820"/>
        <w:jc w:val="both"/>
        <w:rPr>
          <w:rFonts w:ascii="David" w:eastAsia="Calibri" w:hAnsi="David" w:cs="David"/>
          <w:sz w:val="24"/>
          <w:szCs w:val="24"/>
        </w:rPr>
      </w:pPr>
      <w:r>
        <w:rPr>
          <w:rFonts w:ascii="David" w:eastAsia="Calibri" w:hAnsi="David" w:cs="David"/>
          <w:sz w:val="24"/>
          <w:szCs w:val="24"/>
          <w:rtl/>
        </w:rPr>
        <w:t>חזקה על האוניברסיטה שהפיקה הכנסות מעצם קיומה של התוכנית בה השתתפו הסטודנטים הסינים. אך מעבר לחזקה זו – הרי ברור הוא שהאוניברסיטה הפיקה הכנסה ישירה מעצם קיומם של האירועים במסעדות בהן ביקש גם התובע להשתתף. כך הבהירה האוניברסיטה כבר בכתב ההגנה וכן בתצהיר מטעמה (סעיף 2 לכתב ההגנה וסעיף 6 לתצהיר שמובא להלן, ההדגשות אינן במקור):</w:t>
      </w:r>
    </w:p>
    <w:p w:rsidR="000C53C9" w:rsidRDefault="000C53C9" w:rsidP="000C53C9">
      <w:pPr>
        <w:pStyle w:val="af"/>
        <w:spacing w:line="360" w:lineRule="auto"/>
        <w:ind w:left="1812"/>
        <w:jc w:val="both"/>
        <w:rPr>
          <w:rFonts w:ascii="David" w:eastAsia="Calibri" w:hAnsi="David" w:cs="David"/>
          <w:sz w:val="24"/>
          <w:szCs w:val="24"/>
        </w:rPr>
      </w:pPr>
      <w:r>
        <w:rPr>
          <w:rFonts w:ascii="David" w:eastAsia="Calibri" w:hAnsi="David" w:cs="David"/>
          <w:sz w:val="24"/>
          <w:szCs w:val="24"/>
          <w:rtl/>
        </w:rPr>
        <w:t>"</w:t>
      </w:r>
      <w:r>
        <w:rPr>
          <w:rFonts w:ascii="David" w:eastAsia="Calibri" w:hAnsi="David" w:cs="David"/>
          <w:b/>
          <w:bCs/>
          <w:sz w:val="24"/>
          <w:szCs w:val="24"/>
          <w:rtl/>
        </w:rPr>
        <w:t>השתלמויות אלה ממומנות באופן מלא על ידי הכספים המשתלמים על ידי המשלחות/האוניברסיטאות הזרות ו</w:t>
      </w:r>
      <w:r>
        <w:rPr>
          <w:rFonts w:ascii="David" w:eastAsia="Calibri" w:hAnsi="David" w:cs="David"/>
          <w:b/>
          <w:bCs/>
          <w:sz w:val="24"/>
          <w:szCs w:val="24"/>
          <w:u w:val="single"/>
          <w:rtl/>
        </w:rPr>
        <w:t>הן מהוות מקור הכנסה לפקולטה</w:t>
      </w:r>
      <w:r>
        <w:rPr>
          <w:rFonts w:ascii="David" w:eastAsia="Calibri" w:hAnsi="David" w:cs="David"/>
          <w:b/>
          <w:bCs/>
          <w:sz w:val="24"/>
          <w:szCs w:val="24"/>
          <w:rtl/>
        </w:rPr>
        <w:t xml:space="preserve"> (למען הסר ספק יובהר כי ההשתלמויות אינן ממומנות על ידי תקציבים ציבוריים ו/או שכר הלימוד שמשולם על ידי הסטודנטים הלומדים במכללה) מכספים אלה נהנה בעקיפין גם התובע מר עדי דויטש, שכן יתרות מכספים אלה מועברות לפקולטה לשימושים שונים, לרבות לטובת הסטודנטים הישראלים הלומדים בפקולטה ובכללם התובע (לצורך הדוגמא, בכספים אלו נעשה שימוש לשיפור ושדרוג כתות הלימוד בפקולטה ומתקנים שונים העומדים לשימוש הסטודנטים)</w:t>
      </w:r>
      <w:r>
        <w:rPr>
          <w:rFonts w:ascii="David" w:eastAsia="Calibri" w:hAnsi="David" w:cs="David"/>
          <w:sz w:val="24"/>
          <w:szCs w:val="24"/>
          <w:rtl/>
        </w:rPr>
        <w:t xml:space="preserve">" </w:t>
      </w:r>
    </w:p>
    <w:p w:rsidR="000C53C9" w:rsidRDefault="000C53C9" w:rsidP="000C53C9">
      <w:pPr>
        <w:pStyle w:val="af"/>
        <w:spacing w:line="360" w:lineRule="auto"/>
        <w:ind w:left="1103"/>
        <w:jc w:val="both"/>
        <w:rPr>
          <w:rFonts w:ascii="David" w:eastAsia="Calibri" w:hAnsi="David" w:cs="David"/>
          <w:sz w:val="24"/>
          <w:szCs w:val="24"/>
        </w:rPr>
      </w:pPr>
    </w:p>
    <w:p w:rsidR="000C53C9" w:rsidRDefault="000C53C9" w:rsidP="000C53C9">
      <w:pPr>
        <w:pStyle w:val="af"/>
        <w:spacing w:line="360" w:lineRule="auto"/>
        <w:ind w:left="1103"/>
        <w:jc w:val="both"/>
        <w:rPr>
          <w:rFonts w:ascii="David" w:eastAsia="Calibri" w:hAnsi="David" w:cs="David"/>
          <w:sz w:val="24"/>
          <w:szCs w:val="24"/>
          <w:rtl/>
        </w:rPr>
      </w:pPr>
      <w:r>
        <w:rPr>
          <w:rFonts w:ascii="David" w:eastAsia="Calibri" w:hAnsi="David" w:cs="David"/>
          <w:sz w:val="24"/>
          <w:szCs w:val="24"/>
          <w:rtl/>
        </w:rPr>
        <w:t xml:space="preserve">כלומר – נציג האוניברסיטה מודה שזו הפיקה מאירועים אלה הכנסה כספית. הדבר בוודאי מעיד על מעורבותה  של האוניברסיטה על השייכות בין הסעודות במסעדות שאינן כשרות לבין פעילותה. אין מדובר באירועים התנדבותיים מצד הנתבעת אלא באירועים שהפיקו הכנסות במיוחד הכנסות ישירות מעצם קיומם וזאת מעבר להכנסות עקיפות, מעצם קיום ההשתלמויות לסטודנטים מסין. </w:t>
      </w:r>
    </w:p>
    <w:p w:rsidR="000C53C9" w:rsidRDefault="000C53C9" w:rsidP="000C53C9">
      <w:pPr>
        <w:pStyle w:val="af"/>
        <w:spacing w:line="360" w:lineRule="auto"/>
        <w:jc w:val="both"/>
        <w:rPr>
          <w:rFonts w:ascii="David" w:eastAsia="Calibri" w:hAnsi="David" w:cs="David"/>
          <w:sz w:val="24"/>
          <w:szCs w:val="24"/>
        </w:rPr>
      </w:pPr>
    </w:p>
    <w:p w:rsidR="000C53C9" w:rsidRDefault="000C53C9" w:rsidP="000C53C9">
      <w:pPr>
        <w:pStyle w:val="af"/>
        <w:numPr>
          <w:ilvl w:val="0"/>
          <w:numId w:val="8"/>
        </w:numPr>
        <w:spacing w:line="360" w:lineRule="auto"/>
        <w:jc w:val="both"/>
        <w:rPr>
          <w:rFonts w:ascii="David" w:eastAsia="Calibri" w:hAnsi="David" w:cs="David"/>
          <w:sz w:val="24"/>
          <w:szCs w:val="24"/>
          <w:rtl/>
        </w:rPr>
      </w:pPr>
      <w:r>
        <w:rPr>
          <w:rFonts w:ascii="David" w:eastAsia="Calibri" w:hAnsi="David" w:cs="David"/>
          <w:b/>
          <w:bCs/>
          <w:sz w:val="24"/>
          <w:szCs w:val="24"/>
          <w:u w:val="single"/>
          <w:rtl/>
        </w:rPr>
        <w:t>נימוק שלישי משישה לכך שהאירועים משויכים לאוניברסיטה – המוזמנים הם סטודנטים לתואר שני מהאוניברסיטה</w:t>
      </w:r>
      <w:r>
        <w:rPr>
          <w:rFonts w:ascii="David" w:eastAsia="Calibri" w:hAnsi="David" w:cs="David"/>
          <w:sz w:val="24"/>
          <w:szCs w:val="24"/>
          <w:rtl/>
        </w:rPr>
        <w:t xml:space="preserve"> </w:t>
      </w:r>
    </w:p>
    <w:p w:rsidR="000C53C9" w:rsidRDefault="000C53C9" w:rsidP="000C53C9">
      <w:pPr>
        <w:pStyle w:val="af"/>
        <w:numPr>
          <w:ilvl w:val="0"/>
          <w:numId w:val="3"/>
        </w:numPr>
        <w:spacing w:line="360" w:lineRule="auto"/>
        <w:ind w:left="1103" w:hanging="283"/>
        <w:jc w:val="both"/>
        <w:rPr>
          <w:rFonts w:ascii="David" w:eastAsia="Calibri" w:hAnsi="David" w:cs="David"/>
          <w:sz w:val="24"/>
          <w:szCs w:val="24"/>
        </w:rPr>
      </w:pPr>
      <w:r>
        <w:rPr>
          <w:rFonts w:ascii="David" w:eastAsia="Calibri" w:hAnsi="David" w:cs="David"/>
          <w:sz w:val="24"/>
          <w:szCs w:val="24"/>
          <w:rtl/>
        </w:rPr>
        <w:t xml:space="preserve">ההזמנות למפגשי הרישות מופנית במיוחד לסטודנטים של האוניברסיטה ובתווך האוניברסיטה הופנו ההזמנות ונשלחו לסטודנטים משתי כיתות לתואר שני בפקולטה לניהול. לעניין זה העיד התובע כך (ע"מ 17, שורות 6-9 לפרוטוקול): </w:t>
      </w:r>
      <w:r>
        <w:rPr>
          <w:rFonts w:ascii="David" w:hAnsi="David" w:cs="David"/>
          <w:sz w:val="24"/>
          <w:szCs w:val="24"/>
          <w:rtl/>
        </w:rPr>
        <w:t>"</w:t>
      </w:r>
      <w:r>
        <w:rPr>
          <w:rFonts w:ascii="David" w:hAnsi="David" w:cs="David"/>
          <w:b/>
          <w:bCs/>
          <w:sz w:val="24"/>
          <w:szCs w:val="24"/>
          <w:rtl/>
        </w:rPr>
        <w:t>אני</w:t>
      </w:r>
      <w:bookmarkStart w:id="0" w:name="_ETM_Q_575456"/>
      <w:bookmarkEnd w:id="0"/>
      <w:r>
        <w:rPr>
          <w:rFonts w:ascii="David" w:hAnsi="David" w:cs="David"/>
          <w:b/>
          <w:bCs/>
          <w:sz w:val="24"/>
          <w:szCs w:val="24"/>
          <w:rtl/>
        </w:rPr>
        <w:t xml:space="preserve"> קיבלתי את ההזמנות לאירועים האלה מהאוניברסיטה. כל הגורמים ששלחו</w:t>
      </w:r>
      <w:bookmarkStart w:id="1" w:name="_ETM_Q_582612"/>
      <w:bookmarkEnd w:id="1"/>
      <w:r>
        <w:rPr>
          <w:rFonts w:ascii="David" w:hAnsi="David" w:cs="David"/>
          <w:b/>
          <w:bCs/>
          <w:sz w:val="24"/>
          <w:szCs w:val="24"/>
          <w:rtl/>
        </w:rPr>
        <w:t xml:space="preserve"> לי את ההזמנות לאוניברסיטה, לאירועים האלה, הם עובדים של</w:t>
      </w:r>
      <w:bookmarkStart w:id="2" w:name="_ETM_Q_584327"/>
      <w:bookmarkEnd w:id="2"/>
      <w:r>
        <w:rPr>
          <w:rFonts w:ascii="David" w:hAnsi="David" w:cs="David"/>
          <w:b/>
          <w:bCs/>
          <w:sz w:val="24"/>
          <w:szCs w:val="24"/>
          <w:rtl/>
        </w:rPr>
        <w:t xml:space="preserve"> האוניברסיטה. הטייטלים</w:t>
      </w:r>
      <w:bookmarkStart w:id="3" w:name="_ETM_Q_588259"/>
      <w:bookmarkEnd w:id="3"/>
      <w:r>
        <w:rPr>
          <w:rFonts w:ascii="David" w:hAnsi="David" w:cs="David"/>
          <w:b/>
          <w:bCs/>
          <w:sz w:val="24"/>
          <w:szCs w:val="24"/>
          <w:rtl/>
        </w:rPr>
        <w:t xml:space="preserve"> שתחתיהם האנשים שפנו במכתב פנו, הם טייטלים של אנשי</w:t>
      </w:r>
      <w:bookmarkStart w:id="4" w:name="_ETM_Q_591157"/>
      <w:bookmarkEnd w:id="4"/>
      <w:r>
        <w:rPr>
          <w:rFonts w:ascii="David" w:hAnsi="David" w:cs="David"/>
          <w:b/>
          <w:bCs/>
          <w:sz w:val="24"/>
          <w:szCs w:val="24"/>
          <w:rtl/>
        </w:rPr>
        <w:t xml:space="preserve"> סגל באוניברסיטה. הסיבה שפנו אליי כסטודנט באוניברסיטה, שפנו </w:t>
      </w:r>
      <w:bookmarkStart w:id="5" w:name="_ETM_Q_597033"/>
      <w:bookmarkEnd w:id="5"/>
      <w:r>
        <w:rPr>
          <w:rFonts w:ascii="David" w:hAnsi="David" w:cs="David"/>
          <w:b/>
          <w:bCs/>
          <w:sz w:val="24"/>
          <w:szCs w:val="24"/>
          <w:rtl/>
        </w:rPr>
        <w:t>אליי כמוזמן לאירוע, כי אני סטודנט באוניברסיטה</w:t>
      </w:r>
      <w:r>
        <w:rPr>
          <w:rFonts w:ascii="David" w:hAnsi="David" w:cs="David"/>
          <w:sz w:val="24"/>
          <w:szCs w:val="24"/>
          <w:rtl/>
        </w:rPr>
        <w:t>"</w:t>
      </w:r>
    </w:p>
    <w:p w:rsidR="000C53C9" w:rsidRDefault="000C53C9" w:rsidP="000C53C9">
      <w:pPr>
        <w:pStyle w:val="af"/>
        <w:spacing w:line="360" w:lineRule="auto"/>
        <w:ind w:left="1440"/>
        <w:jc w:val="both"/>
        <w:rPr>
          <w:rFonts w:ascii="David" w:eastAsia="Calibri" w:hAnsi="David" w:cs="David"/>
          <w:sz w:val="24"/>
          <w:szCs w:val="24"/>
        </w:rPr>
      </w:pPr>
    </w:p>
    <w:p w:rsidR="000C53C9" w:rsidRDefault="000C53C9" w:rsidP="000C53C9">
      <w:pPr>
        <w:pStyle w:val="af"/>
        <w:numPr>
          <w:ilvl w:val="0"/>
          <w:numId w:val="3"/>
        </w:numPr>
        <w:spacing w:line="360" w:lineRule="auto"/>
        <w:ind w:left="1103" w:hanging="283"/>
        <w:jc w:val="both"/>
        <w:rPr>
          <w:rFonts w:ascii="David" w:eastAsia="Calibri" w:hAnsi="David" w:cs="David"/>
          <w:sz w:val="24"/>
          <w:szCs w:val="24"/>
          <w:rtl/>
        </w:rPr>
      </w:pPr>
      <w:r>
        <w:rPr>
          <w:rFonts w:ascii="David" w:eastAsia="Calibri" w:hAnsi="David" w:cs="David"/>
          <w:sz w:val="24"/>
          <w:szCs w:val="24"/>
          <w:rtl/>
        </w:rPr>
        <w:t>הנתבעת, מצידה, ניסתה להמעיט בעובדה שההזמנות הופנו דווקא לסטודנטים בפקולטה לניהול. בנימוק מעט מתפתל מנסה האוניברסיטה לטעון כאילו דרך מקרה ו"מטעמים פרקטיים" הופנו ההזמנות לסטודנטים. כך, דרך מקרה יצא הדבר שפרופיל הסטודנטים לתואר שני בפקולטה מתאים להזמנתם; ודרך מקרה כתובות הדוא"ל של הסטודנטים היו זמינות. ומשכך קרה הרי "מטעמים פרקטיים" הוזמנו הסטודנטים. וכלשון מר אודי אהרוני המצהיר מטעם האוניברסיטה (סעיף 9 לתצהיר) נטען שההזמנות:</w:t>
      </w:r>
    </w:p>
    <w:p w:rsidR="000C53C9" w:rsidRDefault="000C53C9" w:rsidP="000C53C9">
      <w:pPr>
        <w:pStyle w:val="af"/>
        <w:spacing w:line="360" w:lineRule="auto"/>
        <w:ind w:left="2160"/>
        <w:jc w:val="both"/>
        <w:rPr>
          <w:rFonts w:ascii="David" w:eastAsia="Calibri" w:hAnsi="David" w:cs="David"/>
          <w:b/>
          <w:bCs/>
          <w:sz w:val="24"/>
          <w:szCs w:val="24"/>
        </w:rPr>
      </w:pPr>
      <w:r>
        <w:rPr>
          <w:rFonts w:ascii="David" w:eastAsia="Calibri" w:hAnsi="David" w:cs="David"/>
          <w:b/>
          <w:bCs/>
          <w:sz w:val="24"/>
          <w:szCs w:val="24"/>
          <w:rtl/>
        </w:rPr>
        <w:t xml:space="preserve">"נשלחו לסטודנטים שלא במסגרת לימודיהם בפקולטה אלא כאמור מטעמים פרקטיים. זאת בשים לב שבאופן כללי ניתן לומר שהפרופיל של סטודנטים ללימודי תואר שני בפקולטה לניהול תואם לפרופיל של אלו שחברי המשלחות יהיו מעוניינים להיפגש עמם, ולנוכח העובדה שרשימות התפוצה של כתובות הדוא"ל של סטודנטים אלו שכוללות כאמור כ – 140 מוזמנים פוטנציאליים זמינות לי כמרצה של אותם סטודנטים" </w:t>
      </w:r>
    </w:p>
    <w:p w:rsidR="000C53C9" w:rsidRDefault="000C53C9" w:rsidP="000C53C9">
      <w:pPr>
        <w:pStyle w:val="af"/>
        <w:spacing w:line="360" w:lineRule="auto"/>
        <w:ind w:left="820"/>
        <w:jc w:val="both"/>
        <w:rPr>
          <w:rFonts w:ascii="David" w:eastAsia="Calibri" w:hAnsi="David" w:cs="David"/>
          <w:sz w:val="24"/>
          <w:szCs w:val="24"/>
          <w:rtl/>
        </w:rPr>
      </w:pPr>
    </w:p>
    <w:p w:rsidR="000C53C9" w:rsidRDefault="000C53C9" w:rsidP="000C53C9">
      <w:pPr>
        <w:pStyle w:val="af"/>
        <w:spacing w:line="360" w:lineRule="auto"/>
        <w:ind w:left="820"/>
        <w:jc w:val="both"/>
        <w:rPr>
          <w:rFonts w:ascii="David" w:eastAsia="Calibri" w:hAnsi="David" w:cs="David"/>
          <w:sz w:val="24"/>
          <w:szCs w:val="24"/>
          <w:rtl/>
        </w:rPr>
      </w:pPr>
      <w:r>
        <w:rPr>
          <w:rFonts w:ascii="David" w:eastAsia="Calibri" w:hAnsi="David" w:cs="David"/>
          <w:sz w:val="24"/>
          <w:szCs w:val="24"/>
          <w:rtl/>
        </w:rPr>
        <w:t>כך או כך – ברור הוא שאין מדובר באירועים רבי משתתפים הפונים לקהל הרחב. האירועים היו ממוקדים למוזמנים מתוך קהל הסטודנטים של האוניברסיטה, ומתוכם ממוקדים לקהל הסטודנטים לתואר שני בפקולטה לניהול. ובמילים אחרות – בוודאי מדובר בפעילות שהופנתה ואף יוחדה לסטודנטים של האוניברסיטה בקבוצת מיקוד ספציפית בה נכלל גם התובע.</w:t>
      </w:r>
    </w:p>
    <w:p w:rsidR="000C53C9" w:rsidRDefault="000C53C9" w:rsidP="000C53C9">
      <w:pPr>
        <w:pStyle w:val="af"/>
        <w:spacing w:line="360" w:lineRule="auto"/>
        <w:ind w:left="1440"/>
        <w:jc w:val="both"/>
        <w:rPr>
          <w:rFonts w:ascii="David" w:eastAsia="Calibri" w:hAnsi="David" w:cs="David"/>
          <w:sz w:val="24"/>
          <w:szCs w:val="24"/>
          <w:rtl/>
        </w:rPr>
      </w:pPr>
    </w:p>
    <w:p w:rsidR="000C53C9" w:rsidRDefault="000C53C9" w:rsidP="000C53C9">
      <w:pPr>
        <w:pStyle w:val="af"/>
        <w:numPr>
          <w:ilvl w:val="0"/>
          <w:numId w:val="8"/>
        </w:numPr>
        <w:spacing w:line="360" w:lineRule="auto"/>
        <w:jc w:val="both"/>
        <w:rPr>
          <w:rFonts w:ascii="David" w:eastAsia="Calibri" w:hAnsi="David" w:cs="David"/>
          <w:sz w:val="24"/>
          <w:szCs w:val="24"/>
          <w:u w:val="single"/>
          <w:rtl/>
        </w:rPr>
      </w:pPr>
      <w:r>
        <w:rPr>
          <w:rFonts w:ascii="David" w:eastAsia="Calibri" w:hAnsi="David" w:cs="David"/>
          <w:b/>
          <w:bCs/>
          <w:sz w:val="24"/>
          <w:szCs w:val="24"/>
          <w:u w:val="single"/>
          <w:rtl/>
        </w:rPr>
        <w:t>נימוק רביעי משישה לכך שהאירועים משויכים לאוניברסיטה – מרצה מטעם האוניברסיטה הזמין את הסטודנטים לאירועים</w:t>
      </w:r>
      <w:r>
        <w:rPr>
          <w:rFonts w:ascii="David" w:eastAsia="Calibri" w:hAnsi="David" w:cs="David"/>
          <w:sz w:val="24"/>
          <w:szCs w:val="24"/>
          <w:rtl/>
        </w:rPr>
        <w:t xml:space="preserve"> </w:t>
      </w:r>
    </w:p>
    <w:p w:rsidR="000C53C9" w:rsidRDefault="000C53C9" w:rsidP="000C53C9">
      <w:pPr>
        <w:pStyle w:val="af"/>
        <w:spacing w:line="360" w:lineRule="auto"/>
        <w:ind w:left="755"/>
        <w:jc w:val="both"/>
        <w:rPr>
          <w:rFonts w:ascii="David" w:eastAsia="Calibri" w:hAnsi="David" w:cs="David"/>
          <w:sz w:val="24"/>
          <w:szCs w:val="24"/>
        </w:rPr>
      </w:pPr>
      <w:r>
        <w:rPr>
          <w:rFonts w:ascii="David" w:eastAsia="Calibri" w:hAnsi="David" w:cs="David"/>
          <w:sz w:val="24"/>
          <w:szCs w:val="24"/>
          <w:rtl/>
        </w:rPr>
        <w:t>ההזמנה לקהל הסטודנטים הממוקד לא נעשתה על ידי גורם חיצוני שאינו קשור לאוניברסיטה. כפי שעולה מתצהירו של נציג האוניברסיטה, הרי הוא כמרצה באוניברסיטה השתמש ב</w:t>
      </w:r>
      <w:r>
        <w:rPr>
          <w:rFonts w:ascii="David" w:eastAsia="Calibri" w:hAnsi="David" w:cs="David"/>
          <w:b/>
          <w:bCs/>
          <w:sz w:val="24"/>
          <w:szCs w:val="24"/>
          <w:rtl/>
        </w:rPr>
        <w:t>"רשימות התפוצה"</w:t>
      </w:r>
      <w:r>
        <w:rPr>
          <w:rFonts w:ascii="David" w:eastAsia="Calibri" w:hAnsi="David" w:cs="David"/>
          <w:sz w:val="24"/>
          <w:szCs w:val="24"/>
          <w:rtl/>
        </w:rPr>
        <w:t xml:space="preserve"> אשר כלשונו – </w:t>
      </w:r>
      <w:r>
        <w:rPr>
          <w:rFonts w:ascii="David" w:eastAsia="Calibri" w:hAnsi="David" w:cs="David"/>
          <w:b/>
          <w:bCs/>
          <w:sz w:val="24"/>
          <w:szCs w:val="24"/>
          <w:rtl/>
        </w:rPr>
        <w:t>"זמינות לי כמרצה של אותם סטודנטים"</w:t>
      </w:r>
      <w:r>
        <w:rPr>
          <w:rFonts w:ascii="David" w:eastAsia="Calibri" w:hAnsi="David" w:cs="David"/>
          <w:sz w:val="24"/>
          <w:szCs w:val="24"/>
          <w:rtl/>
        </w:rPr>
        <w:t>.</w:t>
      </w:r>
    </w:p>
    <w:p w:rsidR="000C53C9" w:rsidRDefault="000C53C9" w:rsidP="000C53C9">
      <w:pPr>
        <w:pStyle w:val="af"/>
        <w:spacing w:line="360" w:lineRule="auto"/>
        <w:ind w:left="755"/>
        <w:jc w:val="both"/>
        <w:rPr>
          <w:rFonts w:ascii="David" w:eastAsia="Calibri" w:hAnsi="David" w:cs="David"/>
          <w:sz w:val="24"/>
          <w:szCs w:val="24"/>
          <w:rtl/>
        </w:rPr>
      </w:pPr>
      <w:r>
        <w:rPr>
          <w:rFonts w:ascii="David" w:eastAsia="Calibri" w:hAnsi="David" w:cs="David"/>
          <w:sz w:val="24"/>
          <w:szCs w:val="24"/>
          <w:rtl/>
        </w:rPr>
        <w:t>שוב ניתן לראות שההזמנות נעשו מתוך מאגר מידע של האוניברסיטה, ועל ידי מרצה של האוניברסיטה שלדבריו מלמד את אותם סטודנטים וביניהם התובע.</w:t>
      </w:r>
    </w:p>
    <w:p w:rsidR="000C53C9" w:rsidRDefault="000C53C9" w:rsidP="000C53C9">
      <w:pPr>
        <w:pStyle w:val="af"/>
        <w:spacing w:line="360" w:lineRule="auto"/>
        <w:ind w:left="1440"/>
        <w:jc w:val="both"/>
        <w:rPr>
          <w:rFonts w:ascii="David" w:eastAsia="Calibri" w:hAnsi="David" w:cs="David"/>
          <w:sz w:val="24"/>
          <w:szCs w:val="24"/>
          <w:rtl/>
        </w:rPr>
      </w:pPr>
    </w:p>
    <w:p w:rsidR="000C53C9" w:rsidRDefault="000C53C9" w:rsidP="000C53C9">
      <w:pPr>
        <w:pStyle w:val="af"/>
        <w:numPr>
          <w:ilvl w:val="0"/>
          <w:numId w:val="8"/>
        </w:numPr>
        <w:spacing w:line="360" w:lineRule="auto"/>
        <w:jc w:val="both"/>
        <w:rPr>
          <w:rFonts w:ascii="David" w:eastAsia="Calibri" w:hAnsi="David" w:cs="David"/>
          <w:sz w:val="24"/>
          <w:szCs w:val="24"/>
          <w:u w:val="single"/>
          <w:rtl/>
        </w:rPr>
      </w:pPr>
      <w:r>
        <w:rPr>
          <w:rFonts w:ascii="David" w:eastAsia="Calibri" w:hAnsi="David" w:cs="David"/>
          <w:b/>
          <w:bCs/>
          <w:sz w:val="24"/>
          <w:szCs w:val="24"/>
          <w:u w:val="single"/>
          <w:rtl/>
        </w:rPr>
        <w:t>נימוק חמישי משישה לכך שהאירועים משויכים לאוניברסיטה –</w:t>
      </w:r>
      <w:r>
        <w:rPr>
          <w:rFonts w:ascii="David" w:eastAsia="Calibri" w:hAnsi="David" w:cs="David"/>
          <w:sz w:val="24"/>
          <w:szCs w:val="24"/>
          <w:u w:val="single"/>
          <w:rtl/>
        </w:rPr>
        <w:t xml:space="preserve"> </w:t>
      </w:r>
      <w:r>
        <w:rPr>
          <w:rFonts w:ascii="David" w:eastAsia="Calibri" w:hAnsi="David" w:cs="David"/>
          <w:b/>
          <w:bCs/>
          <w:sz w:val="24"/>
          <w:szCs w:val="24"/>
          <w:u w:val="single"/>
          <w:rtl/>
        </w:rPr>
        <w:t>הסטודנטים הוזמנו להיות בין אורחי האוניברסיטה ולא בין אורחי הסטודנטים הזרים</w:t>
      </w:r>
    </w:p>
    <w:p w:rsidR="000C53C9" w:rsidRDefault="000C53C9" w:rsidP="000C53C9">
      <w:pPr>
        <w:pStyle w:val="af"/>
        <w:numPr>
          <w:ilvl w:val="0"/>
          <w:numId w:val="3"/>
        </w:numPr>
        <w:spacing w:line="360" w:lineRule="auto"/>
        <w:ind w:left="1103" w:hanging="283"/>
        <w:jc w:val="both"/>
        <w:rPr>
          <w:rFonts w:ascii="David" w:eastAsia="Calibri" w:hAnsi="David" w:cs="David"/>
          <w:sz w:val="24"/>
          <w:szCs w:val="24"/>
        </w:rPr>
      </w:pPr>
      <w:r>
        <w:rPr>
          <w:rFonts w:ascii="David" w:eastAsia="Calibri" w:hAnsi="David" w:cs="David"/>
          <w:sz w:val="24"/>
          <w:szCs w:val="24"/>
          <w:rtl/>
        </w:rPr>
        <w:t>האוניברסיטה הדגישה משום מה את העובדה שבהזמנות צוין ש</w:t>
      </w:r>
      <w:r>
        <w:rPr>
          <w:rFonts w:ascii="David" w:eastAsia="Calibri" w:hAnsi="David" w:cs="David"/>
          <w:b/>
          <w:bCs/>
          <w:sz w:val="24"/>
          <w:szCs w:val="24"/>
          <w:rtl/>
        </w:rPr>
        <w:t xml:space="preserve">"הפקולטה מזמינה את הסטודנטים להיות בין אורחינו" </w:t>
      </w:r>
      <w:r>
        <w:rPr>
          <w:rFonts w:ascii="David" w:eastAsia="Calibri" w:hAnsi="David" w:cs="David"/>
          <w:sz w:val="24"/>
          <w:szCs w:val="24"/>
          <w:rtl/>
        </w:rPr>
        <w:t>(סעיף 9, פסקה שניה לתצהיר מטעם האוניברסיטה). לטעמה של האוניברסיטה, ניסוח זה של ההזמנה מוכיח מיד ש</w:t>
      </w:r>
      <w:r>
        <w:rPr>
          <w:rFonts w:ascii="David" w:eastAsia="Calibri" w:hAnsi="David" w:cs="David"/>
          <w:b/>
          <w:bCs/>
          <w:sz w:val="24"/>
          <w:szCs w:val="24"/>
          <w:rtl/>
        </w:rPr>
        <w:t>"מדובר בפעילות שהינה במובהק אקסוגנית לפעילות הלימודים בפקולטה"</w:t>
      </w:r>
      <w:r>
        <w:rPr>
          <w:rFonts w:ascii="David" w:eastAsia="Calibri" w:hAnsi="David" w:cs="David"/>
          <w:sz w:val="24"/>
          <w:szCs w:val="24"/>
          <w:rtl/>
        </w:rPr>
        <w:t>.</w:t>
      </w:r>
    </w:p>
    <w:p w:rsidR="000C53C9" w:rsidRDefault="000C53C9" w:rsidP="000C53C9">
      <w:pPr>
        <w:pStyle w:val="af"/>
        <w:spacing w:line="360" w:lineRule="auto"/>
        <w:ind w:left="1440"/>
        <w:jc w:val="both"/>
        <w:rPr>
          <w:rFonts w:ascii="David" w:eastAsia="Calibri" w:hAnsi="David" w:cs="David"/>
          <w:sz w:val="24"/>
          <w:szCs w:val="24"/>
        </w:rPr>
      </w:pPr>
    </w:p>
    <w:p w:rsidR="000C53C9" w:rsidRDefault="000C53C9" w:rsidP="000C53C9">
      <w:pPr>
        <w:pStyle w:val="af"/>
        <w:numPr>
          <w:ilvl w:val="0"/>
          <w:numId w:val="3"/>
        </w:numPr>
        <w:spacing w:line="360" w:lineRule="auto"/>
        <w:ind w:left="1103" w:hanging="283"/>
        <w:jc w:val="both"/>
        <w:rPr>
          <w:rFonts w:ascii="David" w:eastAsia="Calibri" w:hAnsi="David" w:cs="David"/>
          <w:sz w:val="24"/>
          <w:szCs w:val="24"/>
        </w:rPr>
      </w:pPr>
      <w:r>
        <w:rPr>
          <w:rFonts w:ascii="David" w:eastAsia="Calibri" w:hAnsi="David" w:cs="David"/>
          <w:sz w:val="24"/>
          <w:szCs w:val="24"/>
          <w:rtl/>
        </w:rPr>
        <w:t xml:space="preserve">במלוא הכבוד, נוסח ההזמנה אינו תומך בעמדת האוניברסיטה אלא דווקא מוכיח שהיא זו אשר מקושרת ואחראית לפעילות. ודוק – בהזמנה שהופנתה לתובע ולסטודנטים נוספים לא נרשם שמדובר להזמנה על מנת להיות 'בין אורחי הסטודנטים הזרים/אורחי המשלחת' – אלא בהזמנה להיות </w:t>
      </w:r>
      <w:r>
        <w:rPr>
          <w:rFonts w:ascii="David" w:eastAsia="Calibri" w:hAnsi="David" w:cs="David"/>
          <w:sz w:val="24"/>
          <w:szCs w:val="24"/>
          <w:u w:val="single"/>
          <w:rtl/>
        </w:rPr>
        <w:t>בין אורחי האוניברסיטה</w:t>
      </w:r>
      <w:r>
        <w:rPr>
          <w:rFonts w:ascii="David" w:eastAsia="Calibri" w:hAnsi="David" w:cs="David"/>
          <w:sz w:val="24"/>
          <w:szCs w:val="24"/>
          <w:rtl/>
        </w:rPr>
        <w:t xml:space="preserve">, וכלשון ההזמנה – </w:t>
      </w:r>
      <w:r>
        <w:rPr>
          <w:rFonts w:ascii="David" w:eastAsia="Calibri" w:hAnsi="David" w:cs="David"/>
          <w:b/>
          <w:bCs/>
          <w:sz w:val="24"/>
          <w:szCs w:val="24"/>
          <w:rtl/>
        </w:rPr>
        <w:t>"בין אורחינו"</w:t>
      </w:r>
      <w:r>
        <w:rPr>
          <w:rFonts w:ascii="David" w:eastAsia="Calibri" w:hAnsi="David" w:cs="David"/>
          <w:sz w:val="24"/>
          <w:szCs w:val="24"/>
          <w:rtl/>
        </w:rPr>
        <w:t xml:space="preserve">. הדבר אך דומה ומשווה לאירועים שונים שהאוניברסיטה יוזמת ומארגנת לאורך כל השנה ומוגדרים כאירועים של האוניברסיטה. </w:t>
      </w:r>
    </w:p>
    <w:p w:rsidR="000C53C9" w:rsidRDefault="000C53C9" w:rsidP="000C53C9">
      <w:pPr>
        <w:pStyle w:val="af"/>
        <w:spacing w:line="360" w:lineRule="auto"/>
        <w:ind w:left="1440"/>
        <w:jc w:val="both"/>
        <w:rPr>
          <w:rFonts w:ascii="David" w:eastAsia="Calibri" w:hAnsi="David" w:cs="David"/>
          <w:sz w:val="24"/>
          <w:szCs w:val="24"/>
        </w:rPr>
      </w:pPr>
    </w:p>
    <w:p w:rsidR="000C53C9" w:rsidRDefault="000C53C9" w:rsidP="000C53C9">
      <w:pPr>
        <w:pStyle w:val="af"/>
        <w:numPr>
          <w:ilvl w:val="0"/>
          <w:numId w:val="8"/>
        </w:numPr>
        <w:spacing w:line="360" w:lineRule="auto"/>
        <w:jc w:val="both"/>
        <w:rPr>
          <w:rFonts w:ascii="David" w:eastAsia="Calibri" w:hAnsi="David" w:cs="David"/>
          <w:sz w:val="24"/>
          <w:szCs w:val="24"/>
          <w:u w:val="single"/>
          <w:rtl/>
        </w:rPr>
      </w:pPr>
      <w:r>
        <w:rPr>
          <w:rFonts w:ascii="David" w:eastAsia="Calibri" w:hAnsi="David" w:cs="David"/>
          <w:b/>
          <w:bCs/>
          <w:sz w:val="24"/>
          <w:szCs w:val="24"/>
          <w:u w:val="single"/>
          <w:rtl/>
        </w:rPr>
        <w:t>נימוק שישי משישה לכך שהאירועים משויכים לאוניברסיטה –</w:t>
      </w:r>
      <w:r>
        <w:rPr>
          <w:rFonts w:ascii="David" w:eastAsia="Calibri" w:hAnsi="David" w:cs="David"/>
          <w:sz w:val="24"/>
          <w:szCs w:val="24"/>
          <w:u w:val="single"/>
          <w:rtl/>
        </w:rPr>
        <w:t xml:space="preserve"> </w:t>
      </w:r>
      <w:r>
        <w:rPr>
          <w:rFonts w:ascii="David" w:eastAsia="Calibri" w:hAnsi="David" w:cs="David"/>
          <w:b/>
          <w:bCs/>
          <w:sz w:val="24"/>
          <w:szCs w:val="24"/>
          <w:u w:val="single"/>
          <w:rtl/>
        </w:rPr>
        <w:t>פרסומי האוניברסיטה ביחס לאירועים כחלק מחוויית הלימודים</w:t>
      </w:r>
    </w:p>
    <w:p w:rsidR="000C53C9" w:rsidRDefault="000C53C9" w:rsidP="000C53C9">
      <w:pPr>
        <w:pStyle w:val="af"/>
        <w:numPr>
          <w:ilvl w:val="0"/>
          <w:numId w:val="3"/>
        </w:numPr>
        <w:spacing w:line="360" w:lineRule="auto"/>
        <w:ind w:left="1103" w:hanging="283"/>
        <w:jc w:val="both"/>
        <w:rPr>
          <w:rFonts w:ascii="David" w:eastAsia="Calibri" w:hAnsi="David" w:cs="David"/>
          <w:sz w:val="24"/>
          <w:szCs w:val="24"/>
        </w:rPr>
      </w:pPr>
      <w:r>
        <w:rPr>
          <w:rFonts w:ascii="David" w:eastAsia="Calibri" w:hAnsi="David" w:cs="David"/>
          <w:sz w:val="24"/>
          <w:szCs w:val="24"/>
          <w:rtl/>
        </w:rPr>
        <w:t xml:space="preserve">התובע העיד במפורש שאירועי נטוורקינג עם סטודנטים זרים היו חלק מחוויית הלימודים שהוצגה לו בטרם נרשם ללימודים. וכלשונו (ע"מ 15 לפרוטוקול, שורה 29 ואילך): </w:t>
      </w:r>
      <w:r>
        <w:rPr>
          <w:rFonts w:ascii="David" w:eastAsia="Calibri" w:hAnsi="David" w:cs="David"/>
          <w:b/>
          <w:bCs/>
          <w:sz w:val="24"/>
          <w:szCs w:val="24"/>
          <w:rtl/>
        </w:rPr>
        <w:t>"</w:t>
      </w:r>
      <w:r>
        <w:rPr>
          <w:rFonts w:ascii="David" w:hAnsi="David" w:cs="David"/>
          <w:b/>
          <w:bCs/>
          <w:sz w:val="24"/>
          <w:szCs w:val="24"/>
          <w:rtl/>
        </w:rPr>
        <w:t>...וכשאני</w:t>
      </w:r>
      <w:bookmarkStart w:id="6" w:name="_ETM_Q_436712"/>
      <w:bookmarkEnd w:id="6"/>
      <w:r>
        <w:rPr>
          <w:rFonts w:ascii="David" w:hAnsi="David" w:cs="David"/>
          <w:b/>
          <w:bCs/>
          <w:sz w:val="24"/>
          <w:szCs w:val="24"/>
          <w:rtl/>
        </w:rPr>
        <w:t xml:space="preserve"> הגעתי לאוניברסיטה, והאוניברסיטה הציגה בפניי את התואר, היא הציגה</w:t>
      </w:r>
      <w:bookmarkStart w:id="7" w:name="_ETM_Q_439942"/>
      <w:bookmarkEnd w:id="7"/>
      <w:r>
        <w:rPr>
          <w:rFonts w:ascii="David" w:hAnsi="David" w:cs="David"/>
          <w:b/>
          <w:bCs/>
          <w:sz w:val="24"/>
          <w:szCs w:val="24"/>
          <w:rtl/>
        </w:rPr>
        <w:t xml:space="preserve"> את התואר הזה כתואר עם כל מיני דברים</w:t>
      </w:r>
      <w:bookmarkStart w:id="8" w:name="_ETM_Q_442523"/>
      <w:bookmarkEnd w:id="8"/>
      <w:r>
        <w:rPr>
          <w:rFonts w:ascii="David" w:hAnsi="David" w:cs="David"/>
          <w:b/>
          <w:bCs/>
          <w:sz w:val="24"/>
          <w:szCs w:val="24"/>
          <w:rtl/>
        </w:rPr>
        <w:t xml:space="preserve"> שאני לא אוכל למצוא באוניברסיטאות אחרות. בין הדברים האלה </w:t>
      </w:r>
      <w:bookmarkStart w:id="9" w:name="_ETM_Q_446021"/>
      <w:bookmarkEnd w:id="9"/>
      <w:r>
        <w:rPr>
          <w:rFonts w:ascii="David" w:hAnsi="David" w:cs="David"/>
          <w:b/>
          <w:bCs/>
          <w:sz w:val="24"/>
          <w:szCs w:val="24"/>
          <w:rtl/>
        </w:rPr>
        <w:t>מדובר על זה שהאוניברסיטה תיתן לי חוויה של נטוורקינג,</w:t>
      </w:r>
      <w:bookmarkStart w:id="10" w:name="_ETM_Q_449287"/>
      <w:bookmarkEnd w:id="10"/>
      <w:r>
        <w:rPr>
          <w:rFonts w:ascii="David" w:hAnsi="David" w:cs="David"/>
          <w:b/>
          <w:bCs/>
          <w:sz w:val="24"/>
          <w:szCs w:val="24"/>
          <w:rtl/>
        </w:rPr>
        <w:t xml:space="preserve"> בין לאומיות, וכל הדברים האלה שהאוניברסיטה"</w:t>
      </w:r>
    </w:p>
    <w:p w:rsidR="000C53C9" w:rsidRDefault="000C53C9" w:rsidP="000C53C9">
      <w:pPr>
        <w:pStyle w:val="af"/>
        <w:spacing w:line="360" w:lineRule="auto"/>
        <w:ind w:left="1440"/>
        <w:jc w:val="both"/>
        <w:rPr>
          <w:rFonts w:ascii="David" w:eastAsia="Calibri" w:hAnsi="David" w:cs="David"/>
          <w:sz w:val="24"/>
          <w:szCs w:val="24"/>
          <w:rtl/>
        </w:rPr>
      </w:pPr>
    </w:p>
    <w:p w:rsidR="000C53C9" w:rsidRDefault="000C53C9" w:rsidP="000C53C9">
      <w:pPr>
        <w:pStyle w:val="af"/>
        <w:numPr>
          <w:ilvl w:val="0"/>
          <w:numId w:val="3"/>
        </w:numPr>
        <w:spacing w:line="360" w:lineRule="auto"/>
        <w:ind w:left="1103" w:hanging="283"/>
        <w:jc w:val="both"/>
        <w:rPr>
          <w:rFonts w:ascii="David" w:eastAsia="Calibri" w:hAnsi="David" w:cs="David"/>
          <w:sz w:val="24"/>
          <w:szCs w:val="24"/>
        </w:rPr>
      </w:pPr>
      <w:r>
        <w:rPr>
          <w:rFonts w:ascii="David" w:hAnsi="David" w:cs="David"/>
          <w:sz w:val="24"/>
          <w:szCs w:val="24"/>
          <w:rtl/>
        </w:rPr>
        <w:t xml:space="preserve">דבריו של התובע לא נאמרו בעלמא. האוניברסיטה אכן התגאתה ואף שיווקה עצמה בזכות </w:t>
      </w:r>
      <w:r>
        <w:rPr>
          <w:rFonts w:ascii="David" w:eastAsia="Calibri" w:hAnsi="David" w:cs="David"/>
          <w:sz w:val="24"/>
          <w:szCs w:val="24"/>
          <w:rtl/>
        </w:rPr>
        <w:t xml:space="preserve">מפגשי הרישות הבינלאומיים כחלק מתכנית הלימודים. כך כתבה בעלון פרסומי שמופץ על ידה לצורך פרסום הפקולטה לניהול תחת הכותרת </w:t>
      </w:r>
      <w:r>
        <w:rPr>
          <w:rFonts w:ascii="David" w:eastAsia="Calibri" w:hAnsi="David" w:cs="David"/>
          <w:b/>
          <w:bCs/>
          <w:sz w:val="24"/>
          <w:szCs w:val="24"/>
          <w:rtl/>
        </w:rPr>
        <w:t>"בינלאומיות בתל אביב"</w:t>
      </w:r>
      <w:r>
        <w:rPr>
          <w:rFonts w:ascii="David" w:eastAsia="Calibri" w:hAnsi="David" w:cs="David"/>
          <w:sz w:val="24"/>
          <w:szCs w:val="24"/>
          <w:rtl/>
        </w:rPr>
        <w:t xml:space="preserve"> (ההדגשות לא במקור): </w:t>
      </w:r>
    </w:p>
    <w:p w:rsidR="000C53C9" w:rsidRDefault="000C53C9" w:rsidP="000C53C9">
      <w:pPr>
        <w:pStyle w:val="af"/>
        <w:spacing w:line="360" w:lineRule="auto"/>
        <w:ind w:left="1440"/>
        <w:jc w:val="both"/>
        <w:rPr>
          <w:rFonts w:ascii="David" w:eastAsia="Calibri" w:hAnsi="David" w:cs="David"/>
          <w:sz w:val="24"/>
          <w:szCs w:val="24"/>
        </w:rPr>
      </w:pPr>
      <w:r>
        <w:rPr>
          <w:rFonts w:ascii="David" w:eastAsia="Calibri" w:hAnsi="David" w:cs="David"/>
          <w:sz w:val="24"/>
          <w:szCs w:val="24"/>
          <w:rtl/>
        </w:rPr>
        <w:t>"</w:t>
      </w:r>
      <w:r>
        <w:rPr>
          <w:rFonts w:ascii="David" w:eastAsia="Calibri" w:hAnsi="David" w:cs="David"/>
          <w:b/>
          <w:bCs/>
          <w:sz w:val="24"/>
          <w:szCs w:val="24"/>
          <w:u w:val="single"/>
          <w:rtl/>
        </w:rPr>
        <w:t>הכירו</w:t>
      </w:r>
      <w:r>
        <w:rPr>
          <w:rFonts w:ascii="David" w:eastAsia="Calibri" w:hAnsi="David" w:cs="David"/>
          <w:b/>
          <w:bCs/>
          <w:sz w:val="24"/>
          <w:szCs w:val="24"/>
          <w:rtl/>
        </w:rPr>
        <w:t xml:space="preserve"> סטודנטים מצטיינים </w:t>
      </w:r>
      <w:r>
        <w:rPr>
          <w:rFonts w:ascii="David" w:eastAsia="Calibri" w:hAnsi="David" w:cs="David"/>
          <w:b/>
          <w:bCs/>
          <w:sz w:val="24"/>
          <w:szCs w:val="24"/>
          <w:u w:val="single"/>
          <w:rtl/>
        </w:rPr>
        <w:t>מרחבי העולם</w:t>
      </w:r>
      <w:r>
        <w:rPr>
          <w:rFonts w:ascii="David" w:eastAsia="Calibri" w:hAnsi="David" w:cs="David"/>
          <w:b/>
          <w:bCs/>
          <w:sz w:val="24"/>
          <w:szCs w:val="24"/>
          <w:rtl/>
        </w:rPr>
        <w:t xml:space="preserve"> בתכניות </w:t>
      </w:r>
      <w:r>
        <w:rPr>
          <w:rFonts w:ascii="David" w:eastAsia="Calibri" w:hAnsi="David" w:cs="David"/>
          <w:b/>
          <w:bCs/>
          <w:sz w:val="24"/>
          <w:szCs w:val="24"/>
        </w:rPr>
        <w:t>MBA</w:t>
      </w:r>
      <w:r>
        <w:rPr>
          <w:rFonts w:ascii="David" w:eastAsia="Calibri" w:hAnsi="David" w:cs="David"/>
          <w:b/>
          <w:bCs/>
          <w:sz w:val="24"/>
          <w:szCs w:val="24"/>
          <w:rtl/>
        </w:rPr>
        <w:t xml:space="preserve"> בינלאומיות, </w:t>
      </w:r>
      <w:r>
        <w:rPr>
          <w:rFonts w:ascii="David" w:eastAsia="Calibri" w:hAnsi="David" w:cs="David"/>
          <w:b/>
          <w:bCs/>
          <w:sz w:val="24"/>
          <w:szCs w:val="24"/>
          <w:u w:val="single"/>
          <w:rtl/>
        </w:rPr>
        <w:t>במפגשי נטוורקינג</w:t>
      </w:r>
      <w:r>
        <w:rPr>
          <w:rFonts w:ascii="David" w:eastAsia="Calibri" w:hAnsi="David" w:cs="David"/>
          <w:b/>
          <w:bCs/>
          <w:sz w:val="24"/>
          <w:szCs w:val="24"/>
          <w:rtl/>
        </w:rPr>
        <w:t xml:space="preserve"> עם בתי ספר מובילים למנהל עסקים, בתחרויות, בכנסים</w:t>
      </w:r>
      <w:r>
        <w:rPr>
          <w:rFonts w:ascii="David" w:eastAsia="Calibri" w:hAnsi="David" w:cs="David"/>
          <w:sz w:val="24"/>
          <w:szCs w:val="24"/>
          <w:rtl/>
        </w:rPr>
        <w:t>..." (</w:t>
      </w:r>
    </w:p>
    <w:p w:rsidR="000C53C9" w:rsidRDefault="000C53C9" w:rsidP="000C53C9">
      <w:pPr>
        <w:pStyle w:val="af"/>
        <w:spacing w:line="360" w:lineRule="auto"/>
        <w:ind w:left="1440"/>
        <w:jc w:val="both"/>
        <w:rPr>
          <w:rFonts w:ascii="David" w:eastAsia="Calibri" w:hAnsi="David" w:cs="David"/>
          <w:sz w:val="24"/>
          <w:szCs w:val="24"/>
          <w:rtl/>
        </w:rPr>
      </w:pPr>
    </w:p>
    <w:p w:rsidR="000C53C9" w:rsidRDefault="000C53C9" w:rsidP="000C53C9">
      <w:pPr>
        <w:pStyle w:val="af"/>
        <w:spacing w:line="360" w:lineRule="auto"/>
        <w:ind w:left="1103"/>
        <w:jc w:val="both"/>
        <w:rPr>
          <w:rFonts w:ascii="David" w:eastAsia="Calibri" w:hAnsi="David" w:cs="David"/>
          <w:sz w:val="24"/>
          <w:szCs w:val="24"/>
          <w:rtl/>
        </w:rPr>
      </w:pPr>
      <w:r>
        <w:rPr>
          <w:rFonts w:ascii="David" w:eastAsia="Calibri" w:hAnsi="David" w:cs="David"/>
          <w:sz w:val="24"/>
          <w:szCs w:val="24"/>
          <w:rtl/>
        </w:rPr>
        <w:t>ואכן האוניברסיטה העניקה את האפשרות למפגשי נטוורקינג לקבוצה ממוקדת של סטודנטים עליה נמנה גם התובע. אפשרות שלא הייתה פתוחה לקהל הרחב כמוזמנים – אלא רק לציבור המצומצם שנרשם ללימודי תואר שני בפקולטה לניהול.</w:t>
      </w:r>
    </w:p>
    <w:p w:rsidR="000C53C9" w:rsidRDefault="000C53C9" w:rsidP="000C53C9">
      <w:pPr>
        <w:pStyle w:val="af"/>
        <w:spacing w:line="360" w:lineRule="auto"/>
        <w:jc w:val="both"/>
        <w:rPr>
          <w:rFonts w:ascii="David" w:eastAsia="Calibri" w:hAnsi="David" w:cs="David"/>
          <w:b/>
          <w:bCs/>
          <w:sz w:val="24"/>
          <w:szCs w:val="24"/>
        </w:rPr>
      </w:pPr>
    </w:p>
    <w:p w:rsidR="000C53C9" w:rsidRDefault="000C53C9" w:rsidP="000C53C9">
      <w:pPr>
        <w:pStyle w:val="af"/>
        <w:spacing w:line="360" w:lineRule="auto"/>
        <w:ind w:left="-456"/>
        <w:jc w:val="both"/>
        <w:rPr>
          <w:rFonts w:ascii="David" w:eastAsia="Calibri" w:hAnsi="David" w:cs="David"/>
          <w:b/>
          <w:bCs/>
          <w:sz w:val="24"/>
          <w:szCs w:val="24"/>
          <w:rtl/>
        </w:rPr>
      </w:pPr>
      <w:r>
        <w:rPr>
          <w:rFonts w:ascii="David" w:eastAsia="Calibri" w:hAnsi="David" w:cs="David"/>
          <w:b/>
          <w:bCs/>
          <w:sz w:val="24"/>
          <w:szCs w:val="24"/>
          <w:rtl/>
        </w:rPr>
        <w:t>הערת מעבר – עד כה דן פסק הדין בכך שהפעילות במסעדות הלא כשרות היא פעילות המקושרת ומשויכת לאוניברסיטה. בשלב זה אפנה לעסוק בשאלה כיצד יש להתייחס לבקשה לערוך את האירועים, או לפחות אחד מהם, במסעדה כשרה. עוד אתייחס להתנהלות האוניברסיטה.</w:t>
      </w:r>
    </w:p>
    <w:p w:rsidR="000C53C9" w:rsidRDefault="000C53C9" w:rsidP="000C53C9">
      <w:pPr>
        <w:pStyle w:val="af"/>
        <w:spacing w:line="360" w:lineRule="auto"/>
        <w:jc w:val="both"/>
        <w:rPr>
          <w:rFonts w:ascii="David" w:eastAsia="Calibri" w:hAnsi="David" w:cs="David"/>
          <w:sz w:val="24"/>
          <w:szCs w:val="24"/>
          <w:rtl/>
        </w:rPr>
      </w:pP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הבקשה לערוך את האירועים, או לפחות אחד מהם, במסעדה כשרה – אינה כה מופרכת ונובעת מציוויי דת  שאינם זרים לקהל היהודי והמוסלמי</w:t>
      </w:r>
    </w:p>
    <w:p w:rsidR="000C53C9" w:rsidRDefault="000C53C9" w:rsidP="000C53C9">
      <w:pPr>
        <w:pStyle w:val="af"/>
        <w:spacing w:line="360" w:lineRule="auto"/>
        <w:ind w:left="-172"/>
        <w:jc w:val="both"/>
        <w:rPr>
          <w:rFonts w:ascii="David" w:eastAsia="Calibri" w:hAnsi="David" w:cs="David"/>
          <w:b/>
          <w:bCs/>
          <w:sz w:val="24"/>
          <w:szCs w:val="24"/>
          <w:u w:val="single"/>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b/>
          <w:bCs/>
          <w:sz w:val="24"/>
          <w:szCs w:val="24"/>
          <w:u w:val="single"/>
          <w:rtl/>
        </w:rPr>
        <w:t>כללי</w:t>
      </w:r>
    </w:p>
    <w:p w:rsidR="000C53C9" w:rsidRDefault="000C53C9" w:rsidP="000C53C9">
      <w:pPr>
        <w:pStyle w:val="af"/>
        <w:numPr>
          <w:ilvl w:val="0"/>
          <w:numId w:val="9"/>
        </w:numPr>
        <w:spacing w:line="360" w:lineRule="auto"/>
        <w:jc w:val="both"/>
        <w:rPr>
          <w:rFonts w:ascii="David" w:eastAsia="Calibri" w:hAnsi="David" w:cs="David"/>
          <w:sz w:val="24"/>
          <w:szCs w:val="24"/>
        </w:rPr>
      </w:pPr>
      <w:r>
        <w:rPr>
          <w:rFonts w:ascii="David" w:eastAsia="Calibri" w:hAnsi="David" w:cs="David"/>
          <w:sz w:val="24"/>
          <w:szCs w:val="24"/>
          <w:rtl/>
        </w:rPr>
        <w:t>הבקשה לערוך את האירועים, או לפחות אחד מהם, במסעדה כשרה אינה כה מופרכת. הבקשה למזון כשר אינה בגדר העדפה קולינארית כזו או אחרת של התובע. הבקשה למזון כשר גם אינה בגדר העדפה בריאותית כזו או אחרת, או פרי השקפה הנובעת ממאכל אוכל צמחוני או טבעוני.</w:t>
      </w:r>
    </w:p>
    <w:p w:rsidR="000C53C9" w:rsidRDefault="000C53C9" w:rsidP="000C53C9">
      <w:pPr>
        <w:pStyle w:val="af"/>
        <w:spacing w:line="360" w:lineRule="auto"/>
        <w:ind w:left="395"/>
        <w:jc w:val="both"/>
        <w:rPr>
          <w:rFonts w:ascii="David" w:eastAsia="Calibri" w:hAnsi="David" w:cs="David"/>
          <w:sz w:val="24"/>
          <w:szCs w:val="24"/>
        </w:rPr>
      </w:pPr>
    </w:p>
    <w:p w:rsidR="000C53C9" w:rsidRDefault="000C53C9" w:rsidP="000C53C9">
      <w:pPr>
        <w:pStyle w:val="af"/>
        <w:numPr>
          <w:ilvl w:val="0"/>
          <w:numId w:val="9"/>
        </w:numPr>
        <w:spacing w:line="360" w:lineRule="auto"/>
        <w:jc w:val="both"/>
        <w:rPr>
          <w:rFonts w:ascii="David" w:eastAsia="Calibri" w:hAnsi="David" w:cs="David"/>
          <w:sz w:val="24"/>
          <w:szCs w:val="24"/>
          <w:rtl/>
        </w:rPr>
      </w:pPr>
      <w:r>
        <w:rPr>
          <w:rFonts w:ascii="David" w:eastAsia="Calibri" w:hAnsi="David" w:cs="David"/>
          <w:sz w:val="24"/>
          <w:szCs w:val="24"/>
          <w:rtl/>
        </w:rPr>
        <w:t>הבקשה למזון כשר נובעת מ</w:t>
      </w:r>
      <w:r>
        <w:rPr>
          <w:rFonts w:ascii="David" w:eastAsia="Calibri" w:hAnsi="David" w:cs="David"/>
          <w:sz w:val="24"/>
          <w:szCs w:val="24"/>
          <w:u w:val="single"/>
          <w:rtl/>
        </w:rPr>
        <w:t>ציוויי דת</w:t>
      </w:r>
      <w:r>
        <w:rPr>
          <w:rFonts w:ascii="David" w:eastAsia="Calibri" w:hAnsi="David" w:cs="David"/>
          <w:sz w:val="24"/>
          <w:szCs w:val="24"/>
          <w:rtl/>
        </w:rPr>
        <w:t xml:space="preserve"> אשר אינם זרים לקהל היהודי ואינם זרים לקהל המוסלמי – שני קהלים המהווים את רוב הציבור במדינת ישראל. יודגש שאין מדובר במצוות עלומות או כאלה המוכרות רק ליודע ח"ן או לכוהני דת הבקיאים בכל רזי המצוות. ההיפך הוא הנכון, ניתן לומר כבידיעה שיפוטית שהעובדה שהדת המוסלמית והדת היהודית כוללות ציוויי כשרות שונים – היא בגדר ידיעה רווחת ונפוצה אפילו בקרב מי ששם עצמו כחופשי ממצוות. גם האוניברסיטה מודעת ומקפידה לאפשר שמירה על מצוות הכשרות לבאים בשעריה ועל כך בפסקה הבאה.</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eastAsia="Calibri" w:hAnsi="David" w:cs="David"/>
          <w:b/>
          <w:bCs/>
          <w:sz w:val="24"/>
          <w:szCs w:val="24"/>
          <w:u w:val="single"/>
          <w:rtl/>
        </w:rPr>
        <w:t>גם האוניברסיטה החילה על עצמה מצוות הכשרות</w:t>
      </w:r>
    </w:p>
    <w:p w:rsidR="000C53C9" w:rsidRDefault="000C53C9" w:rsidP="000C53C9">
      <w:pPr>
        <w:pStyle w:val="af"/>
        <w:numPr>
          <w:ilvl w:val="0"/>
          <w:numId w:val="10"/>
        </w:numPr>
        <w:spacing w:line="360" w:lineRule="auto"/>
        <w:jc w:val="both"/>
        <w:rPr>
          <w:rFonts w:ascii="David" w:eastAsia="Calibri" w:hAnsi="David" w:cs="David"/>
          <w:sz w:val="24"/>
          <w:szCs w:val="24"/>
        </w:rPr>
      </w:pPr>
      <w:r>
        <w:rPr>
          <w:rFonts w:ascii="David" w:eastAsia="Calibri" w:hAnsi="David" w:cs="David"/>
          <w:sz w:val="24"/>
          <w:szCs w:val="24"/>
          <w:rtl/>
        </w:rPr>
        <w:t>על כך שמצוות הכשרות אינה זרה גם לא לאוניברסיטה, למדים מכך שזו מקפידה שכל המסעדות במסגרת הקמפוס באוניברסיטת תל אביב תהיינה מסעדות כשרות. על כך ניתן ללמוד גם מדברי ב"כ האוניברסיטה אשר הבהיר ש</w:t>
      </w:r>
      <w:r>
        <w:rPr>
          <w:rFonts w:ascii="David" w:eastAsia="Calibri" w:hAnsi="David" w:cs="David"/>
          <w:b/>
          <w:bCs/>
          <w:sz w:val="24"/>
          <w:szCs w:val="24"/>
          <w:rtl/>
        </w:rPr>
        <w:t>"בתוך הקמפוס כל מערך ההסעדה מחויב עם תעודת כשרות"</w:t>
      </w:r>
      <w:r>
        <w:rPr>
          <w:rFonts w:ascii="David" w:eastAsia="Calibri" w:hAnsi="David" w:cs="David"/>
          <w:sz w:val="24"/>
          <w:szCs w:val="24"/>
          <w:rtl/>
        </w:rPr>
        <w:t xml:space="preserve"> (ע"מ 1 לפרוטוקול). </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0"/>
          <w:numId w:val="10"/>
        </w:numPr>
        <w:spacing w:line="360" w:lineRule="auto"/>
        <w:jc w:val="both"/>
        <w:rPr>
          <w:rFonts w:ascii="David" w:eastAsia="Calibri" w:hAnsi="David" w:cs="David"/>
          <w:sz w:val="24"/>
          <w:szCs w:val="24"/>
        </w:rPr>
      </w:pPr>
      <w:r>
        <w:rPr>
          <w:rFonts w:ascii="David" w:eastAsia="Calibri" w:hAnsi="David" w:cs="David"/>
          <w:sz w:val="24"/>
          <w:szCs w:val="24"/>
          <w:rtl/>
        </w:rPr>
        <w:t>כלומר, סטודנט הלומד באוניברסיטה ולמעשה כל מי שנכנס בשערי האוניברסיטה – אינו יכול לסעוד במסעדות שאינן כשרות. ושוב יודגש שאין מדובר במצב הנובע מהעדפה קולינרית או בריאותית – אלא בציווי דתי ואם תרצה לומר, מגבלה דתית שגם האוניברסיטה נטלה על עצמה.</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10"/>
        </w:numPr>
        <w:spacing w:line="360" w:lineRule="auto"/>
        <w:jc w:val="both"/>
        <w:rPr>
          <w:rFonts w:ascii="David" w:eastAsia="Calibri" w:hAnsi="David" w:cs="David"/>
          <w:sz w:val="24"/>
          <w:szCs w:val="24"/>
          <w:rtl/>
        </w:rPr>
      </w:pPr>
      <w:r>
        <w:rPr>
          <w:rFonts w:ascii="David" w:eastAsia="Calibri" w:hAnsi="David" w:cs="David"/>
          <w:sz w:val="24"/>
          <w:szCs w:val="24"/>
          <w:rtl/>
        </w:rPr>
        <w:t xml:space="preserve">האוניברסיטה טענה ואף הדגישה (למשל בסעיף 30 לסיכומיה) כי </w:t>
      </w:r>
      <w:r>
        <w:rPr>
          <w:rFonts w:ascii="David" w:eastAsia="Calibri" w:hAnsi="David" w:cs="David"/>
          <w:b/>
          <w:bCs/>
          <w:sz w:val="24"/>
          <w:szCs w:val="24"/>
          <w:rtl/>
        </w:rPr>
        <w:t xml:space="preserve">"אירועי הרישות מתקיימים כאמור </w:t>
      </w:r>
      <w:r>
        <w:rPr>
          <w:rFonts w:ascii="David" w:eastAsia="Calibri" w:hAnsi="David" w:cs="David"/>
          <w:b/>
          <w:bCs/>
          <w:sz w:val="24"/>
          <w:szCs w:val="24"/>
          <w:u w:val="single"/>
          <w:rtl/>
        </w:rPr>
        <w:t>מחוץ לגבולות הקמפוס</w:t>
      </w:r>
      <w:r>
        <w:rPr>
          <w:rFonts w:ascii="David" w:eastAsia="Calibri" w:hAnsi="David" w:cs="David"/>
          <w:b/>
          <w:bCs/>
          <w:sz w:val="24"/>
          <w:szCs w:val="24"/>
          <w:rtl/>
        </w:rPr>
        <w:t>"</w:t>
      </w:r>
      <w:r>
        <w:rPr>
          <w:rFonts w:ascii="David" w:eastAsia="Calibri" w:hAnsi="David" w:cs="David"/>
          <w:sz w:val="24"/>
          <w:szCs w:val="24"/>
          <w:rtl/>
        </w:rPr>
        <w:t xml:space="preserve">, כאילו היציאה מגבולות הקמפוס משחררת את האוניברסיטה מהפעילות המשויכת לה וכאילו היא מחויבת רק לבאים בשערי הברזל הפיזיים המוצבים בפתחיה. </w:t>
      </w:r>
    </w:p>
    <w:p w:rsidR="000C53C9" w:rsidRDefault="000C53C9" w:rsidP="000C53C9">
      <w:pPr>
        <w:pStyle w:val="af"/>
        <w:spacing w:line="360" w:lineRule="auto"/>
        <w:ind w:left="755"/>
        <w:jc w:val="both"/>
        <w:rPr>
          <w:rFonts w:ascii="David" w:eastAsia="Calibri" w:hAnsi="David" w:cs="David"/>
          <w:sz w:val="24"/>
          <w:szCs w:val="24"/>
        </w:rPr>
      </w:pPr>
      <w:r>
        <w:rPr>
          <w:rFonts w:ascii="David" w:eastAsia="Calibri" w:hAnsi="David" w:cs="David"/>
          <w:sz w:val="24"/>
          <w:szCs w:val="24"/>
          <w:rtl/>
        </w:rPr>
        <w:t>במלוא הכבוד אין באמירה זו דבר.</w:t>
      </w:r>
      <w:r>
        <w:rPr>
          <w:rFonts w:ascii="David" w:eastAsia="Calibri" w:hAnsi="David" w:cs="David"/>
          <w:b/>
          <w:bCs/>
          <w:sz w:val="24"/>
          <w:szCs w:val="24"/>
          <w:rtl/>
        </w:rPr>
        <w:t xml:space="preserve"> </w:t>
      </w:r>
      <w:r>
        <w:rPr>
          <w:rFonts w:ascii="David" w:eastAsia="Calibri" w:hAnsi="David" w:cs="David"/>
          <w:sz w:val="24"/>
          <w:szCs w:val="24"/>
          <w:rtl/>
        </w:rPr>
        <w:t xml:space="preserve"> העובדה שהאוניברסיטה הכירה בכך שיש לספק מזון כשר בין שעריה, דווקא תומכת בכך שלא מופרך שסטודנט יבקש להשתתף באירועי האוניברסיטה ובהם מזון כששר גם מחוץ לשעריה. </w:t>
      </w:r>
    </w:p>
    <w:p w:rsidR="000C53C9" w:rsidRDefault="000C53C9" w:rsidP="000C53C9">
      <w:pPr>
        <w:pStyle w:val="af"/>
        <w:rPr>
          <w:rFonts w:ascii="David" w:eastAsia="Calibri" w:hAnsi="David" w:cs="David"/>
          <w:sz w:val="24"/>
          <w:szCs w:val="24"/>
          <w:rtl/>
        </w:rPr>
      </w:pPr>
    </w:p>
    <w:p w:rsidR="005824D9" w:rsidRDefault="005824D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b/>
          <w:bCs/>
          <w:sz w:val="24"/>
          <w:szCs w:val="24"/>
          <w:u w:val="single"/>
          <w:rtl/>
        </w:rPr>
      </w:pPr>
      <w:r>
        <w:rPr>
          <w:rFonts w:ascii="David" w:eastAsia="Calibri" w:hAnsi="David" w:cs="David"/>
          <w:b/>
          <w:bCs/>
          <w:sz w:val="24"/>
          <w:szCs w:val="24"/>
          <w:u w:val="single"/>
          <w:rtl/>
        </w:rPr>
        <w:t>ההחלטה לערוך האירועים במסעדות לא כשרות תוך הדרת התובע ודומיו, אינה פרי מחשבה מושכלת. ההחלטה, כפי שעולה מדברי המצהיר מטעם האוניברסיטה נובעת מהתעלמות מכוונת. שאלת הכשרות שהביאה להדרת התובע ודומיו כלל אינה קריטריון.</w:t>
      </w:r>
    </w:p>
    <w:p w:rsidR="000C53C9" w:rsidRDefault="000C53C9" w:rsidP="000C53C9">
      <w:pPr>
        <w:pStyle w:val="af"/>
        <w:numPr>
          <w:ilvl w:val="0"/>
          <w:numId w:val="11"/>
        </w:numPr>
        <w:spacing w:line="360" w:lineRule="auto"/>
        <w:jc w:val="both"/>
        <w:rPr>
          <w:rFonts w:ascii="David" w:eastAsia="Calibri" w:hAnsi="David" w:cs="David"/>
          <w:sz w:val="24"/>
          <w:szCs w:val="24"/>
        </w:rPr>
      </w:pPr>
      <w:r>
        <w:rPr>
          <w:rFonts w:ascii="David" w:eastAsia="Calibri" w:hAnsi="David" w:cs="David"/>
          <w:sz w:val="24"/>
          <w:szCs w:val="24"/>
          <w:rtl/>
        </w:rPr>
        <w:t xml:space="preserve">אילו הייתה האוניברסיטה שוקלת ומחליטה לערוך את האירועים דווקא במסעדות לא כשרות – ניחא. במקרה כזה הייתה ההחלטה פרי מחשבה מושכלת וחזקה על האוניברסיטה שהיו נימוקים טובים באמתחתה. אך האוניברסיטה </w:t>
      </w:r>
      <w:r>
        <w:rPr>
          <w:rFonts w:ascii="David" w:eastAsia="Calibri" w:hAnsi="David" w:cs="David"/>
          <w:sz w:val="24"/>
          <w:szCs w:val="24"/>
          <w:u w:val="single"/>
          <w:rtl/>
        </w:rPr>
        <w:t>לא</w:t>
      </w:r>
      <w:r>
        <w:rPr>
          <w:rFonts w:ascii="David" w:eastAsia="Calibri" w:hAnsi="David" w:cs="David"/>
          <w:sz w:val="24"/>
          <w:szCs w:val="24"/>
          <w:rtl/>
        </w:rPr>
        <w:t xml:space="preserve"> עשתה כך. ההחלטה לערוך את האירועים במסעדות לא כשרות, להבדיל מהמסעדות בקמפוס ותוך אפשרות להדרת ציבור יהודי ומוסלמי התקבלה כלאחר יד. מבלי להתייחס לשאלת הכשרות. לא לפני פניות התובע וגם לא לאחריהן.</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0"/>
          <w:numId w:val="11"/>
        </w:numPr>
        <w:spacing w:line="360" w:lineRule="auto"/>
        <w:jc w:val="both"/>
        <w:rPr>
          <w:rFonts w:ascii="David" w:eastAsia="Calibri" w:hAnsi="David" w:cs="David"/>
          <w:sz w:val="24"/>
          <w:szCs w:val="24"/>
        </w:rPr>
      </w:pPr>
      <w:r>
        <w:rPr>
          <w:rFonts w:ascii="David" w:eastAsia="Calibri" w:hAnsi="David" w:cs="David"/>
          <w:sz w:val="24"/>
          <w:szCs w:val="24"/>
          <w:rtl/>
        </w:rPr>
        <w:t>לעניין זה העיד המצהיר מטעם האוניברסיטה ששאלת הכשרות כלל אינה מעניינו וכלל אינה חלק מהקריטריונים שנשקלו. וכך למשל נשאל והשיב (ע"מ 87 לפרוטוקול, שורות 30-33, ההדגשות לא במקור):</w:t>
      </w:r>
    </w:p>
    <w:p w:rsidR="000C53C9" w:rsidRDefault="000C53C9" w:rsidP="000C53C9">
      <w:pPr>
        <w:pStyle w:val="ad"/>
        <w:shd w:val="clear" w:color="auto" w:fill="auto"/>
        <w:spacing w:line="360" w:lineRule="auto"/>
        <w:ind w:left="1475" w:firstLine="685"/>
        <w:jc w:val="both"/>
        <w:rPr>
          <w:rFonts w:ascii="David" w:hAnsi="David" w:cs="David"/>
          <w:sz w:val="24"/>
          <w:szCs w:val="24"/>
          <w:u w:val="none"/>
          <w:rtl/>
        </w:rPr>
      </w:pPr>
      <w:r>
        <w:rPr>
          <w:rFonts w:ascii="David" w:hAnsi="David" w:cs="David"/>
          <w:sz w:val="24"/>
          <w:szCs w:val="24"/>
          <w:u w:val="none"/>
          <w:rtl/>
        </w:rPr>
        <w:t>עו"ד בנמלך</w:t>
      </w:r>
      <w:r>
        <w:rPr>
          <w:rFonts w:ascii="David" w:hAnsi="David" w:cs="David"/>
          <w:spacing w:val="-50"/>
          <w:sz w:val="24"/>
          <w:szCs w:val="24"/>
          <w:u w:val="none"/>
          <w:rtl/>
        </w:rPr>
        <w:t xml:space="preserve"> :</w:t>
      </w:r>
      <w:r>
        <w:rPr>
          <w:rFonts w:ascii="David" w:hAnsi="David" w:cs="David"/>
          <w:sz w:val="24"/>
          <w:szCs w:val="24"/>
          <w:u w:val="none"/>
          <w:rtl/>
        </w:rPr>
        <w:tab/>
      </w:r>
      <w:r>
        <w:rPr>
          <w:rFonts w:ascii="David" w:hAnsi="David" w:cs="David"/>
          <w:sz w:val="24"/>
          <w:szCs w:val="24"/>
          <w:u w:val="none"/>
          <w:rtl/>
        </w:rPr>
        <w:tab/>
        <w:t>או קיי,</w:t>
      </w:r>
      <w:bookmarkStart w:id="11" w:name="_ETM_Q_1826272"/>
      <w:bookmarkEnd w:id="11"/>
      <w:r>
        <w:rPr>
          <w:rFonts w:ascii="David" w:hAnsi="David" w:cs="David"/>
          <w:sz w:val="24"/>
          <w:szCs w:val="24"/>
          <w:u w:val="none"/>
          <w:rtl/>
        </w:rPr>
        <w:t xml:space="preserve"> אז אתה לא בדקת בדיקת היתכנות, נכון? </w:t>
      </w:r>
    </w:p>
    <w:p w:rsidR="000C53C9" w:rsidRDefault="000C53C9" w:rsidP="000C53C9">
      <w:pPr>
        <w:pStyle w:val="ad"/>
        <w:shd w:val="clear" w:color="auto" w:fill="auto"/>
        <w:spacing w:line="360" w:lineRule="auto"/>
        <w:ind w:left="4320" w:hanging="2160"/>
        <w:jc w:val="both"/>
        <w:rPr>
          <w:rFonts w:ascii="David" w:eastAsia="Calibri" w:hAnsi="David" w:cs="David"/>
          <w:sz w:val="24"/>
          <w:szCs w:val="24"/>
          <w:u w:val="none"/>
        </w:rPr>
      </w:pPr>
      <w:r>
        <w:rPr>
          <w:rFonts w:ascii="David" w:hAnsi="David" w:cs="David"/>
          <w:sz w:val="24"/>
          <w:szCs w:val="24"/>
          <w:u w:val="none"/>
          <w:rtl/>
        </w:rPr>
        <w:t>העד, מר אהרוני</w:t>
      </w:r>
      <w:r>
        <w:rPr>
          <w:rFonts w:ascii="David" w:hAnsi="David" w:cs="David"/>
          <w:spacing w:val="-50"/>
          <w:sz w:val="24"/>
          <w:szCs w:val="24"/>
          <w:u w:val="none"/>
          <w:rtl/>
        </w:rPr>
        <w:t xml:space="preserve"> :</w:t>
      </w:r>
      <w:r>
        <w:rPr>
          <w:rFonts w:ascii="David" w:hAnsi="David" w:cs="David"/>
          <w:sz w:val="24"/>
          <w:szCs w:val="24"/>
          <w:u w:val="none"/>
          <w:rtl/>
        </w:rPr>
        <w:tab/>
      </w:r>
      <w:r>
        <w:rPr>
          <w:rFonts w:ascii="David" w:hAnsi="David" w:cs="David"/>
          <w:sz w:val="24"/>
          <w:szCs w:val="24"/>
          <w:rtl/>
        </w:rPr>
        <w:t>הנושא של כשרות</w:t>
      </w:r>
      <w:bookmarkStart w:id="12" w:name="_ETM_Q_1828513"/>
      <w:bookmarkEnd w:id="12"/>
      <w:r>
        <w:rPr>
          <w:rFonts w:ascii="David" w:hAnsi="David" w:cs="David"/>
          <w:sz w:val="24"/>
          <w:szCs w:val="24"/>
          <w:rtl/>
        </w:rPr>
        <w:t xml:space="preserve"> לא</w:t>
      </w:r>
      <w:r>
        <w:rPr>
          <w:rFonts w:ascii="David" w:hAnsi="David" w:cs="David"/>
          <w:sz w:val="24"/>
          <w:szCs w:val="24"/>
          <w:u w:val="none"/>
          <w:rtl/>
        </w:rPr>
        <w:t>, עשינו הרבה מאוד אירועים גם במסעדות שהיו כשרות</w:t>
      </w:r>
      <w:bookmarkStart w:id="13" w:name="_ETM_Q_1835355"/>
      <w:bookmarkEnd w:id="13"/>
      <w:r>
        <w:rPr>
          <w:rFonts w:ascii="David" w:hAnsi="David" w:cs="David"/>
          <w:sz w:val="24"/>
          <w:szCs w:val="24"/>
          <w:u w:val="none"/>
          <w:rtl/>
        </w:rPr>
        <w:t xml:space="preserve"> לא בגלל שהן כשרות או לא. </w:t>
      </w:r>
      <w:r>
        <w:rPr>
          <w:rFonts w:ascii="David" w:hAnsi="David" w:cs="David"/>
          <w:sz w:val="24"/>
          <w:szCs w:val="24"/>
          <w:rtl/>
        </w:rPr>
        <w:t>אנחנו, יש</w:t>
      </w:r>
      <w:bookmarkStart w:id="14" w:name="_ETM_Q_1837938"/>
      <w:bookmarkEnd w:id="14"/>
      <w:r>
        <w:rPr>
          <w:rFonts w:ascii="David" w:hAnsi="David" w:cs="David"/>
          <w:sz w:val="24"/>
          <w:szCs w:val="24"/>
          <w:rtl/>
        </w:rPr>
        <w:t xml:space="preserve"> לנו קריטריונים שהסכמתי שהכשרות היא לא אחת מהן</w:t>
      </w:r>
      <w:r>
        <w:rPr>
          <w:rFonts w:hint="cs"/>
          <w:u w:val="none"/>
          <w:rtl/>
        </w:rPr>
        <w:t>.</w:t>
      </w:r>
    </w:p>
    <w:p w:rsidR="000C53C9" w:rsidRDefault="000C53C9" w:rsidP="000C53C9">
      <w:pPr>
        <w:pStyle w:val="af"/>
        <w:spacing w:line="360" w:lineRule="auto"/>
        <w:ind w:left="-172"/>
        <w:jc w:val="both"/>
        <w:rPr>
          <w:rFonts w:ascii="David" w:eastAsia="Calibri" w:hAnsi="David" w:cs="David"/>
          <w:b/>
          <w:bCs/>
          <w:sz w:val="24"/>
          <w:szCs w:val="24"/>
          <w:rtl/>
        </w:rPr>
      </w:pPr>
    </w:p>
    <w:p w:rsidR="000C53C9" w:rsidRDefault="000C53C9" w:rsidP="000C53C9">
      <w:pPr>
        <w:pStyle w:val="af"/>
        <w:spacing w:line="360" w:lineRule="auto"/>
        <w:ind w:hanging="720"/>
        <w:jc w:val="both"/>
        <w:rPr>
          <w:rFonts w:ascii="David" w:eastAsia="Calibri" w:hAnsi="David" w:cs="David"/>
          <w:sz w:val="24"/>
          <w:szCs w:val="24"/>
          <w:rtl/>
        </w:rPr>
      </w:pPr>
      <w:r>
        <w:rPr>
          <w:rFonts w:ascii="David" w:eastAsia="Calibri" w:hAnsi="David" w:cs="David"/>
          <w:b/>
          <w:bCs/>
          <w:sz w:val="24"/>
          <w:szCs w:val="24"/>
          <w:rtl/>
        </w:rPr>
        <w:tab/>
      </w:r>
      <w:r>
        <w:rPr>
          <w:rFonts w:ascii="David" w:eastAsia="Calibri" w:hAnsi="David" w:cs="David"/>
          <w:sz w:val="24"/>
          <w:szCs w:val="24"/>
          <w:rtl/>
        </w:rPr>
        <w:t>ואין מדובר בפליטת פה או באי הבנה, שכן נציג האוניברסיטה הבהיר פעם אחר פעם שהאוניברסיטה כלל לא התייחסה לשאלת הכשרות. נציג האוניברסיטה אף הבהיר זאת בשאלה ישירה נוספת (ע"מ 92, שורות 19-20 לפרוטוקול):</w:t>
      </w:r>
    </w:p>
    <w:p w:rsidR="000C53C9" w:rsidRDefault="000C53C9" w:rsidP="000C53C9">
      <w:pPr>
        <w:pStyle w:val="ad"/>
        <w:shd w:val="clear" w:color="auto" w:fill="auto"/>
        <w:spacing w:line="360" w:lineRule="auto"/>
        <w:ind w:left="1475" w:firstLine="685"/>
        <w:jc w:val="both"/>
        <w:rPr>
          <w:rFonts w:cs="David"/>
          <w:sz w:val="24"/>
          <w:szCs w:val="24"/>
          <w:u w:val="none"/>
          <w:rtl/>
        </w:rPr>
      </w:pPr>
      <w:r>
        <w:rPr>
          <w:rFonts w:cs="David"/>
          <w:sz w:val="24"/>
          <w:szCs w:val="24"/>
          <w:u w:val="none"/>
          <w:rtl/>
        </w:rPr>
        <w:t>כב' הש' ברקאי</w:t>
      </w:r>
      <w:r>
        <w:rPr>
          <w:rFonts w:cs="David"/>
          <w:spacing w:val="-50"/>
          <w:sz w:val="24"/>
          <w:szCs w:val="24"/>
          <w:u w:val="none"/>
          <w:rtl/>
        </w:rPr>
        <w:t xml:space="preserve"> :</w:t>
      </w:r>
      <w:r>
        <w:rPr>
          <w:rFonts w:cs="David"/>
          <w:sz w:val="24"/>
          <w:szCs w:val="24"/>
          <w:u w:val="none"/>
          <w:rtl/>
        </w:rPr>
        <w:tab/>
      </w:r>
      <w:r>
        <w:rPr>
          <w:rFonts w:cs="David"/>
          <w:sz w:val="24"/>
          <w:szCs w:val="24"/>
          <w:u w:val="none"/>
          <w:rtl/>
        </w:rPr>
        <w:tab/>
        <w:t xml:space="preserve">שאלת הכשרות הייתה פרמטר? </w:t>
      </w:r>
    </w:p>
    <w:p w:rsidR="000C53C9" w:rsidRDefault="000C53C9" w:rsidP="000C53C9">
      <w:pPr>
        <w:pStyle w:val="ad"/>
        <w:shd w:val="clear" w:color="auto" w:fill="auto"/>
        <w:spacing w:line="360" w:lineRule="auto"/>
        <w:ind w:left="1475" w:firstLine="685"/>
        <w:jc w:val="both"/>
        <w:rPr>
          <w:rFonts w:cs="David"/>
          <w:sz w:val="24"/>
          <w:szCs w:val="24"/>
          <w:u w:val="none"/>
        </w:rPr>
      </w:pPr>
      <w:r>
        <w:rPr>
          <w:rFonts w:cs="David"/>
          <w:sz w:val="24"/>
          <w:szCs w:val="24"/>
          <w:u w:val="none"/>
          <w:rtl/>
        </w:rPr>
        <w:t>העד, מר אהרוני</w:t>
      </w:r>
      <w:r>
        <w:rPr>
          <w:rFonts w:cs="David"/>
          <w:spacing w:val="-50"/>
          <w:sz w:val="24"/>
          <w:szCs w:val="24"/>
          <w:u w:val="none"/>
          <w:rtl/>
        </w:rPr>
        <w:t xml:space="preserve"> :</w:t>
      </w:r>
      <w:r>
        <w:rPr>
          <w:rFonts w:cs="David"/>
          <w:sz w:val="24"/>
          <w:szCs w:val="24"/>
          <w:u w:val="none"/>
          <w:rtl/>
        </w:rPr>
        <w:tab/>
        <w:t xml:space="preserve">לא. </w:t>
      </w:r>
    </w:p>
    <w:p w:rsidR="000C53C9" w:rsidRDefault="000C53C9" w:rsidP="000C53C9">
      <w:pPr>
        <w:pStyle w:val="af"/>
        <w:spacing w:line="360" w:lineRule="auto"/>
        <w:ind w:hanging="720"/>
        <w:jc w:val="both"/>
        <w:rPr>
          <w:rFonts w:ascii="David" w:eastAsia="Calibri" w:hAnsi="David" w:cs="David"/>
          <w:sz w:val="24"/>
          <w:szCs w:val="24"/>
          <w:rtl/>
        </w:rPr>
      </w:pPr>
    </w:p>
    <w:p w:rsidR="000C53C9" w:rsidRDefault="000C53C9" w:rsidP="000C53C9">
      <w:pPr>
        <w:pStyle w:val="af"/>
        <w:spacing w:line="360" w:lineRule="auto"/>
        <w:ind w:hanging="720"/>
        <w:jc w:val="both"/>
        <w:rPr>
          <w:rFonts w:ascii="David" w:eastAsia="Calibri" w:hAnsi="David" w:cs="David"/>
          <w:sz w:val="24"/>
          <w:szCs w:val="24"/>
          <w:rtl/>
        </w:rPr>
      </w:pPr>
      <w:r>
        <w:rPr>
          <w:rFonts w:ascii="David" w:eastAsia="Calibri" w:hAnsi="David" w:cs="David"/>
          <w:sz w:val="24"/>
          <w:szCs w:val="24"/>
          <w:rtl/>
        </w:rPr>
        <w:tab/>
        <w:t>ונציג האוניברסיטה שב והבהיר ש</w:t>
      </w:r>
      <w:r>
        <w:rPr>
          <w:rFonts w:ascii="David" w:eastAsia="Calibri" w:hAnsi="David" w:cs="David"/>
          <w:b/>
          <w:bCs/>
          <w:sz w:val="24"/>
          <w:szCs w:val="24"/>
          <w:rtl/>
        </w:rPr>
        <w:t>"מעולם"</w:t>
      </w:r>
      <w:r>
        <w:rPr>
          <w:rFonts w:ascii="David" w:eastAsia="Calibri" w:hAnsi="David" w:cs="David"/>
          <w:sz w:val="24"/>
          <w:szCs w:val="24"/>
          <w:rtl/>
        </w:rPr>
        <w:t xml:space="preserve"> לא הייתה התייחסות לשאלת הכשרות. נראה שדווקא האוניברסיטה נתנה דעתה רק לשאלת הטעם הקולינארי וחווית האכילה במסעדה, וכך העיד ביחס לבחירת המסעדות באירועים תוך שהוא מייחס לעצמו את בחירת המסעדות (ע"מ 105 לפרוטוקול, שורה 29 ואילך, ההדגשות לא במקור):</w:t>
      </w:r>
      <w:r>
        <w:rPr>
          <w:rFonts w:ascii="David" w:eastAsia="Calibri" w:hAnsi="David" w:cs="David"/>
          <w:sz w:val="24"/>
          <w:szCs w:val="24"/>
          <w:u w:val="single"/>
          <w:rtl/>
        </w:rPr>
        <w:t xml:space="preserve"> </w:t>
      </w:r>
    </w:p>
    <w:p w:rsidR="000C53C9" w:rsidRDefault="000C53C9" w:rsidP="000C53C9">
      <w:pPr>
        <w:pStyle w:val="ad"/>
        <w:shd w:val="clear" w:color="auto" w:fill="auto"/>
        <w:spacing w:line="360" w:lineRule="auto"/>
        <w:ind w:left="4320" w:hanging="2160"/>
        <w:jc w:val="both"/>
        <w:rPr>
          <w:rFonts w:cs="David"/>
          <w:sz w:val="24"/>
          <w:szCs w:val="24"/>
          <w:u w:val="none"/>
          <w:rtl/>
        </w:rPr>
      </w:pPr>
      <w:r>
        <w:rPr>
          <w:rFonts w:cs="David"/>
          <w:sz w:val="24"/>
          <w:szCs w:val="24"/>
          <w:u w:val="none"/>
          <w:rtl/>
        </w:rPr>
        <w:t>"העד, מר אהרוני</w:t>
      </w:r>
      <w:r>
        <w:rPr>
          <w:rFonts w:cs="David"/>
          <w:spacing w:val="-50"/>
          <w:sz w:val="24"/>
          <w:szCs w:val="24"/>
          <w:u w:val="none"/>
          <w:rtl/>
        </w:rPr>
        <w:t xml:space="preserve"> :</w:t>
      </w:r>
      <w:r>
        <w:rPr>
          <w:rFonts w:cs="David"/>
          <w:sz w:val="24"/>
          <w:szCs w:val="24"/>
          <w:u w:val="none"/>
          <w:rtl/>
        </w:rPr>
        <w:tab/>
        <w:t>התשובה היא שאם מסעדות</w:t>
      </w:r>
      <w:bookmarkStart w:id="15" w:name="_ETM_Q_3276791"/>
      <w:bookmarkEnd w:id="15"/>
      <w:r>
        <w:rPr>
          <w:rFonts w:cs="David"/>
          <w:sz w:val="24"/>
          <w:szCs w:val="24"/>
          <w:u w:val="none"/>
          <w:rtl/>
        </w:rPr>
        <w:t xml:space="preserve"> יהיו ברמה שלא יהיו בהתאם לדרישות של המשלחות, זה עלול</w:t>
      </w:r>
      <w:bookmarkStart w:id="16" w:name="_ETM_Q_3284159"/>
      <w:bookmarkEnd w:id="16"/>
      <w:r>
        <w:rPr>
          <w:rFonts w:cs="David"/>
          <w:sz w:val="24"/>
          <w:szCs w:val="24"/>
          <w:u w:val="none"/>
          <w:rtl/>
        </w:rPr>
        <w:t xml:space="preserve"> לפגוע בהגעה של המשלחות. </w:t>
      </w:r>
      <w:r>
        <w:rPr>
          <w:rFonts w:cs="David"/>
          <w:sz w:val="24"/>
          <w:szCs w:val="24"/>
          <w:rtl/>
        </w:rPr>
        <w:t>מעולם לא דיברנו על</w:t>
      </w:r>
      <w:bookmarkStart w:id="17" w:name="_ETM_Q_3290925"/>
      <w:bookmarkEnd w:id="17"/>
      <w:r>
        <w:rPr>
          <w:rFonts w:cs="David"/>
          <w:sz w:val="24"/>
          <w:szCs w:val="24"/>
          <w:rtl/>
        </w:rPr>
        <w:t xml:space="preserve"> כן כשר, לא כשר</w:t>
      </w:r>
      <w:r>
        <w:rPr>
          <w:rFonts w:cs="David"/>
          <w:sz w:val="24"/>
          <w:szCs w:val="24"/>
          <w:u w:val="none"/>
          <w:rtl/>
        </w:rPr>
        <w:t xml:space="preserve">. מאותה סיבה שלא </w:t>
      </w:r>
      <w:r>
        <w:rPr>
          <w:rFonts w:cs="David"/>
          <w:sz w:val="24"/>
          <w:szCs w:val="24"/>
          <w:rtl/>
        </w:rPr>
        <w:t>ערכתי</w:t>
      </w:r>
      <w:r>
        <w:rPr>
          <w:rFonts w:cs="David"/>
          <w:sz w:val="24"/>
          <w:szCs w:val="24"/>
          <w:u w:val="none"/>
          <w:rtl/>
        </w:rPr>
        <w:t xml:space="preserve"> את האירוע</w:t>
      </w:r>
      <w:bookmarkStart w:id="18" w:name="_ETM_Q_3292828"/>
      <w:bookmarkEnd w:id="18"/>
      <w:r>
        <w:rPr>
          <w:rFonts w:cs="David"/>
          <w:sz w:val="24"/>
          <w:szCs w:val="24"/>
          <w:u w:val="none"/>
          <w:rtl/>
        </w:rPr>
        <w:t xml:space="preserve"> הזה גם במסעדה טבעונית. כי סינים אוהבים לאכול בשר,</w:t>
      </w:r>
      <w:bookmarkStart w:id="19" w:name="_ETM_Q_3299070"/>
      <w:bookmarkEnd w:id="19"/>
      <w:r>
        <w:rPr>
          <w:rFonts w:cs="David"/>
          <w:sz w:val="24"/>
          <w:szCs w:val="24"/>
          <w:u w:val="none"/>
          <w:rtl/>
        </w:rPr>
        <w:t xml:space="preserve"> אז לא ערכתי את זה במסעדה טבעונית," </w:t>
      </w:r>
    </w:p>
    <w:p w:rsidR="000C53C9" w:rsidRDefault="000C53C9" w:rsidP="000C53C9">
      <w:pPr>
        <w:pStyle w:val="af"/>
        <w:spacing w:line="360" w:lineRule="auto"/>
        <w:ind w:hanging="720"/>
        <w:jc w:val="both"/>
        <w:rPr>
          <w:rFonts w:ascii="David" w:eastAsia="Calibri" w:hAnsi="David" w:cs="David"/>
          <w:sz w:val="24"/>
          <w:szCs w:val="24"/>
        </w:rPr>
      </w:pPr>
    </w:p>
    <w:p w:rsidR="000C53C9" w:rsidRDefault="000C53C9" w:rsidP="000C53C9">
      <w:pPr>
        <w:pStyle w:val="af"/>
        <w:spacing w:line="360" w:lineRule="auto"/>
        <w:ind w:hanging="720"/>
        <w:jc w:val="both"/>
        <w:rPr>
          <w:rFonts w:ascii="David" w:eastAsia="Calibri" w:hAnsi="David" w:cs="David"/>
          <w:sz w:val="24"/>
          <w:szCs w:val="24"/>
          <w:rtl/>
        </w:rPr>
      </w:pPr>
      <w:r>
        <w:rPr>
          <w:rFonts w:ascii="David" w:eastAsia="Calibri" w:hAnsi="David" w:cs="David"/>
          <w:sz w:val="24"/>
          <w:szCs w:val="24"/>
          <w:rtl/>
        </w:rPr>
        <w:tab/>
        <w:t>ואם היה ספק, הרי נציג האוניברסיטה לא היסס להבהיר שאפילו לאחר בקשותיו של התובע – האוניברסיטה התעלמה לחלוטין וכלל לא התייחסה לשאלת הכשרות. וכך נשאל והשיב נציג האוניברסיטה (ע"מ 106 לפרוטוקול, שורות 19 ואילך, ההדגשות לא במקור):</w:t>
      </w:r>
    </w:p>
    <w:p w:rsidR="000C53C9" w:rsidRDefault="000C53C9" w:rsidP="000C53C9">
      <w:pPr>
        <w:pStyle w:val="ad"/>
        <w:shd w:val="clear" w:color="auto" w:fill="auto"/>
        <w:spacing w:line="360" w:lineRule="auto"/>
        <w:ind w:left="4320" w:hanging="2160"/>
        <w:jc w:val="both"/>
        <w:rPr>
          <w:rFonts w:cs="David"/>
          <w:sz w:val="24"/>
          <w:szCs w:val="24"/>
          <w:u w:val="none"/>
          <w:rtl/>
        </w:rPr>
      </w:pPr>
      <w:r>
        <w:rPr>
          <w:rFonts w:cs="David"/>
          <w:sz w:val="24"/>
          <w:szCs w:val="24"/>
          <w:u w:val="none"/>
          <w:rtl/>
        </w:rPr>
        <w:t>"עו"ד בנמלך</w:t>
      </w:r>
      <w:r>
        <w:rPr>
          <w:rFonts w:cs="David"/>
          <w:spacing w:val="-50"/>
          <w:sz w:val="24"/>
          <w:szCs w:val="24"/>
          <w:u w:val="none"/>
          <w:rtl/>
        </w:rPr>
        <w:t xml:space="preserve"> :</w:t>
      </w:r>
      <w:r>
        <w:rPr>
          <w:rFonts w:cs="David"/>
          <w:sz w:val="24"/>
          <w:szCs w:val="24"/>
          <w:u w:val="none"/>
          <w:rtl/>
        </w:rPr>
        <w:tab/>
        <w:t>אז אני שואל אותך, האם בתקופה</w:t>
      </w:r>
      <w:bookmarkStart w:id="20" w:name="_ETM_Q_3357239"/>
      <w:bookmarkEnd w:id="20"/>
      <w:r>
        <w:rPr>
          <w:rFonts w:cs="David"/>
          <w:sz w:val="24"/>
          <w:szCs w:val="24"/>
          <w:u w:val="none"/>
          <w:rtl/>
        </w:rPr>
        <w:t xml:space="preserve"> </w:t>
      </w:r>
      <w:r>
        <w:rPr>
          <w:rFonts w:cs="David"/>
          <w:sz w:val="24"/>
          <w:szCs w:val="24"/>
          <w:rtl/>
        </w:rPr>
        <w:t>שחלפה</w:t>
      </w:r>
      <w:r>
        <w:rPr>
          <w:rFonts w:cs="David"/>
          <w:sz w:val="24"/>
          <w:szCs w:val="24"/>
          <w:u w:val="none"/>
          <w:rtl/>
        </w:rPr>
        <w:t xml:space="preserve"> מאז הפניות של עדי, במהלך השנתיים האחרונות כאשר התובענה</w:t>
      </w:r>
      <w:bookmarkStart w:id="21" w:name="_ETM_Q_3360761"/>
      <w:bookmarkEnd w:id="21"/>
      <w:r>
        <w:rPr>
          <w:rFonts w:cs="David"/>
          <w:sz w:val="24"/>
          <w:szCs w:val="24"/>
          <w:u w:val="none"/>
          <w:rtl/>
        </w:rPr>
        <w:t xml:space="preserve"> הזאת נטושה בינינו, </w:t>
      </w:r>
      <w:r>
        <w:rPr>
          <w:rFonts w:cs="David"/>
          <w:sz w:val="24"/>
          <w:szCs w:val="24"/>
          <w:rtl/>
        </w:rPr>
        <w:t>האם ביצעת איזושהי בדיקה, ערכת</w:t>
      </w:r>
      <w:bookmarkStart w:id="22" w:name="_ETM_Q_3366816"/>
      <w:bookmarkEnd w:id="22"/>
      <w:r>
        <w:rPr>
          <w:rFonts w:cs="David"/>
          <w:sz w:val="24"/>
          <w:szCs w:val="24"/>
          <w:rtl/>
        </w:rPr>
        <w:t xml:space="preserve"> איזשהו אירוע במקום כשר? בדקת היתכנות של מסעדה כשרה?</w:t>
      </w:r>
    </w:p>
    <w:p w:rsidR="000C53C9" w:rsidRDefault="000C53C9" w:rsidP="000C53C9">
      <w:pPr>
        <w:pStyle w:val="ad"/>
        <w:shd w:val="clear" w:color="auto" w:fill="auto"/>
        <w:spacing w:line="360" w:lineRule="auto"/>
        <w:ind w:left="4320" w:hanging="2160"/>
        <w:jc w:val="both"/>
        <w:rPr>
          <w:rFonts w:cs="David"/>
          <w:sz w:val="24"/>
          <w:szCs w:val="24"/>
          <w:u w:val="none"/>
          <w:rtl/>
        </w:rPr>
      </w:pPr>
      <w:r>
        <w:rPr>
          <w:rFonts w:cs="David"/>
          <w:sz w:val="24"/>
          <w:szCs w:val="24"/>
          <w:u w:val="none"/>
          <w:rtl/>
        </w:rPr>
        <w:t xml:space="preserve">... </w:t>
      </w:r>
      <w:bookmarkStart w:id="23" w:name="_ETM_Q_3370888"/>
      <w:bookmarkEnd w:id="23"/>
    </w:p>
    <w:p w:rsidR="000C53C9" w:rsidRDefault="000C53C9" w:rsidP="000C53C9">
      <w:pPr>
        <w:pStyle w:val="ad"/>
        <w:shd w:val="clear" w:color="auto" w:fill="auto"/>
        <w:spacing w:line="360" w:lineRule="auto"/>
        <w:ind w:left="4320" w:hanging="2160"/>
        <w:jc w:val="both"/>
        <w:rPr>
          <w:rFonts w:cs="David"/>
          <w:sz w:val="24"/>
          <w:szCs w:val="24"/>
          <w:u w:val="none"/>
        </w:rPr>
      </w:pPr>
      <w:bookmarkStart w:id="24" w:name="_ETM_Q_3379280"/>
      <w:bookmarkEnd w:id="24"/>
      <w:r>
        <w:rPr>
          <w:rFonts w:cs="David"/>
          <w:sz w:val="24"/>
          <w:szCs w:val="24"/>
          <w:u w:val="none"/>
          <w:rtl/>
        </w:rPr>
        <w:t>העד, מר אהרוני</w:t>
      </w:r>
      <w:r>
        <w:rPr>
          <w:rFonts w:cs="David"/>
          <w:spacing w:val="-50"/>
          <w:sz w:val="24"/>
          <w:szCs w:val="24"/>
          <w:u w:val="none"/>
          <w:rtl/>
        </w:rPr>
        <w:t xml:space="preserve"> :</w:t>
      </w:r>
      <w:r>
        <w:rPr>
          <w:rFonts w:cs="David"/>
          <w:sz w:val="24"/>
          <w:szCs w:val="24"/>
          <w:u w:val="none"/>
          <w:rtl/>
        </w:rPr>
        <w:tab/>
        <w:t xml:space="preserve">אני יכול לענות, צריך לשאול את יועצי המשפטי, </w:t>
      </w:r>
      <w:r>
        <w:rPr>
          <w:rFonts w:cs="David"/>
          <w:sz w:val="24"/>
          <w:szCs w:val="24"/>
          <w:rtl/>
        </w:rPr>
        <w:t xml:space="preserve">אנחנו כל הזמן בודקים מקומות אלטרנטיביים, כאשר הנושא של הכשרות כן או לא, הוא לא היה פקטור, </w:t>
      </w:r>
      <w:bookmarkStart w:id="25" w:name="_ETM_Q_3388249"/>
      <w:bookmarkEnd w:id="25"/>
    </w:p>
    <w:p w:rsidR="000C53C9" w:rsidRDefault="000C53C9" w:rsidP="000C53C9">
      <w:pPr>
        <w:pStyle w:val="af"/>
        <w:spacing w:line="360" w:lineRule="auto"/>
        <w:ind w:hanging="720"/>
        <w:jc w:val="both"/>
        <w:rPr>
          <w:rFonts w:ascii="David" w:eastAsia="Calibri" w:hAnsi="David" w:cs="David"/>
          <w:sz w:val="24"/>
          <w:szCs w:val="24"/>
          <w:rtl/>
        </w:rPr>
      </w:pPr>
    </w:p>
    <w:p w:rsidR="005824D9" w:rsidRDefault="000C53C9" w:rsidP="000C53C9">
      <w:pPr>
        <w:pStyle w:val="af"/>
        <w:spacing w:line="360" w:lineRule="auto"/>
        <w:ind w:hanging="720"/>
        <w:jc w:val="both"/>
        <w:rPr>
          <w:rFonts w:ascii="David" w:eastAsia="Calibri" w:hAnsi="David" w:cs="David"/>
          <w:sz w:val="24"/>
          <w:szCs w:val="24"/>
          <w:rtl/>
        </w:rPr>
      </w:pPr>
      <w:r>
        <w:rPr>
          <w:rFonts w:ascii="David" w:eastAsia="Calibri" w:hAnsi="David" w:cs="David"/>
          <w:sz w:val="24"/>
          <w:szCs w:val="24"/>
          <w:rtl/>
        </w:rPr>
        <w:tab/>
        <w:t>דבריו של נציג האוניברסיטה ברורים וחד משמעיים. האוניברסיטה אכן התעלמה במכוון משאלת הכשרות. האוניברסיטה מקפידה לבדוק "כל הזמן מקומות אלטרנטיביים" כאשר נושא הכשרות "לא היה פקטור". האוניברסיטה התעלמה לחלוטין משאלת הכשרות גם לפני בקשותיו של התובע וגם לאחריהן. בכך גם התעלמה האוניברסיטה מציבור הסטודנטים המייחס חשיבות לכשרות.</w:t>
      </w:r>
    </w:p>
    <w:p w:rsidR="000C53C9" w:rsidRDefault="000C53C9" w:rsidP="000C53C9">
      <w:pPr>
        <w:pStyle w:val="af"/>
        <w:spacing w:line="360" w:lineRule="auto"/>
        <w:ind w:hanging="720"/>
        <w:jc w:val="both"/>
        <w:rPr>
          <w:rFonts w:ascii="David" w:eastAsia="Calibri" w:hAnsi="David" w:cs="David"/>
          <w:sz w:val="24"/>
          <w:szCs w:val="24"/>
          <w:rtl/>
        </w:rPr>
      </w:pPr>
      <w:r>
        <w:rPr>
          <w:rFonts w:ascii="David" w:eastAsia="Calibri" w:hAnsi="David" w:cs="David"/>
          <w:sz w:val="24"/>
          <w:szCs w:val="24"/>
          <w:rtl/>
        </w:rPr>
        <w:t xml:space="preserve">  </w:t>
      </w:r>
      <w:r>
        <w:rPr>
          <w:rFonts w:ascii="David" w:eastAsia="Calibri" w:hAnsi="David" w:cs="David"/>
          <w:sz w:val="24"/>
          <w:szCs w:val="24"/>
          <w:rtl/>
        </w:rPr>
        <w:tab/>
      </w:r>
    </w:p>
    <w:p w:rsidR="000C53C9" w:rsidRDefault="000C53C9" w:rsidP="000C53C9">
      <w:pPr>
        <w:pStyle w:val="af"/>
        <w:numPr>
          <w:ilvl w:val="1"/>
          <w:numId w:val="1"/>
        </w:numPr>
        <w:spacing w:line="360" w:lineRule="auto"/>
        <w:ind w:left="395" w:hanging="567"/>
        <w:jc w:val="both"/>
        <w:rPr>
          <w:rFonts w:ascii="David" w:eastAsia="Calibri" w:hAnsi="David" w:cs="David"/>
          <w:b/>
          <w:bCs/>
          <w:sz w:val="24"/>
          <w:szCs w:val="24"/>
          <w:u w:val="single"/>
          <w:rtl/>
        </w:rPr>
      </w:pPr>
      <w:r>
        <w:rPr>
          <w:rFonts w:ascii="David" w:eastAsia="Calibri" w:hAnsi="David" w:cs="David"/>
          <w:b/>
          <w:bCs/>
          <w:sz w:val="24"/>
          <w:szCs w:val="24"/>
          <w:u w:val="single"/>
          <w:rtl/>
        </w:rPr>
        <w:t>הבחירה במסעדות לא כשרות הייתה בחירה מודעת. אין מדובר בהחלטה עצמאית של קבוצת סטודנטים מסין</w:t>
      </w:r>
    </w:p>
    <w:p w:rsidR="000C53C9" w:rsidRDefault="000C53C9" w:rsidP="005824D9">
      <w:pPr>
        <w:pStyle w:val="af"/>
        <w:numPr>
          <w:ilvl w:val="0"/>
          <w:numId w:val="12"/>
        </w:numPr>
        <w:spacing w:line="360" w:lineRule="auto"/>
        <w:jc w:val="both"/>
        <w:rPr>
          <w:rFonts w:ascii="David" w:eastAsia="Calibri" w:hAnsi="David" w:cs="David"/>
          <w:sz w:val="24"/>
          <w:szCs w:val="24"/>
        </w:rPr>
      </w:pPr>
      <w:r>
        <w:rPr>
          <w:rFonts w:ascii="David" w:eastAsia="Calibri" w:hAnsi="David" w:cs="David"/>
          <w:sz w:val="24"/>
          <w:szCs w:val="24"/>
          <w:rtl/>
        </w:rPr>
        <w:t xml:space="preserve">נציג האוניברסיטה הבהיר שהוא זה שבחר את המסעדות שאינן כשרות. בניגוד לעמדה שניסתה להציג האוניברסיטה – הרי </w:t>
      </w:r>
      <w:r>
        <w:rPr>
          <w:rFonts w:ascii="David" w:eastAsia="Calibri" w:hAnsi="David" w:cs="David"/>
          <w:sz w:val="24"/>
          <w:szCs w:val="24"/>
          <w:u w:val="single"/>
          <w:rtl/>
        </w:rPr>
        <w:t xml:space="preserve">אין </w:t>
      </w:r>
      <w:r>
        <w:rPr>
          <w:rFonts w:ascii="David" w:eastAsia="Calibri" w:hAnsi="David" w:cs="David"/>
          <w:sz w:val="24"/>
          <w:szCs w:val="24"/>
          <w:rtl/>
        </w:rPr>
        <w:t>מדובר בבחירה של ציבור הסטודנטים הסיני. הבחירה במסעדות שאינן כשרות נעשתה על ידי האוניברסיטה עצמה והנציג מטעמה.</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0"/>
          <w:numId w:val="12"/>
        </w:numPr>
        <w:spacing w:line="360" w:lineRule="auto"/>
        <w:jc w:val="both"/>
        <w:rPr>
          <w:rFonts w:ascii="David" w:eastAsia="Calibri" w:hAnsi="David" w:cs="David"/>
          <w:sz w:val="24"/>
          <w:szCs w:val="24"/>
          <w:rtl/>
        </w:rPr>
      </w:pPr>
      <w:r>
        <w:rPr>
          <w:rFonts w:ascii="David" w:eastAsia="Calibri" w:hAnsi="David" w:cs="David"/>
          <w:sz w:val="24"/>
          <w:szCs w:val="24"/>
          <w:rtl/>
        </w:rPr>
        <w:t>מדברי נציג האוניברסיטה עלתה תמונה ברורה לפיה האוניברסיטה ולמעשה הוא, היו אלה שמשכו בחוטי הבחירה וקבעו באיזו מסעדות ייערכו האירועים. וכך בשטף הסבריו של נציג האוניברסיטה, הוא הבהיר שבחירת הצעות למסעדות הייתה של האוניברסיטה ושלו עצמו אשר הציע את המסעדות וכלשונו (ע"מ 88 שורות 23 ואילך, ההדגשות לא במקור):</w:t>
      </w:r>
    </w:p>
    <w:p w:rsidR="000C53C9" w:rsidRDefault="000C53C9" w:rsidP="000C53C9">
      <w:pPr>
        <w:pStyle w:val="ad"/>
        <w:shd w:val="clear" w:color="auto" w:fill="auto"/>
        <w:spacing w:line="360" w:lineRule="auto"/>
        <w:ind w:left="4320" w:hanging="2160"/>
        <w:jc w:val="both"/>
        <w:rPr>
          <w:rFonts w:ascii="David" w:eastAsia="Calibri" w:hAnsi="David" w:cs="David"/>
          <w:sz w:val="24"/>
          <w:szCs w:val="24"/>
          <w:u w:val="none"/>
          <w:rtl/>
        </w:rPr>
      </w:pPr>
      <w:r>
        <w:rPr>
          <w:rFonts w:ascii="David" w:hAnsi="David" w:cs="David"/>
          <w:sz w:val="24"/>
          <w:szCs w:val="24"/>
          <w:u w:val="none"/>
          <w:rtl/>
        </w:rPr>
        <w:t>העד, מר אהרוני</w:t>
      </w:r>
      <w:r>
        <w:rPr>
          <w:rFonts w:ascii="David" w:hAnsi="David" w:cs="David"/>
          <w:spacing w:val="-50"/>
          <w:sz w:val="24"/>
          <w:szCs w:val="24"/>
          <w:u w:val="none"/>
          <w:rtl/>
        </w:rPr>
        <w:t xml:space="preserve"> :</w:t>
      </w:r>
      <w:r>
        <w:rPr>
          <w:rFonts w:ascii="David" w:hAnsi="David" w:cs="David"/>
          <w:sz w:val="24"/>
          <w:szCs w:val="24"/>
          <w:u w:val="none"/>
          <w:rtl/>
        </w:rPr>
        <w:tab/>
        <w:t>זה לא משהו שהם מכירים. הסינים באוניברסיטת סון</w:t>
      </w:r>
      <w:bookmarkStart w:id="26" w:name="_ETM_Q_1871431"/>
      <w:bookmarkEnd w:id="26"/>
      <w:r>
        <w:rPr>
          <w:rFonts w:ascii="David" w:hAnsi="David" w:cs="David"/>
          <w:sz w:val="24"/>
          <w:szCs w:val="24"/>
          <w:u w:val="none"/>
          <w:rtl/>
        </w:rPr>
        <w:t xml:space="preserve"> יאט סן שנמצאת בשנזן, </w:t>
      </w:r>
      <w:r>
        <w:rPr>
          <w:rFonts w:ascii="David" w:hAnsi="David" w:cs="David"/>
          <w:sz w:val="24"/>
          <w:szCs w:val="24"/>
          <w:rtl/>
        </w:rPr>
        <w:t>המשתתף יודע מה זה</w:t>
      </w:r>
      <w:bookmarkStart w:id="27" w:name="_ETM_Q_1877147"/>
      <w:bookmarkEnd w:id="27"/>
      <w:r>
        <w:rPr>
          <w:rFonts w:ascii="David" w:hAnsi="David" w:cs="David"/>
          <w:sz w:val="24"/>
          <w:szCs w:val="24"/>
          <w:rtl/>
        </w:rPr>
        <w:t xml:space="preserve"> מסעדה כשרה או לא?</w:t>
      </w:r>
      <w:r>
        <w:rPr>
          <w:rFonts w:ascii="David" w:hAnsi="David" w:cs="David"/>
          <w:sz w:val="24"/>
          <w:szCs w:val="24"/>
          <w:u w:val="none"/>
          <w:rtl/>
        </w:rPr>
        <w:t xml:space="preserve"> אתה נותן להם ידע</w:t>
      </w:r>
      <w:bookmarkStart w:id="28" w:name="_ETM_Q_1880618"/>
      <w:bookmarkEnd w:id="28"/>
      <w:r>
        <w:rPr>
          <w:rFonts w:ascii="David" w:hAnsi="David" w:cs="David"/>
          <w:sz w:val="24"/>
          <w:szCs w:val="24"/>
          <w:u w:val="none"/>
          <w:rtl/>
        </w:rPr>
        <w:t xml:space="preserve"> שלא קיים. אז אני לא פונה אליהם שאני רוצה להחליף</w:t>
      </w:r>
      <w:bookmarkStart w:id="29" w:name="_ETM_Q_1884615"/>
      <w:bookmarkEnd w:id="29"/>
      <w:r>
        <w:rPr>
          <w:rFonts w:ascii="David" w:hAnsi="David" w:cs="David"/>
          <w:sz w:val="24"/>
          <w:szCs w:val="24"/>
          <w:u w:val="none"/>
          <w:rtl/>
        </w:rPr>
        <w:t xml:space="preserve"> להם מסעדה,</w:t>
      </w:r>
    </w:p>
    <w:p w:rsidR="000C53C9" w:rsidRDefault="000C53C9" w:rsidP="000C53C9">
      <w:pPr>
        <w:pStyle w:val="af"/>
        <w:spacing w:line="360" w:lineRule="auto"/>
        <w:ind w:left="-172"/>
        <w:jc w:val="both"/>
        <w:rPr>
          <w:rFonts w:ascii="David" w:eastAsia="Calibri" w:hAnsi="David" w:cs="David"/>
          <w:sz w:val="24"/>
          <w:szCs w:val="24"/>
          <w:rtl/>
        </w:rPr>
      </w:pPr>
    </w:p>
    <w:p w:rsidR="000C53C9" w:rsidRDefault="000C53C9" w:rsidP="000C53C9">
      <w:pPr>
        <w:pStyle w:val="af"/>
        <w:spacing w:line="360" w:lineRule="auto"/>
        <w:ind w:hanging="720"/>
        <w:jc w:val="both"/>
        <w:rPr>
          <w:rFonts w:ascii="David" w:eastAsia="Calibri" w:hAnsi="David" w:cs="David"/>
          <w:sz w:val="24"/>
          <w:szCs w:val="24"/>
          <w:rtl/>
        </w:rPr>
      </w:pPr>
      <w:r>
        <w:rPr>
          <w:rFonts w:ascii="David" w:eastAsia="Calibri" w:hAnsi="David" w:cs="David"/>
          <w:sz w:val="24"/>
          <w:szCs w:val="24"/>
          <w:rtl/>
        </w:rPr>
        <w:tab/>
        <w:t>ומיד אחר כך הסביר כיצד האוניברסיטה היא זו שמציעה את המסעדות (ע"מ 89 שורה 1 ואילך, ההדגשות לא במקור):</w:t>
      </w:r>
    </w:p>
    <w:p w:rsidR="000C53C9" w:rsidRDefault="000C53C9" w:rsidP="000C53C9">
      <w:pPr>
        <w:pStyle w:val="ad"/>
        <w:shd w:val="clear" w:color="auto" w:fill="auto"/>
        <w:spacing w:line="360" w:lineRule="auto"/>
        <w:ind w:left="4320" w:hanging="2160"/>
        <w:jc w:val="both"/>
        <w:rPr>
          <w:rFonts w:cs="David"/>
          <w:sz w:val="24"/>
          <w:szCs w:val="24"/>
          <w:u w:val="none"/>
          <w:rtl/>
        </w:rPr>
      </w:pPr>
      <w:r>
        <w:rPr>
          <w:rFonts w:cs="David"/>
          <w:sz w:val="24"/>
          <w:szCs w:val="24"/>
          <w:u w:val="none"/>
          <w:rtl/>
        </w:rPr>
        <w:t>העד, מר אהרוני</w:t>
      </w:r>
      <w:r>
        <w:rPr>
          <w:rFonts w:cs="David"/>
          <w:spacing w:val="-50"/>
          <w:sz w:val="24"/>
          <w:szCs w:val="24"/>
          <w:u w:val="none"/>
          <w:rtl/>
        </w:rPr>
        <w:t xml:space="preserve"> :</w:t>
      </w:r>
      <w:r>
        <w:rPr>
          <w:rFonts w:cs="David"/>
          <w:sz w:val="24"/>
          <w:szCs w:val="24"/>
          <w:u w:val="none"/>
          <w:rtl/>
        </w:rPr>
        <w:tab/>
        <w:t>הוא לא יודע</w:t>
      </w:r>
      <w:bookmarkStart w:id="30" w:name="_ETM_Q_1910505"/>
      <w:bookmarkEnd w:id="30"/>
      <w:r>
        <w:rPr>
          <w:rFonts w:cs="David"/>
          <w:sz w:val="24"/>
          <w:szCs w:val="24"/>
          <w:u w:val="none"/>
          <w:rtl/>
        </w:rPr>
        <w:t xml:space="preserve"> מה זה מסעדה כשרה כמו שה-</w:t>
      </w:r>
      <w:r>
        <w:rPr>
          <w:rFonts w:cs="David"/>
          <w:sz w:val="24"/>
          <w:szCs w:val="24"/>
          <w:u w:val="none"/>
        </w:rPr>
        <w:t>cultural tour</w:t>
      </w:r>
      <w:r>
        <w:rPr>
          <w:rFonts w:cs="David"/>
          <w:sz w:val="24"/>
          <w:szCs w:val="24"/>
          <w:u w:val="none"/>
          <w:rtl/>
        </w:rPr>
        <w:t xml:space="preserve"> </w:t>
      </w:r>
      <w:r>
        <w:rPr>
          <w:rFonts w:cs="David"/>
          <w:sz w:val="24"/>
          <w:szCs w:val="24"/>
          <w:rtl/>
        </w:rPr>
        <w:t>אנחנו אומרים לו מה</w:t>
      </w:r>
      <w:bookmarkStart w:id="31" w:name="_ETM_Q_1914992"/>
      <w:bookmarkEnd w:id="31"/>
      <w:r>
        <w:rPr>
          <w:rFonts w:cs="David"/>
          <w:sz w:val="24"/>
          <w:szCs w:val="24"/>
          <w:rtl/>
        </w:rPr>
        <w:t xml:space="preserve"> אנחנו מציעים</w:t>
      </w:r>
      <w:r>
        <w:rPr>
          <w:rFonts w:cs="David"/>
          <w:sz w:val="24"/>
          <w:szCs w:val="24"/>
          <w:u w:val="none"/>
          <w:rtl/>
        </w:rPr>
        <w:t>, אנחנו אומרים לו שאנחנו עושים לדוגמה, כמו שאמר</w:t>
      </w:r>
      <w:bookmarkStart w:id="32" w:name="_ETM_Q_1917836"/>
      <w:bookmarkEnd w:id="32"/>
      <w:r>
        <w:rPr>
          <w:rFonts w:cs="David"/>
          <w:sz w:val="24"/>
          <w:szCs w:val="24"/>
          <w:u w:val="none"/>
          <w:rtl/>
        </w:rPr>
        <w:t xml:space="preserve"> כבוד השופט, סיור בירושלים, אבל אנחנו לא, </w:t>
      </w:r>
      <w:bookmarkStart w:id="33" w:name="_ETM_Q_1920368"/>
      <w:bookmarkEnd w:id="33"/>
    </w:p>
    <w:p w:rsidR="000C53C9" w:rsidRDefault="000C53C9" w:rsidP="000C53C9">
      <w:pPr>
        <w:pStyle w:val="af"/>
        <w:spacing w:line="360" w:lineRule="auto"/>
        <w:jc w:val="both"/>
        <w:rPr>
          <w:rFonts w:ascii="David" w:eastAsia="Calibri" w:hAnsi="David" w:cs="David"/>
          <w:sz w:val="24"/>
          <w:szCs w:val="24"/>
        </w:rPr>
      </w:pPr>
      <w:bookmarkStart w:id="34" w:name="_ETM_Q_1922221"/>
      <w:bookmarkEnd w:id="34"/>
      <w:r>
        <w:rPr>
          <w:rFonts w:ascii="David" w:eastAsia="Calibri" w:hAnsi="David" w:cs="David"/>
          <w:sz w:val="24"/>
          <w:szCs w:val="24"/>
          <w:rtl/>
        </w:rPr>
        <w:t>ועוד מוסיף נציג האוניברסיטה ומבהיר עד כמה הבחירות למיקום האירועים הן בחירות של האוניברסיטה כאשר הנציג הסיני "סומך" על האוניברסיטה:</w:t>
      </w:r>
    </w:p>
    <w:p w:rsidR="000C53C9" w:rsidRDefault="000C53C9" w:rsidP="000C53C9">
      <w:pPr>
        <w:pStyle w:val="ad"/>
        <w:shd w:val="clear" w:color="auto" w:fill="auto"/>
        <w:spacing w:line="360" w:lineRule="auto"/>
        <w:ind w:left="4320" w:hanging="2160"/>
        <w:jc w:val="both"/>
        <w:rPr>
          <w:rFonts w:cs="David"/>
          <w:sz w:val="24"/>
          <w:szCs w:val="24"/>
          <w:u w:val="none"/>
          <w:rtl/>
        </w:rPr>
      </w:pPr>
      <w:r>
        <w:rPr>
          <w:rFonts w:cs="David"/>
          <w:sz w:val="24"/>
          <w:szCs w:val="24"/>
          <w:u w:val="none"/>
          <w:rtl/>
        </w:rPr>
        <w:t>העד, מר אהרוני</w:t>
      </w:r>
      <w:r>
        <w:rPr>
          <w:rFonts w:cs="David"/>
          <w:spacing w:val="-50"/>
          <w:sz w:val="24"/>
          <w:szCs w:val="24"/>
          <w:u w:val="none"/>
          <w:rtl/>
        </w:rPr>
        <w:t xml:space="preserve"> :</w:t>
      </w:r>
      <w:r>
        <w:rPr>
          <w:rFonts w:cs="David"/>
          <w:sz w:val="24"/>
          <w:szCs w:val="24"/>
          <w:u w:val="none"/>
          <w:rtl/>
        </w:rPr>
        <w:tab/>
        <w:t>אנחנו לא, סליחה, כמו שציטט כבוד השופט, בדיוק באותה</w:t>
      </w:r>
      <w:bookmarkStart w:id="35" w:name="_ETM_Q_1925979"/>
      <w:bookmarkEnd w:id="35"/>
      <w:r>
        <w:rPr>
          <w:rFonts w:cs="David"/>
          <w:sz w:val="24"/>
          <w:szCs w:val="24"/>
          <w:u w:val="none"/>
          <w:rtl/>
        </w:rPr>
        <w:t xml:space="preserve"> מידה אני לא אומר לו בירושלים, אנחנו ניסע בשעה 8</w:t>
      </w:r>
      <w:bookmarkStart w:id="36" w:name="_ETM_Q_1928486"/>
      <w:bookmarkEnd w:id="36"/>
      <w:r>
        <w:rPr>
          <w:rFonts w:cs="David"/>
          <w:sz w:val="24"/>
          <w:szCs w:val="24"/>
          <w:u w:val="none"/>
          <w:rtl/>
        </w:rPr>
        <w:t xml:space="preserve"> למוזיאון, מה אתה אומר אם כן או לא לבקר בכות</w:t>
      </w:r>
      <w:bookmarkStart w:id="37" w:name="_ETM_Q_1932795"/>
      <w:bookmarkEnd w:id="37"/>
      <w:r>
        <w:rPr>
          <w:rFonts w:cs="David"/>
          <w:sz w:val="24"/>
          <w:szCs w:val="24"/>
          <w:u w:val="none"/>
          <w:rtl/>
        </w:rPr>
        <w:t xml:space="preserve">ל או במוזיאון זה או אחר, </w:t>
      </w:r>
      <w:r>
        <w:rPr>
          <w:rFonts w:cs="David"/>
          <w:sz w:val="24"/>
          <w:szCs w:val="24"/>
          <w:rtl/>
        </w:rPr>
        <w:t xml:space="preserve">הוא סומך עלינו </w:t>
      </w:r>
      <w:r>
        <w:rPr>
          <w:rFonts w:cs="David"/>
          <w:sz w:val="24"/>
          <w:szCs w:val="24"/>
          <w:u w:val="none"/>
          <w:rtl/>
        </w:rPr>
        <w:t>שאנחנו</w:t>
      </w:r>
      <w:bookmarkStart w:id="38" w:name="_ETM_Q_1935353"/>
      <w:bookmarkEnd w:id="38"/>
      <w:r>
        <w:rPr>
          <w:rFonts w:cs="David"/>
          <w:sz w:val="24"/>
          <w:szCs w:val="24"/>
          <w:u w:val="none"/>
          <w:rtl/>
        </w:rPr>
        <w:t xml:space="preserve"> נעשה את המיטב בהתאם לצרכים שלו. </w:t>
      </w:r>
      <w:bookmarkStart w:id="39" w:name="_ETM_Q_1936053"/>
      <w:bookmarkEnd w:id="39"/>
    </w:p>
    <w:p w:rsidR="005824D9" w:rsidRDefault="005824D9" w:rsidP="000C53C9">
      <w:pPr>
        <w:pStyle w:val="af"/>
        <w:spacing w:line="360" w:lineRule="auto"/>
        <w:ind w:hanging="720"/>
        <w:jc w:val="both"/>
        <w:rPr>
          <w:rFonts w:ascii="David" w:eastAsia="Calibri" w:hAnsi="David" w:cs="David"/>
          <w:sz w:val="24"/>
          <w:szCs w:val="24"/>
          <w:rtl/>
        </w:rPr>
      </w:pPr>
    </w:p>
    <w:p w:rsidR="000C53C9" w:rsidRDefault="000C53C9" w:rsidP="000C53C9">
      <w:pPr>
        <w:pStyle w:val="af"/>
        <w:spacing w:line="360" w:lineRule="auto"/>
        <w:ind w:hanging="720"/>
        <w:jc w:val="both"/>
        <w:rPr>
          <w:rFonts w:ascii="David" w:eastAsia="Calibri" w:hAnsi="David" w:cs="David"/>
          <w:sz w:val="24"/>
          <w:szCs w:val="24"/>
          <w:rtl/>
        </w:rPr>
      </w:pPr>
      <w:r>
        <w:rPr>
          <w:rFonts w:ascii="David" w:eastAsia="Calibri" w:hAnsi="David" w:cs="David"/>
          <w:sz w:val="24"/>
          <w:szCs w:val="24"/>
          <w:rtl/>
        </w:rPr>
        <w:tab/>
        <w:t xml:space="preserve">ובשלב זה הודה נציג האוניברסיטה שהבחירה במסעדות שאינן כשרות היא בחירה של האוניברסיטה בלבד (ע"מ 89, שורות 10 ואילך – ההדגשות לא במקור): </w:t>
      </w:r>
    </w:p>
    <w:p w:rsidR="000C53C9" w:rsidRDefault="000C53C9" w:rsidP="000C53C9">
      <w:pPr>
        <w:pStyle w:val="ad"/>
        <w:shd w:val="clear" w:color="auto" w:fill="auto"/>
        <w:spacing w:line="360" w:lineRule="auto"/>
        <w:ind w:left="4320" w:hanging="2160"/>
        <w:jc w:val="both"/>
        <w:rPr>
          <w:rFonts w:cs="David"/>
          <w:sz w:val="24"/>
          <w:szCs w:val="24"/>
          <w:u w:val="none"/>
          <w:rtl/>
        </w:rPr>
      </w:pPr>
      <w:r>
        <w:rPr>
          <w:rFonts w:cs="David"/>
          <w:sz w:val="24"/>
          <w:szCs w:val="24"/>
          <w:u w:val="none"/>
          <w:rtl/>
        </w:rPr>
        <w:t>כב' הש' ברקאי</w:t>
      </w:r>
      <w:r>
        <w:rPr>
          <w:rFonts w:cs="David"/>
          <w:spacing w:val="-50"/>
          <w:sz w:val="24"/>
          <w:szCs w:val="24"/>
          <w:u w:val="none"/>
          <w:rtl/>
        </w:rPr>
        <w:t xml:space="preserve"> :</w:t>
      </w:r>
      <w:r>
        <w:rPr>
          <w:rFonts w:cs="David"/>
          <w:sz w:val="24"/>
          <w:szCs w:val="24"/>
          <w:u w:val="none"/>
          <w:rtl/>
        </w:rPr>
        <w:tab/>
        <w:t>זאת אומרת הדרישה</w:t>
      </w:r>
      <w:bookmarkStart w:id="40" w:name="_ETM_Q_1937697"/>
      <w:bookmarkEnd w:id="40"/>
      <w:r>
        <w:rPr>
          <w:rFonts w:cs="David"/>
          <w:sz w:val="24"/>
          <w:szCs w:val="24"/>
          <w:u w:val="none"/>
          <w:rtl/>
        </w:rPr>
        <w:t xml:space="preserve"> לכשרות, הדרישה למסעדה הזאת, גם סמך עליכם על הדבר</w:t>
      </w:r>
      <w:bookmarkStart w:id="41" w:name="_ETM_Q_1944250"/>
      <w:bookmarkEnd w:id="41"/>
      <w:r>
        <w:rPr>
          <w:rFonts w:cs="David"/>
          <w:sz w:val="24"/>
          <w:szCs w:val="24"/>
          <w:u w:val="none"/>
          <w:rtl/>
        </w:rPr>
        <w:t xml:space="preserve"> הזה? </w:t>
      </w:r>
      <w:bookmarkStart w:id="42" w:name="_ETM_Q_1944851"/>
      <w:bookmarkEnd w:id="42"/>
    </w:p>
    <w:p w:rsidR="000C53C9" w:rsidRDefault="000C53C9" w:rsidP="000C53C9">
      <w:pPr>
        <w:pStyle w:val="ad"/>
        <w:shd w:val="clear" w:color="auto" w:fill="auto"/>
        <w:spacing w:line="360" w:lineRule="auto"/>
        <w:ind w:left="4320" w:hanging="2160"/>
        <w:jc w:val="both"/>
        <w:rPr>
          <w:rFonts w:cs="David"/>
          <w:sz w:val="24"/>
          <w:szCs w:val="24"/>
          <w:u w:val="none"/>
        </w:rPr>
      </w:pPr>
      <w:r>
        <w:rPr>
          <w:rFonts w:cs="David"/>
          <w:sz w:val="24"/>
          <w:szCs w:val="24"/>
          <w:u w:val="none"/>
          <w:rtl/>
        </w:rPr>
        <w:t>העד, מר אהרוני</w:t>
      </w:r>
      <w:r>
        <w:rPr>
          <w:rFonts w:cs="David"/>
          <w:spacing w:val="-50"/>
          <w:sz w:val="24"/>
          <w:szCs w:val="24"/>
          <w:u w:val="none"/>
          <w:rtl/>
        </w:rPr>
        <w:t xml:space="preserve"> :</w:t>
      </w:r>
      <w:r>
        <w:rPr>
          <w:rFonts w:cs="David"/>
          <w:sz w:val="24"/>
          <w:szCs w:val="24"/>
          <w:u w:val="none"/>
          <w:rtl/>
        </w:rPr>
        <w:tab/>
      </w:r>
      <w:r>
        <w:rPr>
          <w:rFonts w:cs="David"/>
          <w:sz w:val="24"/>
          <w:szCs w:val="24"/>
          <w:rtl/>
        </w:rPr>
        <w:t>הדרישה למסעדה הוא סמך עליי</w:t>
      </w:r>
      <w:r>
        <w:rPr>
          <w:rFonts w:cs="David"/>
          <w:sz w:val="24"/>
          <w:szCs w:val="24"/>
          <w:u w:val="none"/>
          <w:rtl/>
        </w:rPr>
        <w:t xml:space="preserve">. הוא לא יודע באיזו מסעדה ספציפית </w:t>
      </w:r>
      <w:r>
        <w:rPr>
          <w:rFonts w:cs="David"/>
          <w:sz w:val="24"/>
          <w:szCs w:val="24"/>
          <w:rtl/>
        </w:rPr>
        <w:t>אני בחרתי</w:t>
      </w:r>
      <w:r>
        <w:rPr>
          <w:rFonts w:cs="David"/>
          <w:sz w:val="24"/>
          <w:szCs w:val="24"/>
          <w:u w:val="none"/>
          <w:rtl/>
        </w:rPr>
        <w:t xml:space="preserve">, הוא סומך עליי שזה יהיה בהתאם לדרישות שלהם לאוכל בצורה שמגישים לסינים, </w:t>
      </w:r>
    </w:p>
    <w:p w:rsidR="000C53C9" w:rsidRDefault="000C53C9" w:rsidP="000C53C9">
      <w:pPr>
        <w:pStyle w:val="ad"/>
        <w:shd w:val="clear" w:color="auto" w:fill="auto"/>
        <w:spacing w:line="360" w:lineRule="auto"/>
        <w:ind w:left="4320" w:hanging="2160"/>
        <w:jc w:val="both"/>
        <w:rPr>
          <w:rFonts w:cs="David"/>
          <w:sz w:val="24"/>
          <w:szCs w:val="24"/>
          <w:u w:val="none"/>
          <w:rtl/>
        </w:rPr>
      </w:pPr>
    </w:p>
    <w:p w:rsidR="000C53C9" w:rsidRDefault="000C53C9" w:rsidP="000C53C9">
      <w:pPr>
        <w:pStyle w:val="af"/>
        <w:spacing w:line="360" w:lineRule="auto"/>
        <w:ind w:left="755"/>
        <w:jc w:val="both"/>
        <w:rPr>
          <w:rFonts w:cs="David"/>
          <w:sz w:val="24"/>
          <w:szCs w:val="24"/>
          <w:rtl/>
        </w:rPr>
      </w:pPr>
      <w:r>
        <w:rPr>
          <w:rFonts w:cs="David"/>
          <w:sz w:val="24"/>
          <w:szCs w:val="24"/>
          <w:rtl/>
        </w:rPr>
        <w:t>מחקירתו של נציג האוניברסיטה עולה, במלוא הכבוד, שזו פשוט זלזלה בפניית התובע. פעם אחר פעם פנה התובע (ור' סעיף 9 להלן) ואילו האוניברסיטה סירבה להתייחס לפניותיו. שאלת הכשרות במסעדות (מתוכן שלוש פעמים עוקבות במסעדת התרנגול הכחול) כלל לא הייתה "פקטור". ולהשלמה אפילו ציין מר אודי אהרוני מטעם האוניברסיטה כאשר נשאל האם נשקלו פתרונות רלוונטיים כך (ע"מ 101, שורה 29 לפרוטוקול):</w:t>
      </w:r>
    </w:p>
    <w:p w:rsidR="000C53C9" w:rsidRDefault="000C53C9" w:rsidP="000C53C9">
      <w:pPr>
        <w:pStyle w:val="af"/>
        <w:spacing w:after="0" w:line="360" w:lineRule="auto"/>
        <w:ind w:left="1440" w:firstLine="720"/>
        <w:jc w:val="both"/>
        <w:rPr>
          <w:rFonts w:ascii="David" w:eastAsia="Calibri" w:hAnsi="David" w:cs="David"/>
          <w:sz w:val="24"/>
          <w:szCs w:val="24"/>
        </w:rPr>
      </w:pPr>
      <w:r>
        <w:rPr>
          <w:rFonts w:ascii="David" w:eastAsia="Calibri" w:hAnsi="David" w:cs="David"/>
          <w:sz w:val="24"/>
          <w:szCs w:val="24"/>
          <w:rtl/>
        </w:rPr>
        <w:t>"</w:t>
      </w:r>
      <w:r>
        <w:rPr>
          <w:rFonts w:ascii="David" w:eastAsia="Calibri" w:hAnsi="David" w:cs="David"/>
          <w:b/>
          <w:bCs/>
          <w:sz w:val="24"/>
          <w:szCs w:val="24"/>
          <w:rtl/>
        </w:rPr>
        <w:t>לא...לא התעמקנו גם בסיפור כי האוכל עצמו חסר משמעות</w:t>
      </w:r>
      <w:r>
        <w:rPr>
          <w:rFonts w:ascii="David" w:eastAsia="Calibri" w:hAnsi="David" w:cs="David"/>
          <w:sz w:val="24"/>
          <w:szCs w:val="24"/>
          <w:rtl/>
        </w:rPr>
        <w:t xml:space="preserve">" </w:t>
      </w:r>
    </w:p>
    <w:p w:rsidR="005824D9" w:rsidRDefault="005824D9" w:rsidP="000C53C9">
      <w:pPr>
        <w:pStyle w:val="af"/>
        <w:spacing w:line="360" w:lineRule="auto"/>
        <w:jc w:val="both"/>
        <w:rPr>
          <w:rFonts w:ascii="David" w:eastAsia="Calibri" w:hAnsi="David" w:cs="David"/>
          <w:sz w:val="24"/>
          <w:szCs w:val="24"/>
          <w:rtl/>
        </w:rPr>
      </w:pPr>
    </w:p>
    <w:p w:rsidR="000C53C9" w:rsidRDefault="000C53C9" w:rsidP="000C53C9">
      <w:pPr>
        <w:pStyle w:val="af"/>
        <w:spacing w:line="360" w:lineRule="auto"/>
        <w:jc w:val="both"/>
        <w:rPr>
          <w:rFonts w:ascii="David" w:eastAsia="Calibri" w:hAnsi="David" w:cs="David"/>
          <w:sz w:val="24"/>
          <w:szCs w:val="24"/>
        </w:rPr>
      </w:pPr>
      <w:r>
        <w:rPr>
          <w:rFonts w:ascii="David" w:eastAsia="Calibri" w:hAnsi="David" w:cs="David"/>
          <w:sz w:val="24"/>
          <w:szCs w:val="24"/>
          <w:rtl/>
        </w:rPr>
        <w:t>ואידך זיל גמור.</w:t>
      </w:r>
    </w:p>
    <w:p w:rsidR="000C53C9" w:rsidRDefault="000C53C9" w:rsidP="000C53C9">
      <w:pPr>
        <w:pStyle w:val="af"/>
        <w:spacing w:line="360" w:lineRule="auto"/>
        <w:ind w:left="-172"/>
        <w:jc w:val="both"/>
        <w:rPr>
          <w:rFonts w:ascii="David" w:eastAsia="Calibri" w:hAnsi="David" w:cs="David"/>
          <w:sz w:val="24"/>
          <w:szCs w:val="24"/>
          <w:u w:val="single"/>
          <w:rtl/>
        </w:rPr>
      </w:pPr>
    </w:p>
    <w:p w:rsidR="005824D9" w:rsidRDefault="005824D9" w:rsidP="000C53C9">
      <w:pPr>
        <w:pStyle w:val="af"/>
        <w:spacing w:line="360" w:lineRule="auto"/>
        <w:ind w:left="-172"/>
        <w:jc w:val="both"/>
        <w:rPr>
          <w:rFonts w:ascii="David" w:eastAsia="Calibri" w:hAnsi="David" w:cs="David"/>
          <w:sz w:val="24"/>
          <w:szCs w:val="24"/>
          <w:u w:val="single"/>
          <w:rtl/>
        </w:rPr>
      </w:pPr>
    </w:p>
    <w:p w:rsidR="000C53C9" w:rsidRDefault="000C53C9" w:rsidP="000C53C9">
      <w:pPr>
        <w:pStyle w:val="af"/>
        <w:numPr>
          <w:ilvl w:val="0"/>
          <w:numId w:val="12"/>
        </w:numPr>
        <w:spacing w:line="360" w:lineRule="auto"/>
        <w:jc w:val="both"/>
        <w:rPr>
          <w:rFonts w:cs="David"/>
          <w:sz w:val="24"/>
          <w:szCs w:val="24"/>
          <w:rtl/>
        </w:rPr>
      </w:pPr>
      <w:r>
        <w:rPr>
          <w:rFonts w:ascii="David" w:eastAsia="Calibri" w:hAnsi="David" w:cs="David"/>
          <w:sz w:val="24"/>
          <w:szCs w:val="24"/>
          <w:rtl/>
        </w:rPr>
        <w:t>וכך קרסה גרסת האוניברסיטה כאילו מדובר בפעילות חיצונית, אקסוגנית, שאינה קשורה לאוניברסיטה כלל. התברר שאותה פעילות קשורה היטב לאוניברסיטה. הובהר שהפעילות נעשתה במקומות ש</w:t>
      </w:r>
      <w:r>
        <w:rPr>
          <w:rFonts w:ascii="David" w:eastAsia="Calibri" w:hAnsi="David" w:cs="David"/>
          <w:sz w:val="24"/>
          <w:szCs w:val="24"/>
          <w:u w:val="single"/>
          <w:rtl/>
        </w:rPr>
        <w:t>נבחרו על ידי האוניברסיטה</w:t>
      </w:r>
      <w:r>
        <w:rPr>
          <w:rFonts w:ascii="David" w:eastAsia="Calibri" w:hAnsi="David" w:cs="David"/>
          <w:sz w:val="24"/>
          <w:szCs w:val="24"/>
          <w:rtl/>
        </w:rPr>
        <w:t xml:space="preserve"> (</w:t>
      </w:r>
      <w:r>
        <w:rPr>
          <w:rFonts w:ascii="David" w:eastAsia="Calibri" w:hAnsi="David" w:cs="David"/>
          <w:b/>
          <w:bCs/>
          <w:sz w:val="24"/>
          <w:szCs w:val="24"/>
          <w:rtl/>
        </w:rPr>
        <w:t>"אני בחרתי"</w:t>
      </w:r>
      <w:r>
        <w:rPr>
          <w:rFonts w:ascii="David" w:eastAsia="Calibri" w:hAnsi="David" w:cs="David"/>
          <w:sz w:val="24"/>
          <w:szCs w:val="24"/>
          <w:rtl/>
        </w:rPr>
        <w:t xml:space="preserve"> כלשון נציג האוניברסיטה). הובהר שהאוניברסיטה במכוון כלל לא התייחסה לשאלת הכשרות, לא לפני בקשות התובע ולא לאחריהן (</w:t>
      </w:r>
      <w:r>
        <w:rPr>
          <w:rFonts w:ascii="David" w:eastAsia="Calibri" w:hAnsi="David" w:cs="David"/>
          <w:b/>
          <w:bCs/>
          <w:sz w:val="24"/>
          <w:szCs w:val="24"/>
          <w:rtl/>
        </w:rPr>
        <w:t>"</w:t>
      </w:r>
      <w:r>
        <w:rPr>
          <w:rFonts w:cs="David"/>
          <w:b/>
          <w:bCs/>
          <w:sz w:val="24"/>
          <w:szCs w:val="24"/>
          <w:rtl/>
        </w:rPr>
        <w:t>הנושא של הכשרות כן או לא, הוא לא היה פקטור"</w:t>
      </w:r>
      <w:r>
        <w:rPr>
          <w:rFonts w:cs="David"/>
          <w:sz w:val="24"/>
          <w:szCs w:val="24"/>
          <w:rtl/>
        </w:rPr>
        <w:t>, כלשון נציג האוניברסיטה).</w:t>
      </w:r>
    </w:p>
    <w:p w:rsidR="000C53C9" w:rsidRDefault="000C53C9" w:rsidP="000C53C9">
      <w:pPr>
        <w:pStyle w:val="af"/>
        <w:spacing w:line="360" w:lineRule="auto"/>
        <w:ind w:hanging="720"/>
        <w:jc w:val="both"/>
        <w:rPr>
          <w:rFonts w:ascii="David" w:eastAsia="Calibri" w:hAnsi="David" w:cs="David"/>
          <w:sz w:val="24"/>
          <w:szCs w:val="24"/>
          <w:rtl/>
        </w:rPr>
      </w:pPr>
    </w:p>
    <w:p w:rsidR="000C53C9" w:rsidRDefault="000C53C9" w:rsidP="000C53C9">
      <w:pPr>
        <w:pStyle w:val="af"/>
        <w:spacing w:line="360" w:lineRule="auto"/>
        <w:ind w:left="-172"/>
        <w:jc w:val="both"/>
        <w:rPr>
          <w:rFonts w:ascii="David" w:eastAsia="Calibri" w:hAnsi="David" w:cs="David"/>
          <w:b/>
          <w:bCs/>
          <w:sz w:val="24"/>
          <w:szCs w:val="24"/>
          <w:rtl/>
        </w:rPr>
      </w:pPr>
      <w:r>
        <w:rPr>
          <w:rFonts w:ascii="David" w:eastAsia="Calibri" w:hAnsi="David" w:cs="David"/>
          <w:b/>
          <w:bCs/>
          <w:sz w:val="24"/>
          <w:szCs w:val="24"/>
          <w:rtl/>
        </w:rPr>
        <w:t xml:space="preserve">הערת מעבר – משלב זה ואילך יתייחס פסק הדין לפניות התובע אל הנתבעת, לפני כל אירוע. לתשובות אותן קיבל התובע. עוד אתייחס למשמעות עריכת </w:t>
      </w:r>
      <w:r>
        <w:rPr>
          <w:rFonts w:ascii="David" w:eastAsia="Calibri" w:hAnsi="David" w:cs="David"/>
          <w:b/>
          <w:bCs/>
          <w:sz w:val="24"/>
          <w:szCs w:val="24"/>
          <w:u w:val="single"/>
          <w:rtl/>
        </w:rPr>
        <w:t>כל</w:t>
      </w:r>
      <w:r>
        <w:rPr>
          <w:rFonts w:ascii="David" w:eastAsia="Calibri" w:hAnsi="David" w:cs="David"/>
          <w:b/>
          <w:bCs/>
          <w:sz w:val="24"/>
          <w:szCs w:val="24"/>
          <w:rtl/>
        </w:rPr>
        <w:t xml:space="preserve"> האירועים במסעדות שאינן כשרות. </w:t>
      </w:r>
    </w:p>
    <w:p w:rsidR="000C53C9" w:rsidRDefault="000C53C9" w:rsidP="000C53C9">
      <w:pPr>
        <w:pStyle w:val="af"/>
        <w:spacing w:line="360" w:lineRule="auto"/>
        <w:jc w:val="both"/>
        <w:rPr>
          <w:rFonts w:ascii="David" w:eastAsia="Calibri" w:hAnsi="David" w:cs="David"/>
          <w:sz w:val="24"/>
          <w:szCs w:val="24"/>
          <w:rtl/>
        </w:rPr>
      </w:pP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פניות התובע אל הנתבעת ותשובות הנתבעת</w:t>
      </w: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sz w:val="24"/>
          <w:szCs w:val="24"/>
          <w:u w:val="single"/>
          <w:rtl/>
        </w:rPr>
        <w:t>פניה טרם האירוע הראשון</w:t>
      </w:r>
      <w:r>
        <w:rPr>
          <w:rFonts w:ascii="David" w:eastAsia="Calibri" w:hAnsi="David" w:cs="David"/>
          <w:sz w:val="24"/>
          <w:szCs w:val="24"/>
          <w:rtl/>
        </w:rPr>
        <w:t xml:space="preserve"> - התובע הקפיד ופנה אל האוניברסיטה עוד טרם קיומו של האירוע הראשון. ביום 28/1/2018 פנה התובע בכתב, עוד טרם האירוע הראשון. בתשובה בכתב נמסר לו על ידי גב' בשם סמדר חייק שהתייחסה אל התובע כאל אישה – </w:t>
      </w:r>
      <w:r>
        <w:rPr>
          <w:rFonts w:ascii="David" w:eastAsia="Calibri" w:hAnsi="David" w:cs="David"/>
          <w:b/>
          <w:bCs/>
          <w:sz w:val="24"/>
          <w:szCs w:val="24"/>
          <w:rtl/>
        </w:rPr>
        <w:t>"אני מבינה את הבעייתיות. לצערי את האירוע הקרוב לא נוכל להזיז אך אני אשמח להעלות את ההצעה לפעמים הבאות"</w:t>
      </w:r>
      <w:r>
        <w:rPr>
          <w:rFonts w:ascii="David" w:eastAsia="Calibri" w:hAnsi="David" w:cs="David"/>
          <w:sz w:val="24"/>
          <w:szCs w:val="24"/>
          <w:rtl/>
        </w:rPr>
        <w:t>.</w:t>
      </w:r>
    </w:p>
    <w:p w:rsidR="000C53C9" w:rsidRDefault="000C53C9" w:rsidP="000C53C9">
      <w:pPr>
        <w:pStyle w:val="af"/>
        <w:spacing w:line="360" w:lineRule="auto"/>
        <w:ind w:left="395"/>
        <w:jc w:val="both"/>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sz w:val="24"/>
          <w:szCs w:val="24"/>
          <w:u w:val="single"/>
          <w:rtl/>
        </w:rPr>
        <w:t>פניה טרם האירוע השני</w:t>
      </w:r>
      <w:r>
        <w:rPr>
          <w:rFonts w:ascii="David" w:eastAsia="Calibri" w:hAnsi="David" w:cs="David"/>
          <w:sz w:val="24"/>
          <w:szCs w:val="24"/>
          <w:rtl/>
        </w:rPr>
        <w:t xml:space="preserve"> - התובע פנה אל הנתבעת גם לפני האירוע השני. פעם נוספת התקבלה תשובה מגב' סמדר חייק והפעם נמסר לתובע שלא ניתן "להזיז את האירוע" וכן נמסר (הפניה כאל אישה במקור) – </w:t>
      </w:r>
      <w:r>
        <w:rPr>
          <w:rFonts w:ascii="David" w:eastAsia="Calibri" w:hAnsi="David" w:cs="David"/>
          <w:b/>
          <w:bCs/>
          <w:sz w:val="24"/>
          <w:szCs w:val="24"/>
          <w:rtl/>
        </w:rPr>
        <w:t>"אנחנו מציעים לך את האפשרות הזו כאורחת וזו המהות של האירוע. בסופו של דבר הבחירה להגיע היא שלך על שיקולייך השונים"</w:t>
      </w:r>
      <w:r>
        <w:rPr>
          <w:rFonts w:ascii="David" w:eastAsia="Calibri" w:hAnsi="David" w:cs="David"/>
          <w:sz w:val="24"/>
          <w:szCs w:val="24"/>
          <w:rtl/>
        </w:rPr>
        <w:t>.</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u w:val="single"/>
          <w:rtl/>
        </w:rPr>
      </w:pPr>
      <w:r>
        <w:rPr>
          <w:rFonts w:ascii="David" w:eastAsia="Calibri" w:hAnsi="David" w:cs="David"/>
          <w:sz w:val="24"/>
          <w:szCs w:val="24"/>
          <w:u w:val="single"/>
          <w:rtl/>
        </w:rPr>
        <w:t>פניה טרם האירוע השלישי ותשובתה הנוזפת וכועסת של האוניברסיטה</w:t>
      </w:r>
    </w:p>
    <w:p w:rsidR="000C53C9" w:rsidRDefault="000C53C9" w:rsidP="000C53C9">
      <w:pPr>
        <w:pStyle w:val="af"/>
        <w:spacing w:line="360" w:lineRule="auto"/>
        <w:ind w:left="395"/>
        <w:jc w:val="both"/>
        <w:rPr>
          <w:rFonts w:ascii="David" w:eastAsia="Calibri" w:hAnsi="David" w:cs="David"/>
          <w:sz w:val="24"/>
          <w:szCs w:val="24"/>
        </w:rPr>
      </w:pPr>
      <w:r>
        <w:rPr>
          <w:rFonts w:ascii="David" w:eastAsia="Calibri" w:hAnsi="David" w:cs="David"/>
          <w:sz w:val="24"/>
          <w:szCs w:val="24"/>
          <w:rtl/>
        </w:rPr>
        <w:t>גם לפני האירוע השלישי פנה התובע אל האוניברסיטה והפעם קיבל תשובה נוזפת. מר אודי אהרוני אשר גם העיד מטעם האוניברסיטה בהליך השיב בין היתר כך (ההדגשות לא במקור):</w:t>
      </w:r>
    </w:p>
    <w:p w:rsidR="000C53C9" w:rsidRDefault="000C53C9" w:rsidP="005824D9">
      <w:pPr>
        <w:pStyle w:val="af"/>
        <w:spacing w:line="360" w:lineRule="auto"/>
        <w:ind w:left="934"/>
        <w:jc w:val="both"/>
        <w:rPr>
          <w:rFonts w:ascii="David" w:eastAsia="Calibri" w:hAnsi="David" w:cs="David"/>
          <w:sz w:val="24"/>
          <w:szCs w:val="24"/>
          <w:rtl/>
        </w:rPr>
      </w:pPr>
      <w:r>
        <w:rPr>
          <w:rFonts w:ascii="David" w:eastAsia="Calibri" w:hAnsi="David" w:cs="David"/>
          <w:sz w:val="24"/>
          <w:szCs w:val="24"/>
          <w:rtl/>
        </w:rPr>
        <w:t>"</w:t>
      </w:r>
      <w:r>
        <w:rPr>
          <w:rFonts w:ascii="David" w:eastAsia="Calibri" w:hAnsi="David" w:cs="David"/>
          <w:b/>
          <w:bCs/>
          <w:sz w:val="24"/>
          <w:szCs w:val="24"/>
          <w:rtl/>
        </w:rPr>
        <w:t>... ההזמנה למפגש אינה חלק מתכנית הלימודים שלך, אין לה כל קשר לשכר הלימוד שאתה משלם, אין כלל חובה להזמין סטודנטים, ו</w:t>
      </w:r>
      <w:r>
        <w:rPr>
          <w:rFonts w:ascii="David" w:eastAsia="Calibri" w:hAnsi="David" w:cs="David"/>
          <w:b/>
          <w:bCs/>
          <w:sz w:val="24"/>
          <w:szCs w:val="24"/>
          <w:u w:val="single"/>
          <w:rtl/>
        </w:rPr>
        <w:t>הדבר נעשה מתוך רצון טוב של חברי המשלחת בלבד, ומבחירה שלי איזה כתות להזמין</w:t>
      </w:r>
      <w:r>
        <w:rPr>
          <w:rFonts w:ascii="David" w:eastAsia="Calibri" w:hAnsi="David" w:cs="David"/>
          <w:sz w:val="24"/>
          <w:szCs w:val="24"/>
          <w:rtl/>
        </w:rPr>
        <w:t xml:space="preserve">". </w:t>
      </w:r>
    </w:p>
    <w:p w:rsidR="000C53C9" w:rsidRDefault="000C53C9" w:rsidP="000C53C9">
      <w:pPr>
        <w:pStyle w:val="af"/>
        <w:spacing w:line="360" w:lineRule="auto"/>
        <w:ind w:left="395"/>
        <w:jc w:val="both"/>
        <w:rPr>
          <w:rFonts w:ascii="David" w:eastAsia="Calibri" w:hAnsi="David" w:cs="David"/>
          <w:sz w:val="24"/>
          <w:szCs w:val="24"/>
        </w:rPr>
      </w:pPr>
    </w:p>
    <w:p w:rsidR="000C53C9" w:rsidRDefault="000C53C9" w:rsidP="000C53C9">
      <w:pPr>
        <w:pStyle w:val="af"/>
        <w:spacing w:line="360" w:lineRule="auto"/>
        <w:ind w:left="395"/>
        <w:jc w:val="both"/>
        <w:rPr>
          <w:rFonts w:ascii="David" w:eastAsia="Calibri" w:hAnsi="David" w:cs="David"/>
          <w:sz w:val="24"/>
          <w:szCs w:val="24"/>
          <w:rtl/>
        </w:rPr>
      </w:pPr>
      <w:r>
        <w:rPr>
          <w:rFonts w:ascii="David" w:eastAsia="Calibri" w:hAnsi="David" w:cs="David"/>
          <w:sz w:val="24"/>
          <w:szCs w:val="24"/>
          <w:rtl/>
        </w:rPr>
        <w:t xml:space="preserve">לאחר שהובהר לתובע שאין לו כל זכות להלין על ההזמנה ושהזמנה נעשית מבחירה של מר אודי אהרוני אף הציעה האוניברסיטה לתובע הצעה המיועדת למי </w:t>
      </w:r>
      <w:r>
        <w:rPr>
          <w:rFonts w:ascii="David" w:eastAsia="Calibri" w:hAnsi="David" w:cs="David"/>
          <w:b/>
          <w:bCs/>
          <w:sz w:val="24"/>
          <w:szCs w:val="24"/>
          <w:rtl/>
        </w:rPr>
        <w:t>"שפחות מקפידים"</w:t>
      </w:r>
      <w:r>
        <w:rPr>
          <w:rFonts w:ascii="David" w:eastAsia="Calibri" w:hAnsi="David" w:cs="David"/>
          <w:sz w:val="24"/>
          <w:szCs w:val="24"/>
          <w:rtl/>
        </w:rPr>
        <w:t xml:space="preserve"> ולפיה יאכל </w:t>
      </w:r>
      <w:r>
        <w:rPr>
          <w:rFonts w:ascii="David" w:eastAsia="Calibri" w:hAnsi="David" w:cs="David"/>
          <w:b/>
          <w:bCs/>
          <w:sz w:val="24"/>
          <w:szCs w:val="24"/>
          <w:rtl/>
        </w:rPr>
        <w:t>"דג עטוף בנייר כסף"</w:t>
      </w:r>
      <w:r>
        <w:rPr>
          <w:rFonts w:ascii="David" w:eastAsia="Calibri" w:hAnsi="David" w:cs="David"/>
          <w:sz w:val="24"/>
          <w:szCs w:val="24"/>
          <w:rtl/>
        </w:rPr>
        <w:t xml:space="preserve">. לסיום נמסר לתובע הסבר על "המדינה היהודית" יחד עם נזיפה על כך שהתובע מבקש </w:t>
      </w:r>
      <w:r>
        <w:rPr>
          <w:rFonts w:ascii="David" w:eastAsia="Calibri" w:hAnsi="David" w:cs="David"/>
          <w:sz w:val="24"/>
          <w:szCs w:val="24"/>
          <w:u w:val="single"/>
          <w:rtl/>
        </w:rPr>
        <w:t>לרצות את צרכיו האישיים בלבד</w:t>
      </w:r>
      <w:r>
        <w:rPr>
          <w:rFonts w:ascii="David" w:eastAsia="Calibri" w:hAnsi="David" w:cs="David"/>
          <w:sz w:val="24"/>
          <w:szCs w:val="24"/>
          <w:rtl/>
        </w:rPr>
        <w:t>, וכלשון המכתב (ההדגשות לא במקור):</w:t>
      </w:r>
    </w:p>
    <w:p w:rsidR="000C53C9" w:rsidRDefault="000C53C9" w:rsidP="005824D9">
      <w:pPr>
        <w:pStyle w:val="af"/>
        <w:spacing w:line="360" w:lineRule="auto"/>
        <w:ind w:left="934"/>
        <w:jc w:val="both"/>
        <w:rPr>
          <w:rFonts w:ascii="David" w:eastAsia="Calibri" w:hAnsi="David" w:cs="David"/>
          <w:sz w:val="24"/>
          <w:szCs w:val="24"/>
          <w:rtl/>
        </w:rPr>
      </w:pPr>
      <w:r>
        <w:rPr>
          <w:rFonts w:ascii="David" w:eastAsia="Calibri" w:hAnsi="David" w:cs="David"/>
          <w:b/>
          <w:bCs/>
          <w:sz w:val="24"/>
          <w:szCs w:val="24"/>
          <w:rtl/>
        </w:rPr>
        <w:t>"רוב מוחלט של האורחים במפגשים הנם חלק מ'המדינה היהודית', גם אם הם אוכלים אכל במסעדה לא כשרה (להזכירך, כרבע מאזרחי המדינה אינם יהודים אולם הנם אזרחים שווי זכויות) אולם מדינה יהודית אינה הגדרה למדינה דתית, ולכן כ</w:t>
      </w:r>
      <w:r>
        <w:rPr>
          <w:rFonts w:ascii="David" w:eastAsia="Calibri" w:hAnsi="David" w:cs="David"/>
          <w:b/>
          <w:bCs/>
          <w:sz w:val="24"/>
          <w:szCs w:val="24"/>
          <w:u w:val="single"/>
          <w:rtl/>
        </w:rPr>
        <w:t>ל הטיעונים שלך מובילים למעשה לנסיון לכפות את סוג המזון על משתתפים מסין המשלמים ממיטב כספם על הארוחה</w:t>
      </w:r>
      <w:r>
        <w:rPr>
          <w:rFonts w:ascii="David" w:eastAsia="Calibri" w:hAnsi="David" w:cs="David"/>
          <w:b/>
          <w:bCs/>
          <w:sz w:val="24"/>
          <w:szCs w:val="24"/>
          <w:rtl/>
        </w:rPr>
        <w:t xml:space="preserve">, ומזמינים ברוחב לב סטודנטים ישראלים לארוחת רישות, ועל משתתפים יהודים הלוקחים חלק בארוחה, וכל זאת על מנת </w:t>
      </w:r>
      <w:r>
        <w:rPr>
          <w:rFonts w:ascii="David" w:eastAsia="Calibri" w:hAnsi="David" w:cs="David"/>
          <w:b/>
          <w:bCs/>
          <w:sz w:val="24"/>
          <w:szCs w:val="24"/>
          <w:u w:val="single"/>
          <w:rtl/>
        </w:rPr>
        <w:t>לרצות את צרכיך האישיים בלבד</w:t>
      </w:r>
      <w:r>
        <w:rPr>
          <w:rFonts w:ascii="David" w:eastAsia="Calibri" w:hAnsi="David" w:cs="David"/>
          <w:sz w:val="24"/>
          <w:szCs w:val="24"/>
          <w:rtl/>
        </w:rPr>
        <w:t>"</w:t>
      </w:r>
    </w:p>
    <w:p w:rsidR="000C53C9" w:rsidRDefault="000C53C9" w:rsidP="000C53C9">
      <w:pPr>
        <w:pStyle w:val="af"/>
        <w:spacing w:line="360" w:lineRule="auto"/>
        <w:ind w:left="395"/>
        <w:jc w:val="both"/>
        <w:rPr>
          <w:rFonts w:ascii="David" w:eastAsia="Calibri" w:hAnsi="David" w:cs="David"/>
          <w:sz w:val="24"/>
          <w:szCs w:val="24"/>
          <w:rtl/>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tl/>
        </w:rPr>
      </w:pPr>
      <w:r>
        <w:rPr>
          <w:rFonts w:ascii="David" w:eastAsia="Calibri" w:hAnsi="David" w:cs="David"/>
          <w:sz w:val="24"/>
          <w:szCs w:val="24"/>
          <w:rtl/>
        </w:rPr>
        <w:t xml:space="preserve">האוניברסיטה ביקשה לשוות לבחירה במסעדות השונות, כבחירה של המשלחת מסין. כל זאת כאשר הוכח בדיעבד, במסגרת ההליך בבית המשפט – שבחירת המסעדה (שלוש פעמים עוקבות  מסעדת "התרנגול הכחול") נעשתה על פי המלצת נציג האוניברסיטה. עוד הוכח, כדברי נציג האוניברסיטה שאנשי המשלחת מסין לא יודעים מה זו מסעדה כשרה והם פועלים בהתאם להמלצה. ואם לא די בכך הוכח </w:t>
      </w:r>
      <w:r>
        <w:rPr>
          <w:rFonts w:ascii="David" w:eastAsia="Calibri" w:hAnsi="David" w:cs="David"/>
          <w:sz w:val="24"/>
          <w:szCs w:val="24"/>
          <w:u w:val="single"/>
          <w:rtl/>
        </w:rPr>
        <w:t>זלזול מוחלט</w:t>
      </w:r>
      <w:r>
        <w:rPr>
          <w:rFonts w:ascii="David" w:eastAsia="Calibri" w:hAnsi="David" w:cs="David"/>
          <w:sz w:val="24"/>
          <w:szCs w:val="24"/>
          <w:rtl/>
        </w:rPr>
        <w:t xml:space="preserve"> בפניות התובע.</w:t>
      </w:r>
    </w:p>
    <w:p w:rsidR="000C53C9" w:rsidRDefault="000C53C9" w:rsidP="000C53C9">
      <w:pPr>
        <w:pStyle w:val="af"/>
        <w:spacing w:line="360" w:lineRule="auto"/>
        <w:jc w:val="both"/>
        <w:rPr>
          <w:rFonts w:ascii="David" w:eastAsia="Calibri" w:hAnsi="David" w:cs="David"/>
          <w:sz w:val="24"/>
          <w:szCs w:val="24"/>
          <w:rtl/>
        </w:rPr>
      </w:pPr>
      <w:r>
        <w:rPr>
          <w:rFonts w:ascii="David" w:eastAsia="Calibri" w:hAnsi="David" w:cs="David"/>
          <w:sz w:val="24"/>
          <w:szCs w:val="24"/>
          <w:rtl/>
        </w:rPr>
        <w:t xml:space="preserve">  </w:t>
      </w:r>
      <w:bookmarkStart w:id="43" w:name="_GoBack"/>
      <w:bookmarkEnd w:id="43"/>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קיומם של כל האירועים, ללא יוצא דופן, במסעדות לא כשרות (שלושה מתוך ארבעה במסעדת התרנגול הכחול) הדירה את התובע והפלתה אותו על רקע דתו</w:t>
      </w:r>
    </w:p>
    <w:p w:rsidR="000C53C9" w:rsidRDefault="000C53C9" w:rsidP="000C53C9">
      <w:pPr>
        <w:pStyle w:val="af"/>
        <w:spacing w:line="360" w:lineRule="auto"/>
        <w:ind w:left="-172"/>
        <w:jc w:val="both"/>
        <w:rPr>
          <w:rFonts w:ascii="David" w:eastAsia="Calibri" w:hAnsi="David" w:cs="David"/>
          <w:sz w:val="24"/>
          <w:szCs w:val="24"/>
        </w:rPr>
      </w:pPr>
      <w:r>
        <w:rPr>
          <w:rFonts w:ascii="David" w:eastAsia="Calibri" w:hAnsi="David" w:cs="David"/>
          <w:sz w:val="24"/>
          <w:szCs w:val="24"/>
          <w:rtl/>
        </w:rPr>
        <w:t>אין מדובר במקרה בו אירוע אחד, או שניים או אף שלושה התקיימו במסעדה לא כשרה. אף אין מדובר במקרה בו האוניברסיטה הפעילה שיקול דעת או החליטה במודע על קיומם של כל האירועים במסעדות לא כשרות. בעניינינו האוניברסיטה התעלמה במפגיע מפניות התובע (וכדברי נציג האוניברסיטה - "לא התעמקנו גם בסיפור כי האוכל חסר משמעות"; "לא פקטור"). בכך פגעה האוניברסיטה בתובע ובציבור שומרי הכשרות. לא רק היהודי. לעניין זה יובאו הדברים הבאים:</w:t>
      </w:r>
    </w:p>
    <w:p w:rsidR="000C53C9" w:rsidRDefault="000C53C9" w:rsidP="000C53C9">
      <w:pPr>
        <w:pStyle w:val="af"/>
        <w:spacing w:line="360" w:lineRule="auto"/>
        <w:ind w:left="-172"/>
        <w:jc w:val="both"/>
        <w:rPr>
          <w:rFonts w:ascii="David" w:eastAsia="Calibri" w:hAnsi="David" w:cs="David"/>
          <w:sz w:val="24"/>
          <w:szCs w:val="24"/>
          <w:u w:val="single"/>
        </w:rPr>
      </w:pPr>
    </w:p>
    <w:p w:rsidR="000C53C9" w:rsidRDefault="000C53C9" w:rsidP="000C53C9">
      <w:pPr>
        <w:pStyle w:val="af"/>
        <w:numPr>
          <w:ilvl w:val="1"/>
          <w:numId w:val="1"/>
        </w:numPr>
        <w:spacing w:line="360" w:lineRule="auto"/>
        <w:ind w:left="536" w:hanging="708"/>
        <w:jc w:val="both"/>
        <w:rPr>
          <w:rFonts w:ascii="David" w:hAnsi="David" w:cs="David"/>
          <w:color w:val="000000"/>
          <w:sz w:val="24"/>
          <w:szCs w:val="24"/>
        </w:rPr>
      </w:pPr>
      <w:r>
        <w:rPr>
          <w:rFonts w:ascii="David" w:eastAsia="Calibri" w:hAnsi="David" w:cs="David"/>
          <w:sz w:val="24"/>
          <w:szCs w:val="24"/>
          <w:rtl/>
        </w:rPr>
        <w:t>בקשה לערוך אירוע במסעדה כשרה עולה בקנה אחד עם זכותו האישית של אדם ולעניין זה ר' כבר דברי בית המשפט ב</w:t>
      </w:r>
      <w:r>
        <w:rPr>
          <w:rFonts w:ascii="David" w:hAnsi="David" w:cs="David"/>
          <w:color w:val="000000"/>
          <w:sz w:val="24"/>
          <w:szCs w:val="24"/>
          <w:rtl/>
        </w:rPr>
        <w:t>ע"א 1338/97 </w:t>
      </w:r>
      <w:r>
        <w:rPr>
          <w:rFonts w:ascii="David" w:hAnsi="David" w:cs="David"/>
          <w:color w:val="000000"/>
          <w:sz w:val="24"/>
          <w:szCs w:val="24"/>
          <w:u w:val="single"/>
          <w:rtl/>
        </w:rPr>
        <w:t>תנובה מרכז שיתופי לשווק תוצרת חקלאית בישראל בע"מ נ' תופיק ראבי</w:t>
      </w:r>
      <w:r>
        <w:rPr>
          <w:rFonts w:ascii="David" w:hAnsi="David" w:cs="David"/>
          <w:color w:val="000000"/>
          <w:sz w:val="24"/>
          <w:szCs w:val="24"/>
          <w:u w:val="single"/>
        </w:rPr>
        <w:t xml:space="preserve"> </w:t>
      </w:r>
      <w:r>
        <w:rPr>
          <w:rFonts w:ascii="David" w:hAnsi="David" w:cs="David"/>
          <w:color w:val="000000"/>
          <w:sz w:val="24"/>
          <w:szCs w:val="24"/>
          <w:rtl/>
        </w:rPr>
        <w:t>(מיום 19/5/2003) שם נקבע כך:</w:t>
      </w:r>
    </w:p>
    <w:p w:rsidR="000C53C9" w:rsidRDefault="000C53C9" w:rsidP="000C53C9">
      <w:pPr>
        <w:pStyle w:val="af"/>
        <w:spacing w:line="360" w:lineRule="auto"/>
        <w:ind w:left="1494"/>
        <w:jc w:val="both"/>
        <w:rPr>
          <w:rFonts w:ascii="David" w:eastAsia="Calibri" w:hAnsi="David" w:cs="David"/>
          <w:sz w:val="24"/>
          <w:szCs w:val="24"/>
        </w:rPr>
      </w:pPr>
      <w:r>
        <w:rPr>
          <w:rFonts w:ascii="David" w:hAnsi="David" w:cs="David"/>
          <w:color w:val="000000"/>
          <w:sz w:val="24"/>
          <w:szCs w:val="24"/>
          <w:rtl/>
        </w:rPr>
        <w:t>"</w:t>
      </w:r>
      <w:r>
        <w:rPr>
          <w:rFonts w:ascii="David" w:hAnsi="David" w:cs="David"/>
          <w:b/>
          <w:bCs/>
          <w:color w:val="000000"/>
          <w:sz w:val="24"/>
          <w:szCs w:val="24"/>
          <w:rtl/>
        </w:rPr>
        <w:t>ישנה פגיעה באוטונומיה של הפרט, אף שאין עמה נזק גוף או סכנה ממשית לנזק גוף. לכל צרכן וצרכן העדפות בנוגע למזונותיו, העדפות המבטאות לעתים את האידאולוגיה שהוא מאמין בה כדרך לחיים נכונים או בריאים. אכן, זה שאינו שומר כשרות יוכל לומר לשומר הכשרות: מה קרה אם אכלת מזון שאינו כשר; לא נגרם לך כל נזק. לא זו השקפתו של מי שמבקש לשמור על כשרות או לאכול רק מזון אורגני או מזון דל שומן</w:t>
      </w:r>
      <w:r>
        <w:rPr>
          <w:rFonts w:ascii="David" w:hAnsi="David" w:cs="David"/>
          <w:b/>
          <w:bCs/>
          <w:color w:val="000000"/>
          <w:sz w:val="24"/>
          <w:szCs w:val="24"/>
        </w:rPr>
        <w:t>."</w:t>
      </w:r>
    </w:p>
    <w:p w:rsidR="000C53C9" w:rsidRDefault="000C53C9" w:rsidP="000C53C9">
      <w:pPr>
        <w:pStyle w:val="af"/>
        <w:rPr>
          <w:rFonts w:ascii="David" w:eastAsia="Calibri" w:hAnsi="David" w:cs="David"/>
          <w:sz w:val="24"/>
          <w:szCs w:val="24"/>
        </w:rPr>
      </w:pPr>
    </w:p>
    <w:p w:rsidR="000C53C9" w:rsidRDefault="000C53C9" w:rsidP="000C53C9">
      <w:pPr>
        <w:pStyle w:val="af"/>
        <w:spacing w:line="360" w:lineRule="auto"/>
        <w:jc w:val="both"/>
        <w:rPr>
          <w:rFonts w:ascii="David" w:hAnsi="David" w:cs="David"/>
          <w:color w:val="000000"/>
          <w:sz w:val="24"/>
          <w:szCs w:val="24"/>
          <w:rtl/>
        </w:rPr>
      </w:pPr>
      <w:r>
        <w:rPr>
          <w:rFonts w:ascii="David" w:eastAsia="Calibri" w:hAnsi="David" w:cs="David"/>
          <w:sz w:val="24"/>
          <w:szCs w:val="24"/>
          <w:rtl/>
        </w:rPr>
        <w:t xml:space="preserve">על ההשוואה וההבחנה בין ההקפדה על מזון כשר לבין, לצורך העניין, הבקשה לאכול מזון דל שומן או העדפות שונות ר' גם ע"א 8037/06, </w:t>
      </w:r>
      <w:r>
        <w:rPr>
          <w:rFonts w:ascii="David" w:hAnsi="David" w:cs="David"/>
          <w:color w:val="000000"/>
          <w:sz w:val="24"/>
          <w:szCs w:val="24"/>
          <w:u w:val="single"/>
          <w:rtl/>
        </w:rPr>
        <w:t>שי ברזילי נ' פריניר (הדס 1987) בע"מ</w:t>
      </w:r>
      <w:r>
        <w:rPr>
          <w:rFonts w:ascii="David" w:eastAsia="Calibri" w:hAnsi="David" w:cs="David"/>
          <w:sz w:val="24"/>
          <w:szCs w:val="24"/>
          <w:u w:val="single"/>
          <w:rtl/>
        </w:rPr>
        <w:t xml:space="preserve"> </w:t>
      </w:r>
      <w:r>
        <w:rPr>
          <w:rFonts w:ascii="David" w:eastAsia="Calibri" w:hAnsi="David" w:cs="David"/>
          <w:sz w:val="24"/>
          <w:szCs w:val="24"/>
          <w:rtl/>
        </w:rPr>
        <w:t xml:space="preserve">(מיום 4/9/2014) וכן </w:t>
      </w:r>
      <w:r>
        <w:rPr>
          <w:rFonts w:ascii="David" w:hAnsi="David" w:cs="David"/>
          <w:color w:val="000000"/>
          <w:sz w:val="24"/>
          <w:szCs w:val="24"/>
          <w:rtl/>
        </w:rPr>
        <w:t>בג"ץ 77/02 </w:t>
      </w:r>
      <w:r>
        <w:rPr>
          <w:rFonts w:ascii="David" w:hAnsi="David" w:cs="David"/>
          <w:color w:val="000000"/>
          <w:sz w:val="24"/>
          <w:szCs w:val="24"/>
          <w:u w:val="single"/>
          <w:rtl/>
        </w:rPr>
        <w:t>מעדני אביב אוסובלנסקי בע"מ נ' מועצת הרבנות הראשי</w:t>
      </w:r>
      <w:r>
        <w:rPr>
          <w:rFonts w:ascii="David" w:hAnsi="David" w:cs="David"/>
          <w:color w:val="000000"/>
          <w:sz w:val="24"/>
          <w:szCs w:val="24"/>
          <w:rtl/>
        </w:rPr>
        <w:t xml:space="preserve"> (מיום 5/9/2002)</w:t>
      </w:r>
      <w:r>
        <w:rPr>
          <w:rFonts w:ascii="David" w:eastAsia="Calibri" w:hAnsi="David" w:cs="David"/>
          <w:sz w:val="24"/>
          <w:szCs w:val="24"/>
          <w:rtl/>
        </w:rPr>
        <w:t xml:space="preserve"> שם נקבעו הדברים הבאים:</w:t>
      </w:r>
    </w:p>
    <w:p w:rsidR="000C53C9" w:rsidRDefault="000C53C9" w:rsidP="000C53C9">
      <w:pPr>
        <w:pStyle w:val="af"/>
        <w:spacing w:line="360" w:lineRule="auto"/>
        <w:ind w:left="1494"/>
        <w:jc w:val="both"/>
        <w:rPr>
          <w:rFonts w:ascii="David" w:eastAsia="Calibri" w:hAnsi="David" w:cs="David"/>
          <w:sz w:val="24"/>
          <w:szCs w:val="24"/>
        </w:rPr>
      </w:pPr>
      <w:r>
        <w:rPr>
          <w:rFonts w:ascii="David" w:hAnsi="David" w:cs="David"/>
          <w:color w:val="000000"/>
          <w:sz w:val="24"/>
          <w:szCs w:val="24"/>
          <w:rtl/>
        </w:rPr>
        <w:t>"...</w:t>
      </w:r>
      <w:r>
        <w:rPr>
          <w:rFonts w:ascii="David" w:hAnsi="David" w:cs="David"/>
          <w:b/>
          <w:bCs/>
          <w:color w:val="000000"/>
          <w:sz w:val="24"/>
          <w:szCs w:val="24"/>
          <w:rtl/>
        </w:rPr>
        <w:t>היו מי שסברו – וניתן להוסיף: בצדק כך סברו – שלא הרי הטעייתו של צרכן בטיבו של עיפרון או בשיעור השומן בגבינה כהרי הטעיה באשר לכשרותו של מזון, והדברים פשוטים</w:t>
      </w:r>
      <w:r>
        <w:rPr>
          <w:rFonts w:ascii="David" w:hAnsi="David" w:cs="David"/>
          <w:color w:val="000000"/>
          <w:sz w:val="24"/>
          <w:szCs w:val="24"/>
        </w:rPr>
        <w:t>."</w:t>
      </w:r>
    </w:p>
    <w:p w:rsidR="000C53C9" w:rsidRDefault="000C53C9" w:rsidP="000C53C9">
      <w:pPr>
        <w:pStyle w:val="af"/>
        <w:spacing w:line="360" w:lineRule="auto"/>
        <w:ind w:left="678"/>
        <w:jc w:val="both"/>
        <w:rPr>
          <w:rFonts w:ascii="David" w:eastAsia="Calibri" w:hAnsi="David" w:cs="David"/>
          <w:sz w:val="24"/>
          <w:szCs w:val="24"/>
          <w:rtl/>
        </w:rPr>
      </w:pPr>
      <w:r>
        <w:rPr>
          <w:rFonts w:ascii="David" w:eastAsia="Calibri" w:hAnsi="David" w:cs="David"/>
          <w:sz w:val="24"/>
          <w:szCs w:val="24"/>
          <w:rtl/>
        </w:rPr>
        <w:t xml:space="preserve">כך או כך, ההקפדה לאכול אוכל כשר אינה משום "בחירה אישית" או "העדפה אישית" אלא היא בהחלט מצוות דת המגבילה את השומרים עליה. מצוות דת אשר המחוקק ראה מקום להגן על השומרים עליה מפני הפליה או הדרה.  </w:t>
      </w:r>
    </w:p>
    <w:p w:rsidR="000C53C9" w:rsidRDefault="000C53C9" w:rsidP="000C53C9">
      <w:pPr>
        <w:pStyle w:val="af"/>
        <w:spacing w:line="360" w:lineRule="auto"/>
        <w:ind w:left="1494"/>
        <w:jc w:val="both"/>
        <w:rPr>
          <w:rFonts w:ascii="David" w:eastAsia="Calibri" w:hAnsi="David" w:cs="David"/>
          <w:sz w:val="24"/>
          <w:szCs w:val="24"/>
          <w:rtl/>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tl/>
        </w:rPr>
      </w:pPr>
      <w:r>
        <w:rPr>
          <w:rFonts w:ascii="David" w:eastAsia="Calibri" w:hAnsi="David" w:cs="David"/>
          <w:sz w:val="24"/>
          <w:szCs w:val="24"/>
          <w:rtl/>
        </w:rPr>
        <w:t xml:space="preserve">האוניברסיטה מבקשת להמעיט בדרישות התובע. לדבריה – </w:t>
      </w:r>
      <w:r>
        <w:rPr>
          <w:rFonts w:ascii="David" w:eastAsia="Calibri" w:hAnsi="David" w:cs="David"/>
          <w:b/>
          <w:bCs/>
          <w:sz w:val="24"/>
          <w:szCs w:val="24"/>
          <w:rtl/>
        </w:rPr>
        <w:t>"האוכל חסר משמעות"</w:t>
      </w:r>
      <w:r>
        <w:rPr>
          <w:rFonts w:ascii="David" w:eastAsia="Calibri" w:hAnsi="David" w:cs="David"/>
          <w:sz w:val="24"/>
          <w:szCs w:val="24"/>
          <w:rtl/>
        </w:rPr>
        <w:t>. עוד לדבריה – החשיבות היא באירוע עצמו. ועדיין ההזמנה הייתה לסעודה וכלשון ההזמנה: "</w:t>
      </w:r>
      <w:r>
        <w:rPr>
          <w:rFonts w:ascii="David" w:eastAsia="Calibri" w:hAnsi="David" w:cs="David"/>
          <w:b/>
          <w:bCs/>
          <w:sz w:val="24"/>
          <w:szCs w:val="24"/>
          <w:rtl/>
        </w:rPr>
        <w:t xml:space="preserve">אנו מזמינים אותך להיות בין אורחינו </w:t>
      </w:r>
      <w:r>
        <w:rPr>
          <w:rFonts w:ascii="David" w:eastAsia="Calibri" w:hAnsi="David" w:cs="David"/>
          <w:b/>
          <w:bCs/>
          <w:sz w:val="24"/>
          <w:szCs w:val="24"/>
          <w:u w:val="single"/>
          <w:rtl/>
        </w:rPr>
        <w:t>ולקחת חלק בארוחת ערב חגיגית</w:t>
      </w:r>
      <w:r>
        <w:rPr>
          <w:rFonts w:ascii="David" w:eastAsia="Calibri" w:hAnsi="David" w:cs="David"/>
          <w:sz w:val="24"/>
          <w:szCs w:val="24"/>
          <w:u w:val="single"/>
          <w:rtl/>
        </w:rPr>
        <w:t>"</w:t>
      </w:r>
      <w:r>
        <w:rPr>
          <w:rFonts w:ascii="David" w:eastAsia="Calibri" w:hAnsi="David" w:cs="David"/>
          <w:sz w:val="24"/>
          <w:szCs w:val="24"/>
          <w:rtl/>
        </w:rPr>
        <w:t xml:space="preserve"> (נספח 2 לתצהיר התובע, הדגשות לא במקור). קרי, האכילה תוכננה כעיקר האירוע.</w:t>
      </w:r>
    </w:p>
    <w:p w:rsidR="000C53C9" w:rsidRDefault="000C53C9" w:rsidP="000C53C9">
      <w:pPr>
        <w:pStyle w:val="af"/>
        <w:spacing w:line="360" w:lineRule="auto"/>
        <w:ind w:left="536"/>
        <w:jc w:val="both"/>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Pr>
      </w:pPr>
      <w:r>
        <w:rPr>
          <w:rFonts w:ascii="David" w:eastAsia="Calibri" w:hAnsi="David" w:cs="David"/>
          <w:sz w:val="24"/>
          <w:szCs w:val="24"/>
          <w:rtl/>
        </w:rPr>
        <w:t>אפילו סברה האוניברסיטה ש</w:t>
      </w:r>
      <w:r>
        <w:rPr>
          <w:rFonts w:ascii="David" w:eastAsia="Calibri" w:hAnsi="David" w:cs="David"/>
          <w:b/>
          <w:bCs/>
          <w:sz w:val="24"/>
          <w:szCs w:val="24"/>
          <w:rtl/>
        </w:rPr>
        <w:t>"האוכל חסר משמעות"</w:t>
      </w:r>
      <w:r>
        <w:rPr>
          <w:rFonts w:ascii="David" w:eastAsia="Calibri" w:hAnsi="David" w:cs="David"/>
          <w:sz w:val="24"/>
          <w:szCs w:val="24"/>
          <w:rtl/>
        </w:rPr>
        <w:t>, הרי ניתן היה לצפות שלאחר פניותיו החוזרות והנשנות של התובע תתכבד ותבצע עבודת מטה מסודרת ולא תתעלם מפניותיו. בוודאי לא ניתן לקבל טענה לפיה בכל אזור תל אביב רבתי לא הייתה כל ברירה מאשר לפנות פעם אחר פעם ושלוש פעמים רק למסעדת "התרנגול הכחול".</w:t>
      </w:r>
    </w:p>
    <w:p w:rsidR="000C53C9" w:rsidRDefault="000C53C9" w:rsidP="000C53C9">
      <w:pPr>
        <w:pStyle w:val="af"/>
        <w:rPr>
          <w:rFonts w:ascii="David" w:eastAsia="Calibri" w:hAnsi="David" w:cs="David"/>
          <w:sz w:val="24"/>
          <w:szCs w:val="24"/>
        </w:rPr>
      </w:pPr>
    </w:p>
    <w:p w:rsidR="000C53C9" w:rsidRDefault="000C53C9" w:rsidP="000C53C9">
      <w:pPr>
        <w:pStyle w:val="af"/>
        <w:numPr>
          <w:ilvl w:val="1"/>
          <w:numId w:val="1"/>
        </w:numPr>
        <w:spacing w:line="360" w:lineRule="auto"/>
        <w:ind w:left="536" w:hanging="708"/>
        <w:jc w:val="both"/>
        <w:rPr>
          <w:rFonts w:ascii="David" w:eastAsia="Calibri" w:hAnsi="David" w:cs="David"/>
          <w:sz w:val="24"/>
          <w:szCs w:val="24"/>
          <w:rtl/>
        </w:rPr>
      </w:pPr>
      <w:r>
        <w:rPr>
          <w:rFonts w:ascii="David" w:eastAsia="Calibri" w:hAnsi="David" w:cs="David"/>
          <w:sz w:val="24"/>
          <w:szCs w:val="24"/>
          <w:rtl/>
        </w:rPr>
        <w:t>אירועי הרישות נעשו במדינת ישראל, המוגדרת כמדינה יהודית ודמוקרטית. רבים מאזרחיה היהודים וכן המוסלמים שומרי כשרות ואין זה מופרך שיהיו שומרי כשרות במוסדותיה כגון אוניברסיטה, אשר יצפו לאפשרות כשרה במסגרת פעילות אוניברסיטאית. לעניין זה יפים הדברים</w:t>
      </w:r>
      <w:r>
        <w:rPr>
          <w:rFonts w:ascii="David" w:hAnsi="David" w:cs="David"/>
          <w:color w:val="000000"/>
          <w:sz w:val="24"/>
          <w:szCs w:val="24"/>
          <w:rtl/>
        </w:rPr>
        <w:t xml:space="preserve"> מבג"ץ 5016/96 </w:t>
      </w:r>
      <w:r>
        <w:rPr>
          <w:rFonts w:ascii="David" w:hAnsi="David" w:cs="David"/>
          <w:color w:val="000000"/>
          <w:sz w:val="24"/>
          <w:szCs w:val="24"/>
          <w:u w:val="single"/>
          <w:rtl/>
        </w:rPr>
        <w:t>ליאור חורב נ' שר התחבורה ואח</w:t>
      </w:r>
      <w:r>
        <w:rPr>
          <w:rFonts w:ascii="David" w:hAnsi="David" w:cs="David"/>
          <w:color w:val="000000"/>
          <w:sz w:val="24"/>
          <w:szCs w:val="24"/>
          <w:u w:val="single"/>
        </w:rPr>
        <w:t>'</w:t>
      </w:r>
      <w:r>
        <w:rPr>
          <w:rFonts w:ascii="David" w:hAnsi="David" w:cs="David"/>
          <w:color w:val="000000"/>
          <w:sz w:val="24"/>
          <w:szCs w:val="24"/>
          <w:rtl/>
        </w:rPr>
        <w:t xml:space="preserve"> (1997), </w:t>
      </w:r>
      <w:r>
        <w:rPr>
          <w:rFonts w:ascii="David" w:eastAsia="Calibri" w:hAnsi="David" w:cs="David"/>
          <w:sz w:val="24"/>
          <w:szCs w:val="24"/>
          <w:rtl/>
        </w:rPr>
        <w:t xml:space="preserve">לפיה: </w:t>
      </w:r>
    </w:p>
    <w:p w:rsidR="000C53C9" w:rsidRDefault="000C53C9" w:rsidP="000C53C9">
      <w:pPr>
        <w:pStyle w:val="af"/>
        <w:spacing w:line="360" w:lineRule="auto"/>
        <w:ind w:left="1440"/>
        <w:jc w:val="both"/>
        <w:rPr>
          <w:rFonts w:ascii="David" w:eastAsia="Calibri" w:hAnsi="David" w:cs="David"/>
          <w:sz w:val="24"/>
          <w:szCs w:val="24"/>
        </w:rPr>
      </w:pPr>
      <w:r>
        <w:rPr>
          <w:rFonts w:ascii="David" w:hAnsi="David" w:cs="David"/>
          <w:color w:val="000000"/>
          <w:sz w:val="24"/>
          <w:szCs w:val="24"/>
          <w:rtl/>
        </w:rPr>
        <w:t>"</w:t>
      </w:r>
      <w:r>
        <w:rPr>
          <w:rFonts w:ascii="David" w:hAnsi="David" w:cs="David"/>
          <w:b/>
          <w:bCs/>
          <w:color w:val="000000"/>
          <w:sz w:val="24"/>
          <w:szCs w:val="24"/>
          <w:rtl/>
        </w:rPr>
        <w:t>ההתחשבות ברגשות הדת ובאורח החיים הדתי הוכרה בעבר – כחלק מתכליתו הכללית של דבר חקיקה – שכן היא התיישבה עם ערכיה של מדינת ישראל כמדינה דמוקרטית. התחשבות זו מקבלת עתה, לאחר כינונם של חוק-יסוד: כבוד האדם וחירותו וחוק-יסוד: חופש העיסוק, חיזוק נוסף, בהיותה מתיישבת עם ערכיה של מדינת ישראל כמדינה יהודית</w:t>
      </w:r>
      <w:r>
        <w:rPr>
          <w:rFonts w:ascii="David" w:hAnsi="David" w:cs="David"/>
          <w:color w:val="000000"/>
          <w:sz w:val="24"/>
          <w:szCs w:val="24"/>
        </w:rPr>
        <w:t>"</w:t>
      </w:r>
      <w:r>
        <w:rPr>
          <w:rFonts w:ascii="David" w:eastAsia="Calibri" w:hAnsi="David" w:cs="David"/>
          <w:sz w:val="24"/>
          <w:szCs w:val="24"/>
          <w:rtl/>
        </w:rPr>
        <w:t>.</w:t>
      </w:r>
    </w:p>
    <w:p w:rsidR="000C53C9" w:rsidRDefault="000C53C9" w:rsidP="000C53C9">
      <w:pPr>
        <w:pStyle w:val="af"/>
        <w:spacing w:line="360" w:lineRule="auto"/>
        <w:jc w:val="both"/>
        <w:rPr>
          <w:rFonts w:ascii="David" w:eastAsia="Calibri" w:hAnsi="David" w:cs="David"/>
          <w:sz w:val="24"/>
          <w:szCs w:val="24"/>
        </w:rPr>
      </w:pPr>
      <w:r>
        <w:rPr>
          <w:rFonts w:ascii="David" w:eastAsia="Calibri" w:hAnsi="David" w:cs="David"/>
          <w:sz w:val="24"/>
          <w:szCs w:val="24"/>
          <w:rtl/>
        </w:rPr>
        <w:t xml:space="preserve">כאן המקום להדגיש שאפילו האוניברסיטה בתשובתה לתובע התייחסה לכך במפורש ועדיין בחרה לכנות את בקשת התובע לקיים אירוע אחד לכל הפחות במסעדה כשרה כפעולה שנועדה </w:t>
      </w:r>
      <w:r>
        <w:rPr>
          <w:rFonts w:ascii="David" w:eastAsia="Calibri" w:hAnsi="David" w:cs="David"/>
          <w:b/>
          <w:bCs/>
          <w:sz w:val="24"/>
          <w:szCs w:val="24"/>
          <w:rtl/>
        </w:rPr>
        <w:t>"לרצות את צרכיך האישיים בלבד</w:t>
      </w:r>
      <w:r>
        <w:rPr>
          <w:rFonts w:ascii="David" w:eastAsia="Calibri" w:hAnsi="David" w:cs="David"/>
          <w:sz w:val="24"/>
          <w:szCs w:val="24"/>
          <w:rtl/>
        </w:rPr>
        <w:t>".</w:t>
      </w:r>
    </w:p>
    <w:p w:rsidR="000C53C9" w:rsidRDefault="000C53C9" w:rsidP="000C53C9">
      <w:pPr>
        <w:pStyle w:val="af"/>
        <w:spacing w:line="360" w:lineRule="auto"/>
        <w:jc w:val="both"/>
        <w:rPr>
          <w:rFonts w:ascii="David" w:eastAsia="Calibri" w:hAnsi="David" w:cs="David"/>
          <w:sz w:val="24"/>
          <w:szCs w:val="24"/>
          <w:rtl/>
        </w:rPr>
      </w:pPr>
      <w:r>
        <w:rPr>
          <w:rFonts w:ascii="David" w:eastAsia="Calibri" w:hAnsi="David" w:cs="David"/>
          <w:sz w:val="24"/>
          <w:szCs w:val="24"/>
          <w:rtl/>
        </w:rPr>
        <w:t xml:space="preserve">  </w:t>
      </w: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קיומם של כל האירועים, ללא יוצא דופן, במסעדות לא כשרות הן הפרת הוראות חוק איסור הפליה במוצרים ושירותים</w:t>
      </w:r>
    </w:p>
    <w:p w:rsidR="000C53C9" w:rsidRDefault="000C53C9" w:rsidP="000C53C9">
      <w:pPr>
        <w:pStyle w:val="af"/>
        <w:numPr>
          <w:ilvl w:val="1"/>
          <w:numId w:val="1"/>
        </w:numPr>
        <w:spacing w:line="360" w:lineRule="auto"/>
        <w:ind w:left="536" w:hanging="708"/>
        <w:jc w:val="both"/>
        <w:rPr>
          <w:rFonts w:ascii="David" w:eastAsia="Calibri" w:hAnsi="David" w:cs="David"/>
          <w:b/>
          <w:bCs/>
          <w:sz w:val="24"/>
          <w:szCs w:val="24"/>
          <w:u w:val="single"/>
        </w:rPr>
      </w:pPr>
      <w:r>
        <w:rPr>
          <w:rFonts w:ascii="David" w:eastAsia="Calibri" w:hAnsi="David" w:cs="David"/>
          <w:b/>
          <w:bCs/>
          <w:sz w:val="24"/>
          <w:szCs w:val="24"/>
          <w:u w:val="single"/>
          <w:rtl/>
        </w:rPr>
        <w:t>האוניברסיטה כמעניקה שירות ציבורי - שירותי חינוך, כהגדרתם בחוק</w:t>
      </w:r>
    </w:p>
    <w:p w:rsidR="000C53C9" w:rsidRDefault="000C53C9" w:rsidP="000C53C9">
      <w:pPr>
        <w:pStyle w:val="af"/>
        <w:numPr>
          <w:ilvl w:val="0"/>
          <w:numId w:val="13"/>
        </w:numPr>
        <w:spacing w:line="360" w:lineRule="auto"/>
        <w:jc w:val="both"/>
        <w:rPr>
          <w:rFonts w:ascii="David" w:eastAsia="Calibri" w:hAnsi="David" w:cs="David"/>
          <w:sz w:val="24"/>
          <w:szCs w:val="24"/>
        </w:rPr>
      </w:pPr>
      <w:r>
        <w:rPr>
          <w:rFonts w:ascii="David" w:eastAsia="Calibri" w:hAnsi="David" w:cs="David"/>
          <w:sz w:val="24"/>
          <w:szCs w:val="24"/>
          <w:rtl/>
        </w:rPr>
        <w:t xml:space="preserve">חוק איסור הפליה במוצרים ושירותים מגדיר ואוסר הפליה ב"שירות ציבורי", כאשר המונח "שירות ציבורי הוגדר כך (ההדגשות לא במקור) -  </w:t>
      </w:r>
      <w:r>
        <w:rPr>
          <w:rFonts w:ascii="David" w:eastAsia="Times New Roman" w:hAnsi="David" w:cs="David"/>
          <w:b/>
          <w:bCs/>
          <w:sz w:val="24"/>
          <w:szCs w:val="24"/>
          <w:rtl/>
        </w:rPr>
        <w:t xml:space="preserve">"שירות ציבורי" – שירותי תחבורה, תקשורת, אנרגיה, </w:t>
      </w:r>
      <w:r>
        <w:rPr>
          <w:rFonts w:ascii="David" w:eastAsia="Times New Roman" w:hAnsi="David" w:cs="David"/>
          <w:b/>
          <w:bCs/>
          <w:sz w:val="24"/>
          <w:szCs w:val="24"/>
          <w:u w:val="single"/>
          <w:rtl/>
        </w:rPr>
        <w:t>חינוך</w:t>
      </w:r>
      <w:r>
        <w:rPr>
          <w:rFonts w:ascii="David" w:eastAsia="Times New Roman" w:hAnsi="David" w:cs="David"/>
          <w:b/>
          <w:bCs/>
          <w:sz w:val="24"/>
          <w:szCs w:val="24"/>
          <w:rtl/>
        </w:rPr>
        <w:t>, תרבות, בידור, תיירות ושירותים פיננסיים, המיועדים לשימוש הציבור</w:t>
      </w:r>
      <w:r>
        <w:rPr>
          <w:rFonts w:ascii="David" w:eastAsia="Calibri" w:hAnsi="David" w:cs="David"/>
          <w:sz w:val="24"/>
          <w:szCs w:val="24"/>
          <w:rtl/>
        </w:rPr>
        <w:t>".</w:t>
      </w:r>
    </w:p>
    <w:p w:rsidR="000C53C9" w:rsidRDefault="000C53C9" w:rsidP="000C53C9">
      <w:pPr>
        <w:pStyle w:val="af"/>
        <w:spacing w:line="360" w:lineRule="auto"/>
        <w:ind w:left="896"/>
        <w:jc w:val="both"/>
        <w:rPr>
          <w:rFonts w:ascii="David" w:eastAsia="Calibri" w:hAnsi="David" w:cs="David"/>
          <w:sz w:val="24"/>
          <w:szCs w:val="24"/>
        </w:rPr>
      </w:pPr>
    </w:p>
    <w:p w:rsidR="000C53C9" w:rsidRDefault="000C53C9" w:rsidP="000C53C9">
      <w:pPr>
        <w:pStyle w:val="af"/>
        <w:numPr>
          <w:ilvl w:val="0"/>
          <w:numId w:val="13"/>
        </w:numPr>
        <w:spacing w:line="360" w:lineRule="auto"/>
        <w:jc w:val="both"/>
        <w:rPr>
          <w:rFonts w:ascii="David" w:eastAsia="Calibri" w:hAnsi="David" w:cs="David"/>
          <w:sz w:val="24"/>
          <w:szCs w:val="24"/>
        </w:rPr>
      </w:pPr>
      <w:r>
        <w:rPr>
          <w:rFonts w:ascii="David" w:eastAsia="Calibri" w:hAnsi="David" w:cs="David"/>
          <w:sz w:val="24"/>
          <w:szCs w:val="24"/>
          <w:rtl/>
        </w:rPr>
        <w:t xml:space="preserve">האוניברסיטה, כפי שאף היא מגדירה עצמה, נועדה לקיים ולפתח חינוך. לעניין זה ר' </w:t>
      </w:r>
      <w:r>
        <w:rPr>
          <w:rFonts w:ascii="David" w:hAnsi="David" w:cs="David"/>
          <w:color w:val="000000"/>
          <w:sz w:val="24"/>
          <w:szCs w:val="24"/>
          <w:rtl/>
        </w:rPr>
        <w:t>סעיף 1 לפרק הכללי של חוקת של אוניברסיטת תל אביב שם נקבע כך (הדגשות לא במקור):</w:t>
      </w:r>
    </w:p>
    <w:p w:rsidR="000C53C9" w:rsidRDefault="000C53C9" w:rsidP="00735F03">
      <w:pPr>
        <w:spacing w:line="360" w:lineRule="auto"/>
        <w:ind w:left="1501"/>
        <w:jc w:val="both"/>
        <w:rPr>
          <w:rFonts w:ascii="David" w:eastAsia="Calibri" w:hAnsi="David"/>
        </w:rPr>
      </w:pPr>
      <w:r>
        <w:rPr>
          <w:rFonts w:ascii="David" w:hAnsi="David"/>
          <w:color w:val="000000"/>
          <w:rtl/>
        </w:rPr>
        <w:t>"</w:t>
      </w:r>
      <w:r>
        <w:rPr>
          <w:rFonts w:ascii="David" w:hAnsi="David"/>
          <w:b/>
          <w:bCs/>
          <w:color w:val="000000"/>
          <w:rtl/>
        </w:rPr>
        <w:t xml:space="preserve">אוניברסיטת תל אביב היא מוסד להשכלה גבוהה שהוכר כדין, </w:t>
      </w:r>
      <w:r>
        <w:rPr>
          <w:rFonts w:ascii="David" w:hAnsi="David"/>
          <w:b/>
          <w:bCs/>
          <w:color w:val="000000"/>
          <w:u w:val="single"/>
          <w:rtl/>
        </w:rPr>
        <w:t>ומטרתה לקיים ולפתח חינוך</w:t>
      </w:r>
      <w:r>
        <w:rPr>
          <w:rFonts w:ascii="David" w:hAnsi="David"/>
          <w:b/>
          <w:bCs/>
          <w:color w:val="000000"/>
          <w:rtl/>
        </w:rPr>
        <w:t>, הוראה ומחקר בכל שטחי המדע והתרבות</w:t>
      </w:r>
      <w:r>
        <w:rPr>
          <w:rFonts w:ascii="David" w:hAnsi="David"/>
          <w:color w:val="000000"/>
          <w:rtl/>
        </w:rPr>
        <w:t xml:space="preserve">". </w:t>
      </w:r>
    </w:p>
    <w:p w:rsidR="000C53C9" w:rsidRDefault="000C53C9" w:rsidP="000C53C9">
      <w:pPr>
        <w:pStyle w:val="af"/>
        <w:spacing w:line="360" w:lineRule="auto"/>
        <w:ind w:left="1080"/>
        <w:jc w:val="both"/>
        <w:rPr>
          <w:rFonts w:ascii="David" w:eastAsia="Calibri" w:hAnsi="David" w:cs="David"/>
          <w:sz w:val="24"/>
          <w:szCs w:val="24"/>
          <w:rtl/>
        </w:rPr>
      </w:pPr>
      <w:r>
        <w:rPr>
          <w:rFonts w:ascii="David" w:eastAsia="Calibri" w:hAnsi="David" w:cs="David"/>
          <w:sz w:val="24"/>
          <w:szCs w:val="24"/>
          <w:rtl/>
        </w:rPr>
        <w:t>ביחס לכך שבין מטרותיה של אוניברסיטה נכלל גם החינוך ר' למשל פסיקת בית המשפט בכל הקשור להפרדה מגדרית בלימודים אקדמאיים ולעניין זה אפנה ל</w:t>
      </w:r>
      <w:r>
        <w:rPr>
          <w:rFonts w:ascii="David" w:hAnsi="David" w:cs="David"/>
          <w:color w:val="000000"/>
          <w:sz w:val="24"/>
          <w:szCs w:val="24"/>
          <w:rtl/>
        </w:rPr>
        <w:t>בג"ץ 8010/16 </w:t>
      </w:r>
      <w:r>
        <w:rPr>
          <w:rFonts w:ascii="David" w:hAnsi="David" w:cs="David"/>
          <w:color w:val="000000"/>
          <w:sz w:val="24"/>
          <w:szCs w:val="24"/>
          <w:u w:val="single"/>
          <w:rtl/>
        </w:rPr>
        <w:t>מלכה נעמה ברזון נ' מדינת ישראל</w:t>
      </w:r>
      <w:r>
        <w:rPr>
          <w:rFonts w:ascii="David" w:hAnsi="David" w:cs="David"/>
          <w:color w:val="000000"/>
          <w:sz w:val="24"/>
          <w:szCs w:val="24"/>
          <w:rtl/>
        </w:rPr>
        <w:t xml:space="preserve"> (מיום 12/7/2021). במקרה זה נדונה הפרדת לימודים אקדמיים בין גברים ונשים  ושם </w:t>
      </w:r>
      <w:r>
        <w:rPr>
          <w:rFonts w:ascii="David" w:eastAsia="Calibri" w:hAnsi="David" w:cs="David"/>
          <w:sz w:val="24"/>
          <w:szCs w:val="24"/>
          <w:rtl/>
        </w:rPr>
        <w:t xml:space="preserve">הוזכרו האוניברסיטאות כמוסד </w:t>
      </w:r>
      <w:r>
        <w:rPr>
          <w:rFonts w:ascii="David" w:eastAsia="Calibri" w:hAnsi="David" w:cs="David"/>
          <w:sz w:val="24"/>
          <w:szCs w:val="24"/>
          <w:u w:val="single"/>
          <w:rtl/>
        </w:rPr>
        <w:t>חינוכי</w:t>
      </w:r>
      <w:r>
        <w:rPr>
          <w:rFonts w:ascii="David" w:eastAsia="Calibri" w:hAnsi="David" w:cs="David"/>
          <w:sz w:val="24"/>
          <w:szCs w:val="24"/>
          <w:rtl/>
        </w:rPr>
        <w:t>. לעניין זה ר' למשל סעיף 52 לפסק הדין והדיון הנרחב בשאלת ההפרדה המגדרית אל מול איסור ההפליה באוניברסיטאות כמוסדות חינוך.</w:t>
      </w:r>
    </w:p>
    <w:p w:rsidR="000C53C9" w:rsidRDefault="000C53C9" w:rsidP="000C53C9">
      <w:pPr>
        <w:pStyle w:val="af"/>
        <w:spacing w:line="360" w:lineRule="auto"/>
        <w:ind w:left="1080"/>
        <w:jc w:val="both"/>
        <w:rPr>
          <w:rFonts w:ascii="David" w:eastAsia="Calibri" w:hAnsi="David" w:cs="David"/>
          <w:b/>
          <w:bCs/>
          <w:sz w:val="24"/>
          <w:szCs w:val="24"/>
          <w:u w:val="single"/>
          <w:rtl/>
        </w:rPr>
      </w:pPr>
    </w:p>
    <w:p w:rsidR="000C53C9" w:rsidRDefault="000C53C9" w:rsidP="000C53C9">
      <w:pPr>
        <w:pStyle w:val="af"/>
        <w:numPr>
          <w:ilvl w:val="1"/>
          <w:numId w:val="1"/>
        </w:numPr>
        <w:spacing w:line="360" w:lineRule="auto"/>
        <w:ind w:left="536" w:hanging="708"/>
        <w:jc w:val="both"/>
        <w:rPr>
          <w:rFonts w:ascii="David" w:eastAsia="Calibri" w:hAnsi="David" w:cs="David"/>
          <w:b/>
          <w:bCs/>
          <w:sz w:val="24"/>
          <w:szCs w:val="24"/>
          <w:u w:val="single"/>
          <w:rtl/>
        </w:rPr>
      </w:pPr>
      <w:r>
        <w:rPr>
          <w:rFonts w:ascii="David" w:eastAsia="Calibri" w:hAnsi="David" w:cs="David"/>
          <w:b/>
          <w:bCs/>
          <w:sz w:val="24"/>
          <w:szCs w:val="24"/>
          <w:u w:val="single"/>
          <w:rtl/>
        </w:rPr>
        <w:t>האיסור להפלות השירות הציבורי על רקע דת</w:t>
      </w:r>
    </w:p>
    <w:p w:rsidR="000C53C9" w:rsidRDefault="000C53C9" w:rsidP="000C53C9">
      <w:pPr>
        <w:pStyle w:val="af"/>
        <w:numPr>
          <w:ilvl w:val="0"/>
          <w:numId w:val="14"/>
        </w:numPr>
        <w:spacing w:line="360" w:lineRule="auto"/>
        <w:jc w:val="both"/>
        <w:rPr>
          <w:rFonts w:ascii="David" w:eastAsia="Calibri" w:hAnsi="David" w:cs="David"/>
          <w:sz w:val="24"/>
          <w:szCs w:val="24"/>
        </w:rPr>
      </w:pPr>
      <w:r>
        <w:rPr>
          <w:rFonts w:ascii="David" w:eastAsia="Calibri" w:hAnsi="David" w:cs="David"/>
          <w:sz w:val="24"/>
          <w:szCs w:val="24"/>
          <w:rtl/>
        </w:rPr>
        <w:t>סעיף 3 לחוק איסור הפליה במוצרים ושירותים קובע כך (ההדגשות לא במקור):</w:t>
      </w:r>
    </w:p>
    <w:p w:rsidR="000C53C9" w:rsidRDefault="000C53C9" w:rsidP="00735F03">
      <w:pPr>
        <w:pStyle w:val="af"/>
        <w:spacing w:line="360" w:lineRule="auto"/>
        <w:ind w:left="1501"/>
        <w:jc w:val="both"/>
        <w:rPr>
          <w:rFonts w:ascii="David" w:hAnsi="David" w:cs="David"/>
          <w:b/>
          <w:bCs/>
          <w:color w:val="000000"/>
          <w:sz w:val="24"/>
          <w:szCs w:val="24"/>
          <w:shd w:val="clear" w:color="auto" w:fill="FFFFFF"/>
        </w:rPr>
      </w:pPr>
      <w:r>
        <w:rPr>
          <w:rFonts w:ascii="David" w:hAnsi="David" w:cs="David"/>
          <w:b/>
          <w:bCs/>
          <w:color w:val="000000"/>
          <w:sz w:val="24"/>
          <w:szCs w:val="24"/>
          <w:shd w:val="clear" w:color="auto" w:fill="FFFFFF"/>
          <w:rtl/>
        </w:rPr>
        <w:t xml:space="preserve">"מי שעיסוקו בהספקת מוצר או </w:t>
      </w:r>
      <w:r>
        <w:rPr>
          <w:rFonts w:ascii="David" w:hAnsi="David" w:cs="David"/>
          <w:b/>
          <w:bCs/>
          <w:color w:val="000000"/>
          <w:sz w:val="24"/>
          <w:szCs w:val="24"/>
          <w:u w:val="single"/>
          <w:shd w:val="clear" w:color="auto" w:fill="FFFFFF"/>
          <w:rtl/>
        </w:rPr>
        <w:t>שירות ציבורי</w:t>
      </w:r>
      <w:r>
        <w:rPr>
          <w:rFonts w:ascii="David" w:hAnsi="David" w:cs="David"/>
          <w:b/>
          <w:bCs/>
          <w:color w:val="000000"/>
          <w:sz w:val="24"/>
          <w:szCs w:val="24"/>
          <w:shd w:val="clear" w:color="auto" w:fill="FFFFFF"/>
          <w:rtl/>
        </w:rPr>
        <w:t xml:space="preserve"> או בהפעלת מקום ציבורי, לא יפלה בהספקת המוצר או השירות הציבורי, במתן הכניסה למקום הציבורי או במתן שירות במקום הציבורי, מחמת גזע, </w:t>
      </w:r>
      <w:r>
        <w:rPr>
          <w:rFonts w:ascii="David" w:hAnsi="David" w:cs="David"/>
          <w:b/>
          <w:bCs/>
          <w:color w:val="000000"/>
          <w:sz w:val="24"/>
          <w:szCs w:val="24"/>
          <w:u w:val="single"/>
          <w:shd w:val="clear" w:color="auto" w:fill="FFFFFF"/>
          <w:rtl/>
        </w:rPr>
        <w:t>דת או קבוצה דתית</w:t>
      </w:r>
      <w:r>
        <w:rPr>
          <w:rFonts w:ascii="David" w:hAnsi="David" w:cs="David"/>
          <w:b/>
          <w:bCs/>
          <w:color w:val="000000"/>
          <w:sz w:val="24"/>
          <w:szCs w:val="24"/>
          <w:shd w:val="clear" w:color="auto" w:fill="FFFFFF"/>
          <w:rtl/>
        </w:rPr>
        <w:t>, לאום, ארץ מוצא, מין, נטיה מינית, השקפה, השתייכות מפלגתית, גיל, מעמד אישי, הורות או לבישת מדי כוחות הביטחון וההצלה או ענידת סמליהם</w:t>
      </w:r>
      <w:r>
        <w:rPr>
          <w:rFonts w:ascii="David" w:hAnsi="David" w:cs="David"/>
          <w:b/>
          <w:bCs/>
          <w:color w:val="000000"/>
          <w:sz w:val="24"/>
          <w:szCs w:val="24"/>
          <w:shd w:val="clear" w:color="auto" w:fill="FFFFFF"/>
        </w:rPr>
        <w:t>.</w:t>
      </w:r>
      <w:r>
        <w:rPr>
          <w:rFonts w:ascii="David" w:hAnsi="David" w:cs="David"/>
          <w:b/>
          <w:bCs/>
          <w:color w:val="000000"/>
          <w:sz w:val="24"/>
          <w:szCs w:val="24"/>
          <w:shd w:val="clear" w:color="auto" w:fill="FFFFFF"/>
          <w:rtl/>
        </w:rPr>
        <w:t>"</w:t>
      </w:r>
    </w:p>
    <w:p w:rsidR="000C53C9" w:rsidRDefault="000C53C9" w:rsidP="000C53C9">
      <w:pPr>
        <w:pStyle w:val="af"/>
        <w:spacing w:line="360" w:lineRule="auto"/>
        <w:ind w:left="536"/>
        <w:jc w:val="both"/>
        <w:rPr>
          <w:rFonts w:ascii="David" w:eastAsia="Calibri" w:hAnsi="David" w:cs="David"/>
          <w:sz w:val="24"/>
          <w:szCs w:val="24"/>
          <w:rtl/>
        </w:rPr>
      </w:pPr>
      <w:r>
        <w:rPr>
          <w:rFonts w:ascii="David" w:eastAsia="Calibri" w:hAnsi="David" w:cs="David"/>
          <w:sz w:val="24"/>
          <w:szCs w:val="24"/>
          <w:rtl/>
        </w:rPr>
        <w:tab/>
      </w:r>
    </w:p>
    <w:p w:rsidR="000C53C9" w:rsidRDefault="000C53C9" w:rsidP="000C53C9">
      <w:pPr>
        <w:pStyle w:val="af"/>
        <w:spacing w:line="360" w:lineRule="auto"/>
        <w:ind w:left="1103"/>
        <w:jc w:val="both"/>
        <w:rPr>
          <w:rFonts w:ascii="David" w:eastAsia="Calibri" w:hAnsi="David" w:cs="David"/>
          <w:sz w:val="24"/>
          <w:szCs w:val="24"/>
          <w:rtl/>
        </w:rPr>
      </w:pPr>
      <w:r>
        <w:rPr>
          <w:rFonts w:ascii="David" w:eastAsia="Calibri" w:hAnsi="David" w:cs="David"/>
          <w:sz w:val="24"/>
          <w:szCs w:val="24"/>
          <w:rtl/>
        </w:rPr>
        <w:t>האוניברסיטה העניקה השירות הציבורי תוך שהיא מדירה מתוכה מי שמקפיד על כללי הכשרות קרי כללי הדת היהודית וכן המוסלמית. ההדרה לא נעשתה על בסיס החלטה מובנית, אלא תוך התעלמות מוחלטת משיקולי הכשרות. הנושא כלל לא היווה קריטריון. לא לפני פניותיו ובקשותיו של התובע ולא לאחריהן.</w:t>
      </w:r>
    </w:p>
    <w:p w:rsidR="000C53C9" w:rsidRDefault="000C53C9" w:rsidP="000C53C9">
      <w:pPr>
        <w:pStyle w:val="af"/>
        <w:spacing w:line="360" w:lineRule="auto"/>
        <w:ind w:left="1103"/>
        <w:jc w:val="both"/>
        <w:rPr>
          <w:rFonts w:ascii="David" w:eastAsia="Calibri" w:hAnsi="David" w:cs="David"/>
          <w:sz w:val="24"/>
          <w:szCs w:val="24"/>
          <w:rtl/>
        </w:rPr>
      </w:pPr>
    </w:p>
    <w:p w:rsidR="000C53C9" w:rsidRDefault="000C53C9" w:rsidP="000C53C9">
      <w:pPr>
        <w:pStyle w:val="af"/>
        <w:numPr>
          <w:ilvl w:val="0"/>
          <w:numId w:val="14"/>
        </w:numPr>
        <w:spacing w:line="360" w:lineRule="auto"/>
        <w:jc w:val="both"/>
        <w:rPr>
          <w:rFonts w:ascii="David" w:eastAsia="Calibri" w:hAnsi="David" w:cs="David"/>
          <w:sz w:val="24"/>
          <w:szCs w:val="24"/>
          <w:rtl/>
        </w:rPr>
      </w:pPr>
      <w:r>
        <w:rPr>
          <w:rFonts w:ascii="David" w:eastAsia="Calibri" w:hAnsi="David" w:cs="David"/>
          <w:sz w:val="24"/>
          <w:szCs w:val="24"/>
          <w:rtl/>
        </w:rPr>
        <w:t>אדגיש שאילו הייתה האוניברסיטה מפעילה שיקול דעת ומגיעה למסקנה שאין ברירה ואכן נכון לקיים את כל הסעודות במסעדה לא כשרה – ניחא. אולי ניתן היה להתייחס לפעולת האוניברסיטה כאל הפעלת שיקול דעת לפיו הפלית שומרי המצוות היא בגדר הבחנה מותרת כלשהי. אך האוניברסיטה התעלמה במפגיע משיקולים אלה בעודה מספקת שירות ציבורי הפוגע מחמת דת.</w:t>
      </w:r>
    </w:p>
    <w:p w:rsidR="000C53C9" w:rsidRDefault="000C53C9" w:rsidP="000C53C9">
      <w:pPr>
        <w:pStyle w:val="af"/>
        <w:spacing w:line="360" w:lineRule="auto"/>
        <w:ind w:left="1038"/>
        <w:jc w:val="both"/>
        <w:rPr>
          <w:rFonts w:ascii="David" w:eastAsia="Calibri" w:hAnsi="David" w:cs="David"/>
          <w:sz w:val="24"/>
          <w:szCs w:val="24"/>
        </w:rPr>
      </w:pPr>
    </w:p>
    <w:p w:rsidR="000C53C9" w:rsidRDefault="000C53C9" w:rsidP="000C53C9">
      <w:pPr>
        <w:pStyle w:val="af"/>
        <w:numPr>
          <w:ilvl w:val="0"/>
          <w:numId w:val="14"/>
        </w:numPr>
        <w:spacing w:line="360" w:lineRule="auto"/>
        <w:jc w:val="both"/>
        <w:rPr>
          <w:rFonts w:ascii="David" w:eastAsia="Calibri" w:hAnsi="David" w:cs="David"/>
          <w:sz w:val="24"/>
          <w:szCs w:val="24"/>
        </w:rPr>
      </w:pPr>
      <w:r>
        <w:rPr>
          <w:rFonts w:ascii="David" w:eastAsia="Calibri" w:hAnsi="David" w:cs="David"/>
          <w:sz w:val="24"/>
          <w:szCs w:val="24"/>
          <w:rtl/>
        </w:rPr>
        <w:t>האוניברסיטה כה זלזלה בפניות התובע עד אשר השיבה לתובע במכתב המשתלח משהו בו הצהיר נציג ה7וניברסיטה שהוא יחליט "איזה כיתות להזמין" וכן הטיח בתובע שהוא מבקש לרצות את צרכיו האישיים בלבד. מכתב זה, כמו כל ההתנהלות נעשתה ללא התייעצות, ללא בדיקה מוסדרת, ללא פניה להנהלת האוניברסיטה או לייעוץ משפטי – ור' תשובת נציג האוניברסיטה בע"מ 99 לפרוטוקול שורה 11.</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14"/>
        </w:numPr>
        <w:spacing w:line="360" w:lineRule="auto"/>
        <w:jc w:val="both"/>
        <w:rPr>
          <w:rFonts w:ascii="David" w:eastAsia="Calibri" w:hAnsi="David" w:cs="David"/>
          <w:sz w:val="24"/>
          <w:szCs w:val="24"/>
          <w:rtl/>
        </w:rPr>
      </w:pPr>
      <w:r>
        <w:rPr>
          <w:rFonts w:ascii="David" w:eastAsia="Calibri" w:hAnsi="David" w:cs="David"/>
          <w:sz w:val="24"/>
          <w:szCs w:val="24"/>
          <w:rtl/>
        </w:rPr>
        <w:t>עוד אציין שנתתי דעתי להצעה לפיה בעוד כל המוזמנים ישתתפו בסעודה, הרי התובע יאכל דג בנייר כסף. במלוא הכבוד אין בהצעה זו כדי לאיין את ההפליה לה טוען התובע. אין מקום לחייב את התובע לתת בעצמו סימנים תוך שהוא אוכל "בנייר כסף" בעוד כל המוזמנים סועדים במסעדה שנבחרה בקפידה לצורך האירוע. כך בכלל וכך בעיקר כאשר פנייתו של התובע ובקשתו על רקע דתו למזון כשר אינה כה מופרכת, בוודאי לא במדינה בה רוב אזרחיה, היהודים כמו המוסלמים, מודעים למגבלות שבאכילת אוכל כשר.</w:t>
      </w:r>
    </w:p>
    <w:p w:rsidR="000C53C9" w:rsidRDefault="000C53C9" w:rsidP="000C53C9">
      <w:pPr>
        <w:pStyle w:val="af"/>
        <w:rPr>
          <w:rFonts w:ascii="David" w:eastAsia="Calibri" w:hAnsi="David" w:cs="David"/>
          <w:sz w:val="24"/>
          <w:szCs w:val="24"/>
        </w:rPr>
      </w:pPr>
    </w:p>
    <w:p w:rsidR="000C53C9" w:rsidRDefault="000C53C9" w:rsidP="000C53C9">
      <w:pPr>
        <w:pStyle w:val="af"/>
        <w:numPr>
          <w:ilvl w:val="0"/>
          <w:numId w:val="14"/>
        </w:numPr>
        <w:spacing w:line="360" w:lineRule="auto"/>
        <w:jc w:val="both"/>
        <w:rPr>
          <w:rFonts w:ascii="David" w:eastAsia="Calibri" w:hAnsi="David" w:cs="David"/>
          <w:sz w:val="24"/>
          <w:szCs w:val="24"/>
          <w:rtl/>
        </w:rPr>
      </w:pPr>
      <w:r>
        <w:rPr>
          <w:rFonts w:ascii="David" w:eastAsia="Calibri" w:hAnsi="David" w:cs="David"/>
          <w:sz w:val="24"/>
          <w:szCs w:val="24"/>
          <w:rtl/>
        </w:rPr>
        <w:t xml:space="preserve">בשולי הדברים ייאמר שאפילו תטען האוניברסיטה שההפליה נעשה שלא בכוונת מכוון, לא יהיה בכך כדי להפחית מקיומה. הצד המפלה לא תמיד מבחין בהתנהגותו. לא כך הצד הנפגע.. הפליה בהחלט עלולה להתרחש גם כאשר הצד המפלה כלל לא מפעיל שיקול דעת או לא מתכוון להפלות. הלכה פסוקה היא כי </w:t>
      </w:r>
      <w:r>
        <w:rPr>
          <w:rFonts w:ascii="David" w:eastAsia="Calibri" w:hAnsi="David" w:cs="David"/>
          <w:b/>
          <w:bCs/>
          <w:sz w:val="24"/>
          <w:szCs w:val="24"/>
          <w:rtl/>
        </w:rPr>
        <w:t>"להיעדרה של הכוונה להפלות אין השפעה על קיומה של ההפליה"</w:t>
      </w:r>
      <w:r>
        <w:rPr>
          <w:rFonts w:ascii="David" w:eastAsia="Calibri" w:hAnsi="David" w:cs="David"/>
          <w:sz w:val="24"/>
          <w:szCs w:val="24"/>
          <w:rtl/>
        </w:rPr>
        <w:t xml:space="preserve"> ולעניין זה ר' למשל כבר בבג"ץ 7052/03, </w:t>
      </w:r>
      <w:r>
        <w:rPr>
          <w:rFonts w:ascii="David" w:eastAsia="Calibri" w:hAnsi="David" w:cs="David"/>
          <w:sz w:val="24"/>
          <w:szCs w:val="24"/>
          <w:u w:val="single"/>
          <w:rtl/>
        </w:rPr>
        <w:t>עדאללה המרכז המשפטי לזכויות המיעוט הערבי בישראל נגד שר הפנים</w:t>
      </w:r>
      <w:r>
        <w:rPr>
          <w:rFonts w:ascii="David" w:eastAsia="Calibri" w:hAnsi="David" w:cs="David"/>
          <w:sz w:val="24"/>
          <w:szCs w:val="24"/>
          <w:rtl/>
        </w:rPr>
        <w:t xml:space="preserve"> (מיום 14/5/2006, סעיף 51 לפסק דינו של הנשיא ברק).</w:t>
      </w:r>
    </w:p>
    <w:p w:rsidR="000C53C9" w:rsidRDefault="000C53C9" w:rsidP="000C53C9">
      <w:pPr>
        <w:pStyle w:val="af"/>
        <w:spacing w:line="360" w:lineRule="auto"/>
        <w:jc w:val="both"/>
        <w:rPr>
          <w:rFonts w:ascii="David" w:eastAsia="Calibri" w:hAnsi="David" w:cs="David"/>
          <w:sz w:val="24"/>
          <w:szCs w:val="24"/>
        </w:rPr>
      </w:pPr>
    </w:p>
    <w:p w:rsidR="000C53C9" w:rsidRDefault="000C53C9" w:rsidP="000C53C9">
      <w:pPr>
        <w:pStyle w:val="af"/>
        <w:spacing w:line="360" w:lineRule="auto"/>
        <w:ind w:left="-598"/>
        <w:jc w:val="both"/>
        <w:rPr>
          <w:rFonts w:ascii="David" w:eastAsia="Calibri" w:hAnsi="David" w:cs="David"/>
          <w:b/>
          <w:bCs/>
          <w:sz w:val="24"/>
          <w:szCs w:val="24"/>
          <w:u w:val="single"/>
          <w:rtl/>
        </w:rPr>
      </w:pPr>
      <w:r>
        <w:rPr>
          <w:rFonts w:ascii="David" w:hAnsi="David" w:cs="David"/>
          <w:b/>
          <w:bCs/>
          <w:sz w:val="28"/>
          <w:szCs w:val="28"/>
          <w:u w:val="single"/>
          <w:rtl/>
        </w:rPr>
        <w:t>חלק רביעי – דיון</w:t>
      </w:r>
      <w:r>
        <w:rPr>
          <w:rFonts w:ascii="David" w:hAnsi="David" w:cs="David"/>
          <w:b/>
          <w:bCs/>
          <w:sz w:val="32"/>
          <w:szCs w:val="32"/>
          <w:u w:val="single"/>
          <w:rtl/>
        </w:rPr>
        <w:t xml:space="preserve"> </w:t>
      </w:r>
      <w:r>
        <w:rPr>
          <w:rFonts w:ascii="David" w:eastAsia="Calibri" w:hAnsi="David" w:cs="David"/>
          <w:b/>
          <w:bCs/>
          <w:sz w:val="28"/>
          <w:szCs w:val="28"/>
          <w:u w:val="single"/>
          <w:rtl/>
        </w:rPr>
        <w:t>בסעדים הנדרשים וכן סוף דבר</w:t>
      </w:r>
    </w:p>
    <w:p w:rsidR="000C53C9" w:rsidRDefault="000C53C9" w:rsidP="000C53C9">
      <w:pPr>
        <w:pStyle w:val="af"/>
        <w:spacing w:line="360" w:lineRule="auto"/>
        <w:ind w:left="-172"/>
        <w:jc w:val="both"/>
        <w:rPr>
          <w:rFonts w:ascii="David" w:eastAsia="Calibri" w:hAnsi="David" w:cs="David"/>
          <w:b/>
          <w:bCs/>
          <w:sz w:val="24"/>
          <w:szCs w:val="24"/>
          <w:u w:val="single"/>
          <w:rtl/>
        </w:rPr>
      </w:pPr>
    </w:p>
    <w:p w:rsidR="000C53C9" w:rsidRDefault="000C53C9" w:rsidP="000C53C9">
      <w:pPr>
        <w:pStyle w:val="af"/>
        <w:numPr>
          <w:ilvl w:val="0"/>
          <w:numId w:val="1"/>
        </w:numPr>
        <w:spacing w:line="360" w:lineRule="auto"/>
        <w:ind w:left="-172" w:hanging="284"/>
        <w:jc w:val="both"/>
        <w:rPr>
          <w:rFonts w:ascii="David" w:eastAsia="Calibri" w:hAnsi="David" w:cs="David"/>
          <w:b/>
          <w:bCs/>
          <w:sz w:val="24"/>
          <w:szCs w:val="24"/>
          <w:u w:val="single"/>
          <w:rtl/>
        </w:rPr>
      </w:pPr>
      <w:r>
        <w:rPr>
          <w:rFonts w:ascii="David" w:eastAsia="Calibri" w:hAnsi="David" w:cs="David"/>
          <w:b/>
          <w:bCs/>
          <w:sz w:val="24"/>
          <w:szCs w:val="24"/>
          <w:u w:val="single"/>
          <w:rtl/>
        </w:rPr>
        <w:t>יש מקום לחייב את הנתבעת בתשלום פיצוי. אין מקום ליתן צו מניעה</w:t>
      </w: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b/>
          <w:bCs/>
          <w:sz w:val="24"/>
          <w:szCs w:val="24"/>
          <w:u w:val="single"/>
          <w:rtl/>
        </w:rPr>
        <w:t>הדרישה לפיצוי התובע</w:t>
      </w:r>
    </w:p>
    <w:p w:rsidR="000C53C9" w:rsidRDefault="000C53C9" w:rsidP="000C53C9">
      <w:pPr>
        <w:pStyle w:val="af"/>
        <w:numPr>
          <w:ilvl w:val="0"/>
          <w:numId w:val="15"/>
        </w:numPr>
        <w:spacing w:line="360" w:lineRule="auto"/>
        <w:jc w:val="both"/>
        <w:rPr>
          <w:rFonts w:ascii="David" w:eastAsia="Calibri" w:hAnsi="David" w:cs="David"/>
          <w:sz w:val="24"/>
          <w:szCs w:val="24"/>
        </w:rPr>
      </w:pPr>
      <w:r>
        <w:rPr>
          <w:rFonts w:ascii="David" w:eastAsia="Calibri" w:hAnsi="David" w:cs="David"/>
          <w:sz w:val="24"/>
          <w:szCs w:val="24"/>
          <w:rtl/>
        </w:rPr>
        <w:t>כפי שהורחב לעיל, פעולת האוניברסיטה, הזמנת הסטודנטים לפעילות תוך הדרת התובע וכן הפלייתו על רקע דת מביאים לכך שיש מקום לחייב את האוניברסיטה בתשלום פיצוי. לעניין זה קובע סעיף 5(ב) לחוק איסור הפליה, שניתן לקבוע פיצוי אף ללא הוכחת נזק וזאת עד לסך של 50,000 ₪ לאירוע כאשר סכום זה הוצמד למדד חודש אוקטובר 2000. סכום זה עומד, נכון למועד פסק הדין, על הסך של כ – 70,000 ₪.</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0"/>
          <w:numId w:val="15"/>
        </w:numPr>
        <w:spacing w:line="360" w:lineRule="auto"/>
        <w:jc w:val="both"/>
        <w:rPr>
          <w:rFonts w:ascii="David" w:eastAsia="Calibri" w:hAnsi="David" w:cs="David"/>
          <w:sz w:val="24"/>
          <w:szCs w:val="24"/>
        </w:rPr>
      </w:pPr>
      <w:r>
        <w:rPr>
          <w:rFonts w:ascii="David" w:eastAsia="Calibri" w:hAnsi="David" w:cs="David"/>
          <w:sz w:val="24"/>
          <w:szCs w:val="24"/>
          <w:rtl/>
        </w:rPr>
        <w:t xml:space="preserve">קביעת הפיצוי ללא הוכחת נזק מייחד את חוק איסור הפליה במוצרים ושירותים כאחד החוקים אשר כולל בתוכו </w:t>
      </w:r>
      <w:r>
        <w:rPr>
          <w:rFonts w:ascii="David" w:eastAsia="Calibri" w:hAnsi="David" w:cs="David"/>
          <w:b/>
          <w:bCs/>
          <w:sz w:val="24"/>
          <w:szCs w:val="24"/>
          <w:rtl/>
        </w:rPr>
        <w:t>"מנגנון ייחודי לזיהוי הנזק ולפיצוי בגינו במצבי פגיעה חוקתית מובהקת"</w:t>
      </w:r>
      <w:r>
        <w:rPr>
          <w:rFonts w:ascii="David" w:eastAsia="Calibri" w:hAnsi="David" w:cs="David"/>
          <w:sz w:val="24"/>
          <w:szCs w:val="24"/>
          <w:rtl/>
        </w:rPr>
        <w:t xml:space="preserve">, ור' לעניין זה  יפעת ביטון, </w:t>
      </w:r>
      <w:r>
        <w:rPr>
          <w:rFonts w:ascii="David" w:eastAsia="Calibri" w:hAnsi="David" w:cs="David"/>
          <w:sz w:val="24"/>
          <w:szCs w:val="24"/>
          <w:u w:val="single"/>
          <w:rtl/>
        </w:rPr>
        <w:t>""כאבים באזור הכבוד" – פיצוי בגין פגיעה בזכויות חוקתיות"</w:t>
      </w:r>
      <w:r>
        <w:rPr>
          <w:rFonts w:ascii="David" w:eastAsia="Calibri" w:hAnsi="David" w:cs="David"/>
          <w:sz w:val="24"/>
          <w:szCs w:val="24"/>
          <w:rtl/>
        </w:rPr>
        <w:t xml:space="preserve">, משפט וממשל, כרך ט' (תשס"ו) 137. להרחבה ר' גם דפנה ברק ארז, </w:t>
      </w:r>
      <w:r>
        <w:rPr>
          <w:rFonts w:ascii="David" w:eastAsia="Calibri" w:hAnsi="David" w:cs="David"/>
          <w:sz w:val="24"/>
          <w:szCs w:val="24"/>
          <w:u w:val="single"/>
          <w:rtl/>
        </w:rPr>
        <w:t>"עוולות חוקתיות בעידן חוקי היסוד"</w:t>
      </w:r>
      <w:r>
        <w:rPr>
          <w:rFonts w:ascii="David" w:eastAsia="Calibri" w:hAnsi="David" w:cs="David"/>
          <w:sz w:val="24"/>
          <w:szCs w:val="24"/>
          <w:rtl/>
        </w:rPr>
        <w:t>, משפט וממשל ט' (תשס"ו) בע"מ 103.</w:t>
      </w:r>
    </w:p>
    <w:p w:rsidR="000C53C9" w:rsidRDefault="000C53C9" w:rsidP="000C53C9">
      <w:pPr>
        <w:pStyle w:val="af"/>
        <w:rPr>
          <w:rFonts w:ascii="David" w:eastAsia="Calibri" w:hAnsi="David" w:cs="David"/>
          <w:sz w:val="24"/>
          <w:szCs w:val="24"/>
        </w:rPr>
      </w:pPr>
    </w:p>
    <w:p w:rsidR="000C53C9" w:rsidRDefault="000C53C9" w:rsidP="000C53C9">
      <w:pPr>
        <w:pStyle w:val="af"/>
        <w:spacing w:line="360" w:lineRule="auto"/>
        <w:ind w:left="755"/>
        <w:jc w:val="both"/>
        <w:rPr>
          <w:rFonts w:ascii="David" w:eastAsia="Calibri" w:hAnsi="David" w:cs="David"/>
          <w:sz w:val="24"/>
          <w:szCs w:val="24"/>
          <w:rtl/>
        </w:rPr>
      </w:pPr>
      <w:r>
        <w:rPr>
          <w:rFonts w:ascii="David" w:eastAsia="Calibri" w:hAnsi="David" w:cs="David"/>
          <w:sz w:val="24"/>
          <w:szCs w:val="24"/>
          <w:rtl/>
        </w:rPr>
        <w:t xml:space="preserve">מנגנון קביעת הפיצוי ללא הוכחת נזק נועד מלכתחילה להתמודד עם המורכבות שבהערכת הנזק הבלתי ממוני לתובע הטוען להפליה, לעניין זה ר' למשל רע"א 2015/15, </w:t>
      </w:r>
      <w:r>
        <w:rPr>
          <w:rFonts w:ascii="David" w:eastAsia="Calibri" w:hAnsi="David" w:cs="David"/>
          <w:sz w:val="24"/>
          <w:szCs w:val="24"/>
          <w:u w:val="single"/>
          <w:rtl/>
        </w:rPr>
        <w:t>מאיר פלבסקי נגד חברת מקור הפורמיקה בע"מ</w:t>
      </w:r>
      <w:r>
        <w:rPr>
          <w:rFonts w:ascii="David" w:eastAsia="Calibri" w:hAnsi="David" w:cs="David"/>
          <w:sz w:val="24"/>
          <w:szCs w:val="24"/>
          <w:rtl/>
        </w:rPr>
        <w:t xml:space="preserve"> (מיום 4/8/2016). </w:t>
      </w:r>
    </w:p>
    <w:p w:rsidR="000C53C9" w:rsidRDefault="000C53C9" w:rsidP="000C53C9">
      <w:pPr>
        <w:pStyle w:val="af"/>
        <w:rPr>
          <w:rFonts w:ascii="David" w:eastAsia="Calibri" w:hAnsi="David" w:cs="David"/>
          <w:sz w:val="24"/>
          <w:szCs w:val="24"/>
        </w:rPr>
      </w:pPr>
    </w:p>
    <w:p w:rsidR="000C53C9" w:rsidRDefault="000C53C9" w:rsidP="000C53C9">
      <w:pPr>
        <w:pStyle w:val="af"/>
        <w:rPr>
          <w:rFonts w:ascii="David" w:eastAsia="Calibri" w:hAnsi="David" w:cs="David"/>
          <w:sz w:val="24"/>
          <w:szCs w:val="24"/>
          <w:rtl/>
        </w:rPr>
      </w:pPr>
    </w:p>
    <w:p w:rsidR="000C53C9" w:rsidRDefault="000C53C9" w:rsidP="000C53C9">
      <w:pPr>
        <w:pStyle w:val="af"/>
        <w:numPr>
          <w:ilvl w:val="0"/>
          <w:numId w:val="15"/>
        </w:numPr>
        <w:spacing w:line="360" w:lineRule="auto"/>
        <w:jc w:val="both"/>
        <w:rPr>
          <w:rFonts w:ascii="David" w:eastAsia="Calibri" w:hAnsi="David" w:cs="David"/>
          <w:sz w:val="24"/>
          <w:szCs w:val="24"/>
          <w:rtl/>
        </w:rPr>
      </w:pPr>
      <w:r>
        <w:rPr>
          <w:rFonts w:ascii="David" w:eastAsia="Calibri" w:hAnsi="David" w:cs="David"/>
          <w:sz w:val="24"/>
          <w:szCs w:val="24"/>
          <w:rtl/>
        </w:rPr>
        <w:t xml:space="preserve">בעניינינו הופלה התובע בהתנהלות אחת ובה ארבעה מופעים. ארבע סעודות במסעדות לא כשרות, כאשר כלל לא נשקלה האפשרות לחפש בכל אזור תל אביב מסעדה כשרה אליה ניתן יהיה להזמין את ציבור הסטודנטים היהודי והמוסלמי משנטל על עצמו עול מצוות. </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spacing w:line="360" w:lineRule="auto"/>
        <w:ind w:left="755"/>
        <w:jc w:val="both"/>
        <w:rPr>
          <w:rFonts w:ascii="David" w:eastAsia="Calibri" w:hAnsi="David" w:cs="David"/>
          <w:sz w:val="24"/>
          <w:szCs w:val="24"/>
        </w:rPr>
      </w:pPr>
      <w:r>
        <w:rPr>
          <w:rFonts w:ascii="David" w:eastAsia="Calibri" w:hAnsi="David" w:cs="David"/>
          <w:sz w:val="24"/>
          <w:szCs w:val="24"/>
          <w:rtl/>
        </w:rPr>
        <w:t xml:space="preserve">ביחס לסכום הפיצוי, ניתן להפנות לסקירה הנרחבת של פסיקת בתי המשפט ביחס לפיצויים  מכח חוק איסור הפליה במוצרים ושירותים כפי שהובאה למשל בתא"מ (בית שמש) 31641-03-17, </w:t>
      </w:r>
      <w:r>
        <w:rPr>
          <w:rFonts w:ascii="David" w:eastAsia="Calibri" w:hAnsi="David" w:cs="David"/>
          <w:sz w:val="24"/>
          <w:szCs w:val="24"/>
          <w:u w:val="single"/>
          <w:rtl/>
        </w:rPr>
        <w:t>מוקד רפואי ביתר נגד גל ביתר שירותי פרסום והפקות</w:t>
      </w:r>
      <w:r>
        <w:rPr>
          <w:rFonts w:ascii="David" w:eastAsia="Calibri" w:hAnsi="David" w:cs="David"/>
          <w:sz w:val="24"/>
          <w:szCs w:val="24"/>
          <w:rtl/>
        </w:rPr>
        <w:t xml:space="preserve"> (מיום 27/5/2018, השופטת מ' אב-גנים ויינשטיין).</w:t>
      </w:r>
    </w:p>
    <w:p w:rsidR="000C53C9" w:rsidRDefault="000C53C9" w:rsidP="000C53C9">
      <w:pPr>
        <w:pStyle w:val="af"/>
        <w:spacing w:line="360" w:lineRule="auto"/>
        <w:ind w:left="755"/>
        <w:jc w:val="both"/>
        <w:rPr>
          <w:rFonts w:ascii="David" w:eastAsia="Calibri" w:hAnsi="David" w:cs="David"/>
          <w:sz w:val="24"/>
          <w:szCs w:val="24"/>
          <w:rtl/>
        </w:rPr>
      </w:pPr>
    </w:p>
    <w:p w:rsidR="000C53C9" w:rsidRDefault="000C53C9" w:rsidP="000C53C9">
      <w:pPr>
        <w:pStyle w:val="af"/>
        <w:spacing w:line="360" w:lineRule="auto"/>
        <w:ind w:left="755"/>
        <w:jc w:val="both"/>
        <w:rPr>
          <w:rFonts w:ascii="David" w:eastAsia="Calibri" w:hAnsi="David" w:cs="David"/>
          <w:sz w:val="24"/>
          <w:szCs w:val="24"/>
          <w:rtl/>
        </w:rPr>
      </w:pPr>
      <w:r>
        <w:rPr>
          <w:rFonts w:ascii="David" w:eastAsia="Calibri" w:hAnsi="David" w:cs="David"/>
          <w:sz w:val="24"/>
          <w:szCs w:val="24"/>
          <w:rtl/>
        </w:rPr>
        <w:t xml:space="preserve">במסגרת קביעת הפיצוי בהליך כאן שקלתי את אופי ההפליה, את היקפה, את ההתנהלות לאחר שהתובע פנה בכתב לאוניברסיטה וההתעלמות בפועל ממצוקתו כפי שהובעה; התעלמות אשר הביאה לכך שהאוניברסיטה אפילו לא התייחסה למצוקתו של התובע ולשאלת הכשרות כאל קריטריון שיש לדון בו. לאחר כל האמור לעיל אני קובע שיש לחייב את האוניברסיטה בתשלום פיצוי בסך של </w:t>
      </w:r>
      <w:r>
        <w:rPr>
          <w:rFonts w:ascii="David" w:eastAsia="Calibri" w:hAnsi="David" w:cs="David"/>
          <w:b/>
          <w:bCs/>
          <w:sz w:val="24"/>
          <w:szCs w:val="24"/>
          <w:u w:val="single"/>
          <w:rtl/>
        </w:rPr>
        <w:t>30,000 ₪</w:t>
      </w:r>
      <w:r>
        <w:rPr>
          <w:rFonts w:ascii="David" w:eastAsia="Calibri" w:hAnsi="David" w:cs="David"/>
          <w:sz w:val="24"/>
          <w:szCs w:val="24"/>
          <w:rtl/>
        </w:rPr>
        <w:t xml:space="preserve">, כאשר סכום זה יישא הפרשי הצמדה וריבית ממועד פסק דין זה ועד למועד התשלום בפועל. </w:t>
      </w:r>
    </w:p>
    <w:p w:rsidR="000C53C9" w:rsidRDefault="000C53C9" w:rsidP="000C53C9">
      <w:pPr>
        <w:pStyle w:val="af"/>
        <w:spacing w:line="360" w:lineRule="auto"/>
        <w:ind w:left="-172"/>
        <w:jc w:val="both"/>
        <w:rPr>
          <w:rFonts w:ascii="David" w:eastAsia="Calibri" w:hAnsi="David" w:cs="David"/>
          <w:sz w:val="24"/>
          <w:szCs w:val="24"/>
        </w:rPr>
      </w:pPr>
    </w:p>
    <w:p w:rsidR="000C53C9" w:rsidRDefault="000C53C9" w:rsidP="000C53C9">
      <w:pPr>
        <w:pStyle w:val="af"/>
        <w:numPr>
          <w:ilvl w:val="1"/>
          <w:numId w:val="1"/>
        </w:numPr>
        <w:spacing w:line="360" w:lineRule="auto"/>
        <w:ind w:left="395" w:hanging="567"/>
        <w:jc w:val="both"/>
        <w:rPr>
          <w:rFonts w:ascii="David" w:eastAsia="Calibri" w:hAnsi="David" w:cs="David"/>
          <w:sz w:val="24"/>
          <w:szCs w:val="24"/>
        </w:rPr>
      </w:pPr>
      <w:r>
        <w:rPr>
          <w:rFonts w:ascii="David" w:eastAsia="Calibri" w:hAnsi="David" w:cs="David"/>
          <w:b/>
          <w:bCs/>
          <w:sz w:val="24"/>
          <w:szCs w:val="24"/>
          <w:u w:val="single"/>
          <w:rtl/>
        </w:rPr>
        <w:t>הדרישה לקביעת צו מניעה</w:t>
      </w:r>
    </w:p>
    <w:p w:rsidR="000C53C9" w:rsidRDefault="000C53C9" w:rsidP="000C53C9">
      <w:pPr>
        <w:pStyle w:val="af"/>
        <w:numPr>
          <w:ilvl w:val="0"/>
          <w:numId w:val="16"/>
        </w:numPr>
        <w:spacing w:line="360" w:lineRule="auto"/>
        <w:jc w:val="both"/>
        <w:rPr>
          <w:rFonts w:ascii="David" w:eastAsia="Calibri" w:hAnsi="David" w:cs="David"/>
          <w:sz w:val="24"/>
          <w:szCs w:val="24"/>
        </w:rPr>
      </w:pPr>
      <w:r>
        <w:rPr>
          <w:rFonts w:ascii="David" w:eastAsia="Calibri" w:hAnsi="David" w:cs="David"/>
          <w:sz w:val="24"/>
          <w:szCs w:val="24"/>
          <w:rtl/>
        </w:rPr>
        <w:t xml:space="preserve">אין מקום לקבוע צו מניעה גורף  אשר יאסור </w:t>
      </w:r>
      <w:r>
        <w:rPr>
          <w:rFonts w:ascii="David" w:hAnsi="David" w:cs="David"/>
          <w:sz w:val="24"/>
          <w:szCs w:val="24"/>
          <w:rtl/>
        </w:rPr>
        <w:t>"על הנתבעת להפלות בין תלמידיה בדרך של עריכת אירועים מהסוג המתואר בכתב התביעה כמו גם כל אירוע אחר הנמצא בזיקה ישירה לפעילות האוניברסיטה במסעדות לא כשרות".</w:t>
      </w:r>
    </w:p>
    <w:p w:rsidR="000C53C9" w:rsidRDefault="000C53C9" w:rsidP="000C53C9">
      <w:pPr>
        <w:pStyle w:val="af"/>
        <w:spacing w:line="360" w:lineRule="auto"/>
        <w:ind w:left="755"/>
        <w:jc w:val="both"/>
        <w:rPr>
          <w:rFonts w:ascii="David" w:eastAsia="Calibri" w:hAnsi="David" w:cs="David"/>
          <w:sz w:val="24"/>
          <w:szCs w:val="24"/>
        </w:rPr>
      </w:pPr>
    </w:p>
    <w:p w:rsidR="000C53C9" w:rsidRDefault="000C53C9" w:rsidP="000C53C9">
      <w:pPr>
        <w:pStyle w:val="af"/>
        <w:numPr>
          <w:ilvl w:val="0"/>
          <w:numId w:val="16"/>
        </w:numPr>
        <w:spacing w:line="360" w:lineRule="auto"/>
        <w:jc w:val="both"/>
        <w:rPr>
          <w:rFonts w:ascii="David" w:eastAsia="Calibri" w:hAnsi="David" w:cs="David"/>
          <w:sz w:val="24"/>
          <w:szCs w:val="24"/>
          <w:u w:val="single"/>
        </w:rPr>
      </w:pPr>
      <w:r>
        <w:rPr>
          <w:rFonts w:ascii="David" w:hAnsi="David" w:cs="David"/>
          <w:sz w:val="24"/>
          <w:szCs w:val="24"/>
          <w:rtl/>
        </w:rPr>
        <w:t>צו מניעה גורף אשר יקבע מסמרות לעתיד</w:t>
      </w:r>
      <w:r>
        <w:rPr>
          <w:rFonts w:ascii="David" w:eastAsia="Calibri" w:hAnsi="David" w:cs="David"/>
          <w:sz w:val="24"/>
          <w:szCs w:val="24"/>
          <w:rtl/>
        </w:rPr>
        <w:t xml:space="preserve"> ביחס לכל אירוע ואירוע של האוניברסיטה, הוא כבר בגדר התערבות מנהלית בשיקול הדעת של האוניברסיטה  בניהול פעילותה. שיקול דעת שבעניינינו כלל לא הופעל, כשנושא הכשרות כלל לא היה חלק מקריטריונים כמו גם פניותיו של התובע. על כך כבר הורחב לעיל.</w:t>
      </w:r>
    </w:p>
    <w:p w:rsidR="000C53C9" w:rsidRDefault="000C53C9" w:rsidP="000C53C9">
      <w:pPr>
        <w:pStyle w:val="af"/>
        <w:rPr>
          <w:rFonts w:ascii="David" w:eastAsia="Calibri" w:hAnsi="David" w:cs="David"/>
          <w:sz w:val="24"/>
          <w:szCs w:val="24"/>
        </w:rPr>
      </w:pPr>
    </w:p>
    <w:p w:rsidR="000C53C9" w:rsidRDefault="000C53C9" w:rsidP="000C53C9">
      <w:pPr>
        <w:pStyle w:val="af"/>
        <w:spacing w:line="360" w:lineRule="auto"/>
        <w:ind w:left="755"/>
        <w:jc w:val="both"/>
        <w:rPr>
          <w:rFonts w:ascii="David" w:eastAsia="Calibri" w:hAnsi="David" w:cs="David"/>
          <w:sz w:val="24"/>
          <w:szCs w:val="24"/>
          <w:u w:val="single"/>
          <w:rtl/>
        </w:rPr>
      </w:pPr>
      <w:r>
        <w:rPr>
          <w:rFonts w:ascii="David" w:eastAsia="Calibri" w:hAnsi="David" w:cs="David"/>
          <w:sz w:val="24"/>
          <w:szCs w:val="24"/>
          <w:rtl/>
        </w:rPr>
        <w:t xml:space="preserve">יש להיזהר פן ייקבע כעת צו המגביל לעתיד ולכל מקרה, את פעילות האוניברסיטה. יש להיזהר פן ייקבע צו גורף ביחס ל"אירועים מהסוג המתואר" – זאת מבלי להתייחס לכל מקרה לגופו ולכל פעילות שתהיה.   </w:t>
      </w:r>
    </w:p>
    <w:p w:rsidR="000C53C9" w:rsidRDefault="000C53C9" w:rsidP="000C53C9">
      <w:pPr>
        <w:pStyle w:val="af"/>
        <w:spacing w:line="360" w:lineRule="auto"/>
        <w:ind w:left="536"/>
        <w:jc w:val="both"/>
        <w:rPr>
          <w:rFonts w:ascii="David" w:eastAsia="Calibri" w:hAnsi="David" w:cs="David"/>
          <w:sz w:val="24"/>
          <w:szCs w:val="24"/>
          <w:u w:val="single"/>
          <w:rtl/>
        </w:rPr>
      </w:pPr>
    </w:p>
    <w:p w:rsidR="000C53C9" w:rsidRDefault="000C53C9" w:rsidP="000C53C9">
      <w:pPr>
        <w:pStyle w:val="af"/>
        <w:numPr>
          <w:ilvl w:val="0"/>
          <w:numId w:val="1"/>
        </w:numPr>
        <w:spacing w:line="360" w:lineRule="auto"/>
        <w:ind w:left="-172" w:hanging="284"/>
        <w:jc w:val="both"/>
        <w:rPr>
          <w:rFonts w:ascii="David" w:eastAsia="Calibri" w:hAnsi="David" w:cs="David"/>
          <w:sz w:val="24"/>
          <w:szCs w:val="24"/>
          <w:rtl/>
        </w:rPr>
      </w:pPr>
      <w:r>
        <w:rPr>
          <w:rFonts w:ascii="David" w:eastAsia="Calibri" w:hAnsi="David" w:cs="David"/>
          <w:b/>
          <w:bCs/>
          <w:sz w:val="24"/>
          <w:szCs w:val="24"/>
          <w:u w:val="single"/>
          <w:rtl/>
        </w:rPr>
        <w:t>סוף דבר</w:t>
      </w:r>
    </w:p>
    <w:p w:rsidR="000C53C9" w:rsidRDefault="000C53C9" w:rsidP="000C53C9">
      <w:pPr>
        <w:pStyle w:val="af"/>
        <w:spacing w:line="360" w:lineRule="auto"/>
        <w:ind w:left="-172"/>
        <w:jc w:val="both"/>
        <w:rPr>
          <w:rFonts w:ascii="David" w:eastAsia="Calibri" w:hAnsi="David" w:cs="David"/>
          <w:sz w:val="24"/>
          <w:szCs w:val="24"/>
        </w:rPr>
      </w:pPr>
      <w:r>
        <w:rPr>
          <w:rFonts w:ascii="David" w:eastAsia="Calibri" w:hAnsi="David" w:cs="David"/>
          <w:sz w:val="24"/>
          <w:szCs w:val="24"/>
          <w:rtl/>
        </w:rPr>
        <w:t xml:space="preserve">לאור האמור לעיל אני מחייב את הנתבעת בתשלום הסך של </w:t>
      </w:r>
      <w:r>
        <w:rPr>
          <w:rFonts w:ascii="David" w:eastAsia="Calibri" w:hAnsi="David" w:cs="David"/>
          <w:b/>
          <w:bCs/>
          <w:sz w:val="24"/>
          <w:szCs w:val="24"/>
          <w:u w:val="single"/>
          <w:rtl/>
        </w:rPr>
        <w:t>30,000 ₪</w:t>
      </w:r>
      <w:r>
        <w:rPr>
          <w:rFonts w:ascii="David" w:eastAsia="Calibri" w:hAnsi="David" w:cs="David"/>
          <w:sz w:val="24"/>
          <w:szCs w:val="24"/>
          <w:rtl/>
        </w:rPr>
        <w:t xml:space="preserve"> בתוספת הפרשי הצמדה וריבית כחוק ממועד פסק הדין ועד למועד התשלום בפועל. בנוסף אני מחייב את הנתבעת בתשלום הוצאות משפט ושכר טרחת עו"ד בסך כולל של </w:t>
      </w:r>
      <w:r>
        <w:rPr>
          <w:rFonts w:ascii="David" w:eastAsia="Calibri" w:hAnsi="David" w:cs="David"/>
          <w:b/>
          <w:bCs/>
          <w:sz w:val="24"/>
          <w:szCs w:val="24"/>
          <w:u w:val="single"/>
          <w:rtl/>
        </w:rPr>
        <w:t>15,000 ₪</w:t>
      </w:r>
      <w:r>
        <w:rPr>
          <w:rFonts w:ascii="David" w:eastAsia="Calibri" w:hAnsi="David" w:cs="David"/>
          <w:sz w:val="24"/>
          <w:szCs w:val="24"/>
          <w:rtl/>
        </w:rPr>
        <w:t xml:space="preserve"> בתוספת הפרשי הצמדה וריבית כחוק ממועד פסק הדין ועד למועד התשלום בפועל. </w:t>
      </w:r>
    </w:p>
    <w:p w:rsidR="00694556" w:rsidRDefault="00694556">
      <w:pPr>
        <w:spacing w:line="360" w:lineRule="auto"/>
        <w:jc w:val="both"/>
        <w:rPr>
          <w:rFonts w:ascii="Arial" w:hAnsi="Arial"/>
          <w:noProof w:val="0"/>
          <w:rtl/>
        </w:rPr>
      </w:pPr>
    </w:p>
    <w:p w:rsidR="00694556" w:rsidRDefault="00005C8B">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242217728"/>
          <w:text w:multiLine="1"/>
        </w:sdtPr>
        <w:sdtEndPr/>
        <w:sdtContent>
          <w:r>
            <w:rPr>
              <w:rFonts w:ascii="Arial" w:hAnsi="Arial"/>
              <w:noProof w:val="0"/>
              <w:rtl/>
            </w:rPr>
            <w:t>י"ד סיוון תשפ"ב</w:t>
          </w:r>
        </w:sdtContent>
      </w:sdt>
      <w:r>
        <w:rPr>
          <w:rFonts w:ascii="Arial" w:hAnsi="Arial"/>
          <w:noProof w:val="0"/>
          <w:rtl/>
        </w:rPr>
        <w:t xml:space="preserve">, </w:t>
      </w:r>
      <w:sdt>
        <w:sdtPr>
          <w:rPr>
            <w:rtl/>
          </w:rPr>
          <w:alias w:val="1456"/>
          <w:tag w:val="1456"/>
          <w:id w:val="-1101635932"/>
          <w:text w:multiLine="1"/>
        </w:sdtPr>
        <w:sdtEndPr/>
        <w:sdtContent>
          <w:r>
            <w:rPr>
              <w:rFonts w:ascii="Arial" w:hAnsi="Arial"/>
              <w:noProof w:val="0"/>
              <w:rtl/>
            </w:rPr>
            <w:t>13 יוני 2022</w:t>
          </w:r>
        </w:sdtContent>
      </w:sdt>
      <w:r>
        <w:rPr>
          <w:rFonts w:ascii="Arial" w:hAnsi="Arial"/>
          <w:noProof w:val="0"/>
          <w:rtl/>
        </w:rPr>
        <w:t>, בהעדר הצדדים.</w:t>
      </w:r>
    </w:p>
    <w:p w:rsidR="005B0F49" w:rsidRDefault="005B0F49" w:rsidP="00633C4F">
      <w:pPr>
        <w:spacing w:line="360" w:lineRule="auto"/>
        <w:jc w:val="both"/>
        <w:rPr>
          <w:rFonts w:ascii="Arial" w:hAnsi="Arial"/>
          <w:noProof w:val="0"/>
          <w:rtl/>
        </w:rPr>
      </w:pP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Pr>
          <w:rFonts w:ascii="Arial" w:hAnsi="Arial" w:hint="cs"/>
          <w:noProof w:val="0"/>
          <w:rtl/>
        </w:rPr>
        <w:tab/>
      </w:r>
      <w:r w:rsidR="00633C4F">
        <w:rPr>
          <w:rFonts w:ascii="Arial" w:hAnsi="Arial"/>
          <w:noProof w:val="0"/>
          <w:rtl/>
        </w:rPr>
        <w:tab/>
      </w:r>
      <w:sdt>
        <w:sdtPr>
          <w:rPr>
            <w:rFonts w:ascii="Arial" w:hAnsi="Arial" w:hint="cs"/>
            <w:noProof w:val="0"/>
            <w:rtl/>
          </w:rPr>
          <w:alias w:val="2045"/>
          <w:tag w:val="2045"/>
          <w:id w:val="1736736771"/>
          <w:placeholder>
            <w:docPart w:val="03459962B6984C23A2D5882F7D086C2E"/>
          </w:placeholder>
          <w:showingPlcHdr/>
          <w:text w:multiLine="1"/>
        </w:sdtPr>
        <w:sdtEndPr/>
        <w:sdtContent/>
      </w:sdt>
      <w:r>
        <w:rPr>
          <w:rFonts w:ascii="Arial" w:hAnsi="Arial" w:hint="cs"/>
          <w:noProof w:val="0"/>
          <w:rtl/>
        </w:rPr>
        <w:tab/>
      </w:r>
      <w:r>
        <w:rPr>
          <w:rFonts w:ascii="Arial" w:hAnsi="Arial" w:hint="cs"/>
          <w:noProof w:val="0"/>
          <w:rtl/>
        </w:rPr>
        <w:tab/>
      </w:r>
      <w:r w:rsidR="00633C4F">
        <w:rPr>
          <w:rFonts w:ascii="Arial" w:hAnsi="Arial"/>
          <w:noProof w:val="0"/>
          <w:rtl/>
        </w:rPr>
        <w:t xml:space="preserve"> </w:t>
      </w:r>
    </w:p>
    <w:p w:rsidR="00694556" w:rsidRDefault="005302CA" w:rsidP="00633C4F">
      <w:pPr>
        <w:spacing w:line="360" w:lineRule="auto"/>
        <w:ind w:left="3600" w:firstLine="720"/>
      </w:pPr>
      <w:sdt>
        <w:sdtPr>
          <w:rPr>
            <w:rtl/>
          </w:rPr>
          <w:alias w:val="MergeField"/>
          <w:tag w:val="1237"/>
          <w:id w:val="-326751113"/>
        </w:sdtPr>
        <w:sdtEndPr/>
        <w:sdtContent>
          <w:r w:rsidR="00955E09">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633C4F">
      <w:pPr>
        <w:spacing w:line="360" w:lineRule="auto"/>
        <w:ind w:left="3600" w:firstLine="720"/>
        <w:rPr>
          <w:rFonts w:ascii="Arial" w:hAnsi="Arial"/>
          <w:noProof w:val="0"/>
          <w:rtl/>
        </w:rPr>
      </w:pPr>
    </w:p>
    <w:p w:rsidR="00694556" w:rsidRDefault="00694556">
      <w:pPr>
        <w:spacing w:line="360" w:lineRule="auto"/>
        <w:jc w:val="both"/>
        <w:rPr>
          <w:rFonts w:ascii="Arial" w:hAnsi="Arial"/>
          <w:noProof w:val="0"/>
          <w:rtl/>
        </w:rPr>
      </w:pPr>
    </w:p>
    <w:sectPr w:rsidR="00694556" w:rsidSect="000C53C9">
      <w:headerReference w:type="default" r:id="rId9"/>
      <w:footerReference w:type="default" r:id="rId10"/>
      <w:pgSz w:w="11907" w:h="16840" w:code="9"/>
      <w:pgMar w:top="1134" w:right="1588" w:bottom="1021" w:left="1588" w:header="720" w:footer="737"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altName w:val="Miriam"/>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A62BD0" w:rsidRDefault="002352F7">
    <w:pPr>
      <w:pStyle w:val="a4"/>
      <w:jc w:val="center"/>
      <w:rPr>
        <w:rStyle w:val="ab"/>
      </w:rPr>
    </w:pPr>
    <w:r w:rsidRPr="00A62BD0">
      <w:rPr>
        <w:rStyle w:val="ab"/>
      </w:rPr>
      <w:fldChar w:fldCharType="begin"/>
    </w:r>
    <w:r w:rsidR="00005C8B" w:rsidRPr="00A62BD0">
      <w:rPr>
        <w:rStyle w:val="ab"/>
      </w:rPr>
      <w:instrText xml:space="preserve"> PAGE </w:instrText>
    </w:r>
    <w:r w:rsidRPr="00A62BD0">
      <w:rPr>
        <w:rStyle w:val="ab"/>
      </w:rPr>
      <w:fldChar w:fldCharType="separate"/>
    </w:r>
    <w:r w:rsidR="005302CA">
      <w:rPr>
        <w:rStyle w:val="ab"/>
        <w:rtl/>
      </w:rPr>
      <w:t>1</w:t>
    </w:r>
    <w:r w:rsidRPr="00A62BD0">
      <w:rPr>
        <w:rStyle w:val="ab"/>
      </w:rPr>
      <w:fldChar w:fldCharType="end"/>
    </w:r>
    <w:r w:rsidR="00005C8B" w:rsidRPr="00A62BD0">
      <w:rPr>
        <w:rStyle w:val="ab"/>
        <w:rFonts w:hint="cs"/>
        <w:rtl/>
      </w:rPr>
      <w:t xml:space="preserve"> מתוך </w:t>
    </w:r>
    <w:r w:rsidRPr="00A62BD0">
      <w:rPr>
        <w:rStyle w:val="ab"/>
      </w:rPr>
      <w:fldChar w:fldCharType="begin"/>
    </w:r>
    <w:r w:rsidR="00005C8B" w:rsidRPr="00A62BD0">
      <w:rPr>
        <w:rStyle w:val="ab"/>
      </w:rPr>
      <w:instrText xml:space="preserve"> NUMPAGES </w:instrText>
    </w:r>
    <w:r w:rsidRPr="00A62BD0">
      <w:rPr>
        <w:rStyle w:val="ab"/>
      </w:rPr>
      <w:fldChar w:fldCharType="separate"/>
    </w:r>
    <w:r w:rsidR="005302CA">
      <w:rPr>
        <w:rStyle w:val="ab"/>
        <w:rtl/>
      </w:rPr>
      <w:t>1</w:t>
    </w:r>
    <w:r w:rsidRPr="00A62BD0">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1277D7">
    <w:pPr>
      <w:pStyle w:val="a3"/>
      <w:jc w:val="center"/>
      <w:rPr>
        <w:rFonts w:cs="FrankRuehl"/>
        <w:noProof w:val="0"/>
        <w:sz w:val="28"/>
        <w:szCs w:val="28"/>
        <w:rtl/>
      </w:rPr>
    </w:pPr>
    <w:r>
      <w:rPr>
        <w:rFonts w:cs="FrankRuehl"/>
        <w:sz w:val="28"/>
        <w:szCs w:val="28"/>
      </w:rPr>
      <w:drawing>
        <wp:inline distT="0" distB="0" distL="0" distR="0" wp14:anchorId="00BC388D" wp14:editId="4FD22DBF">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307"/>
    </w:tblGrid>
    <w:tr w:rsidR="00694556" w:rsidTr="00D26B56">
      <w:trPr>
        <w:trHeight w:hRule="exact" w:val="670"/>
        <w:jc w:val="center"/>
      </w:trPr>
      <w:sdt>
        <w:sdtPr>
          <w:rPr>
            <w:sz w:val="32"/>
            <w:szCs w:val="32"/>
            <w:rtl/>
          </w:rPr>
          <w:alias w:val="1174"/>
          <w:tag w:val="1174"/>
          <w:id w:val="-1775709220"/>
          <w:text/>
        </w:sdtPr>
        <w:sdtEndPr/>
        <w:sdtContent>
          <w:tc>
            <w:tcPr>
              <w:tcW w:w="8307" w:type="dxa"/>
            </w:tcPr>
            <w:p w:rsidR="00D26B56" w:rsidRDefault="00005C8B">
              <w:pPr>
                <w:pStyle w:val="a3"/>
                <w:jc w:val="center"/>
                <w:rPr>
                  <w:rFonts w:ascii="Tahoma" w:hAnsi="Tahoma"/>
                  <w:noProof w:val="0"/>
                  <w:color w:val="000080"/>
                  <w:sz w:val="32"/>
                  <w:szCs w:val="32"/>
                  <w:rtl/>
                </w:rPr>
              </w:pPr>
              <w:r w:rsidRPr="00CD0055">
                <w:rPr>
                  <w:rFonts w:ascii="Tahoma" w:hAnsi="Tahoma"/>
                  <w:b/>
                  <w:bCs/>
                  <w:noProof w:val="0"/>
                  <w:color w:val="000080"/>
                  <w:sz w:val="32"/>
                  <w:szCs w:val="32"/>
                  <w:rtl/>
                </w:rPr>
                <w:t>בית משפט השלום בתל אביב - יפו</w:t>
              </w:r>
            </w:p>
            <w:p w:rsidR="00694556" w:rsidRPr="00D26B56" w:rsidRDefault="00694556" w:rsidP="00D26B56">
              <w:pPr>
                <w:rPr>
                  <w:rtl/>
                </w:rPr>
              </w:pPr>
            </w:p>
          </w:tc>
        </w:sdtContent>
      </w:sdt>
    </w:tr>
    <w:tr w:rsidR="00694556" w:rsidRPr="00CD0055" w:rsidTr="00D26B56">
      <w:trPr>
        <w:trHeight w:val="337"/>
        <w:jc w:val="center"/>
      </w:trPr>
      <w:tc>
        <w:tcPr>
          <w:tcW w:w="8307" w:type="dxa"/>
        </w:tcPr>
        <w:p w:rsidR="00957C90" w:rsidRPr="00CD0055" w:rsidRDefault="005302CA" w:rsidP="000C53C9">
          <w:pPr>
            <w:rPr>
              <w:b/>
              <w:bCs/>
              <w:noProof w:val="0"/>
              <w:sz w:val="26"/>
              <w:szCs w:val="26"/>
              <w:rtl/>
            </w:rPr>
          </w:pPr>
          <w:sdt>
            <w:sdtPr>
              <w:rPr>
                <w:b/>
                <w:bCs/>
                <w:noProof w:val="0"/>
                <w:sz w:val="26"/>
                <w:szCs w:val="26"/>
                <w:rtl/>
              </w:rPr>
              <w:alias w:val="1170"/>
              <w:tag w:val="1170"/>
              <w:id w:val="299038016"/>
              <w:text w:multiLine="1"/>
            </w:sdtPr>
            <w:sdtEndPr/>
            <w:sdtContent>
              <w:r w:rsidR="00590BFF">
                <w:rPr>
                  <w:b/>
                  <w:bCs/>
                  <w:noProof w:val="0"/>
                  <w:sz w:val="26"/>
                  <w:szCs w:val="26"/>
                  <w:rtl/>
                </w:rPr>
                <w:t>ת"א</w:t>
              </w:r>
            </w:sdtContent>
          </w:sdt>
          <w:r w:rsidR="00005C8B" w:rsidRPr="00CD0055">
            <w:rPr>
              <w:b/>
              <w:bCs/>
              <w:noProof w:val="0"/>
              <w:sz w:val="26"/>
              <w:szCs w:val="26"/>
              <w:rtl/>
            </w:rPr>
            <w:t xml:space="preserve"> </w:t>
          </w:r>
          <w:sdt>
            <w:sdtPr>
              <w:rPr>
                <w:b/>
                <w:bCs/>
                <w:noProof w:val="0"/>
                <w:sz w:val="26"/>
                <w:szCs w:val="26"/>
                <w:rtl/>
              </w:rPr>
              <w:alias w:val="1171"/>
              <w:tag w:val="1171"/>
              <w:id w:val="81650337"/>
              <w:text w:multiLine="1"/>
            </w:sdtPr>
            <w:sdtEndPr/>
            <w:sdtContent>
              <w:r w:rsidR="00590BFF">
                <w:rPr>
                  <w:b/>
                  <w:bCs/>
                  <w:noProof w:val="0"/>
                  <w:sz w:val="26"/>
                  <w:szCs w:val="26"/>
                  <w:rtl/>
                </w:rPr>
                <w:t>15566-11-18</w:t>
              </w:r>
            </w:sdtContent>
          </w:sdt>
          <w:r w:rsidR="00005C8B" w:rsidRPr="00CD0055">
            <w:rPr>
              <w:b/>
              <w:bCs/>
              <w:noProof w:val="0"/>
              <w:sz w:val="26"/>
              <w:szCs w:val="26"/>
              <w:rtl/>
            </w:rPr>
            <w:t xml:space="preserve"> </w:t>
          </w:r>
          <w:sdt>
            <w:sdtPr>
              <w:rPr>
                <w:b/>
                <w:bCs/>
                <w:noProof w:val="0"/>
                <w:sz w:val="26"/>
                <w:szCs w:val="26"/>
                <w:rtl/>
              </w:rPr>
              <w:alias w:val="1172"/>
              <w:tag w:val="1172"/>
              <w:id w:val="-1742169342"/>
              <w:text w:multiLine="1"/>
            </w:sdtPr>
            <w:sdtEndPr/>
            <w:sdtContent>
              <w:r w:rsidR="00590BFF">
                <w:rPr>
                  <w:b/>
                  <w:bCs/>
                  <w:noProof w:val="0"/>
                  <w:sz w:val="26"/>
                  <w:szCs w:val="26"/>
                  <w:rtl/>
                </w:rPr>
                <w:t>דויטש נ' אוניברסיטת תל אביב</w:t>
              </w:r>
            </w:sdtContent>
          </w:sdt>
        </w:p>
      </w:tc>
    </w:tr>
  </w:tbl>
  <w:p w:rsidR="00694556" w:rsidRPr="00CD0055" w:rsidRDefault="00694556">
    <w:pPr>
      <w:pStyle w:val="a3"/>
      <w:rPr>
        <w:noProof w:val="0"/>
        <w:sz w:val="26"/>
        <w:szCs w:val="26"/>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E7F0D"/>
    <w:multiLevelType w:val="hybridMultilevel"/>
    <w:tmpl w:val="B130F33A"/>
    <w:lvl w:ilvl="0" w:tplc="B07C11F8">
      <w:numFmt w:val="bullet"/>
      <w:lvlText w:val="-"/>
      <w:lvlJc w:val="left"/>
      <w:pPr>
        <w:ind w:left="755" w:hanging="360"/>
      </w:pPr>
      <w:rPr>
        <w:rFonts w:ascii="David" w:eastAsiaTheme="minorHAnsi" w:hAnsi="David" w:cs="David"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1" w15:restartNumberingAfterBreak="0">
    <w:nsid w:val="0D372191"/>
    <w:multiLevelType w:val="hybridMultilevel"/>
    <w:tmpl w:val="CF324402"/>
    <w:lvl w:ilvl="0" w:tplc="8626C464">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3" w15:restartNumberingAfterBreak="0">
    <w:nsid w:val="17247F62"/>
    <w:multiLevelType w:val="hybridMultilevel"/>
    <w:tmpl w:val="0D04D5F6"/>
    <w:lvl w:ilvl="0" w:tplc="519E7E12">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4" w15:restartNumberingAfterBreak="0">
    <w:nsid w:val="1DE7642E"/>
    <w:multiLevelType w:val="hybridMultilevel"/>
    <w:tmpl w:val="8CB0B272"/>
    <w:lvl w:ilvl="0" w:tplc="34D8C5DE">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5" w15:restartNumberingAfterBreak="0">
    <w:nsid w:val="20B90DB9"/>
    <w:multiLevelType w:val="hybridMultilevel"/>
    <w:tmpl w:val="F0769B06"/>
    <w:lvl w:ilvl="0" w:tplc="D4C8ABF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6" w15:restartNumberingAfterBreak="0">
    <w:nsid w:val="2FBB624C"/>
    <w:multiLevelType w:val="hybridMultilevel"/>
    <w:tmpl w:val="F4E6BAC0"/>
    <w:lvl w:ilvl="0" w:tplc="F0FCA79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7" w15:restartNumberingAfterBreak="0">
    <w:nsid w:val="4D0031E7"/>
    <w:multiLevelType w:val="hybridMultilevel"/>
    <w:tmpl w:val="895283D0"/>
    <w:lvl w:ilvl="0" w:tplc="F5FA438A">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8" w15:restartNumberingAfterBreak="0">
    <w:nsid w:val="53301A31"/>
    <w:multiLevelType w:val="hybridMultilevel"/>
    <w:tmpl w:val="BDC826E8"/>
    <w:lvl w:ilvl="0" w:tplc="D4D80C0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9" w15:restartNumberingAfterBreak="0">
    <w:nsid w:val="535B1854"/>
    <w:multiLevelType w:val="hybridMultilevel"/>
    <w:tmpl w:val="27A43698"/>
    <w:lvl w:ilvl="0" w:tplc="1A0C7F5A">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0" w15:restartNumberingAfterBreak="0">
    <w:nsid w:val="5B6C037E"/>
    <w:multiLevelType w:val="hybridMultilevel"/>
    <w:tmpl w:val="AFDC1818"/>
    <w:lvl w:ilvl="0" w:tplc="E74E22E2">
      <w:numFmt w:val="bullet"/>
      <w:lvlText w:val="-"/>
      <w:lvlJc w:val="left"/>
      <w:pPr>
        <w:ind w:left="755" w:hanging="360"/>
      </w:pPr>
      <w:rPr>
        <w:rFonts w:ascii="David" w:eastAsiaTheme="minorHAnsi" w:hAnsi="David" w:cs="David"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11" w15:restartNumberingAfterBreak="0">
    <w:nsid w:val="67DF233A"/>
    <w:multiLevelType w:val="hybridMultilevel"/>
    <w:tmpl w:val="BF5CD014"/>
    <w:lvl w:ilvl="0" w:tplc="DD98BEFE">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2" w15:restartNumberingAfterBreak="0">
    <w:nsid w:val="6CA6649A"/>
    <w:multiLevelType w:val="hybridMultilevel"/>
    <w:tmpl w:val="6A4C71E8"/>
    <w:lvl w:ilvl="0" w:tplc="97981C64">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13" w15:restartNumberingAfterBreak="0">
    <w:nsid w:val="79F629FF"/>
    <w:multiLevelType w:val="hybridMultilevel"/>
    <w:tmpl w:val="2228B9C8"/>
    <w:lvl w:ilvl="0" w:tplc="EE582DD8">
      <w:start w:val="1"/>
      <w:numFmt w:val="hebrew1"/>
      <w:lvlText w:val="(%1)"/>
      <w:lvlJc w:val="left"/>
      <w:pPr>
        <w:ind w:left="896" w:hanging="360"/>
      </w:pPr>
    </w:lvl>
    <w:lvl w:ilvl="1" w:tplc="04090019">
      <w:start w:val="1"/>
      <w:numFmt w:val="lowerLetter"/>
      <w:lvlText w:val="%2."/>
      <w:lvlJc w:val="left"/>
      <w:pPr>
        <w:ind w:left="1616" w:hanging="360"/>
      </w:pPr>
    </w:lvl>
    <w:lvl w:ilvl="2" w:tplc="0409001B">
      <w:start w:val="1"/>
      <w:numFmt w:val="lowerRoman"/>
      <w:lvlText w:val="%3."/>
      <w:lvlJc w:val="right"/>
      <w:pPr>
        <w:ind w:left="2336" w:hanging="180"/>
      </w:pPr>
    </w:lvl>
    <w:lvl w:ilvl="3" w:tplc="0409000F">
      <w:start w:val="1"/>
      <w:numFmt w:val="decimal"/>
      <w:lvlText w:val="%4."/>
      <w:lvlJc w:val="left"/>
      <w:pPr>
        <w:ind w:left="3056" w:hanging="360"/>
      </w:pPr>
    </w:lvl>
    <w:lvl w:ilvl="4" w:tplc="04090019">
      <w:start w:val="1"/>
      <w:numFmt w:val="lowerLetter"/>
      <w:lvlText w:val="%5."/>
      <w:lvlJc w:val="left"/>
      <w:pPr>
        <w:ind w:left="3776" w:hanging="360"/>
      </w:pPr>
    </w:lvl>
    <w:lvl w:ilvl="5" w:tplc="0409001B">
      <w:start w:val="1"/>
      <w:numFmt w:val="lowerRoman"/>
      <w:lvlText w:val="%6."/>
      <w:lvlJc w:val="right"/>
      <w:pPr>
        <w:ind w:left="4496" w:hanging="180"/>
      </w:pPr>
    </w:lvl>
    <w:lvl w:ilvl="6" w:tplc="0409000F">
      <w:start w:val="1"/>
      <w:numFmt w:val="decimal"/>
      <w:lvlText w:val="%7."/>
      <w:lvlJc w:val="left"/>
      <w:pPr>
        <w:ind w:left="5216" w:hanging="360"/>
      </w:pPr>
    </w:lvl>
    <w:lvl w:ilvl="7" w:tplc="04090019">
      <w:start w:val="1"/>
      <w:numFmt w:val="lowerLetter"/>
      <w:lvlText w:val="%8."/>
      <w:lvlJc w:val="left"/>
      <w:pPr>
        <w:ind w:left="5936" w:hanging="360"/>
      </w:pPr>
    </w:lvl>
    <w:lvl w:ilvl="8" w:tplc="0409001B">
      <w:start w:val="1"/>
      <w:numFmt w:val="lowerRoman"/>
      <w:lvlText w:val="%9."/>
      <w:lvlJc w:val="right"/>
      <w:pPr>
        <w:ind w:left="6656" w:hanging="180"/>
      </w:pPr>
    </w:lvl>
  </w:abstractNum>
  <w:abstractNum w:abstractNumId="14" w15:restartNumberingAfterBreak="0">
    <w:nsid w:val="7A0F553B"/>
    <w:multiLevelType w:val="hybridMultilevel"/>
    <w:tmpl w:val="C400B08A"/>
    <w:lvl w:ilvl="0" w:tplc="4BF45F98">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5" w15:restartNumberingAfterBreak="0">
    <w:nsid w:val="7C1328CC"/>
    <w:multiLevelType w:val="hybridMultilevel"/>
    <w:tmpl w:val="2F52B87E"/>
    <w:lvl w:ilvl="0" w:tplc="C97AF046">
      <w:start w:val="1"/>
      <w:numFmt w:val="hebrew1"/>
      <w:lvlText w:val="(%1)"/>
      <w:lvlJc w:val="left"/>
      <w:pPr>
        <w:ind w:left="1038" w:hanging="360"/>
      </w:pPr>
    </w:lvl>
    <w:lvl w:ilvl="1" w:tplc="04090019">
      <w:start w:val="1"/>
      <w:numFmt w:val="lowerLetter"/>
      <w:lvlText w:val="%2."/>
      <w:lvlJc w:val="left"/>
      <w:pPr>
        <w:ind w:left="1758" w:hanging="360"/>
      </w:pPr>
    </w:lvl>
    <w:lvl w:ilvl="2" w:tplc="0409001B">
      <w:start w:val="1"/>
      <w:numFmt w:val="lowerRoman"/>
      <w:lvlText w:val="%3."/>
      <w:lvlJc w:val="right"/>
      <w:pPr>
        <w:ind w:left="2478" w:hanging="180"/>
      </w:pPr>
    </w:lvl>
    <w:lvl w:ilvl="3" w:tplc="0409000F">
      <w:start w:val="1"/>
      <w:numFmt w:val="decimal"/>
      <w:lvlText w:val="%4."/>
      <w:lvlJc w:val="left"/>
      <w:pPr>
        <w:ind w:left="3198" w:hanging="360"/>
      </w:pPr>
    </w:lvl>
    <w:lvl w:ilvl="4" w:tplc="04090019">
      <w:start w:val="1"/>
      <w:numFmt w:val="lowerLetter"/>
      <w:lvlText w:val="%5."/>
      <w:lvlJc w:val="left"/>
      <w:pPr>
        <w:ind w:left="3918" w:hanging="360"/>
      </w:pPr>
    </w:lvl>
    <w:lvl w:ilvl="5" w:tplc="0409001B">
      <w:start w:val="1"/>
      <w:numFmt w:val="lowerRoman"/>
      <w:lvlText w:val="%6."/>
      <w:lvlJc w:val="right"/>
      <w:pPr>
        <w:ind w:left="4638" w:hanging="180"/>
      </w:pPr>
    </w:lvl>
    <w:lvl w:ilvl="6" w:tplc="0409000F">
      <w:start w:val="1"/>
      <w:numFmt w:val="decimal"/>
      <w:lvlText w:val="%7."/>
      <w:lvlJc w:val="left"/>
      <w:pPr>
        <w:ind w:left="5358" w:hanging="360"/>
      </w:pPr>
    </w:lvl>
    <w:lvl w:ilvl="7" w:tplc="04090019">
      <w:start w:val="1"/>
      <w:numFmt w:val="lowerLetter"/>
      <w:lvlText w:val="%8."/>
      <w:lvlJc w:val="left"/>
      <w:pPr>
        <w:ind w:left="6078" w:hanging="360"/>
      </w:pPr>
    </w:lvl>
    <w:lvl w:ilvl="8" w:tplc="0409001B">
      <w:start w:val="1"/>
      <w:numFmt w:val="lowerRoman"/>
      <w:lvlText w:val="%9."/>
      <w:lvlJc w:val="right"/>
      <w:pPr>
        <w:ind w:left="679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0"/>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141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5C8B"/>
    <w:rsid w:val="000146C2"/>
    <w:rsid w:val="00016C35"/>
    <w:rsid w:val="000258FD"/>
    <w:rsid w:val="000564AB"/>
    <w:rsid w:val="000A074E"/>
    <w:rsid w:val="000B2E97"/>
    <w:rsid w:val="000C53C9"/>
    <w:rsid w:val="000D4A02"/>
    <w:rsid w:val="001072A9"/>
    <w:rsid w:val="00121F97"/>
    <w:rsid w:val="001277D7"/>
    <w:rsid w:val="00132017"/>
    <w:rsid w:val="00140E42"/>
    <w:rsid w:val="0014234E"/>
    <w:rsid w:val="00145A87"/>
    <w:rsid w:val="001C4003"/>
    <w:rsid w:val="001F5474"/>
    <w:rsid w:val="002352F7"/>
    <w:rsid w:val="00295DD1"/>
    <w:rsid w:val="003725BC"/>
    <w:rsid w:val="00381D3A"/>
    <w:rsid w:val="003823DA"/>
    <w:rsid w:val="003F4BD3"/>
    <w:rsid w:val="0043595F"/>
    <w:rsid w:val="0046753C"/>
    <w:rsid w:val="0047645A"/>
    <w:rsid w:val="004C5CA7"/>
    <w:rsid w:val="004D49A3"/>
    <w:rsid w:val="004E6E3C"/>
    <w:rsid w:val="005124F1"/>
    <w:rsid w:val="005302CA"/>
    <w:rsid w:val="00530BAD"/>
    <w:rsid w:val="00541598"/>
    <w:rsid w:val="00547DB7"/>
    <w:rsid w:val="00567324"/>
    <w:rsid w:val="005824D9"/>
    <w:rsid w:val="00590BFF"/>
    <w:rsid w:val="005B0F49"/>
    <w:rsid w:val="005C7EC6"/>
    <w:rsid w:val="005D4BDB"/>
    <w:rsid w:val="0060626B"/>
    <w:rsid w:val="00622BAA"/>
    <w:rsid w:val="00625C89"/>
    <w:rsid w:val="00633C4F"/>
    <w:rsid w:val="00671BD5"/>
    <w:rsid w:val="006805C1"/>
    <w:rsid w:val="006816EC"/>
    <w:rsid w:val="00694556"/>
    <w:rsid w:val="006E1A53"/>
    <w:rsid w:val="007056AA"/>
    <w:rsid w:val="00735F03"/>
    <w:rsid w:val="00744F41"/>
    <w:rsid w:val="007A24FE"/>
    <w:rsid w:val="007A35AA"/>
    <w:rsid w:val="007F1048"/>
    <w:rsid w:val="00820005"/>
    <w:rsid w:val="0083107C"/>
    <w:rsid w:val="00846D27"/>
    <w:rsid w:val="008610A7"/>
    <w:rsid w:val="008A2BEE"/>
    <w:rsid w:val="008E1332"/>
    <w:rsid w:val="00903896"/>
    <w:rsid w:val="00927813"/>
    <w:rsid w:val="00927E95"/>
    <w:rsid w:val="00934F1C"/>
    <w:rsid w:val="00944D13"/>
    <w:rsid w:val="00955E09"/>
    <w:rsid w:val="00957C90"/>
    <w:rsid w:val="009E0263"/>
    <w:rsid w:val="00A0260A"/>
    <w:rsid w:val="00A267CF"/>
    <w:rsid w:val="00A43458"/>
    <w:rsid w:val="00A62BD0"/>
    <w:rsid w:val="00AC4E19"/>
    <w:rsid w:val="00AF1ED6"/>
    <w:rsid w:val="00B14234"/>
    <w:rsid w:val="00B32C61"/>
    <w:rsid w:val="00B368FE"/>
    <w:rsid w:val="00B52482"/>
    <w:rsid w:val="00B80CBD"/>
    <w:rsid w:val="00BC3369"/>
    <w:rsid w:val="00BF77EE"/>
    <w:rsid w:val="00C32E0F"/>
    <w:rsid w:val="00C42BF9"/>
    <w:rsid w:val="00C83E56"/>
    <w:rsid w:val="00CB4F7C"/>
    <w:rsid w:val="00CD0055"/>
    <w:rsid w:val="00D26B56"/>
    <w:rsid w:val="00D319B3"/>
    <w:rsid w:val="00D53924"/>
    <w:rsid w:val="00D60849"/>
    <w:rsid w:val="00D71731"/>
    <w:rsid w:val="00D96D8C"/>
    <w:rsid w:val="00DD337E"/>
    <w:rsid w:val="00E00B6F"/>
    <w:rsid w:val="00E13360"/>
    <w:rsid w:val="00E50B33"/>
    <w:rsid w:val="00E54642"/>
    <w:rsid w:val="00E6185F"/>
    <w:rsid w:val="00E6472C"/>
    <w:rsid w:val="00E837DF"/>
    <w:rsid w:val="00E97908"/>
    <w:rsid w:val="00EF3ED0"/>
    <w:rsid w:val="00F17E56"/>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41313"/>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957C90"/>
    <w:rPr>
      <w:color w:val="808080"/>
    </w:rPr>
  </w:style>
  <w:style w:type="paragraph" w:styleId="ad">
    <w:name w:val="Title"/>
    <w:basedOn w:val="a"/>
    <w:link w:val="ae"/>
    <w:uiPriority w:val="99"/>
    <w:qFormat/>
    <w:rsid w:val="000C53C9"/>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ae">
    <w:name w:val="כותרת טקסט תו"/>
    <w:basedOn w:val="a0"/>
    <w:link w:val="ad"/>
    <w:uiPriority w:val="99"/>
    <w:rsid w:val="000C53C9"/>
    <w:rPr>
      <w:b/>
      <w:bCs/>
      <w:szCs w:val="28"/>
      <w:u w:val="single"/>
      <w:shd w:val="pct20" w:color="auto" w:fill="FFFFFF"/>
      <w:lang w:eastAsia="he-IL"/>
    </w:rPr>
  </w:style>
  <w:style w:type="paragraph" w:styleId="af">
    <w:name w:val="List Paragraph"/>
    <w:basedOn w:val="a"/>
    <w:uiPriority w:val="99"/>
    <w:qFormat/>
    <w:rsid w:val="000C53C9"/>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28539602">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3404">
      <w:bodyDiv w:val="1"/>
      <w:marLeft w:val="0"/>
      <w:marRight w:val="0"/>
      <w:marTop w:val="0"/>
      <w:marBottom w:val="0"/>
      <w:divBdr>
        <w:top w:val="none" w:sz="0" w:space="0" w:color="auto"/>
        <w:left w:val="none" w:sz="0" w:space="0" w:color="auto"/>
        <w:bottom w:val="none" w:sz="0" w:space="0" w:color="auto"/>
        <w:right w:val="none" w:sz="0" w:space="0" w:color="auto"/>
      </w:divBdr>
    </w:div>
    <w:div w:id="159181592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3459962B6984C23A2D5882F7D086C2E"/>
        <w:category>
          <w:name w:val="כללי"/>
          <w:gallery w:val="placeholder"/>
        </w:category>
        <w:types>
          <w:type w:val="bbPlcHdr"/>
        </w:types>
        <w:behaviors>
          <w:behavior w:val="content"/>
        </w:behaviors>
        <w:guid w:val="{5E383C5D-E6B8-4517-AEE2-CFAFB9F0A071}"/>
      </w:docPartPr>
      <w:docPartBody>
        <w:p w:rsidR="00227C29" w:rsidRDefault="00CC5512">
          <w:r w:rsidRPr="00C03291">
            <w:rPr>
              <w:rStyle w:val="a3"/>
              <w:rtl/>
            </w:rPr>
            <w:t>סמן</w:t>
          </w:r>
        </w:p>
      </w:docPartBody>
    </w:docPart>
    <w:docPart>
      <w:docPartPr>
        <w:name w:val="CF23C55E153C472887A89D9B7136BCD7"/>
        <w:category>
          <w:name w:val="כללי"/>
          <w:gallery w:val="placeholder"/>
        </w:category>
        <w:types>
          <w:type w:val="bbPlcHdr"/>
        </w:types>
        <w:behaviors>
          <w:behavior w:val="content"/>
        </w:behaviors>
        <w:guid w:val="{36E9EF2C-15FA-4B95-A211-BCB9CC7330BA}"/>
      </w:docPartPr>
      <w:docPartBody>
        <w:p w:rsidR="00423117" w:rsidRDefault="00992B1E" w:rsidP="00992B1E">
          <w:pPr>
            <w:pStyle w:val="CF23C55E153C472887A89D9B7136BCD7"/>
          </w:pPr>
          <w:r>
            <w:rPr>
              <w:rFonts w:ascii="Arial" w:hAnsi="Arial"/>
              <w:b/>
              <w:bCs/>
              <w:sz w:val="26"/>
              <w:szCs w:val="26"/>
              <w:rtl/>
            </w:rPr>
            <w:t>שם צד א' ללא שם של חסוי</w:t>
          </w:r>
        </w:p>
      </w:docPartBody>
    </w:docPart>
    <w:docPart>
      <w:docPartPr>
        <w:name w:val="194E34B33324450F97AD1D486216FCF5"/>
        <w:category>
          <w:name w:val="כללי"/>
          <w:gallery w:val="placeholder"/>
        </w:category>
        <w:types>
          <w:type w:val="bbPlcHdr"/>
        </w:types>
        <w:behaviors>
          <w:behavior w:val="content"/>
        </w:behaviors>
        <w:guid w:val="{F80DDA68-6EB1-44C9-9CD0-E49E279BC75A}"/>
      </w:docPartPr>
      <w:docPartBody>
        <w:p w:rsidR="00423117" w:rsidRDefault="00992B1E" w:rsidP="00992B1E">
          <w:pPr>
            <w:pStyle w:val="194E34B33324450F97AD1D486216FCF5"/>
          </w:pPr>
          <w:r>
            <w:rPr>
              <w:rFonts w:ascii="Arial" w:hAnsi="Arial"/>
              <w:b/>
              <w:bCs/>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altName w:val="Miriam"/>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227C29"/>
    <w:rsid w:val="00423117"/>
    <w:rsid w:val="00992B1E"/>
    <w:rsid w:val="00CC551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5512"/>
    <w:rPr>
      <w:color w:val="808080"/>
    </w:rPr>
  </w:style>
  <w:style w:type="paragraph" w:customStyle="1" w:styleId="CF23C55E153C472887A89D9B7136BCD7">
    <w:name w:val="CF23C55E153C472887A89D9B7136BCD7"/>
    <w:rsid w:val="00992B1E"/>
    <w:pPr>
      <w:bidi/>
    </w:pPr>
  </w:style>
  <w:style w:type="paragraph" w:customStyle="1" w:styleId="194E34B33324450F97AD1D486216FCF5">
    <w:name w:val="194E34B33324450F97AD1D486216FCF5"/>
    <w:rsid w:val="00992B1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6396</Words>
  <Characters>31983</Characters>
  <Application>Microsoft Office Word</Application>
  <DocSecurity>4</DocSecurity>
  <Lines>266</Lines>
  <Paragraphs>76</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הדס לרנר</cp:lastModifiedBy>
  <cp:revision>2</cp:revision>
  <dcterms:created xsi:type="dcterms:W3CDTF">2022-06-16T16:20:00Z</dcterms:created>
  <dcterms:modified xsi:type="dcterms:W3CDTF">2022-06-16T16:20:00Z</dcterms:modified>
</cp:coreProperties>
</file>