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56" w:rsidRPr="00D9641C" w:rsidRDefault="00694556">
      <w:pPr>
        <w:rPr>
          <w:rtl/>
        </w:rPr>
      </w:pPr>
      <w:bookmarkStart w:id="0" w:name="_GoBack"/>
      <w:bookmarkEnd w:id="0"/>
    </w:p>
    <w:tbl>
      <w:tblPr>
        <w:tblStyle w:val="a9"/>
        <w:bidiVisual/>
        <w:tblW w:w="88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
        <w:gridCol w:w="2267"/>
        <w:gridCol w:w="6488"/>
        <w:gridCol w:w="33"/>
      </w:tblGrid>
      <w:tr w:rsidR="00694556" w:rsidTr="00C0454F">
        <w:trPr>
          <w:gridBefore w:val="1"/>
          <w:wBefore w:w="34" w:type="dxa"/>
          <w:jc w:val="center"/>
        </w:trPr>
        <w:tc>
          <w:tcPr>
            <w:tcW w:w="2267" w:type="dxa"/>
          </w:tcPr>
          <w:p w:rsidR="004C51A6" w:rsidRDefault="00C0454F" w:rsidP="001207E6">
            <w:pPr>
              <w:bidi w:val="0"/>
              <w:spacing w:line="360" w:lineRule="auto"/>
              <w:jc w:val="right"/>
              <w:rPr>
                <w:rFonts w:ascii="Arial" w:hAnsi="Arial"/>
                <w:b/>
                <w:bCs/>
                <w:noProof w:val="0"/>
                <w:sz w:val="28"/>
                <w:szCs w:val="28"/>
              </w:rPr>
            </w:pPr>
            <w:r>
              <w:rPr>
                <w:rFonts w:ascii="Arial" w:hAnsi="Arial" w:hint="cs"/>
                <w:b/>
                <w:bCs/>
                <w:noProof w:val="0"/>
                <w:sz w:val="28"/>
                <w:szCs w:val="28"/>
                <w:rtl/>
              </w:rPr>
              <w:t>המבקשת</w:t>
            </w:r>
          </w:p>
        </w:tc>
        <w:tc>
          <w:tcPr>
            <w:tcW w:w="6521" w:type="dxa"/>
            <w:gridSpan w:val="2"/>
          </w:tcPr>
          <w:p w:rsidR="00694556" w:rsidRPr="00057F31" w:rsidRDefault="005B564F" w:rsidP="001207E6">
            <w:pPr>
              <w:spacing w:line="360" w:lineRule="auto"/>
              <w:rPr>
                <w:b/>
                <w:bCs/>
                <w:noProof w:val="0"/>
                <w:sz w:val="28"/>
                <w:szCs w:val="28"/>
              </w:rPr>
            </w:pPr>
            <w:r>
              <w:rPr>
                <w:rFonts w:ascii="Arial" w:hAnsi="Arial"/>
                <w:b/>
                <w:bCs/>
                <w:noProof w:val="0"/>
                <w:sz w:val="28"/>
                <w:szCs w:val="28"/>
                <w:rtl/>
              </w:rPr>
              <w:t>הפניקס חברה לביטוח בע"מ</w:t>
            </w:r>
          </w:p>
        </w:tc>
      </w:tr>
      <w:tr w:rsidR="00C0140C" w:rsidTr="00C0454F">
        <w:trPr>
          <w:gridBefore w:val="1"/>
          <w:wBefore w:w="34" w:type="dxa"/>
          <w:jc w:val="center"/>
        </w:trPr>
        <w:tc>
          <w:tcPr>
            <w:tcW w:w="2267" w:type="dxa"/>
          </w:tcPr>
          <w:p w:rsidR="00C0140C" w:rsidRPr="00A172C9" w:rsidRDefault="00C0140C" w:rsidP="001207E6">
            <w:pPr>
              <w:spacing w:line="360" w:lineRule="auto"/>
              <w:rPr>
                <w:rFonts w:ascii="Arial" w:hAnsi="Arial"/>
                <w:noProof w:val="0"/>
                <w:sz w:val="28"/>
                <w:szCs w:val="28"/>
              </w:rPr>
            </w:pPr>
          </w:p>
        </w:tc>
        <w:tc>
          <w:tcPr>
            <w:tcW w:w="6521" w:type="dxa"/>
            <w:gridSpan w:val="2"/>
          </w:tcPr>
          <w:p w:rsidR="00C0140C" w:rsidRPr="00A172C9" w:rsidRDefault="00F0293D" w:rsidP="001207E6">
            <w:pPr>
              <w:spacing w:line="360" w:lineRule="auto"/>
              <w:rPr>
                <w:noProof w:val="0"/>
                <w:sz w:val="28"/>
                <w:szCs w:val="28"/>
              </w:rPr>
            </w:pPr>
            <w:r w:rsidRPr="00A172C9">
              <w:rPr>
                <w:rFonts w:ascii="Arial" w:hAnsi="Arial" w:hint="cs"/>
                <w:noProof w:val="0"/>
                <w:sz w:val="28"/>
                <w:szCs w:val="28"/>
                <w:rtl/>
              </w:rPr>
              <w:t xml:space="preserve">ע"י ב"כ </w:t>
            </w:r>
            <w:r w:rsidR="00C0140C" w:rsidRPr="00A172C9">
              <w:rPr>
                <w:rFonts w:hint="cs"/>
                <w:noProof w:val="0"/>
                <w:sz w:val="28"/>
                <w:szCs w:val="28"/>
                <w:rtl/>
              </w:rPr>
              <w:t xml:space="preserve">עו"ד </w:t>
            </w:r>
            <w:r w:rsidR="00C0454F">
              <w:rPr>
                <w:rFonts w:hint="cs"/>
                <w:noProof w:val="0"/>
                <w:sz w:val="28"/>
                <w:szCs w:val="28"/>
                <w:rtl/>
              </w:rPr>
              <w:t>משה עבדי ועו"ד גלית בן ארי</w:t>
            </w:r>
          </w:p>
        </w:tc>
      </w:tr>
      <w:tr w:rsidR="00694556" w:rsidTr="00C0454F">
        <w:trPr>
          <w:gridBefore w:val="1"/>
          <w:wBefore w:w="34" w:type="dxa"/>
          <w:trHeight w:val="953"/>
          <w:jc w:val="center"/>
        </w:trPr>
        <w:tc>
          <w:tcPr>
            <w:tcW w:w="8788" w:type="dxa"/>
            <w:gridSpan w:val="3"/>
          </w:tcPr>
          <w:p w:rsidR="00C0454F" w:rsidRDefault="00C0454F" w:rsidP="00D9641C">
            <w:pPr>
              <w:spacing w:line="360" w:lineRule="auto"/>
              <w:jc w:val="center"/>
              <w:rPr>
                <w:rFonts w:ascii="Arial" w:hAnsi="Arial"/>
                <w:b/>
                <w:bCs/>
                <w:noProof w:val="0"/>
                <w:sz w:val="28"/>
                <w:szCs w:val="28"/>
                <w:rtl/>
              </w:rPr>
            </w:pPr>
          </w:p>
          <w:p w:rsidR="00694556" w:rsidRPr="00057F31" w:rsidRDefault="00C0454F" w:rsidP="00C0454F">
            <w:pPr>
              <w:spacing w:line="360" w:lineRule="auto"/>
              <w:rPr>
                <w:rFonts w:ascii="Arial" w:hAnsi="Arial"/>
                <w:b/>
                <w:bCs/>
                <w:noProof w:val="0"/>
                <w:sz w:val="28"/>
                <w:szCs w:val="28"/>
              </w:rPr>
            </w:pPr>
            <w:r>
              <w:rPr>
                <w:rFonts w:ascii="Arial" w:hAnsi="Arial" w:hint="cs"/>
                <w:b/>
                <w:bCs/>
                <w:noProof w:val="0"/>
                <w:sz w:val="28"/>
                <w:szCs w:val="28"/>
                <w:rtl/>
              </w:rPr>
              <w:t xml:space="preserve">                                                       </w:t>
            </w:r>
            <w:r w:rsidR="00005C8B" w:rsidRPr="00057F31">
              <w:rPr>
                <w:rFonts w:ascii="Arial" w:hAnsi="Arial"/>
                <w:b/>
                <w:bCs/>
                <w:noProof w:val="0"/>
                <w:sz w:val="28"/>
                <w:szCs w:val="28"/>
                <w:rtl/>
              </w:rPr>
              <w:t>נגד</w:t>
            </w:r>
          </w:p>
        </w:tc>
      </w:tr>
      <w:tr w:rsidR="00694556" w:rsidTr="00C0454F">
        <w:trPr>
          <w:gridBefore w:val="1"/>
          <w:wBefore w:w="34" w:type="dxa"/>
          <w:jc w:val="center"/>
        </w:trPr>
        <w:tc>
          <w:tcPr>
            <w:tcW w:w="2267" w:type="dxa"/>
          </w:tcPr>
          <w:p w:rsidR="00694556" w:rsidRPr="00057F31" w:rsidRDefault="00C0454F" w:rsidP="001207E6">
            <w:pPr>
              <w:spacing w:line="360" w:lineRule="auto"/>
              <w:rPr>
                <w:rFonts w:ascii="Arial" w:hAnsi="Arial"/>
                <w:b/>
                <w:bCs/>
                <w:noProof w:val="0"/>
                <w:sz w:val="28"/>
                <w:szCs w:val="28"/>
              </w:rPr>
            </w:pPr>
            <w:r>
              <w:rPr>
                <w:rFonts w:ascii="Arial" w:hAnsi="Arial" w:hint="cs"/>
                <w:b/>
                <w:bCs/>
                <w:noProof w:val="0"/>
                <w:sz w:val="28"/>
                <w:szCs w:val="28"/>
                <w:rtl/>
              </w:rPr>
              <w:t xml:space="preserve">המשיב </w:t>
            </w:r>
          </w:p>
        </w:tc>
        <w:tc>
          <w:tcPr>
            <w:tcW w:w="6521" w:type="dxa"/>
            <w:gridSpan w:val="2"/>
          </w:tcPr>
          <w:p w:rsidR="00694556" w:rsidRPr="00057F31" w:rsidRDefault="005B564F" w:rsidP="001207E6">
            <w:pPr>
              <w:spacing w:line="360" w:lineRule="auto"/>
              <w:rPr>
                <w:b/>
                <w:bCs/>
                <w:noProof w:val="0"/>
                <w:sz w:val="28"/>
                <w:szCs w:val="28"/>
                <w:rtl/>
              </w:rPr>
            </w:pPr>
            <w:r>
              <w:rPr>
                <w:rFonts w:ascii="Arial" w:hAnsi="Arial"/>
                <w:b/>
                <w:bCs/>
                <w:noProof w:val="0"/>
                <w:sz w:val="28"/>
                <w:szCs w:val="28"/>
                <w:rtl/>
              </w:rPr>
              <w:t>ז</w:t>
            </w:r>
            <w:r w:rsidR="00C0454F">
              <w:rPr>
                <w:rFonts w:ascii="Arial" w:hAnsi="Arial" w:hint="cs"/>
                <w:b/>
                <w:bCs/>
                <w:noProof w:val="0"/>
                <w:sz w:val="28"/>
                <w:szCs w:val="28"/>
                <w:rtl/>
              </w:rPr>
              <w:t>. ה.</w:t>
            </w:r>
            <w:r>
              <w:rPr>
                <w:rFonts w:ascii="Arial" w:hAnsi="Arial"/>
                <w:b/>
                <w:bCs/>
                <w:noProof w:val="0"/>
                <w:sz w:val="28"/>
                <w:szCs w:val="28"/>
                <w:rtl/>
              </w:rPr>
              <w:t xml:space="preserve"> </w:t>
            </w:r>
          </w:p>
        </w:tc>
      </w:tr>
      <w:tr w:rsidR="00C0140C" w:rsidTr="00C04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301" w:type="dxa"/>
            <w:gridSpan w:val="2"/>
            <w:tcBorders>
              <w:top w:val="nil"/>
              <w:left w:val="nil"/>
              <w:bottom w:val="nil"/>
              <w:right w:val="nil"/>
            </w:tcBorders>
          </w:tcPr>
          <w:p w:rsidR="00C0140C" w:rsidRPr="00A172C9" w:rsidRDefault="00C0140C" w:rsidP="001207E6">
            <w:pPr>
              <w:spacing w:line="360" w:lineRule="auto"/>
              <w:rPr>
                <w:rFonts w:ascii="Arial" w:hAnsi="Arial"/>
                <w:noProof w:val="0"/>
                <w:sz w:val="28"/>
                <w:szCs w:val="28"/>
              </w:rPr>
            </w:pPr>
          </w:p>
        </w:tc>
        <w:tc>
          <w:tcPr>
            <w:tcW w:w="6488" w:type="dxa"/>
            <w:tcBorders>
              <w:top w:val="nil"/>
              <w:left w:val="nil"/>
              <w:bottom w:val="nil"/>
              <w:right w:val="nil"/>
            </w:tcBorders>
          </w:tcPr>
          <w:p w:rsidR="00C0140C" w:rsidRPr="00A172C9" w:rsidRDefault="00F0293D" w:rsidP="001207E6">
            <w:pPr>
              <w:spacing w:line="360" w:lineRule="auto"/>
              <w:rPr>
                <w:noProof w:val="0"/>
                <w:sz w:val="28"/>
                <w:szCs w:val="28"/>
              </w:rPr>
            </w:pPr>
            <w:r w:rsidRPr="00A172C9">
              <w:rPr>
                <w:rFonts w:ascii="Arial" w:hAnsi="Arial" w:hint="cs"/>
                <w:noProof w:val="0"/>
                <w:sz w:val="28"/>
                <w:szCs w:val="28"/>
                <w:rtl/>
              </w:rPr>
              <w:t xml:space="preserve">ע"י ב"כ </w:t>
            </w:r>
            <w:r w:rsidR="00C0140C" w:rsidRPr="00A172C9">
              <w:rPr>
                <w:rFonts w:hint="cs"/>
                <w:noProof w:val="0"/>
                <w:sz w:val="28"/>
                <w:szCs w:val="28"/>
                <w:rtl/>
              </w:rPr>
              <w:t xml:space="preserve">עו"ד </w:t>
            </w:r>
            <w:r w:rsidR="00C0454F">
              <w:rPr>
                <w:rFonts w:hint="cs"/>
                <w:noProof w:val="0"/>
                <w:sz w:val="28"/>
                <w:szCs w:val="28"/>
                <w:rtl/>
              </w:rPr>
              <w:t>נחום הרפז</w:t>
            </w:r>
          </w:p>
        </w:tc>
      </w:tr>
    </w:tbl>
    <w:p w:rsidR="00694556" w:rsidRPr="00057F31" w:rsidRDefault="00694556" w:rsidP="00AA7111">
      <w:pPr>
        <w:rPr>
          <w:sz w:val="40"/>
          <w:szCs w:val="40"/>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057F31">
        <w:trPr>
          <w:jc w:val="center"/>
        </w:trPr>
        <w:tc>
          <w:tcPr>
            <w:tcW w:w="8820" w:type="dxa"/>
          </w:tcPr>
          <w:p w:rsidR="00694556" w:rsidRPr="00057F31" w:rsidRDefault="00180519">
            <w:pPr>
              <w:bidi w:val="0"/>
              <w:jc w:val="center"/>
              <w:rPr>
                <w:rFonts w:ascii="Arial" w:hAnsi="Arial"/>
                <w:b/>
                <w:bCs/>
                <w:noProof w:val="0"/>
                <w:sz w:val="40"/>
                <w:szCs w:val="40"/>
                <w:u w:val="single"/>
              </w:rPr>
            </w:pPr>
            <w:r w:rsidRPr="00057F31">
              <w:rPr>
                <w:rFonts w:ascii="Arial" w:hAnsi="Arial" w:hint="cs"/>
                <w:b/>
                <w:bCs/>
                <w:noProof w:val="0"/>
                <w:sz w:val="40"/>
                <w:szCs w:val="40"/>
                <w:u w:val="single"/>
                <w:rtl/>
              </w:rPr>
              <w:t>החלטה</w:t>
            </w:r>
          </w:p>
        </w:tc>
      </w:tr>
    </w:tbl>
    <w:p w:rsidR="00694556" w:rsidRPr="00A172C9" w:rsidRDefault="00694556" w:rsidP="0091368E">
      <w:pPr>
        <w:spacing w:line="360" w:lineRule="auto"/>
        <w:jc w:val="both"/>
        <w:rPr>
          <w:rFonts w:ascii="Arial" w:hAnsi="Arial"/>
          <w:noProof w:val="0"/>
          <w:sz w:val="26"/>
          <w:szCs w:val="26"/>
          <w:rtl/>
        </w:rPr>
      </w:pPr>
    </w:p>
    <w:p w:rsidR="00607917" w:rsidRDefault="00607917" w:rsidP="00607917">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 xml:space="preserve">בקשת רשות ערעור על החלטת בית משפט השלום בירושלים (כבוד סגן הנשיא השופט ג' ארנברג) מיום 9.2.17, בגדרה החליט על מינוי מומחה נוסף בתחום האורתופדיה לבדיקתו של המשיב. </w:t>
      </w:r>
    </w:p>
    <w:p w:rsidR="0091368E" w:rsidRDefault="00607917" w:rsidP="00607917">
      <w:pPr>
        <w:pStyle w:val="ad"/>
        <w:spacing w:line="360" w:lineRule="auto"/>
        <w:jc w:val="both"/>
        <w:rPr>
          <w:rFonts w:ascii="Arial" w:hAnsi="Arial"/>
          <w:noProof w:val="0"/>
          <w:sz w:val="26"/>
          <w:szCs w:val="26"/>
        </w:rPr>
      </w:pPr>
      <w:r>
        <w:rPr>
          <w:rFonts w:ascii="Arial" w:hAnsi="Arial" w:hint="cs"/>
          <w:noProof w:val="0"/>
          <w:sz w:val="26"/>
          <w:szCs w:val="26"/>
          <w:rtl/>
        </w:rPr>
        <w:t xml:space="preserve"> </w:t>
      </w:r>
    </w:p>
    <w:p w:rsidR="00607917" w:rsidRDefault="00607917" w:rsidP="00607917">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המשיב, הסובל ממחלת ניוון שרירים ללא קשר לאירועים מושא התביעה, נפגע בתאונת דרכים ביום 9.7.12. בין היתר סבל משבר בעצם הזרוע בשמאל ושבר בקרסול השמאלי. בית המשפט קמא מינה מומחים רפואיים לבדיקת המשיב, בהתאם להוראות חוק הפיצויים לנפגעי תאונות דרכים, התשל"ה-1975 והתקנות, כשבתחום האורתופדי הוא ממנה את פרופ' מ' ליברגל, מנהל המערך האורתופדי בהדסה. פרופ' ליברגל ציין ב</w:t>
      </w:r>
      <w:r w:rsidR="00A1287F">
        <w:rPr>
          <w:rFonts w:ascii="Arial" w:hAnsi="Arial" w:hint="cs"/>
          <w:noProof w:val="0"/>
          <w:sz w:val="26"/>
          <w:szCs w:val="26"/>
          <w:rtl/>
        </w:rPr>
        <w:t>ממצאי ה</w:t>
      </w:r>
      <w:r>
        <w:rPr>
          <w:rFonts w:ascii="Arial" w:hAnsi="Arial" w:hint="cs"/>
          <w:noProof w:val="0"/>
          <w:sz w:val="26"/>
          <w:szCs w:val="26"/>
          <w:rtl/>
        </w:rPr>
        <w:t>בדיקה הקל</w:t>
      </w:r>
      <w:r w:rsidR="00A1287F">
        <w:rPr>
          <w:rFonts w:ascii="Arial" w:hAnsi="Arial" w:hint="cs"/>
          <w:noProof w:val="0"/>
          <w:sz w:val="26"/>
          <w:szCs w:val="26"/>
          <w:rtl/>
        </w:rPr>
        <w:t>ינית כי יד שמאל של המשיב "מוחזקת בסיבוב פנימי וכיפוף מרפק ואצבעות ... קשה להתרשם מתפקוד דיסטלי שורש כף יד וכף היד כאשר יש סגירה קבועה של אצבעות. אין יישור או פתיחה אקטיבית, לכן התפקוד מזערי". על רקע ממצאים אלה קבע כי מצבה של יד שמאל מתאים לנכות בשיעור 40%, ומתוך נכות זו ייחס מחצית לתאונה על רקע התרשמותו ממצב התפקוד של היד עובר לתאונה.</w:t>
      </w:r>
    </w:p>
    <w:p w:rsidR="00A1287F" w:rsidRDefault="00A1287F" w:rsidP="00A1287F">
      <w:pPr>
        <w:pStyle w:val="ad"/>
        <w:spacing w:line="360" w:lineRule="auto"/>
        <w:jc w:val="both"/>
        <w:rPr>
          <w:rFonts w:ascii="Arial" w:hAnsi="Arial"/>
          <w:noProof w:val="0"/>
          <w:sz w:val="26"/>
          <w:szCs w:val="26"/>
        </w:rPr>
      </w:pPr>
    </w:p>
    <w:p w:rsidR="00607917" w:rsidRDefault="00A1287F" w:rsidP="00125DF1">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 xml:space="preserve">פרופ' ליברגל נחקר על חוות דעתו ביום 29.11.16. בעדותו אישר </w:t>
      </w:r>
      <w:r w:rsidR="001207E6">
        <w:rPr>
          <w:rFonts w:ascii="Arial" w:hAnsi="Arial" w:hint="cs"/>
          <w:noProof w:val="0"/>
          <w:sz w:val="26"/>
          <w:szCs w:val="26"/>
          <w:rtl/>
        </w:rPr>
        <w:t xml:space="preserve">שעל אף העדר תנועה אקטיבית בכף יד שמאל </w:t>
      </w:r>
      <w:r w:rsidR="00125DF1">
        <w:rPr>
          <w:rFonts w:ascii="Arial" w:hAnsi="Arial" w:hint="cs"/>
          <w:noProof w:val="0"/>
          <w:sz w:val="26"/>
          <w:szCs w:val="26"/>
          <w:rtl/>
        </w:rPr>
        <w:t xml:space="preserve">נותרו </w:t>
      </w:r>
      <w:r>
        <w:rPr>
          <w:rFonts w:ascii="Arial" w:hAnsi="Arial" w:hint="cs"/>
          <w:noProof w:val="0"/>
          <w:sz w:val="26"/>
          <w:szCs w:val="26"/>
          <w:rtl/>
        </w:rPr>
        <w:t>התנועות הפסיביות שמורות</w:t>
      </w:r>
      <w:r w:rsidR="00125DF1">
        <w:rPr>
          <w:rFonts w:ascii="Arial" w:hAnsi="Arial" w:hint="cs"/>
          <w:noProof w:val="0"/>
          <w:sz w:val="26"/>
          <w:szCs w:val="26"/>
          <w:rtl/>
        </w:rPr>
        <w:t xml:space="preserve"> (דהינו: המומחה הצליח לפתוח את אצבעות כף ידו של המשיב, אף שזה לא היה מסוגל להניען בעצמו)</w:t>
      </w:r>
      <w:r>
        <w:rPr>
          <w:rFonts w:ascii="Arial" w:hAnsi="Arial" w:hint="cs"/>
          <w:noProof w:val="0"/>
          <w:sz w:val="26"/>
          <w:szCs w:val="26"/>
          <w:rtl/>
        </w:rPr>
        <w:t>, א</w:t>
      </w:r>
      <w:r w:rsidR="00125DF1">
        <w:rPr>
          <w:rFonts w:ascii="Arial" w:hAnsi="Arial" w:hint="cs"/>
          <w:noProof w:val="0"/>
          <w:sz w:val="26"/>
          <w:szCs w:val="26"/>
          <w:rtl/>
        </w:rPr>
        <w:t>לא ש</w:t>
      </w:r>
      <w:r>
        <w:rPr>
          <w:rFonts w:ascii="Arial" w:hAnsi="Arial" w:hint="cs"/>
          <w:noProof w:val="0"/>
          <w:sz w:val="26"/>
          <w:szCs w:val="26"/>
          <w:rtl/>
        </w:rPr>
        <w:t xml:space="preserve">האצבעות נסגרו מייד לאחר פתיחתן (עמ' 15 ו-16 לפרוטוקול). לאחר סדרה נוספת </w:t>
      </w:r>
      <w:r>
        <w:rPr>
          <w:rFonts w:ascii="Arial" w:hAnsi="Arial" w:hint="cs"/>
          <w:noProof w:val="0"/>
          <w:sz w:val="26"/>
          <w:szCs w:val="26"/>
          <w:rtl/>
        </w:rPr>
        <w:lastRenderedPageBreak/>
        <w:t>של שאלות הוצגו לפני המומחה תמונות של המשיב, בהן ניתן היה לראות</w:t>
      </w:r>
      <w:r w:rsidR="00607917">
        <w:rPr>
          <w:rFonts w:ascii="Arial" w:hAnsi="Arial" w:hint="cs"/>
          <w:noProof w:val="0"/>
          <w:sz w:val="26"/>
          <w:szCs w:val="26"/>
          <w:rtl/>
        </w:rPr>
        <w:t xml:space="preserve"> </w:t>
      </w:r>
      <w:r w:rsidR="00C052A6">
        <w:rPr>
          <w:rFonts w:ascii="Arial" w:hAnsi="Arial" w:hint="cs"/>
          <w:noProof w:val="0"/>
          <w:sz w:val="26"/>
          <w:szCs w:val="26"/>
          <w:rtl/>
        </w:rPr>
        <w:t xml:space="preserve">את המשיב פותח את כף ידו השמאלית לרווחה ואוחז בתינוק באמצעות כף היד שאמורה היתה להיות נעדרת כל תנועה. לאחר עיון בתמונות הבהיר המומחה כי המצב המצולם לא מתיישב עם מה שראה בבדיקה וכי "כנראה טעיתי ... יש פה פער גדול בין מה שמופיע בבדיקה שלי לבין מה שרואים בתמונה. לכן מה שכתבתי לגבי הנכות שלו לא רלוונטי" (עמ' 18 לפרוטוקול). המומחה ציין </w:t>
      </w:r>
      <w:r w:rsidR="00125DF1">
        <w:rPr>
          <w:rFonts w:ascii="Arial" w:hAnsi="Arial" w:hint="cs"/>
          <w:noProof w:val="0"/>
          <w:sz w:val="26"/>
          <w:szCs w:val="26"/>
          <w:rtl/>
        </w:rPr>
        <w:t>שבהתחשב בנסיבות יש להניח ש</w:t>
      </w:r>
      <w:r w:rsidR="00C052A6">
        <w:rPr>
          <w:rFonts w:ascii="Arial" w:hAnsi="Arial" w:hint="cs"/>
          <w:noProof w:val="0"/>
          <w:sz w:val="26"/>
          <w:szCs w:val="26"/>
          <w:rtl/>
        </w:rPr>
        <w:t xml:space="preserve">למשיב </w:t>
      </w:r>
      <w:r w:rsidR="00125DF1">
        <w:rPr>
          <w:rFonts w:ascii="Arial" w:hAnsi="Arial" w:hint="cs"/>
          <w:noProof w:val="0"/>
          <w:sz w:val="26"/>
          <w:szCs w:val="26"/>
          <w:rtl/>
        </w:rPr>
        <w:t xml:space="preserve">נותרה </w:t>
      </w:r>
      <w:r w:rsidR="00C052A6">
        <w:rPr>
          <w:rFonts w:ascii="Arial" w:hAnsi="Arial" w:hint="cs"/>
          <w:noProof w:val="0"/>
          <w:sz w:val="26"/>
          <w:szCs w:val="26"/>
          <w:rtl/>
        </w:rPr>
        <w:t xml:space="preserve">נכות </w:t>
      </w:r>
      <w:r w:rsidR="00125DF1">
        <w:rPr>
          <w:rFonts w:ascii="Arial" w:hAnsi="Arial" w:hint="cs"/>
          <w:noProof w:val="0"/>
          <w:sz w:val="26"/>
          <w:szCs w:val="26"/>
          <w:rtl/>
        </w:rPr>
        <w:t xml:space="preserve">בשיעור </w:t>
      </w:r>
      <w:r w:rsidR="00C052A6">
        <w:rPr>
          <w:rFonts w:ascii="Arial" w:hAnsi="Arial" w:hint="cs"/>
          <w:noProof w:val="0"/>
          <w:sz w:val="26"/>
          <w:szCs w:val="26"/>
          <w:rtl/>
        </w:rPr>
        <w:t xml:space="preserve">בין 5 ל-10 אחוזים, מאחר "שלא היה מצב שלא היה פה כלום, היה הרי שבר לכן חמישה עד עשרה אחוז נראה לי כך" (עמ' 19 לפרוטוקול). עוד הבהיר כי "הטעו אותי ועל כן ברגע שהטעו אותי אז מה שכתבתי במסקנותיי הן לא ישימות יותר". הוא הבהיר </w:t>
      </w:r>
      <w:r w:rsidR="00125DF1">
        <w:rPr>
          <w:rFonts w:ascii="Arial" w:hAnsi="Arial" w:hint="cs"/>
          <w:noProof w:val="0"/>
          <w:sz w:val="26"/>
          <w:szCs w:val="26"/>
          <w:rtl/>
        </w:rPr>
        <w:t>ש</w:t>
      </w:r>
      <w:r w:rsidR="00C052A6">
        <w:rPr>
          <w:rFonts w:ascii="Arial" w:hAnsi="Arial" w:hint="cs"/>
          <w:noProof w:val="0"/>
          <w:sz w:val="26"/>
          <w:szCs w:val="26"/>
          <w:rtl/>
        </w:rPr>
        <w:t xml:space="preserve">חל שינוי בתפקוד היד "שהוא שונה מאפס, אני מסכים שהוא לא משמעותי, אני לא רואה לכמת את זה שכן הוא לא מבוסס על בדיקה" (שם). בתשובות לשאלות ב"כ המשיב, הבהיר </w:t>
      </w:r>
      <w:r w:rsidR="00125DF1">
        <w:rPr>
          <w:rFonts w:ascii="Arial" w:hAnsi="Arial" w:hint="cs"/>
          <w:noProof w:val="0"/>
          <w:sz w:val="26"/>
          <w:szCs w:val="26"/>
          <w:rtl/>
        </w:rPr>
        <w:t>המומחה ש</w:t>
      </w:r>
      <w:r w:rsidR="00C052A6">
        <w:rPr>
          <w:rFonts w:ascii="Arial" w:hAnsi="Arial" w:hint="cs"/>
          <w:noProof w:val="0"/>
          <w:sz w:val="26"/>
          <w:szCs w:val="26"/>
          <w:rtl/>
        </w:rPr>
        <w:t xml:space="preserve">אינו סבור </w:t>
      </w:r>
      <w:r w:rsidR="00125DF1">
        <w:rPr>
          <w:rFonts w:ascii="Arial" w:hAnsi="Arial" w:hint="cs"/>
          <w:noProof w:val="0"/>
          <w:sz w:val="26"/>
          <w:szCs w:val="26"/>
          <w:rtl/>
        </w:rPr>
        <w:t xml:space="preserve">כי </w:t>
      </w:r>
      <w:r w:rsidR="00C052A6">
        <w:rPr>
          <w:rFonts w:ascii="Arial" w:hAnsi="Arial" w:hint="cs"/>
          <w:noProof w:val="0"/>
          <w:sz w:val="26"/>
          <w:szCs w:val="26"/>
          <w:rtl/>
        </w:rPr>
        <w:t>יהיה באפשרותו לכמת את הנכות גם לאחר בדיקה נוספת</w:t>
      </w:r>
      <w:r w:rsidR="00125DF1">
        <w:rPr>
          <w:rFonts w:ascii="Arial" w:hAnsi="Arial" w:hint="cs"/>
          <w:noProof w:val="0"/>
          <w:sz w:val="26"/>
          <w:szCs w:val="26"/>
          <w:rtl/>
        </w:rPr>
        <w:t>,</w:t>
      </w:r>
      <w:r w:rsidR="00C052A6">
        <w:rPr>
          <w:rFonts w:ascii="Arial" w:hAnsi="Arial" w:hint="cs"/>
          <w:noProof w:val="0"/>
          <w:sz w:val="26"/>
          <w:szCs w:val="26"/>
          <w:rtl/>
        </w:rPr>
        <w:t xml:space="preserve"> מאחר שלא היה שיתוף פעולה מצד המשיב בבדיקה הראשונה "והולכתי שולל" ולפיכך קיימת בעיה קשה ביותר בהערכת הנכות</w:t>
      </w:r>
      <w:r w:rsidR="00125DF1">
        <w:rPr>
          <w:rFonts w:ascii="Arial" w:hAnsi="Arial" w:hint="cs"/>
          <w:noProof w:val="0"/>
          <w:sz w:val="26"/>
          <w:szCs w:val="26"/>
          <w:rtl/>
        </w:rPr>
        <w:t>. זו מתבססת באופן משמעותי על תוצאות הבדיקה הקלינית</w:t>
      </w:r>
      <w:r w:rsidR="00C052A6">
        <w:rPr>
          <w:rFonts w:ascii="Arial" w:hAnsi="Arial" w:hint="cs"/>
          <w:noProof w:val="0"/>
          <w:sz w:val="26"/>
          <w:szCs w:val="26"/>
          <w:rtl/>
        </w:rPr>
        <w:t xml:space="preserve">, </w:t>
      </w:r>
      <w:r w:rsidR="00125DF1">
        <w:rPr>
          <w:rFonts w:ascii="Arial" w:hAnsi="Arial" w:hint="cs"/>
          <w:noProof w:val="0"/>
          <w:sz w:val="26"/>
          <w:szCs w:val="26"/>
          <w:rtl/>
        </w:rPr>
        <w:t xml:space="preserve">ובמקרה דנא קיים קושי מובנה בקביעת נכות על יסוד בדיקה קלינית </w:t>
      </w:r>
      <w:r w:rsidR="006D72B8">
        <w:rPr>
          <w:rFonts w:ascii="Arial" w:hAnsi="Arial" w:hint="cs"/>
          <w:noProof w:val="0"/>
          <w:sz w:val="26"/>
          <w:szCs w:val="26"/>
          <w:rtl/>
        </w:rPr>
        <w:t xml:space="preserve">(עמ' 20 לפרוטוקול). </w:t>
      </w:r>
    </w:p>
    <w:p w:rsidR="006D72B8" w:rsidRPr="00125DF1" w:rsidRDefault="006D72B8" w:rsidP="006D72B8">
      <w:pPr>
        <w:pStyle w:val="ad"/>
        <w:spacing w:line="360" w:lineRule="auto"/>
        <w:jc w:val="both"/>
        <w:rPr>
          <w:rFonts w:ascii="Arial" w:hAnsi="Arial"/>
          <w:noProof w:val="0"/>
          <w:sz w:val="26"/>
          <w:szCs w:val="26"/>
        </w:rPr>
      </w:pPr>
    </w:p>
    <w:p w:rsidR="00125DF1" w:rsidRDefault="00125DF1" w:rsidP="00125DF1">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 xml:space="preserve">על רקע </w:t>
      </w:r>
      <w:r w:rsidR="006D72B8">
        <w:rPr>
          <w:rFonts w:ascii="Arial" w:hAnsi="Arial" w:hint="cs"/>
          <w:noProof w:val="0"/>
          <w:sz w:val="26"/>
          <w:szCs w:val="26"/>
          <w:rtl/>
        </w:rPr>
        <w:t>תשובותיו של המומחה</w:t>
      </w:r>
      <w:r>
        <w:rPr>
          <w:rFonts w:ascii="Arial" w:hAnsi="Arial" w:hint="cs"/>
          <w:noProof w:val="0"/>
          <w:sz w:val="26"/>
          <w:szCs w:val="26"/>
          <w:rtl/>
        </w:rPr>
        <w:t xml:space="preserve"> וקביעתו לפיה לא יהיה בידו לקבוע במדוייק את הנכות שנגרמה למשיב</w:t>
      </w:r>
      <w:r w:rsidR="006D72B8">
        <w:rPr>
          <w:rFonts w:ascii="Arial" w:hAnsi="Arial" w:hint="cs"/>
          <w:noProof w:val="0"/>
          <w:sz w:val="26"/>
          <w:szCs w:val="26"/>
          <w:rtl/>
        </w:rPr>
        <w:t xml:space="preserve">, הגיש המשיב בקשה למינוי מומחה נוסף. לטענתו, כאשר המומחה מטעם בית המשפט מעיד שאין באפשרותו לקבוע </w:t>
      </w:r>
      <w:r>
        <w:rPr>
          <w:rFonts w:ascii="Arial" w:hAnsi="Arial" w:hint="cs"/>
          <w:noProof w:val="0"/>
          <w:sz w:val="26"/>
          <w:szCs w:val="26"/>
          <w:rtl/>
        </w:rPr>
        <w:t>מה</w:t>
      </w:r>
      <w:r w:rsidR="006D72B8">
        <w:rPr>
          <w:rFonts w:ascii="Arial" w:hAnsi="Arial" w:hint="cs"/>
          <w:noProof w:val="0"/>
          <w:sz w:val="26"/>
          <w:szCs w:val="26"/>
          <w:rtl/>
        </w:rPr>
        <w:t xml:space="preserve"> הנכות שנותרה למשיב, וכ</w:t>
      </w:r>
      <w:r>
        <w:rPr>
          <w:rFonts w:ascii="Arial" w:hAnsi="Arial" w:hint="cs"/>
          <w:noProof w:val="0"/>
          <w:sz w:val="26"/>
          <w:szCs w:val="26"/>
          <w:rtl/>
        </w:rPr>
        <w:t>אשר</w:t>
      </w:r>
      <w:r w:rsidR="006D72B8">
        <w:rPr>
          <w:rFonts w:ascii="Arial" w:hAnsi="Arial" w:hint="cs"/>
          <w:noProof w:val="0"/>
          <w:sz w:val="26"/>
          <w:szCs w:val="26"/>
          <w:rtl/>
        </w:rPr>
        <w:t xml:space="preserve"> לשיטתו אין טעם בבדיקה חוזרת של המשיב בשל חוסר האמון הנובע מהתנהלותו בבדיקה הראשונה והחשש להתחזות, הרי שיש למנות מומחה נוסף. </w:t>
      </w:r>
    </w:p>
    <w:p w:rsidR="00125DF1" w:rsidRDefault="00125DF1" w:rsidP="00125DF1">
      <w:pPr>
        <w:pStyle w:val="ad"/>
        <w:spacing w:line="360" w:lineRule="auto"/>
        <w:jc w:val="both"/>
        <w:rPr>
          <w:rFonts w:ascii="Arial" w:hAnsi="Arial"/>
          <w:noProof w:val="0"/>
          <w:sz w:val="26"/>
          <w:szCs w:val="26"/>
        </w:rPr>
      </w:pPr>
    </w:p>
    <w:p w:rsidR="006D72B8" w:rsidRDefault="006D72B8" w:rsidP="00125DF1">
      <w:pPr>
        <w:pStyle w:val="ad"/>
        <w:spacing w:line="360" w:lineRule="auto"/>
        <w:jc w:val="both"/>
        <w:rPr>
          <w:rFonts w:ascii="Arial" w:hAnsi="Arial"/>
          <w:noProof w:val="0"/>
          <w:sz w:val="26"/>
          <w:szCs w:val="26"/>
        </w:rPr>
      </w:pPr>
      <w:r>
        <w:rPr>
          <w:rFonts w:ascii="Arial" w:hAnsi="Arial" w:hint="cs"/>
          <w:noProof w:val="0"/>
          <w:sz w:val="26"/>
          <w:szCs w:val="26"/>
          <w:rtl/>
        </w:rPr>
        <w:t xml:space="preserve">המבקשת התנגדה לבקשה זו וטענה שלמשיב אין אלא להלין על עצמו על כך שהתנהלותו הנגועה במרמה הביאה לכך שהמומחה כשל בהערכת נכותו. </w:t>
      </w:r>
    </w:p>
    <w:p w:rsidR="006D72B8" w:rsidRPr="00125DF1" w:rsidRDefault="006D72B8" w:rsidP="006D72B8">
      <w:pPr>
        <w:pStyle w:val="ad"/>
        <w:spacing w:line="360" w:lineRule="auto"/>
        <w:jc w:val="both"/>
        <w:rPr>
          <w:rFonts w:ascii="Arial" w:hAnsi="Arial"/>
          <w:noProof w:val="0"/>
          <w:sz w:val="26"/>
          <w:szCs w:val="26"/>
          <w:rtl/>
        </w:rPr>
      </w:pPr>
    </w:p>
    <w:p w:rsidR="00607917" w:rsidRDefault="006D72B8" w:rsidP="006D72B8">
      <w:pPr>
        <w:pStyle w:val="ad"/>
        <w:spacing w:line="360" w:lineRule="auto"/>
        <w:jc w:val="both"/>
        <w:rPr>
          <w:rFonts w:ascii="Arial" w:hAnsi="Arial"/>
          <w:noProof w:val="0"/>
          <w:sz w:val="26"/>
          <w:szCs w:val="26"/>
          <w:rtl/>
        </w:rPr>
      </w:pPr>
      <w:r>
        <w:rPr>
          <w:rFonts w:ascii="Arial" w:hAnsi="Arial" w:hint="cs"/>
          <w:noProof w:val="0"/>
          <w:sz w:val="26"/>
          <w:szCs w:val="26"/>
          <w:rtl/>
        </w:rPr>
        <w:t xml:space="preserve">כאמור, בית המשפט קמא קיבל את בקשת המשיב. הוא נימק קביעה זו בכך ש"פרופ' ליברגל לא קבע נחרצות שלא נותרה נכות, אך גם לא רצה או לא יכול היה לשער אם ואיזו נכות נותרה. ומאחר ולפי עדותו, בדיקה נוספת שלו לא תפתור את שאלת הנכות, אני ממנה מומחית נוספת, מבלי לבטל או לשלול את תוצאות חוות דעתו של פרופ' ליברגל ואת תוצאות החקירה". </w:t>
      </w:r>
    </w:p>
    <w:p w:rsidR="006D72B8" w:rsidRDefault="006D72B8" w:rsidP="006D72B8">
      <w:pPr>
        <w:pStyle w:val="ad"/>
        <w:spacing w:line="360" w:lineRule="auto"/>
        <w:jc w:val="both"/>
        <w:rPr>
          <w:rFonts w:ascii="Arial" w:hAnsi="Arial"/>
          <w:noProof w:val="0"/>
          <w:sz w:val="26"/>
          <w:szCs w:val="26"/>
          <w:rtl/>
        </w:rPr>
      </w:pPr>
    </w:p>
    <w:p w:rsidR="006D72B8" w:rsidRDefault="006D72B8" w:rsidP="00125DF1">
      <w:pPr>
        <w:pStyle w:val="ad"/>
        <w:spacing w:line="360" w:lineRule="auto"/>
        <w:jc w:val="both"/>
        <w:rPr>
          <w:rFonts w:ascii="Arial" w:hAnsi="Arial"/>
          <w:noProof w:val="0"/>
          <w:sz w:val="26"/>
          <w:szCs w:val="26"/>
          <w:rtl/>
        </w:rPr>
      </w:pPr>
      <w:r>
        <w:rPr>
          <w:rFonts w:ascii="Arial" w:hAnsi="Arial" w:hint="cs"/>
          <w:noProof w:val="0"/>
          <w:sz w:val="26"/>
          <w:szCs w:val="26"/>
          <w:rtl/>
        </w:rPr>
        <w:t>המבקשת טוענת שבנסיבות שנוצרו לא היה מקום להעניק למשיב "פרס" בדמות מינוי מומחה נוסף לאחר שהתגלתה תרמיתו. המשיב טוען כי מאחר וגם לשיטת המומחה נותרה ל</w:t>
      </w:r>
      <w:r w:rsidR="00125DF1">
        <w:rPr>
          <w:rFonts w:ascii="Arial" w:hAnsi="Arial" w:hint="cs"/>
          <w:noProof w:val="0"/>
          <w:sz w:val="26"/>
          <w:szCs w:val="26"/>
          <w:rtl/>
        </w:rPr>
        <w:t>ו</w:t>
      </w:r>
      <w:r>
        <w:rPr>
          <w:rFonts w:ascii="Arial" w:hAnsi="Arial" w:hint="cs"/>
          <w:noProof w:val="0"/>
          <w:sz w:val="26"/>
          <w:szCs w:val="26"/>
          <w:rtl/>
        </w:rPr>
        <w:t xml:space="preserve"> נכות כלשהי, והיות ועל בית המשפט הוטלה החובה לקבוע מה נכותו של המשיב ולא יעלה בידו לעשות כן משפרופ' ליברגל אינו מסוגל לקבוע את שיעור הנכות, "אין מנוס אלא למנות למשיב מומחה נוסף". לשיטתו, אין מקום </w:t>
      </w:r>
      <w:r w:rsidR="005A58C3">
        <w:rPr>
          <w:rFonts w:ascii="Arial" w:hAnsi="Arial" w:hint="cs"/>
          <w:noProof w:val="0"/>
          <w:sz w:val="26"/>
          <w:szCs w:val="26"/>
          <w:rtl/>
        </w:rPr>
        <w:t>"'</w:t>
      </w:r>
      <w:r>
        <w:rPr>
          <w:rFonts w:ascii="Arial" w:hAnsi="Arial" w:hint="cs"/>
          <w:noProof w:val="0"/>
          <w:sz w:val="26"/>
          <w:szCs w:val="26"/>
          <w:rtl/>
        </w:rPr>
        <w:t>להע</w:t>
      </w:r>
      <w:r w:rsidR="005A58C3">
        <w:rPr>
          <w:rFonts w:ascii="Arial" w:hAnsi="Arial" w:hint="cs"/>
          <w:noProof w:val="0"/>
          <w:sz w:val="26"/>
          <w:szCs w:val="26"/>
          <w:rtl/>
        </w:rPr>
        <w:t xml:space="preserve">נשת' נפגע שהגזים בתלונותיו ע"י שלילת הנכות לה הוא זכאי, ואין מקום לפתור את המזיק מפיצוי בגין הנזק האמיתי והממשי שנגרם לנפגע בעקבות התאונה". </w:t>
      </w:r>
    </w:p>
    <w:p w:rsidR="006D72B8" w:rsidRDefault="005A58C3" w:rsidP="005A58C3">
      <w:pPr>
        <w:pStyle w:val="ad"/>
        <w:spacing w:line="360" w:lineRule="auto"/>
        <w:jc w:val="both"/>
        <w:rPr>
          <w:rFonts w:ascii="Arial" w:hAnsi="Arial"/>
          <w:noProof w:val="0"/>
          <w:sz w:val="26"/>
          <w:szCs w:val="26"/>
        </w:rPr>
      </w:pPr>
      <w:r>
        <w:rPr>
          <w:rFonts w:ascii="Arial" w:hAnsi="Arial" w:hint="cs"/>
          <w:noProof w:val="0"/>
          <w:sz w:val="26"/>
          <w:szCs w:val="26"/>
          <w:rtl/>
        </w:rPr>
        <w:t xml:space="preserve"> </w:t>
      </w:r>
      <w:r w:rsidR="006D72B8">
        <w:rPr>
          <w:rFonts w:ascii="Arial" w:hAnsi="Arial" w:hint="cs"/>
          <w:noProof w:val="0"/>
          <w:sz w:val="26"/>
          <w:szCs w:val="26"/>
          <w:rtl/>
        </w:rPr>
        <w:t xml:space="preserve"> </w:t>
      </w:r>
    </w:p>
    <w:p w:rsidR="006D72B8" w:rsidRDefault="005A58C3" w:rsidP="005A58C3">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 xml:space="preserve">לאחר עיון בבקשה ובתגובה, ומשהצדדים נתנו הסכמתם לכך שהבקשה תידון כערעור בהתאם להוראת תקנה 410 לתקנות סדר הדין האזרחי, התשמ"ד-1984, הגעתי לכלל מסקנה לפיה יש לדון בבקשה כערעור. דין הערעור להתקבל. </w:t>
      </w:r>
    </w:p>
    <w:p w:rsidR="005A58C3" w:rsidRDefault="005A58C3" w:rsidP="005A58C3">
      <w:pPr>
        <w:pStyle w:val="ad"/>
        <w:spacing w:line="360" w:lineRule="auto"/>
        <w:jc w:val="both"/>
        <w:rPr>
          <w:rFonts w:ascii="Arial" w:hAnsi="Arial"/>
          <w:noProof w:val="0"/>
          <w:sz w:val="26"/>
          <w:szCs w:val="26"/>
        </w:rPr>
      </w:pPr>
    </w:p>
    <w:p w:rsidR="00F442B8" w:rsidRDefault="005A58C3" w:rsidP="00125DF1">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מ</w:t>
      </w:r>
      <w:r w:rsidR="00125DF1">
        <w:rPr>
          <w:rFonts w:ascii="Arial" w:hAnsi="Arial" w:hint="cs"/>
          <w:noProof w:val="0"/>
          <w:sz w:val="26"/>
          <w:szCs w:val="26"/>
          <w:rtl/>
        </w:rPr>
        <w:t xml:space="preserve">מצב הדברים העובדתי </w:t>
      </w:r>
      <w:r>
        <w:rPr>
          <w:rFonts w:ascii="Arial" w:hAnsi="Arial" w:hint="cs"/>
          <w:noProof w:val="0"/>
          <w:sz w:val="26"/>
          <w:szCs w:val="26"/>
          <w:rtl/>
        </w:rPr>
        <w:t xml:space="preserve">המתואר לעיל עולה </w:t>
      </w:r>
      <w:r w:rsidR="00125DF1">
        <w:rPr>
          <w:rFonts w:ascii="Arial" w:hAnsi="Arial" w:hint="cs"/>
          <w:noProof w:val="0"/>
          <w:sz w:val="26"/>
          <w:szCs w:val="26"/>
          <w:rtl/>
        </w:rPr>
        <w:t>ש</w:t>
      </w:r>
      <w:r>
        <w:rPr>
          <w:rFonts w:ascii="Arial" w:hAnsi="Arial" w:hint="cs"/>
          <w:noProof w:val="0"/>
          <w:sz w:val="26"/>
          <w:szCs w:val="26"/>
          <w:rtl/>
        </w:rPr>
        <w:t xml:space="preserve">המומחה הוטעה ביודעין על ידי המשיב, שהציג בפניו מצג לפיו אין באפשרותו להזיז כלל את אצבעות כף ידו. מצג זה, עליו חזר המשיב גם במהלך הדיון (כמשתקף מהפרוטוקול), הוליך שולל את המומחה מטעם בית המשפט על אף ניסיונו הקליני העשיר. </w:t>
      </w:r>
    </w:p>
    <w:p w:rsidR="00F442B8" w:rsidRDefault="00F442B8" w:rsidP="00F442B8">
      <w:pPr>
        <w:pStyle w:val="ad"/>
        <w:spacing w:line="360" w:lineRule="auto"/>
        <w:jc w:val="both"/>
        <w:rPr>
          <w:rFonts w:ascii="Arial" w:hAnsi="Arial"/>
          <w:noProof w:val="0"/>
          <w:sz w:val="26"/>
          <w:szCs w:val="26"/>
          <w:rtl/>
        </w:rPr>
      </w:pPr>
    </w:p>
    <w:p w:rsidR="005A0930" w:rsidRPr="005A0930" w:rsidRDefault="005A58C3" w:rsidP="005A0930">
      <w:pPr>
        <w:pStyle w:val="ad"/>
        <w:spacing w:line="360" w:lineRule="auto"/>
        <w:jc w:val="both"/>
        <w:rPr>
          <w:noProof w:val="0"/>
          <w:sz w:val="26"/>
          <w:szCs w:val="26"/>
          <w:rtl/>
          <w:lang w:eastAsia="he-IL"/>
        </w:rPr>
      </w:pPr>
      <w:r>
        <w:rPr>
          <w:rFonts w:ascii="Arial" w:hAnsi="Arial" w:hint="cs"/>
          <w:noProof w:val="0"/>
          <w:sz w:val="26"/>
          <w:szCs w:val="26"/>
          <w:rtl/>
        </w:rPr>
        <w:t xml:space="preserve">יש לזכור כי גם במסגרת תביעות שעילתן מכח חוק הפיצויים לנפגעי תאונות דרכים מוטל נטל ההוכחה על התובע. </w:t>
      </w:r>
      <w:r w:rsidR="00F442B8">
        <w:rPr>
          <w:rFonts w:ascii="Arial" w:hAnsi="Arial" w:hint="cs"/>
          <w:noProof w:val="0"/>
          <w:sz w:val="26"/>
          <w:szCs w:val="26"/>
          <w:rtl/>
        </w:rPr>
        <w:t xml:space="preserve">בשל טיבו של החוק, ועל מנת לחסוך בהוצאות המשפט ולמנוע התארכות ההתדיינות, נקבע כי בדיקת התובע תיעשה באמצעות מומחים מטעם בית המשפט. חוות-דעתם של המומחים היא ראיה לכל דבר ועניין, ובאמצעותה על התובע להוכיח מה הנזק שגרמה לו התאונה. </w:t>
      </w:r>
      <w:r>
        <w:rPr>
          <w:rFonts w:ascii="Arial" w:hAnsi="Arial" w:hint="cs"/>
          <w:noProof w:val="0"/>
          <w:sz w:val="26"/>
          <w:szCs w:val="26"/>
          <w:rtl/>
        </w:rPr>
        <w:t xml:space="preserve">תובע שבחר </w:t>
      </w:r>
      <w:r w:rsidR="00F442B8">
        <w:rPr>
          <w:rFonts w:ascii="Arial" w:hAnsi="Arial" w:hint="cs"/>
          <w:noProof w:val="0"/>
          <w:sz w:val="26"/>
          <w:szCs w:val="26"/>
          <w:rtl/>
        </w:rPr>
        <w:t xml:space="preserve">לפעול </w:t>
      </w:r>
      <w:r>
        <w:rPr>
          <w:rFonts w:ascii="Arial" w:hAnsi="Arial" w:hint="cs"/>
          <w:noProof w:val="0"/>
          <w:sz w:val="26"/>
          <w:szCs w:val="26"/>
          <w:rtl/>
        </w:rPr>
        <w:t xml:space="preserve">בדרך הגורמת לכך </w:t>
      </w:r>
      <w:r w:rsidR="00F442B8">
        <w:rPr>
          <w:rFonts w:ascii="Arial" w:hAnsi="Arial" w:hint="cs"/>
          <w:noProof w:val="0"/>
          <w:sz w:val="26"/>
          <w:szCs w:val="26"/>
          <w:rtl/>
        </w:rPr>
        <w:t xml:space="preserve">שחוות הדעת מאבדת מתוקפה באופן שלא ניתן להשתית עליה ממצא עובדתי, גרם במו ידיו לכך </w:t>
      </w:r>
      <w:r>
        <w:rPr>
          <w:rFonts w:ascii="Arial" w:hAnsi="Arial" w:hint="cs"/>
          <w:noProof w:val="0"/>
          <w:sz w:val="26"/>
          <w:szCs w:val="26"/>
          <w:rtl/>
        </w:rPr>
        <w:t xml:space="preserve">שאין בידו להוכיח את תביעתו </w:t>
      </w:r>
      <w:r w:rsidR="00F442B8">
        <w:rPr>
          <w:rFonts w:ascii="Arial" w:hAnsi="Arial" w:hint="cs"/>
          <w:noProof w:val="0"/>
          <w:sz w:val="26"/>
          <w:szCs w:val="26"/>
          <w:rtl/>
        </w:rPr>
        <w:t xml:space="preserve">והוא הנושא בתוצאות </w:t>
      </w:r>
      <w:r>
        <w:rPr>
          <w:rFonts w:ascii="Arial" w:hAnsi="Arial" w:hint="cs"/>
          <w:noProof w:val="0"/>
          <w:sz w:val="26"/>
          <w:szCs w:val="26"/>
          <w:rtl/>
        </w:rPr>
        <w:t xml:space="preserve">מעשה זה. </w:t>
      </w:r>
      <w:r w:rsidR="00F442B8">
        <w:rPr>
          <w:rFonts w:ascii="Arial" w:hAnsi="Arial" w:hint="cs"/>
          <w:noProof w:val="0"/>
          <w:sz w:val="26"/>
          <w:szCs w:val="26"/>
          <w:rtl/>
        </w:rPr>
        <w:t xml:space="preserve">בכך לא שונה דינו של תובע בהליך זה מדינו של כל תובע בהליך אזרחי אחר. על זה כמו על זה מוטלת החובה לפעול בתום לב דיוני. </w:t>
      </w:r>
      <w:r w:rsidR="00F442B8" w:rsidRPr="00F442B8">
        <w:rPr>
          <w:noProof w:val="0"/>
          <w:sz w:val="26"/>
          <w:szCs w:val="26"/>
          <w:rtl/>
          <w:lang w:eastAsia="he-IL"/>
        </w:rPr>
        <w:t>התנהגות שלא בתום לב של בעל דין, עלולה לחסום אותו, על דרך של מניעות, מלהעלות טענה (</w:t>
      </w:r>
      <w:r w:rsidR="00F442B8">
        <w:rPr>
          <w:rFonts w:hint="cs"/>
          <w:noProof w:val="0"/>
          <w:sz w:val="26"/>
          <w:szCs w:val="26"/>
          <w:rtl/>
          <w:lang w:eastAsia="he-IL"/>
        </w:rPr>
        <w:t xml:space="preserve">ראו לדוגמה </w:t>
      </w:r>
      <w:r w:rsidR="00F442B8" w:rsidRPr="00F442B8">
        <w:rPr>
          <w:noProof w:val="0"/>
          <w:sz w:val="26"/>
          <w:szCs w:val="26"/>
          <w:rtl/>
          <w:lang w:eastAsia="he-IL"/>
        </w:rPr>
        <w:t>ד</w:t>
      </w:r>
      <w:r w:rsidR="00F442B8">
        <w:rPr>
          <w:rFonts w:hint="cs"/>
          <w:noProof w:val="0"/>
          <w:sz w:val="26"/>
          <w:szCs w:val="26"/>
          <w:rtl/>
          <w:lang w:eastAsia="he-IL"/>
        </w:rPr>
        <w:t>וד</w:t>
      </w:r>
      <w:r w:rsidR="00F442B8" w:rsidRPr="00F442B8">
        <w:rPr>
          <w:noProof w:val="0"/>
          <w:sz w:val="26"/>
          <w:szCs w:val="26"/>
          <w:rtl/>
          <w:lang w:eastAsia="he-IL"/>
        </w:rPr>
        <w:t xml:space="preserve"> שוורץ "תחולתו של עקרון תום-הלב בסדר-הדין האזרחי" </w:t>
      </w:r>
      <w:r w:rsidR="00F442B8" w:rsidRPr="00F442B8">
        <w:rPr>
          <w:b/>
          <w:bCs/>
          <w:noProof w:val="0"/>
          <w:sz w:val="26"/>
          <w:szCs w:val="26"/>
          <w:rtl/>
          <w:lang w:eastAsia="he-IL"/>
        </w:rPr>
        <w:t>עיוני-משפט</w:t>
      </w:r>
      <w:r w:rsidR="00F442B8" w:rsidRPr="00F442B8">
        <w:rPr>
          <w:noProof w:val="0"/>
          <w:sz w:val="26"/>
          <w:szCs w:val="26"/>
          <w:rtl/>
          <w:lang w:eastAsia="he-IL"/>
        </w:rPr>
        <w:t xml:space="preserve"> כא </w:t>
      </w:r>
      <w:r w:rsidR="00F442B8">
        <w:rPr>
          <w:rFonts w:hint="cs"/>
          <w:noProof w:val="0"/>
          <w:sz w:val="26"/>
          <w:szCs w:val="26"/>
          <w:rtl/>
          <w:lang w:eastAsia="he-IL"/>
        </w:rPr>
        <w:t xml:space="preserve">328 </w:t>
      </w:r>
      <w:r w:rsidR="00F442B8" w:rsidRPr="00F442B8">
        <w:rPr>
          <w:noProof w:val="0"/>
          <w:sz w:val="26"/>
          <w:szCs w:val="26"/>
          <w:rtl/>
          <w:lang w:eastAsia="he-IL"/>
        </w:rPr>
        <w:t xml:space="preserve">(תשנ"ח); רע"א 11183/02 </w:t>
      </w:r>
      <w:r w:rsidR="00F442B8" w:rsidRPr="00F442B8">
        <w:rPr>
          <w:b/>
          <w:bCs/>
          <w:noProof w:val="0"/>
          <w:sz w:val="26"/>
          <w:szCs w:val="26"/>
          <w:rtl/>
          <w:lang w:eastAsia="he-IL"/>
        </w:rPr>
        <w:t>כלפה נ' זהבי</w:t>
      </w:r>
      <w:r w:rsidR="00F442B8" w:rsidRPr="00F442B8">
        <w:rPr>
          <w:noProof w:val="0"/>
          <w:sz w:val="26"/>
          <w:szCs w:val="26"/>
          <w:rtl/>
          <w:lang w:eastAsia="he-IL"/>
        </w:rPr>
        <w:t xml:space="preserve">, פ"ד נח(3) 49, 52 (2004); רע"א 10704/03 </w:t>
      </w:r>
      <w:r w:rsidR="00F442B8" w:rsidRPr="00F442B8">
        <w:rPr>
          <w:b/>
          <w:bCs/>
          <w:noProof w:val="0"/>
          <w:sz w:val="26"/>
          <w:szCs w:val="26"/>
          <w:rtl/>
          <w:lang w:eastAsia="he-IL"/>
        </w:rPr>
        <w:t>גאוני נ' כהן</w:t>
      </w:r>
      <w:r w:rsidR="00F442B8" w:rsidRPr="00F442B8">
        <w:rPr>
          <w:noProof w:val="0"/>
          <w:sz w:val="26"/>
          <w:szCs w:val="26"/>
          <w:rtl/>
          <w:lang w:eastAsia="he-IL"/>
        </w:rPr>
        <w:t>, מיום 24.2.04).</w:t>
      </w:r>
      <w:r w:rsidR="00F442B8">
        <w:rPr>
          <w:rFonts w:hint="cs"/>
          <w:noProof w:val="0"/>
          <w:sz w:val="26"/>
          <w:szCs w:val="26"/>
          <w:rtl/>
          <w:lang w:eastAsia="he-IL"/>
        </w:rPr>
        <w:t xml:space="preserve"> </w:t>
      </w:r>
      <w:r w:rsidR="005A0930">
        <w:rPr>
          <w:rFonts w:hint="cs"/>
          <w:noProof w:val="0"/>
          <w:sz w:val="26"/>
          <w:szCs w:val="26"/>
          <w:rtl/>
          <w:lang w:eastAsia="he-IL"/>
        </w:rPr>
        <w:t>היא נגזרת מאופיו של ההליך (</w:t>
      </w:r>
      <w:r w:rsidR="005A0930" w:rsidRPr="005A0930">
        <w:rPr>
          <w:noProof w:val="0"/>
          <w:sz w:val="26"/>
          <w:szCs w:val="26"/>
          <w:rtl/>
          <w:lang w:eastAsia="he-IL"/>
        </w:rPr>
        <w:t xml:space="preserve">רע"א 5288/07 </w:t>
      </w:r>
      <w:r w:rsidR="005A0930" w:rsidRPr="005A0930">
        <w:rPr>
          <w:b/>
          <w:bCs/>
          <w:noProof w:val="0"/>
          <w:sz w:val="26"/>
          <w:szCs w:val="26"/>
          <w:rtl/>
          <w:lang w:eastAsia="he-IL"/>
        </w:rPr>
        <w:t xml:space="preserve">נפטי נ' באר טוביה מושב </w:t>
      </w:r>
      <w:r w:rsidR="005A0930" w:rsidRPr="005A0930">
        <w:rPr>
          <w:b/>
          <w:bCs/>
          <w:noProof w:val="0"/>
          <w:sz w:val="26"/>
          <w:szCs w:val="26"/>
          <w:rtl/>
          <w:lang w:eastAsia="he-IL"/>
        </w:rPr>
        <w:lastRenderedPageBreak/>
        <w:t>עובדים להתיישבות שיתופית חקלאית בע"מ</w:t>
      </w:r>
      <w:r w:rsidR="005A0930" w:rsidRPr="005A0930">
        <w:rPr>
          <w:noProof w:val="0"/>
          <w:sz w:val="26"/>
          <w:szCs w:val="26"/>
          <w:rtl/>
          <w:lang w:eastAsia="he-IL"/>
        </w:rPr>
        <w:t>, מיום 25.6.07, בפסקה 10</w:t>
      </w:r>
      <w:r w:rsidR="005A0930">
        <w:rPr>
          <w:rFonts w:hint="cs"/>
          <w:noProof w:val="0"/>
          <w:sz w:val="26"/>
          <w:szCs w:val="26"/>
          <w:rtl/>
          <w:lang w:eastAsia="he-IL"/>
        </w:rPr>
        <w:t xml:space="preserve"> להחלטה), ובעל הדין הנמנע מלפעול בתום לב ישא בתוצאות מעשיו. לפעולה בחוסר תום לב נפקויות גם בתחום דיני הנזיקין, דוגמת הכלל המאפשר ניכוי גמלאות המל"ל בפועל למי שלא מיצה זכויותיו בתום לב (</w:t>
      </w:r>
      <w:r w:rsidR="005A0930">
        <w:rPr>
          <w:rFonts w:ascii="Arial" w:hAnsi="Arial" w:hint="cs"/>
          <w:noProof w:val="0"/>
          <w:sz w:val="26"/>
          <w:szCs w:val="26"/>
          <w:rtl/>
        </w:rPr>
        <w:t xml:space="preserve">לסיכום הפסיקה בהקשר זה ראו ע"א 3901/15 </w:t>
      </w:r>
      <w:r w:rsidR="005A0930">
        <w:rPr>
          <w:rFonts w:ascii="Arial" w:hAnsi="Arial" w:hint="cs"/>
          <w:b/>
          <w:bCs/>
          <w:noProof w:val="0"/>
          <w:sz w:val="26"/>
          <w:szCs w:val="26"/>
          <w:rtl/>
        </w:rPr>
        <w:t>נחום בסה אביב תעשיות מתכת נ' בשאראת</w:t>
      </w:r>
      <w:r w:rsidR="005A0930">
        <w:rPr>
          <w:rFonts w:ascii="Arial" w:hAnsi="Arial" w:hint="cs"/>
          <w:noProof w:val="0"/>
          <w:sz w:val="26"/>
          <w:szCs w:val="26"/>
          <w:rtl/>
        </w:rPr>
        <w:t>, מיום 1.2.16, בפסקאות 8 ו-14 לפסק הדין).</w:t>
      </w:r>
    </w:p>
    <w:p w:rsidR="00F442B8" w:rsidRDefault="00F442B8" w:rsidP="00F442B8">
      <w:pPr>
        <w:pStyle w:val="ad"/>
        <w:spacing w:line="360" w:lineRule="auto"/>
        <w:jc w:val="both"/>
        <w:rPr>
          <w:rFonts w:ascii="Arial" w:hAnsi="Arial"/>
          <w:noProof w:val="0"/>
          <w:sz w:val="26"/>
          <w:szCs w:val="26"/>
          <w:rtl/>
        </w:rPr>
      </w:pPr>
    </w:p>
    <w:p w:rsidR="005A58C3" w:rsidRDefault="005A58C3" w:rsidP="00153B6A">
      <w:pPr>
        <w:pStyle w:val="ad"/>
        <w:spacing w:line="360" w:lineRule="auto"/>
        <w:jc w:val="both"/>
        <w:rPr>
          <w:rFonts w:ascii="Arial" w:hAnsi="Arial"/>
          <w:noProof w:val="0"/>
          <w:sz w:val="26"/>
          <w:szCs w:val="26"/>
        </w:rPr>
      </w:pPr>
      <w:r>
        <w:rPr>
          <w:rFonts w:ascii="Arial" w:hAnsi="Arial" w:hint="cs"/>
          <w:noProof w:val="0"/>
          <w:sz w:val="26"/>
          <w:szCs w:val="26"/>
          <w:rtl/>
        </w:rPr>
        <w:t xml:space="preserve">החלטתו של בית המשפט קמא </w:t>
      </w:r>
      <w:r w:rsidR="005A0930">
        <w:rPr>
          <w:rFonts w:ascii="Arial" w:hAnsi="Arial" w:hint="cs"/>
          <w:noProof w:val="0"/>
          <w:sz w:val="26"/>
          <w:szCs w:val="26"/>
          <w:rtl/>
        </w:rPr>
        <w:t xml:space="preserve">אף </w:t>
      </w:r>
      <w:r>
        <w:rPr>
          <w:rFonts w:ascii="Arial" w:hAnsi="Arial" w:hint="cs"/>
          <w:noProof w:val="0"/>
          <w:sz w:val="26"/>
          <w:szCs w:val="26"/>
          <w:rtl/>
        </w:rPr>
        <w:t>עומדת בסתירה לכלל לפיו לא ייצא חוטא נשכר. היא מעודדת התנהלות של רמייה והונאה כלפי בית המשפט וכלפי המומחים ש</w:t>
      </w:r>
      <w:r w:rsidR="005A0930">
        <w:rPr>
          <w:rFonts w:ascii="Arial" w:hAnsi="Arial" w:hint="cs"/>
          <w:noProof w:val="0"/>
          <w:sz w:val="26"/>
          <w:szCs w:val="26"/>
          <w:rtl/>
        </w:rPr>
        <w:t>מונו על ידו</w:t>
      </w:r>
      <w:r>
        <w:rPr>
          <w:rFonts w:ascii="Arial" w:hAnsi="Arial" w:hint="cs"/>
          <w:noProof w:val="0"/>
          <w:sz w:val="26"/>
          <w:szCs w:val="26"/>
          <w:rtl/>
        </w:rPr>
        <w:t xml:space="preserve">. לאמיתו של דבר, תוצאת ההחלטה היא מתן גושפנקא להתנהלות בדרך המכונה בלשון העם "שיטת מצליח". </w:t>
      </w:r>
      <w:r w:rsidR="00BE3CED">
        <w:rPr>
          <w:rFonts w:ascii="Arial" w:hAnsi="Arial" w:hint="cs"/>
          <w:noProof w:val="0"/>
          <w:sz w:val="26"/>
          <w:szCs w:val="26"/>
          <w:rtl/>
        </w:rPr>
        <w:t xml:space="preserve">על פי גישה זו, </w:t>
      </w:r>
      <w:r>
        <w:rPr>
          <w:rFonts w:ascii="Arial" w:hAnsi="Arial" w:hint="cs"/>
          <w:noProof w:val="0"/>
          <w:sz w:val="26"/>
          <w:szCs w:val="26"/>
          <w:rtl/>
        </w:rPr>
        <w:t>תובע המתחזה במהלך בדיקתו על ידי המומחה אינו נושא בסיכון כלשהו. אם עלה בידו להונות את המומחה</w:t>
      </w:r>
      <w:r w:rsidR="00BE3CED">
        <w:rPr>
          <w:rFonts w:ascii="Arial" w:hAnsi="Arial" w:hint="cs"/>
          <w:noProof w:val="0"/>
          <w:sz w:val="26"/>
          <w:szCs w:val="26"/>
          <w:rtl/>
        </w:rPr>
        <w:t xml:space="preserve"> </w:t>
      </w:r>
      <w:r w:rsidR="00BE3CED">
        <w:rPr>
          <w:rFonts w:ascii="Arial" w:hAnsi="Arial"/>
          <w:noProof w:val="0"/>
          <w:sz w:val="26"/>
          <w:szCs w:val="26"/>
          <w:rtl/>
        </w:rPr>
        <w:t>–</w:t>
      </w:r>
      <w:r w:rsidR="00BE3CED">
        <w:rPr>
          <w:rFonts w:ascii="Arial" w:hAnsi="Arial" w:hint="cs"/>
          <w:noProof w:val="0"/>
          <w:sz w:val="26"/>
          <w:szCs w:val="26"/>
          <w:rtl/>
        </w:rPr>
        <w:t xml:space="preserve"> מה טוב;</w:t>
      </w:r>
      <w:r>
        <w:rPr>
          <w:rFonts w:ascii="Arial" w:hAnsi="Arial" w:hint="cs"/>
          <w:noProof w:val="0"/>
          <w:sz w:val="26"/>
          <w:szCs w:val="26"/>
          <w:rtl/>
        </w:rPr>
        <w:t xml:space="preserve"> יוכל </w:t>
      </w:r>
      <w:r w:rsidR="00BE3CED">
        <w:rPr>
          <w:rFonts w:ascii="Arial" w:hAnsi="Arial" w:hint="cs"/>
          <w:noProof w:val="0"/>
          <w:sz w:val="26"/>
          <w:szCs w:val="26"/>
          <w:rtl/>
        </w:rPr>
        <w:t xml:space="preserve">הוא </w:t>
      </w:r>
      <w:r>
        <w:rPr>
          <w:rFonts w:ascii="Arial" w:hAnsi="Arial" w:hint="cs"/>
          <w:noProof w:val="0"/>
          <w:sz w:val="26"/>
          <w:szCs w:val="26"/>
          <w:rtl/>
        </w:rPr>
        <w:t>לקצור את פירות ההונאה</w:t>
      </w:r>
      <w:r w:rsidR="001A1DA9">
        <w:rPr>
          <w:rFonts w:ascii="Arial" w:hAnsi="Arial" w:hint="cs"/>
          <w:noProof w:val="0"/>
          <w:sz w:val="26"/>
          <w:szCs w:val="26"/>
          <w:rtl/>
        </w:rPr>
        <w:t xml:space="preserve"> בדרך של קבלת פיצוי שאין הוא זכאי לו. </w:t>
      </w:r>
      <w:r w:rsidR="00BE3CED">
        <w:rPr>
          <w:rFonts w:ascii="Arial" w:hAnsi="Arial" w:hint="cs"/>
          <w:noProof w:val="0"/>
          <w:sz w:val="26"/>
          <w:szCs w:val="26"/>
          <w:rtl/>
        </w:rPr>
        <w:t>ו</w:t>
      </w:r>
      <w:r w:rsidR="001A1DA9">
        <w:rPr>
          <w:rFonts w:ascii="Arial" w:hAnsi="Arial" w:hint="cs"/>
          <w:noProof w:val="0"/>
          <w:sz w:val="26"/>
          <w:szCs w:val="26"/>
          <w:rtl/>
        </w:rPr>
        <w:t xml:space="preserve">אם </w:t>
      </w:r>
      <w:r w:rsidR="00BE3CED">
        <w:rPr>
          <w:rFonts w:ascii="Arial" w:hAnsi="Arial" w:hint="cs"/>
          <w:noProof w:val="0"/>
          <w:sz w:val="26"/>
          <w:szCs w:val="26"/>
          <w:rtl/>
        </w:rPr>
        <w:t xml:space="preserve">חלילה </w:t>
      </w:r>
      <w:r w:rsidR="001A1DA9">
        <w:rPr>
          <w:rFonts w:ascii="Arial" w:hAnsi="Arial" w:hint="cs"/>
          <w:noProof w:val="0"/>
          <w:sz w:val="26"/>
          <w:szCs w:val="26"/>
          <w:rtl/>
        </w:rPr>
        <w:t>לא יעלה בידו להונות את המומחה, ולו בשל העובד</w:t>
      </w:r>
      <w:r w:rsidR="00BE3CED">
        <w:rPr>
          <w:rFonts w:ascii="Arial" w:hAnsi="Arial" w:hint="cs"/>
          <w:noProof w:val="0"/>
          <w:sz w:val="26"/>
          <w:szCs w:val="26"/>
          <w:rtl/>
        </w:rPr>
        <w:t xml:space="preserve">ה שבשלב מאוחר יותר התגלה קלונו, פתוחה לפניו הדרך </w:t>
      </w:r>
      <w:r w:rsidR="001A1DA9">
        <w:rPr>
          <w:rFonts w:ascii="Arial" w:hAnsi="Arial" w:hint="cs"/>
          <w:noProof w:val="0"/>
          <w:sz w:val="26"/>
          <w:szCs w:val="26"/>
          <w:rtl/>
        </w:rPr>
        <w:t xml:space="preserve">לעתור למינוי מומחה חדש על מנת שתיבחן מחדש סוגיית נכותו, וחוזר חלילה. מצב דברים זה מעודד פעולה בחוסר ניקיון כפיים, באופן שהדעת אינה סובלת. </w:t>
      </w:r>
      <w:r w:rsidR="00153B6A" w:rsidRPr="008F7F2B">
        <w:rPr>
          <w:sz w:val="26"/>
          <w:szCs w:val="26"/>
          <w:rtl/>
        </w:rPr>
        <w:t xml:space="preserve">יש בו גם כדי להביא לזילות של המערכת המשפטית, שבמקרה מעין זה תעניק סעד למי שבא לפניה בידיים לא נקיות. יתכן </w:t>
      </w:r>
      <w:r w:rsidR="00153B6A">
        <w:rPr>
          <w:rFonts w:hint="cs"/>
          <w:sz w:val="26"/>
          <w:szCs w:val="26"/>
          <w:rtl/>
        </w:rPr>
        <w:t>ש</w:t>
      </w:r>
      <w:r w:rsidR="00153B6A" w:rsidRPr="008F7F2B">
        <w:rPr>
          <w:sz w:val="26"/>
          <w:szCs w:val="26"/>
          <w:rtl/>
        </w:rPr>
        <w:t>לעניין זה יש מקום להיקש מהדין המינהלי, שאינו מזכה בסעד במקרה בו בא העותר בידיים שאינן נקיות בפני בית המשפט.  מתן הסעד לאדם שאינו נקי כפיים אינו עולה בקנה אחד עם הכלל הרחב, הפותח את הקודקס האזרחי המוצע והעובר כחוט השני בכל המשפט האזרחי, השם דגש על החובה לפעול בתום לב</w:t>
      </w:r>
      <w:r w:rsidR="00153B6A">
        <w:rPr>
          <w:rFonts w:ascii="Arial" w:hAnsi="Arial" w:hint="cs"/>
          <w:noProof w:val="0"/>
          <w:sz w:val="26"/>
          <w:szCs w:val="26"/>
          <w:rtl/>
        </w:rPr>
        <w:t xml:space="preserve">. </w:t>
      </w:r>
      <w:r w:rsidR="001A1DA9">
        <w:rPr>
          <w:rFonts w:ascii="Arial" w:hAnsi="Arial" w:hint="cs"/>
          <w:noProof w:val="0"/>
          <w:sz w:val="26"/>
          <w:szCs w:val="26"/>
          <w:rtl/>
        </w:rPr>
        <w:t xml:space="preserve">על כל תובע לדעת כי אם יפעל בחוסר ניקיון כפיים עלול </w:t>
      </w:r>
      <w:r w:rsidR="00153B6A">
        <w:rPr>
          <w:rFonts w:ascii="Arial" w:hAnsi="Arial" w:hint="cs"/>
          <w:noProof w:val="0"/>
          <w:sz w:val="26"/>
          <w:szCs w:val="26"/>
          <w:rtl/>
        </w:rPr>
        <w:t xml:space="preserve">הוא </w:t>
      </w:r>
      <w:r w:rsidR="001A1DA9">
        <w:rPr>
          <w:rFonts w:ascii="Arial" w:hAnsi="Arial" w:hint="cs"/>
          <w:noProof w:val="0"/>
          <w:sz w:val="26"/>
          <w:szCs w:val="26"/>
          <w:rtl/>
        </w:rPr>
        <w:t>לשאת בתוצאות</w:t>
      </w:r>
      <w:r w:rsidR="00153B6A">
        <w:rPr>
          <w:rFonts w:ascii="Arial" w:hAnsi="Arial" w:hint="cs"/>
          <w:noProof w:val="0"/>
          <w:sz w:val="26"/>
          <w:szCs w:val="26"/>
          <w:rtl/>
        </w:rPr>
        <w:t xml:space="preserve"> </w:t>
      </w:r>
      <w:r w:rsidR="00153B6A">
        <w:rPr>
          <w:rFonts w:ascii="Arial" w:hAnsi="Arial"/>
          <w:noProof w:val="0"/>
          <w:sz w:val="26"/>
          <w:szCs w:val="26"/>
          <w:rtl/>
        </w:rPr>
        <w:t>–</w:t>
      </w:r>
      <w:r w:rsidR="00153B6A">
        <w:rPr>
          <w:rFonts w:ascii="Arial" w:hAnsi="Arial" w:hint="cs"/>
          <w:noProof w:val="0"/>
          <w:sz w:val="26"/>
          <w:szCs w:val="26"/>
          <w:rtl/>
        </w:rPr>
        <w:t xml:space="preserve"> ולו התוצאות הדיוניות </w:t>
      </w:r>
      <w:r w:rsidR="00153B6A">
        <w:rPr>
          <w:rFonts w:ascii="Arial" w:hAnsi="Arial"/>
          <w:noProof w:val="0"/>
          <w:sz w:val="26"/>
          <w:szCs w:val="26"/>
          <w:rtl/>
        </w:rPr>
        <w:t>–</w:t>
      </w:r>
      <w:r w:rsidR="00153B6A">
        <w:rPr>
          <w:rFonts w:ascii="Arial" w:hAnsi="Arial" w:hint="cs"/>
          <w:noProof w:val="0"/>
          <w:sz w:val="26"/>
          <w:szCs w:val="26"/>
          <w:rtl/>
        </w:rPr>
        <w:t xml:space="preserve"> של מעשיו,</w:t>
      </w:r>
      <w:r w:rsidR="001A1DA9">
        <w:rPr>
          <w:rFonts w:ascii="Arial" w:hAnsi="Arial" w:hint="cs"/>
          <w:noProof w:val="0"/>
          <w:sz w:val="26"/>
          <w:szCs w:val="26"/>
          <w:rtl/>
        </w:rPr>
        <w:t xml:space="preserve"> ואם כתוצאה ממעשיו אין המומחה שמונה מסוגל לקבוע את שיעור הנכות אל נכון, יוודע לדבר משמעות ראייתית. </w:t>
      </w:r>
    </w:p>
    <w:p w:rsidR="001A1DA9" w:rsidRPr="00153B6A" w:rsidRDefault="001A1DA9" w:rsidP="001A1DA9">
      <w:pPr>
        <w:pStyle w:val="ad"/>
        <w:spacing w:line="360" w:lineRule="auto"/>
        <w:jc w:val="both"/>
        <w:rPr>
          <w:rFonts w:ascii="Arial" w:hAnsi="Arial"/>
          <w:noProof w:val="0"/>
          <w:sz w:val="26"/>
          <w:szCs w:val="26"/>
          <w:rtl/>
        </w:rPr>
      </w:pPr>
    </w:p>
    <w:p w:rsidR="001A1DA9" w:rsidRDefault="001A1DA9" w:rsidP="00153B6A">
      <w:pPr>
        <w:pStyle w:val="ad"/>
        <w:spacing w:line="360" w:lineRule="auto"/>
        <w:jc w:val="both"/>
        <w:rPr>
          <w:rFonts w:ascii="Arial" w:hAnsi="Arial"/>
          <w:noProof w:val="0"/>
          <w:sz w:val="26"/>
          <w:szCs w:val="26"/>
          <w:rtl/>
        </w:rPr>
      </w:pPr>
      <w:r>
        <w:rPr>
          <w:rFonts w:ascii="Arial" w:hAnsi="Arial" w:hint="cs"/>
          <w:noProof w:val="0"/>
          <w:sz w:val="26"/>
          <w:szCs w:val="26"/>
          <w:rtl/>
        </w:rPr>
        <w:t xml:space="preserve">יתרה מזו, מי לידינו יתקע </w:t>
      </w:r>
      <w:r w:rsidR="00153B6A">
        <w:rPr>
          <w:rFonts w:ascii="Arial" w:hAnsi="Arial" w:hint="cs"/>
          <w:noProof w:val="0"/>
          <w:sz w:val="26"/>
          <w:szCs w:val="26"/>
          <w:rtl/>
        </w:rPr>
        <w:t>ש</w:t>
      </w:r>
      <w:r>
        <w:rPr>
          <w:rFonts w:ascii="Arial" w:hAnsi="Arial" w:hint="cs"/>
          <w:noProof w:val="0"/>
          <w:sz w:val="26"/>
          <w:szCs w:val="26"/>
          <w:rtl/>
        </w:rPr>
        <w:t xml:space="preserve">המשיב לא ינסה להונות גם את המומחית שמונתה (שעל פי החלטת בית המשפט קמא לא יומצאו לידיה חוות הדעת ופרוטוקול החקירה), ואולי אף יצליח בדרך פעולה זו באופן חלקי או מלא? בהקשר זה היה על בית המשפט קמא לתת את המשקל גם לעובדה שהמשיב הצליח להונות מומחה בעל שם, ולחשש </w:t>
      </w:r>
      <w:r>
        <w:rPr>
          <w:rFonts w:ascii="Arial" w:hAnsi="Arial" w:hint="cs"/>
          <w:noProof w:val="0"/>
          <w:sz w:val="26"/>
          <w:szCs w:val="26"/>
          <w:rtl/>
        </w:rPr>
        <w:lastRenderedPageBreak/>
        <w:t xml:space="preserve">כי דרך פעולה זו עלולה לשוב על עצמה. </w:t>
      </w:r>
      <w:r w:rsidR="00153B6A">
        <w:rPr>
          <w:rFonts w:ascii="Arial" w:hAnsi="Arial" w:hint="cs"/>
          <w:noProof w:val="0"/>
          <w:sz w:val="26"/>
          <w:szCs w:val="26"/>
          <w:rtl/>
        </w:rPr>
        <w:t xml:space="preserve">דומה כי </w:t>
      </w:r>
      <w:r>
        <w:rPr>
          <w:rFonts w:ascii="Arial" w:hAnsi="Arial" w:hint="cs"/>
          <w:noProof w:val="0"/>
          <w:sz w:val="26"/>
          <w:szCs w:val="26"/>
          <w:rtl/>
        </w:rPr>
        <w:t xml:space="preserve">גם </w:t>
      </w:r>
      <w:r w:rsidR="00153B6A">
        <w:rPr>
          <w:rFonts w:ascii="Arial" w:hAnsi="Arial" w:hint="cs"/>
          <w:noProof w:val="0"/>
          <w:sz w:val="26"/>
          <w:szCs w:val="26"/>
          <w:rtl/>
        </w:rPr>
        <w:t>מ</w:t>
      </w:r>
      <w:r>
        <w:rPr>
          <w:rFonts w:ascii="Arial" w:hAnsi="Arial" w:hint="cs"/>
          <w:noProof w:val="0"/>
          <w:sz w:val="26"/>
          <w:szCs w:val="26"/>
          <w:rtl/>
        </w:rPr>
        <w:t xml:space="preserve">טעם זה </w:t>
      </w:r>
      <w:r w:rsidR="00153B6A">
        <w:rPr>
          <w:rFonts w:ascii="Arial" w:hAnsi="Arial" w:hint="cs"/>
          <w:noProof w:val="0"/>
          <w:sz w:val="26"/>
          <w:szCs w:val="26"/>
          <w:rtl/>
        </w:rPr>
        <w:t xml:space="preserve">לא </w:t>
      </w:r>
      <w:r>
        <w:rPr>
          <w:rFonts w:ascii="Arial" w:hAnsi="Arial" w:hint="cs"/>
          <w:noProof w:val="0"/>
          <w:sz w:val="26"/>
          <w:szCs w:val="26"/>
          <w:rtl/>
        </w:rPr>
        <w:t>היה מקום להיעתר לבקש</w:t>
      </w:r>
      <w:r w:rsidR="00153B6A">
        <w:rPr>
          <w:rFonts w:ascii="Arial" w:hAnsi="Arial" w:hint="cs"/>
          <w:noProof w:val="0"/>
          <w:sz w:val="26"/>
          <w:szCs w:val="26"/>
          <w:rtl/>
        </w:rPr>
        <w:t>ת המשיב</w:t>
      </w:r>
      <w:r>
        <w:rPr>
          <w:rFonts w:ascii="Arial" w:hAnsi="Arial" w:hint="cs"/>
          <w:noProof w:val="0"/>
          <w:sz w:val="26"/>
          <w:szCs w:val="26"/>
          <w:rtl/>
        </w:rPr>
        <w:t xml:space="preserve">. </w:t>
      </w:r>
    </w:p>
    <w:p w:rsidR="001A1DA9" w:rsidRDefault="001A1DA9" w:rsidP="001A1DA9">
      <w:pPr>
        <w:pStyle w:val="ad"/>
        <w:spacing w:line="360" w:lineRule="auto"/>
        <w:jc w:val="both"/>
        <w:rPr>
          <w:rFonts w:ascii="Arial" w:hAnsi="Arial"/>
          <w:noProof w:val="0"/>
          <w:sz w:val="26"/>
          <w:szCs w:val="26"/>
        </w:rPr>
      </w:pPr>
    </w:p>
    <w:p w:rsidR="005A58C3" w:rsidRDefault="00153B6A" w:rsidP="00D0565F">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ההעתרות לבקשת המשיב יש בה גם משום מתן שכר לחוטא</w:t>
      </w:r>
      <w:r w:rsidR="000D57DD">
        <w:rPr>
          <w:rFonts w:ascii="Arial" w:hAnsi="Arial" w:hint="cs"/>
          <w:noProof w:val="0"/>
          <w:sz w:val="26"/>
          <w:szCs w:val="26"/>
          <w:rtl/>
        </w:rPr>
        <w:t xml:space="preserve">. </w:t>
      </w:r>
      <w:r>
        <w:rPr>
          <w:rFonts w:ascii="Arial" w:hAnsi="Arial" w:hint="cs"/>
          <w:noProof w:val="0"/>
          <w:sz w:val="26"/>
          <w:szCs w:val="26"/>
          <w:rtl/>
        </w:rPr>
        <w:t xml:space="preserve">יש לזכור כי </w:t>
      </w:r>
      <w:r w:rsidR="00D0565F">
        <w:rPr>
          <w:rFonts w:ascii="Arial" w:hAnsi="Arial" w:hint="cs"/>
          <w:noProof w:val="0"/>
          <w:sz w:val="26"/>
          <w:szCs w:val="26"/>
          <w:rtl/>
        </w:rPr>
        <w:t xml:space="preserve">על פי גישת </w:t>
      </w:r>
      <w:r w:rsidR="000D57DD">
        <w:rPr>
          <w:rFonts w:ascii="Arial" w:hAnsi="Arial" w:hint="cs"/>
          <w:noProof w:val="0"/>
          <w:sz w:val="26"/>
          <w:szCs w:val="26"/>
          <w:rtl/>
        </w:rPr>
        <w:t>הצעת חוק דיני ממונות, התשע"א-2011</w:t>
      </w:r>
      <w:r w:rsidR="00D0565F">
        <w:rPr>
          <w:rFonts w:ascii="Arial" w:hAnsi="Arial" w:hint="cs"/>
          <w:noProof w:val="0"/>
          <w:sz w:val="26"/>
          <w:szCs w:val="26"/>
          <w:rtl/>
        </w:rPr>
        <w:t>, הוכר העקרון לפיו "אין חוטא נשכר" כאחד מעקרונות העל במסגרת ההתדיינות בדיני ממונות</w:t>
      </w:r>
      <w:r w:rsidR="000D57DD">
        <w:rPr>
          <w:rFonts w:ascii="Arial" w:hAnsi="Arial" w:hint="cs"/>
          <w:noProof w:val="0"/>
          <w:sz w:val="26"/>
          <w:szCs w:val="26"/>
          <w:rtl/>
        </w:rPr>
        <w:t>. במסגרת הצעת החוק נקבע עיקרון זה מייד לאחר עיקרון העל המטיל חובה לפעול בתום לב, כאשר תחת הכותרת "אין חוטא נשכר" הובהר כי "בית המשפט רשאי לשלול או להגביל זכות של אדם, בנסיבות שבהן מוצדק הדבר, בשל כך שהזכות צמחה עקב התנהגות של הזכאי הנוגדת חיקוק או הנוגדת את תקנת הציבור"</w:t>
      </w:r>
      <w:r w:rsidR="00D0565F">
        <w:rPr>
          <w:rFonts w:ascii="Arial" w:hAnsi="Arial" w:hint="cs"/>
          <w:noProof w:val="0"/>
          <w:sz w:val="26"/>
          <w:szCs w:val="26"/>
          <w:rtl/>
        </w:rPr>
        <w:t xml:space="preserve"> (סעיף 3 להצעת החוק)</w:t>
      </w:r>
      <w:r w:rsidR="00933D7C">
        <w:rPr>
          <w:rFonts w:ascii="Arial" w:hAnsi="Arial" w:hint="cs"/>
          <w:noProof w:val="0"/>
          <w:sz w:val="26"/>
          <w:szCs w:val="26"/>
          <w:rtl/>
        </w:rPr>
        <w:t xml:space="preserve">. </w:t>
      </w:r>
      <w:r w:rsidR="00D0565F">
        <w:rPr>
          <w:rFonts w:ascii="Arial" w:hAnsi="Arial" w:hint="cs"/>
          <w:noProof w:val="0"/>
          <w:sz w:val="26"/>
          <w:szCs w:val="26"/>
          <w:rtl/>
        </w:rPr>
        <w:t xml:space="preserve">גם </w:t>
      </w:r>
      <w:r w:rsidR="00933D7C">
        <w:rPr>
          <w:rFonts w:ascii="Arial" w:hAnsi="Arial" w:hint="cs"/>
          <w:noProof w:val="0"/>
          <w:sz w:val="26"/>
          <w:szCs w:val="26"/>
          <w:rtl/>
        </w:rPr>
        <w:t xml:space="preserve">בפסיקת בית המשפט העליון </w:t>
      </w:r>
      <w:r w:rsidR="00D0565F">
        <w:rPr>
          <w:rFonts w:ascii="Arial" w:hAnsi="Arial" w:hint="cs"/>
          <w:noProof w:val="0"/>
          <w:sz w:val="26"/>
          <w:szCs w:val="26"/>
          <w:rtl/>
        </w:rPr>
        <w:t xml:space="preserve">ניתן למצוא קביעות לפיהן </w:t>
      </w:r>
      <w:r w:rsidR="00933D7C">
        <w:rPr>
          <w:rFonts w:ascii="Arial" w:hAnsi="Arial" w:hint="cs"/>
          <w:noProof w:val="0"/>
          <w:sz w:val="26"/>
          <w:szCs w:val="26"/>
          <w:rtl/>
        </w:rPr>
        <w:t xml:space="preserve">יש בעיקרון בסיסי זה כדי להביא לשלילת </w:t>
      </w:r>
      <w:r w:rsidR="00D0565F">
        <w:rPr>
          <w:rFonts w:ascii="Arial" w:hAnsi="Arial" w:hint="cs"/>
          <w:noProof w:val="0"/>
          <w:sz w:val="26"/>
          <w:szCs w:val="26"/>
          <w:rtl/>
        </w:rPr>
        <w:t>ה</w:t>
      </w:r>
      <w:r w:rsidR="00933D7C">
        <w:rPr>
          <w:rFonts w:ascii="Arial" w:hAnsi="Arial" w:hint="cs"/>
          <w:noProof w:val="0"/>
          <w:sz w:val="26"/>
          <w:szCs w:val="26"/>
          <w:rtl/>
        </w:rPr>
        <w:t xml:space="preserve">זכאות </w:t>
      </w:r>
      <w:r w:rsidR="00D0565F">
        <w:rPr>
          <w:rFonts w:ascii="Arial" w:hAnsi="Arial" w:hint="cs"/>
          <w:noProof w:val="0"/>
          <w:sz w:val="26"/>
          <w:szCs w:val="26"/>
          <w:rtl/>
        </w:rPr>
        <w:t xml:space="preserve">מכל וכל לפיצוי במסגרת דיני הנזיקין </w:t>
      </w:r>
      <w:r w:rsidR="00933D7C">
        <w:rPr>
          <w:rFonts w:ascii="Arial" w:hAnsi="Arial" w:hint="cs"/>
          <w:noProof w:val="0"/>
          <w:sz w:val="26"/>
          <w:szCs w:val="26"/>
          <w:rtl/>
        </w:rPr>
        <w:t xml:space="preserve">בהקשרים מסוימים (ראו לדוגמא ע"א 3015/06 </w:t>
      </w:r>
      <w:r w:rsidR="00933D7C">
        <w:rPr>
          <w:rFonts w:ascii="Arial" w:hAnsi="Arial" w:hint="cs"/>
          <w:b/>
          <w:bCs/>
          <w:noProof w:val="0"/>
          <w:sz w:val="26"/>
          <w:szCs w:val="26"/>
          <w:rtl/>
        </w:rPr>
        <w:t>מ"י נ' פינקלשטיין</w:t>
      </w:r>
      <w:r w:rsidR="00933D7C">
        <w:rPr>
          <w:rFonts w:ascii="Arial" w:hAnsi="Arial" w:hint="cs"/>
          <w:noProof w:val="0"/>
          <w:sz w:val="26"/>
          <w:szCs w:val="26"/>
          <w:rtl/>
        </w:rPr>
        <w:t xml:space="preserve">, מיום 9.12.08; והשוו: ע"א 4079/05 </w:t>
      </w:r>
      <w:r w:rsidR="00933D7C">
        <w:rPr>
          <w:rFonts w:ascii="Arial" w:hAnsi="Arial" w:hint="cs"/>
          <w:b/>
          <w:bCs/>
          <w:noProof w:val="0"/>
          <w:sz w:val="26"/>
          <w:szCs w:val="26"/>
          <w:rtl/>
        </w:rPr>
        <w:t>הול"ל שומרון נ' מעונה חברה לבנין בע"מ</w:t>
      </w:r>
      <w:r w:rsidR="00933D7C">
        <w:rPr>
          <w:rFonts w:ascii="Arial" w:hAnsi="Arial" w:hint="cs"/>
          <w:noProof w:val="0"/>
          <w:sz w:val="26"/>
          <w:szCs w:val="26"/>
          <w:rtl/>
        </w:rPr>
        <w:t>, מיום 11.11.10 ורבים אחרים).</w:t>
      </w:r>
      <w:r w:rsidR="00D0565F">
        <w:rPr>
          <w:rFonts w:ascii="Arial" w:hAnsi="Arial" w:hint="cs"/>
          <w:noProof w:val="0"/>
          <w:sz w:val="26"/>
          <w:szCs w:val="26"/>
          <w:rtl/>
        </w:rPr>
        <w:t xml:space="preserve"> גם מטעם זה לא היה מקום להיעתר לבקשה.</w:t>
      </w:r>
    </w:p>
    <w:p w:rsidR="00F276EC" w:rsidRPr="00D0565F" w:rsidRDefault="00F276EC" w:rsidP="00F276EC">
      <w:pPr>
        <w:pStyle w:val="ad"/>
        <w:spacing w:line="360" w:lineRule="auto"/>
        <w:jc w:val="both"/>
        <w:rPr>
          <w:rFonts w:ascii="Arial" w:hAnsi="Arial"/>
          <w:noProof w:val="0"/>
          <w:sz w:val="26"/>
          <w:szCs w:val="26"/>
        </w:rPr>
      </w:pPr>
    </w:p>
    <w:p w:rsidR="00F276EC" w:rsidRDefault="00F276EC" w:rsidP="00933D7C">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 xml:space="preserve">אכן, קיים חשש כי בשל התנהלותו הפסולה של המשיב לא יוכל בית המשפט לקבוע במדויק מה שיעור הנכות שגרמה לו התאונה. תוצאה זו היא פרי מעלליו של המשיב עצמו, ואין לו אלא להלין על עצמו על כך שבמו ידיו פגע ביכולתו להרים את נטל ההוכחה המוטל עליו. </w:t>
      </w:r>
    </w:p>
    <w:p w:rsidR="00D0565F" w:rsidRDefault="00D0565F" w:rsidP="00D0565F">
      <w:pPr>
        <w:pStyle w:val="ad"/>
        <w:spacing w:line="360" w:lineRule="auto"/>
        <w:jc w:val="both"/>
        <w:rPr>
          <w:rFonts w:ascii="Arial" w:hAnsi="Arial"/>
          <w:noProof w:val="0"/>
          <w:sz w:val="26"/>
          <w:szCs w:val="26"/>
        </w:rPr>
      </w:pPr>
    </w:p>
    <w:p w:rsidR="00D0565F" w:rsidRDefault="00D0565F" w:rsidP="00D0565F">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כללו של דבר, נפגע שאינו פועל בתום לב ובניקיון כפיים צפוי לתוצאות המשפטיות הנובעות ממעשיו. בכלל אלה כלולה האפשרות כי הכשלת המומחה תביא לכך שלא יעלה בידו להרים את נטל ההוכחה, המוטל עליו, בעניין שיעור נכותו.</w:t>
      </w:r>
    </w:p>
    <w:p w:rsidR="00D0565F" w:rsidRPr="00D0565F" w:rsidRDefault="00D0565F" w:rsidP="00D0565F">
      <w:pPr>
        <w:pStyle w:val="ad"/>
        <w:spacing w:line="360" w:lineRule="auto"/>
        <w:jc w:val="both"/>
        <w:rPr>
          <w:rFonts w:ascii="Arial" w:hAnsi="Arial"/>
          <w:noProof w:val="0"/>
          <w:sz w:val="26"/>
          <w:szCs w:val="26"/>
        </w:rPr>
      </w:pPr>
    </w:p>
    <w:p w:rsidR="00D0565F" w:rsidRDefault="00F276EC" w:rsidP="00933D7C">
      <w:pPr>
        <w:pStyle w:val="ad"/>
        <w:numPr>
          <w:ilvl w:val="0"/>
          <w:numId w:val="3"/>
        </w:numPr>
        <w:spacing w:line="360" w:lineRule="auto"/>
        <w:ind w:hanging="579"/>
        <w:jc w:val="both"/>
        <w:rPr>
          <w:rFonts w:ascii="Arial" w:hAnsi="Arial"/>
          <w:noProof w:val="0"/>
          <w:sz w:val="26"/>
          <w:szCs w:val="26"/>
        </w:rPr>
      </w:pPr>
      <w:r>
        <w:rPr>
          <w:rFonts w:ascii="Arial" w:hAnsi="Arial" w:hint="cs"/>
          <w:noProof w:val="0"/>
          <w:sz w:val="26"/>
          <w:szCs w:val="26"/>
          <w:rtl/>
        </w:rPr>
        <w:t xml:space="preserve">לנוכח כל האמור לעיל, הגעתי לכלל מסקנה לפיה דין הבקשה להתקבל. לפיכך אני מורה על ביטול החלטתו של בית המשפט קמא בעניין מינוי מומחה נוסף בתחום האורתופדי. </w:t>
      </w:r>
    </w:p>
    <w:p w:rsidR="00D0565F" w:rsidRDefault="00D0565F" w:rsidP="00D0565F">
      <w:pPr>
        <w:pStyle w:val="ad"/>
        <w:spacing w:line="360" w:lineRule="auto"/>
        <w:jc w:val="both"/>
        <w:rPr>
          <w:rFonts w:ascii="Arial" w:hAnsi="Arial"/>
          <w:noProof w:val="0"/>
          <w:sz w:val="26"/>
          <w:szCs w:val="26"/>
          <w:rtl/>
        </w:rPr>
      </w:pPr>
    </w:p>
    <w:p w:rsidR="00F276EC" w:rsidRDefault="00D0565F" w:rsidP="00D0565F">
      <w:pPr>
        <w:pStyle w:val="ad"/>
        <w:spacing w:line="360" w:lineRule="auto"/>
        <w:jc w:val="both"/>
        <w:rPr>
          <w:rFonts w:ascii="Arial" w:hAnsi="Arial"/>
          <w:noProof w:val="0"/>
          <w:sz w:val="26"/>
          <w:szCs w:val="26"/>
        </w:rPr>
      </w:pPr>
      <w:r>
        <w:rPr>
          <w:rFonts w:ascii="Arial" w:hAnsi="Arial" w:hint="cs"/>
          <w:noProof w:val="0"/>
          <w:sz w:val="26"/>
          <w:szCs w:val="26"/>
          <w:rtl/>
        </w:rPr>
        <w:t xml:space="preserve">בנסיבות העניין ישא </w:t>
      </w:r>
      <w:r w:rsidR="00F276EC">
        <w:rPr>
          <w:rFonts w:ascii="Arial" w:hAnsi="Arial" w:hint="cs"/>
          <w:noProof w:val="0"/>
          <w:sz w:val="26"/>
          <w:szCs w:val="26"/>
          <w:rtl/>
        </w:rPr>
        <w:t xml:space="preserve">המשיב בהוצאות המערערת בסכום של 5,000 ₪.  </w:t>
      </w:r>
    </w:p>
    <w:p w:rsidR="005A58C3" w:rsidRPr="00D0565F" w:rsidRDefault="005A58C3" w:rsidP="00F276EC">
      <w:pPr>
        <w:pStyle w:val="ad"/>
        <w:spacing w:line="360" w:lineRule="auto"/>
        <w:jc w:val="both"/>
        <w:rPr>
          <w:rFonts w:ascii="Arial" w:hAnsi="Arial"/>
          <w:noProof w:val="0"/>
          <w:sz w:val="26"/>
          <w:szCs w:val="26"/>
          <w:rtl/>
        </w:rPr>
      </w:pPr>
    </w:p>
    <w:p w:rsidR="00D0565F" w:rsidRDefault="00D0565F">
      <w:pPr>
        <w:spacing w:line="360" w:lineRule="auto"/>
        <w:jc w:val="both"/>
        <w:rPr>
          <w:rFonts w:ascii="Arial" w:hAnsi="Arial"/>
          <w:noProof w:val="0"/>
          <w:sz w:val="26"/>
          <w:szCs w:val="26"/>
          <w:rtl/>
        </w:rPr>
      </w:pPr>
    </w:p>
    <w:p w:rsidR="0091368E" w:rsidRPr="00D0565F" w:rsidRDefault="00D0565F">
      <w:pPr>
        <w:spacing w:line="360" w:lineRule="auto"/>
        <w:jc w:val="both"/>
        <w:rPr>
          <w:rFonts w:ascii="Arial" w:hAnsi="Arial"/>
          <w:b/>
          <w:bCs/>
          <w:noProof w:val="0"/>
          <w:sz w:val="26"/>
          <w:szCs w:val="26"/>
          <w:rtl/>
        </w:rPr>
      </w:pPr>
      <w:r w:rsidRPr="00D0565F">
        <w:rPr>
          <w:rFonts w:ascii="Arial" w:hAnsi="Arial" w:hint="cs"/>
          <w:b/>
          <w:bCs/>
          <w:noProof w:val="0"/>
          <w:sz w:val="26"/>
          <w:szCs w:val="26"/>
          <w:rtl/>
        </w:rPr>
        <w:t xml:space="preserve">המזכירות תשלח העתק מההחלטה לב"כ הצדדים. </w:t>
      </w:r>
    </w:p>
    <w:p w:rsidR="00694556" w:rsidRPr="00A172C9" w:rsidRDefault="00694556">
      <w:pPr>
        <w:spacing w:line="360" w:lineRule="auto"/>
        <w:jc w:val="both"/>
        <w:rPr>
          <w:rFonts w:ascii="Arial" w:hAnsi="Arial"/>
          <w:noProof w:val="0"/>
          <w:sz w:val="26"/>
          <w:szCs w:val="26"/>
          <w:rtl/>
        </w:rPr>
      </w:pPr>
    </w:p>
    <w:p w:rsidR="00694556" w:rsidRPr="00D0565F" w:rsidRDefault="0043502B" w:rsidP="00D0565F">
      <w:pPr>
        <w:spacing w:line="360" w:lineRule="auto"/>
        <w:jc w:val="both"/>
        <w:rPr>
          <w:rFonts w:ascii="Arial" w:hAnsi="Arial"/>
          <w:b/>
          <w:bCs/>
          <w:noProof w:val="0"/>
          <w:sz w:val="26"/>
          <w:szCs w:val="26"/>
          <w:rtl/>
        </w:rPr>
      </w:pPr>
      <w:r w:rsidRPr="00D0565F">
        <w:rPr>
          <w:rFonts w:ascii="Arial" w:hAnsi="Arial"/>
          <w:b/>
          <w:bCs/>
          <w:noProof w:val="0"/>
          <w:sz w:val="26"/>
          <w:szCs w:val="26"/>
          <w:rtl/>
        </w:rPr>
        <w:t>נית</w:t>
      </w:r>
      <w:r w:rsidRPr="00D0565F">
        <w:rPr>
          <w:rFonts w:ascii="Arial" w:hAnsi="Arial" w:hint="cs"/>
          <w:b/>
          <w:bCs/>
          <w:noProof w:val="0"/>
          <w:sz w:val="26"/>
          <w:szCs w:val="26"/>
          <w:rtl/>
        </w:rPr>
        <w:t>נה</w:t>
      </w:r>
      <w:r w:rsidR="00005C8B" w:rsidRPr="00D0565F">
        <w:rPr>
          <w:rFonts w:ascii="Arial" w:hAnsi="Arial"/>
          <w:b/>
          <w:bCs/>
          <w:noProof w:val="0"/>
          <w:sz w:val="26"/>
          <w:szCs w:val="26"/>
          <w:rtl/>
        </w:rPr>
        <w:t xml:space="preserve"> היום,  </w:t>
      </w:r>
      <w:r w:rsidRPr="00D0565F">
        <w:rPr>
          <w:rFonts w:ascii="Arial" w:hAnsi="Arial"/>
          <w:b/>
          <w:bCs/>
          <w:noProof w:val="0"/>
          <w:sz w:val="26"/>
          <w:szCs w:val="26"/>
          <w:rtl/>
        </w:rPr>
        <w:t xml:space="preserve">כ"ז </w:t>
      </w:r>
      <w:r w:rsidR="00D0565F" w:rsidRPr="00D0565F">
        <w:rPr>
          <w:rFonts w:ascii="Arial" w:hAnsi="Arial" w:hint="cs"/>
          <w:b/>
          <w:bCs/>
          <w:noProof w:val="0"/>
          <w:sz w:val="26"/>
          <w:szCs w:val="26"/>
          <w:rtl/>
        </w:rPr>
        <w:t>ב</w:t>
      </w:r>
      <w:r w:rsidRPr="00D0565F">
        <w:rPr>
          <w:rFonts w:ascii="Arial" w:hAnsi="Arial"/>
          <w:b/>
          <w:bCs/>
          <w:noProof w:val="0"/>
          <w:sz w:val="26"/>
          <w:szCs w:val="26"/>
          <w:rtl/>
        </w:rPr>
        <w:t xml:space="preserve">ניסן </w:t>
      </w:r>
      <w:r w:rsidR="00D0565F" w:rsidRPr="00D0565F">
        <w:rPr>
          <w:rFonts w:ascii="Arial" w:hAnsi="Arial" w:hint="cs"/>
          <w:b/>
          <w:bCs/>
          <w:noProof w:val="0"/>
          <w:sz w:val="26"/>
          <w:szCs w:val="26"/>
          <w:rtl/>
        </w:rPr>
        <w:t>ה</w:t>
      </w:r>
      <w:r w:rsidRPr="00D0565F">
        <w:rPr>
          <w:rFonts w:ascii="Arial" w:hAnsi="Arial"/>
          <w:b/>
          <w:bCs/>
          <w:noProof w:val="0"/>
          <w:sz w:val="26"/>
          <w:szCs w:val="26"/>
          <w:rtl/>
        </w:rPr>
        <w:t>תשע"ז</w:t>
      </w:r>
      <w:r w:rsidR="00005C8B" w:rsidRPr="00D0565F">
        <w:rPr>
          <w:rFonts w:ascii="Arial" w:hAnsi="Arial"/>
          <w:b/>
          <w:bCs/>
          <w:noProof w:val="0"/>
          <w:sz w:val="26"/>
          <w:szCs w:val="26"/>
          <w:rtl/>
        </w:rPr>
        <w:t xml:space="preserve">, </w:t>
      </w:r>
      <w:r w:rsidRPr="00D0565F">
        <w:rPr>
          <w:rFonts w:ascii="Arial" w:hAnsi="Arial"/>
          <w:b/>
          <w:bCs/>
          <w:noProof w:val="0"/>
          <w:sz w:val="26"/>
          <w:szCs w:val="26"/>
          <w:rtl/>
        </w:rPr>
        <w:t xml:space="preserve">23 </w:t>
      </w:r>
      <w:r w:rsidR="00D0565F" w:rsidRPr="00D0565F">
        <w:rPr>
          <w:rFonts w:ascii="Arial" w:hAnsi="Arial" w:hint="cs"/>
          <w:b/>
          <w:bCs/>
          <w:noProof w:val="0"/>
          <w:sz w:val="26"/>
          <w:szCs w:val="26"/>
          <w:rtl/>
        </w:rPr>
        <w:t>ב</w:t>
      </w:r>
      <w:r w:rsidRPr="00D0565F">
        <w:rPr>
          <w:rFonts w:ascii="Arial" w:hAnsi="Arial"/>
          <w:b/>
          <w:bCs/>
          <w:noProof w:val="0"/>
          <w:sz w:val="26"/>
          <w:szCs w:val="26"/>
          <w:rtl/>
        </w:rPr>
        <w:t>אפריל 2017</w:t>
      </w:r>
      <w:r w:rsidR="00005C8B" w:rsidRPr="00D0565F">
        <w:rPr>
          <w:rFonts w:ascii="Arial" w:hAnsi="Arial"/>
          <w:b/>
          <w:bCs/>
          <w:noProof w:val="0"/>
          <w:sz w:val="26"/>
          <w:szCs w:val="26"/>
          <w:rtl/>
        </w:rPr>
        <w:t>, בהעדר.</w:t>
      </w:r>
    </w:p>
    <w:p w:rsidR="00694556" w:rsidRPr="00D0565F" w:rsidRDefault="00694556">
      <w:pPr>
        <w:spacing w:line="360" w:lineRule="auto"/>
        <w:jc w:val="both"/>
        <w:rPr>
          <w:rFonts w:ascii="Arial" w:hAnsi="Arial"/>
          <w:b/>
          <w:bCs/>
          <w:noProof w:val="0"/>
          <w:sz w:val="26"/>
          <w:szCs w:val="26"/>
          <w:rtl/>
        </w:rPr>
      </w:pPr>
    </w:p>
    <w:p w:rsidR="00694556" w:rsidRPr="00D0565F" w:rsidRDefault="00005C8B">
      <w:pPr>
        <w:spacing w:line="360" w:lineRule="auto"/>
        <w:ind w:left="3600" w:firstLine="720"/>
        <w:jc w:val="both"/>
        <w:rPr>
          <w:rFonts w:ascii="Arial" w:hAnsi="Arial"/>
          <w:b/>
          <w:bCs/>
          <w:noProof w:val="0"/>
          <w:sz w:val="26"/>
          <w:szCs w:val="26"/>
          <w:rtl/>
        </w:rPr>
      </w:pPr>
      <w:r w:rsidRPr="00D0565F">
        <w:rPr>
          <w:rFonts w:ascii="Arial" w:hAnsi="Arial"/>
          <w:b/>
          <w:bCs/>
          <w:noProof w:val="0"/>
          <w:sz w:val="26"/>
          <w:szCs w:val="26"/>
          <w:rtl/>
        </w:rPr>
        <w:t>חתימה</w:t>
      </w:r>
    </w:p>
    <w:p w:rsidR="00694556" w:rsidRPr="00057F31" w:rsidRDefault="00694556">
      <w:pPr>
        <w:spacing w:line="360" w:lineRule="auto"/>
        <w:jc w:val="both"/>
        <w:rPr>
          <w:rFonts w:ascii="Arial" w:hAnsi="Arial"/>
          <w:noProof w:val="0"/>
          <w:sz w:val="26"/>
          <w:szCs w:val="26"/>
          <w:rtl/>
        </w:rPr>
      </w:pPr>
    </w:p>
    <w:p w:rsidR="00694556" w:rsidRPr="00057F31" w:rsidRDefault="00694556">
      <w:pPr>
        <w:spacing w:line="360" w:lineRule="auto"/>
        <w:jc w:val="both"/>
        <w:rPr>
          <w:rFonts w:ascii="Arial" w:hAnsi="Arial"/>
          <w:noProof w:val="0"/>
          <w:sz w:val="26"/>
          <w:szCs w:val="26"/>
          <w:rtl/>
        </w:rPr>
      </w:pPr>
    </w:p>
    <w:p w:rsidR="00694556" w:rsidRPr="00057F31" w:rsidRDefault="00694556">
      <w:pPr>
        <w:spacing w:line="360" w:lineRule="auto"/>
        <w:jc w:val="both"/>
        <w:rPr>
          <w:rFonts w:ascii="Arial" w:hAnsi="Arial"/>
          <w:noProof w:val="0"/>
          <w:sz w:val="26"/>
          <w:szCs w:val="26"/>
          <w:rtl/>
        </w:rPr>
      </w:pPr>
    </w:p>
    <w:p w:rsidR="00694556" w:rsidRPr="00057F31" w:rsidRDefault="00694556">
      <w:pPr>
        <w:spacing w:line="360" w:lineRule="auto"/>
        <w:jc w:val="both"/>
        <w:rPr>
          <w:rFonts w:ascii="Arial" w:hAnsi="Arial"/>
          <w:noProof w:val="0"/>
          <w:sz w:val="26"/>
          <w:szCs w:val="26"/>
          <w:rtl/>
        </w:rPr>
      </w:pPr>
    </w:p>
    <w:p w:rsidR="00694556" w:rsidRDefault="00694556">
      <w:pPr>
        <w:spacing w:line="360" w:lineRule="auto"/>
        <w:jc w:val="both"/>
        <w:rPr>
          <w:rFonts w:ascii="Arial" w:hAnsi="Arial"/>
          <w:noProof w:val="0"/>
          <w:rtl/>
        </w:rPr>
      </w:pPr>
    </w:p>
    <w:sectPr w:rsidR="00694556" w:rsidSect="00057F31">
      <w:headerReference w:type="even" r:id="rId8"/>
      <w:headerReference w:type="default" r:id="rId9"/>
      <w:footerReference w:type="even" r:id="rId10"/>
      <w:footerReference w:type="default" r:id="rId11"/>
      <w:headerReference w:type="first" r:id="rId12"/>
      <w:footerReference w:type="first" r:id="rId13"/>
      <w:pgSz w:w="11907" w:h="16840" w:code="9"/>
      <w:pgMar w:top="720" w:right="1701" w:bottom="1134" w:left="1701" w:header="720" w:footer="73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573" w:rsidRDefault="009F0573">
      <w:r>
        <w:separator/>
      </w:r>
    </w:p>
  </w:endnote>
  <w:endnote w:type="continuationSeparator" w:id="0">
    <w:p w:rsidR="009F0573" w:rsidRDefault="009F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191" w:rsidRDefault="006671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932A89">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BA21DE">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BA21DE">
      <w:rPr>
        <w:rStyle w:val="ab"/>
        <w:rtl/>
      </w:rPr>
      <w:t>6</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191" w:rsidRDefault="006671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573" w:rsidRDefault="009F0573">
      <w:r>
        <w:separator/>
      </w:r>
    </w:p>
  </w:footnote>
  <w:footnote w:type="continuationSeparator" w:id="0">
    <w:p w:rsidR="009F0573" w:rsidRDefault="009F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191" w:rsidRDefault="006671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7B1178">
    <w:pPr>
      <w:pStyle w:val="a3"/>
      <w:jc w:val="center"/>
      <w:rPr>
        <w:rFonts w:cs="FrankRuehl"/>
        <w:noProof w:val="0"/>
        <w:sz w:val="28"/>
        <w:szCs w:val="28"/>
        <w:rtl/>
      </w:rPr>
    </w:pPr>
    <w:r>
      <w:rPr>
        <w:rFonts w:cs="FrankRuehl"/>
        <w:sz w:val="28"/>
        <w:szCs w:val="28"/>
      </w:rPr>
      <w:drawing>
        <wp:inline distT="0" distB="0" distL="0" distR="0" wp14:anchorId="6F2A5AF3" wp14:editId="46F019A2">
          <wp:extent cx="371475" cy="466725"/>
          <wp:effectExtent l="0" t="0" r="9525" b="952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12"/>
      <w:gridCol w:w="3593"/>
    </w:tblGrid>
    <w:tr w:rsidR="00694556" w:rsidTr="003666EA">
      <w:trPr>
        <w:trHeight w:hRule="exact" w:val="812"/>
        <w:jc w:val="center"/>
      </w:trPr>
      <w:tc>
        <w:tcPr>
          <w:tcW w:w="8721" w:type="dxa"/>
          <w:gridSpan w:val="2"/>
        </w:tcPr>
        <w:sdt>
          <w:sdtPr>
            <w:rPr>
              <w:rtl/>
            </w:rPr>
            <w:alias w:val="1174"/>
            <w:tag w:val="1174"/>
            <w:id w:val="153727756"/>
            <w:text/>
          </w:sdtPr>
          <w:sdtEndPr/>
          <w:sdtContent>
            <w:p w:rsidR="004C51A6" w:rsidRDefault="00F276EC">
              <w:pPr>
                <w:pStyle w:val="a3"/>
                <w:jc w:val="center"/>
                <w:rPr>
                  <w:rtl/>
                </w:rPr>
              </w:pPr>
              <w:r>
                <w:rPr>
                  <w:rFonts w:ascii="Tahoma" w:hAnsi="Tahoma" w:cs="Tahoma"/>
                  <w:b/>
                  <w:bCs/>
                  <w:noProof w:val="0"/>
                  <w:color w:val="000080"/>
                  <w:rtl/>
                </w:rPr>
                <w:t>בית המשפט המחוזי בירושלים בשבתו כבית-משפט לערעורים אזרחיים</w:t>
              </w:r>
            </w:p>
          </w:sdtContent>
        </w:sdt>
        <w:p w:rsidR="003666EA" w:rsidRDefault="003666EA" w:rsidP="000B04B1">
          <w:pPr>
            <w:pStyle w:val="a3"/>
            <w:jc w:val="center"/>
            <w:rPr>
              <w:rFonts w:ascii="Tahoma" w:hAnsi="Tahoma" w:cs="Tahoma"/>
              <w:noProof w:val="0"/>
              <w:color w:val="000080"/>
              <w:rtl/>
            </w:rPr>
          </w:pPr>
          <w:r>
            <w:rPr>
              <w:rFonts w:ascii="Tahoma" w:hAnsi="Tahoma" w:cs="Tahoma" w:hint="cs"/>
              <w:b/>
              <w:bCs/>
              <w:noProof w:val="0"/>
              <w:color w:val="000080"/>
              <w:rtl/>
            </w:rPr>
            <w:t>ל</w:t>
          </w:r>
          <w:r w:rsidRPr="003666EA">
            <w:rPr>
              <w:rFonts w:ascii="Tahoma" w:hAnsi="Tahoma" w:cs="Tahoma" w:hint="cs"/>
              <w:b/>
              <w:bCs/>
              <w:noProof w:val="0"/>
              <w:color w:val="000080"/>
              <w:rtl/>
            </w:rPr>
            <w:t>פני כבוד ה</w:t>
          </w:r>
          <w:sdt>
            <w:sdtPr>
              <w:rPr>
                <w:rFonts w:ascii="Tahoma" w:hAnsi="Tahoma" w:cs="Tahoma"/>
                <w:noProof w:val="0"/>
                <w:color w:val="000080"/>
                <w:rtl/>
              </w:rPr>
              <w:alias w:val="1574"/>
              <w:tag w:val="1574"/>
              <w:id w:val="20365998"/>
              <w:text w:multiLine="1"/>
            </w:sdtPr>
            <w:sdtEndPr/>
            <w:sdtContent>
              <w:r>
                <w:rPr>
                  <w:rFonts w:ascii="Tahoma" w:hAnsi="Tahoma" w:cs="Tahoma"/>
                  <w:b/>
                  <w:bCs/>
                  <w:noProof w:val="0"/>
                  <w:color w:val="000080"/>
                  <w:rtl/>
                </w:rPr>
                <w:t>שופט</w:t>
              </w:r>
            </w:sdtContent>
          </w:sdt>
          <w:r w:rsidRPr="003666EA">
            <w:rPr>
              <w:rFonts w:ascii="Tahoma" w:hAnsi="Tahoma" w:cs="Tahoma" w:hint="cs"/>
              <w:b/>
              <w:bCs/>
              <w:noProof w:val="0"/>
              <w:color w:val="000080"/>
              <w:rtl/>
            </w:rPr>
            <w:t xml:space="preserve"> </w:t>
          </w:r>
          <w:sdt>
            <w:sdtPr>
              <w:rPr>
                <w:rFonts w:ascii="Tahoma" w:hAnsi="Tahoma" w:cs="Tahoma"/>
                <w:noProof w:val="0"/>
                <w:color w:val="000080"/>
                <w:rtl/>
              </w:rPr>
              <w:alias w:val="1573"/>
              <w:tag w:val="1573"/>
              <w:id w:val="40330389"/>
              <w:text w:multiLine="1"/>
            </w:sdtPr>
            <w:sdtEndPr/>
            <w:sdtContent>
              <w:r>
                <w:rPr>
                  <w:rFonts w:ascii="Tahoma" w:hAnsi="Tahoma" w:cs="Tahoma"/>
                  <w:b/>
                  <w:bCs/>
                  <w:noProof w:val="0"/>
                  <w:color w:val="000080"/>
                  <w:rtl/>
                </w:rPr>
                <w:t>רם וינוגרד</w:t>
              </w:r>
            </w:sdtContent>
          </w:sdt>
        </w:p>
      </w:tc>
    </w:tr>
    <w:tr w:rsidR="00694556">
      <w:trPr>
        <w:trHeight w:val="337"/>
        <w:jc w:val="center"/>
      </w:trPr>
      <w:tc>
        <w:tcPr>
          <w:tcW w:w="5047" w:type="dxa"/>
        </w:tcPr>
        <w:p w:rsidR="00694556" w:rsidRDefault="00694556">
          <w:pPr>
            <w:rPr>
              <w:b/>
              <w:bCs/>
              <w:noProof w:val="0"/>
              <w:sz w:val="26"/>
              <w:szCs w:val="26"/>
              <w:rtl/>
            </w:rPr>
          </w:pPr>
        </w:p>
      </w:tc>
      <w:sdt>
        <w:sdtPr>
          <w:rPr>
            <w:rtl/>
          </w:rPr>
          <w:alias w:val="1456"/>
          <w:tag w:val="1456"/>
          <w:id w:val="727184061"/>
          <w:text/>
        </w:sdtPr>
        <w:sdtEndPr/>
        <w:sdtContent>
          <w:tc>
            <w:tcPr>
              <w:tcW w:w="3674" w:type="dxa"/>
            </w:tcPr>
            <w:p w:rsidR="00694556" w:rsidRDefault="00005C8B">
              <w:pPr>
                <w:pStyle w:val="a3"/>
                <w:jc w:val="right"/>
                <w:rPr>
                  <w:b/>
                  <w:bCs/>
                  <w:noProof w:val="0"/>
                  <w:sz w:val="26"/>
                  <w:szCs w:val="26"/>
                  <w:rtl/>
                </w:rPr>
              </w:pPr>
              <w:r>
                <w:rPr>
                  <w:b/>
                  <w:bCs/>
                  <w:noProof w:val="0"/>
                  <w:sz w:val="26"/>
                  <w:szCs w:val="26"/>
                  <w:rtl/>
                </w:rPr>
                <w:t>23 אפריל 2017</w:t>
              </w:r>
            </w:p>
          </w:tc>
        </w:sdtContent>
      </w:sdt>
    </w:tr>
    <w:tr w:rsidR="00694556">
      <w:trPr>
        <w:trHeight w:val="337"/>
        <w:jc w:val="center"/>
      </w:trPr>
      <w:tc>
        <w:tcPr>
          <w:tcW w:w="8721" w:type="dxa"/>
          <w:gridSpan w:val="2"/>
        </w:tcPr>
        <w:p w:rsidR="00694556" w:rsidRDefault="009F0573" w:rsidP="00C0454F">
          <w:pPr>
            <w:rPr>
              <w:b/>
              <w:bCs/>
              <w:noProof w:val="0"/>
              <w:sz w:val="26"/>
              <w:szCs w:val="26"/>
              <w:rtl/>
            </w:rPr>
          </w:pPr>
          <w:sdt>
            <w:sdtPr>
              <w:rPr>
                <w:rtl/>
              </w:rPr>
              <w:alias w:val="1170"/>
              <w:tag w:val="1170"/>
              <w:id w:val="-1393271365"/>
              <w:text w:multiLine="1"/>
            </w:sdtPr>
            <w:sdtEndPr/>
            <w:sdtContent>
              <w:r w:rsidR="005B564F">
                <w:rPr>
                  <w:b/>
                  <w:bCs/>
                  <w:noProof w:val="0"/>
                  <w:sz w:val="26"/>
                  <w:szCs w:val="26"/>
                  <w:rtl/>
                </w:rPr>
                <w:t>רע"א</w:t>
              </w:r>
            </w:sdtContent>
          </w:sdt>
          <w:r w:rsidR="00005C8B">
            <w:rPr>
              <w:b/>
              <w:bCs/>
              <w:noProof w:val="0"/>
              <w:sz w:val="26"/>
              <w:szCs w:val="26"/>
              <w:rtl/>
            </w:rPr>
            <w:t xml:space="preserve"> </w:t>
          </w:r>
          <w:sdt>
            <w:sdtPr>
              <w:rPr>
                <w:rtl/>
              </w:rPr>
              <w:alias w:val="1171"/>
              <w:tag w:val="1171"/>
              <w:id w:val="799111483"/>
              <w:text w:multiLine="1"/>
            </w:sdtPr>
            <w:sdtEndPr/>
            <w:sdtContent>
              <w:r w:rsidR="005B564F">
                <w:rPr>
                  <w:b/>
                  <w:bCs/>
                  <w:noProof w:val="0"/>
                  <w:sz w:val="26"/>
                  <w:szCs w:val="26"/>
                  <w:rtl/>
                </w:rPr>
                <w:t>14729-03-17</w:t>
              </w:r>
            </w:sdtContent>
          </w:sdt>
          <w:r w:rsidR="00005C8B">
            <w:rPr>
              <w:b/>
              <w:bCs/>
              <w:noProof w:val="0"/>
              <w:sz w:val="26"/>
              <w:szCs w:val="26"/>
              <w:rtl/>
            </w:rPr>
            <w:t xml:space="preserve"> </w:t>
          </w:r>
          <w:sdt>
            <w:sdtPr>
              <w:rPr>
                <w:rtl/>
              </w:rPr>
              <w:alias w:val="1172"/>
              <w:tag w:val="1172"/>
              <w:id w:val="376597952"/>
              <w:text w:multiLine="1"/>
            </w:sdtPr>
            <w:sdtEndPr/>
            <w:sdtContent>
              <w:r w:rsidR="005B564F">
                <w:rPr>
                  <w:b/>
                  <w:bCs/>
                  <w:noProof w:val="0"/>
                  <w:sz w:val="26"/>
                  <w:szCs w:val="26"/>
                  <w:rtl/>
                </w:rPr>
                <w:t xml:space="preserve">הפניקס חברה לביטוח בע"מ נ' </w:t>
              </w:r>
              <w:r w:rsidR="00C0454F">
                <w:rPr>
                  <w:rFonts w:hint="cs"/>
                  <w:b/>
                  <w:bCs/>
                  <w:noProof w:val="0"/>
                  <w:sz w:val="26"/>
                  <w:szCs w:val="26"/>
                  <w:rtl/>
                </w:rPr>
                <w:t>ז. ה.</w:t>
              </w:r>
              <w:r w:rsidR="00C0454F">
                <w:rPr>
                  <w:rtl/>
                </w:rPr>
                <w:t xml:space="preserve"> </w:t>
              </w:r>
            </w:sdtContent>
          </w:sdt>
        </w:p>
        <w:p w:rsidR="00694556" w:rsidRDefault="00694556">
          <w:pPr>
            <w:rPr>
              <w:rtl/>
            </w:rPr>
          </w:pPr>
        </w:p>
        <w:p w:rsidR="004C51A6" w:rsidRDefault="004C51A6">
          <w:pPr>
            <w:rPr>
              <w:rtl/>
            </w:rPr>
          </w:pP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191" w:rsidRDefault="006671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0D52"/>
    <w:multiLevelType w:val="hybridMultilevel"/>
    <w:tmpl w:val="7E725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932D83"/>
    <w:multiLevelType w:val="hybridMultilevel"/>
    <w:tmpl w:val="76A4F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41ED6"/>
    <w:multiLevelType w:val="hybridMultilevel"/>
    <w:tmpl w:val="F9EA0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5C8B"/>
    <w:rsid w:val="000564AB"/>
    <w:rsid w:val="00057F31"/>
    <w:rsid w:val="00064FBD"/>
    <w:rsid w:val="0007633F"/>
    <w:rsid w:val="00096AF7"/>
    <w:rsid w:val="000B04B1"/>
    <w:rsid w:val="000C3B0F"/>
    <w:rsid w:val="000D57DD"/>
    <w:rsid w:val="000F0BC8"/>
    <w:rsid w:val="00107E6D"/>
    <w:rsid w:val="001207E6"/>
    <w:rsid w:val="00125DF1"/>
    <w:rsid w:val="00144D2A"/>
    <w:rsid w:val="00153B6A"/>
    <w:rsid w:val="00180519"/>
    <w:rsid w:val="001A1DA9"/>
    <w:rsid w:val="001A502F"/>
    <w:rsid w:val="001C4003"/>
    <w:rsid w:val="002265FF"/>
    <w:rsid w:val="00307A6A"/>
    <w:rsid w:val="00307C40"/>
    <w:rsid w:val="00320433"/>
    <w:rsid w:val="003666EA"/>
    <w:rsid w:val="0036743F"/>
    <w:rsid w:val="003762E8"/>
    <w:rsid w:val="0043125D"/>
    <w:rsid w:val="0043502B"/>
    <w:rsid w:val="004A4FE5"/>
    <w:rsid w:val="004B3FF1"/>
    <w:rsid w:val="004C4BDF"/>
    <w:rsid w:val="004C51A6"/>
    <w:rsid w:val="004D1187"/>
    <w:rsid w:val="004E6E3C"/>
    <w:rsid w:val="005268F6"/>
    <w:rsid w:val="00547DB7"/>
    <w:rsid w:val="005A0930"/>
    <w:rsid w:val="005A58C3"/>
    <w:rsid w:val="005B564F"/>
    <w:rsid w:val="00607917"/>
    <w:rsid w:val="006119EF"/>
    <w:rsid w:val="00615BE9"/>
    <w:rsid w:val="00622BAA"/>
    <w:rsid w:val="00667191"/>
    <w:rsid w:val="00671BD5"/>
    <w:rsid w:val="006744DD"/>
    <w:rsid w:val="006805C1"/>
    <w:rsid w:val="00694556"/>
    <w:rsid w:val="006D72B8"/>
    <w:rsid w:val="006E1A53"/>
    <w:rsid w:val="006F7708"/>
    <w:rsid w:val="006F79B8"/>
    <w:rsid w:val="007B1178"/>
    <w:rsid w:val="007E6115"/>
    <w:rsid w:val="00820005"/>
    <w:rsid w:val="00896889"/>
    <w:rsid w:val="008C5714"/>
    <w:rsid w:val="00903896"/>
    <w:rsid w:val="00906F3D"/>
    <w:rsid w:val="0091368E"/>
    <w:rsid w:val="00932A89"/>
    <w:rsid w:val="00933D7C"/>
    <w:rsid w:val="009610D6"/>
    <w:rsid w:val="009F0573"/>
    <w:rsid w:val="00A0003D"/>
    <w:rsid w:val="00A1287F"/>
    <w:rsid w:val="00A14F3A"/>
    <w:rsid w:val="00A172C9"/>
    <w:rsid w:val="00A50777"/>
    <w:rsid w:val="00A94B64"/>
    <w:rsid w:val="00AA6122"/>
    <w:rsid w:val="00AA7111"/>
    <w:rsid w:val="00AC5209"/>
    <w:rsid w:val="00AD0A64"/>
    <w:rsid w:val="00B15BFF"/>
    <w:rsid w:val="00B80CBD"/>
    <w:rsid w:val="00B86096"/>
    <w:rsid w:val="00BA21DE"/>
    <w:rsid w:val="00BA54F3"/>
    <w:rsid w:val="00BE3CED"/>
    <w:rsid w:val="00BF1908"/>
    <w:rsid w:val="00C0140C"/>
    <w:rsid w:val="00C0454F"/>
    <w:rsid w:val="00C052A6"/>
    <w:rsid w:val="00C22D93"/>
    <w:rsid w:val="00C34482"/>
    <w:rsid w:val="00CA3FBE"/>
    <w:rsid w:val="00D0565F"/>
    <w:rsid w:val="00D33B86"/>
    <w:rsid w:val="00D53924"/>
    <w:rsid w:val="00D9641C"/>
    <w:rsid w:val="00D96D8C"/>
    <w:rsid w:val="00DA6649"/>
    <w:rsid w:val="00DE0428"/>
    <w:rsid w:val="00E54642"/>
    <w:rsid w:val="00EC37E9"/>
    <w:rsid w:val="00F0293D"/>
    <w:rsid w:val="00F1777F"/>
    <w:rsid w:val="00F276EC"/>
    <w:rsid w:val="00F442B8"/>
    <w:rsid w:val="00F82154"/>
    <w:rsid w:val="00F84B6D"/>
    <w:rsid w:val="00F870E6"/>
    <w:rsid w:val="00FA0FC4"/>
    <w:rsid w:val="00FD79E4"/>
    <w:rsid w:val="00FE289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436C0F-31CF-4D8E-B71A-2668EFB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5B564F"/>
    <w:rPr>
      <w:color w:val="808080"/>
    </w:rPr>
  </w:style>
  <w:style w:type="paragraph" w:styleId="ad">
    <w:name w:val="List Paragraph"/>
    <w:basedOn w:val="a"/>
    <w:uiPriority w:val="34"/>
    <w:qFormat/>
    <w:rsid w:val="00607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051648">
      <w:bodyDiv w:val="1"/>
      <w:marLeft w:val="0"/>
      <w:marRight w:val="0"/>
      <w:marTop w:val="0"/>
      <w:marBottom w:val="0"/>
      <w:divBdr>
        <w:top w:val="none" w:sz="0" w:space="0" w:color="auto"/>
        <w:left w:val="none" w:sz="0" w:space="0" w:color="auto"/>
        <w:bottom w:val="none" w:sz="0" w:space="0" w:color="auto"/>
        <w:right w:val="none" w:sz="0" w:space="0" w:color="auto"/>
      </w:divBdr>
    </w:div>
    <w:div w:id="1025786743">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7251</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טטרואשילי</cp:lastModifiedBy>
  <cp:revision>2</cp:revision>
  <dcterms:created xsi:type="dcterms:W3CDTF">2025-02-17T08:14:00Z</dcterms:created>
  <dcterms:modified xsi:type="dcterms:W3CDTF">2025-02-17T08:14:00Z</dcterms:modified>
</cp:coreProperties>
</file>