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C7F" w:rsidRDefault="000E6C7F" w:rsidP="004C307F">
      <w:pPr>
        <w:jc w:val="right"/>
        <w:rPr>
          <w:b/>
          <w:bCs/>
          <w:sz w:val="26"/>
          <w:szCs w:val="26"/>
          <w:rtl/>
        </w:rPr>
      </w:pPr>
      <w:bookmarkStart w:id="0" w:name="_GoBack"/>
      <w:bookmarkEnd w:id="0"/>
      <w:r w:rsidRPr="00305FC5">
        <w:rPr>
          <w:rFonts w:hint="cs"/>
          <w:b/>
          <w:bCs/>
          <w:sz w:val="26"/>
          <w:szCs w:val="26"/>
          <w:u w:val="single"/>
          <w:rtl/>
        </w:rPr>
        <w:t>ניתן ביום</w:t>
      </w:r>
      <w:r w:rsidRPr="000E6C7F">
        <w:rPr>
          <w:rFonts w:hint="cs"/>
          <w:b/>
          <w:bCs/>
          <w:sz w:val="26"/>
          <w:szCs w:val="26"/>
          <w:rtl/>
        </w:rPr>
        <w:t xml:space="preserve"> </w:t>
      </w:r>
      <w:r w:rsidR="004C307F">
        <w:rPr>
          <w:rStyle w:val="ac"/>
          <w:rFonts w:hint="cs"/>
          <w:b/>
          <w:bCs/>
          <w:color w:val="auto"/>
          <w:sz w:val="26"/>
          <w:szCs w:val="26"/>
          <w:rtl/>
        </w:rPr>
        <w:t>01 מאי 2022</w:t>
      </w:r>
      <w:r w:rsidRPr="000E6C7F">
        <w:rPr>
          <w:b/>
          <w:bCs/>
          <w:sz w:val="26"/>
          <w:szCs w:val="26"/>
          <w:rtl/>
        </w:rPr>
        <w:t xml:space="preserve"> </w:t>
      </w:r>
    </w:p>
    <w:p w:rsidR="004C307F" w:rsidRPr="000E6C7F" w:rsidRDefault="004C307F" w:rsidP="000E6C7F">
      <w:pPr>
        <w:jc w:val="right"/>
        <w:rPr>
          <w:b/>
          <w:bCs/>
          <w:sz w:val="26"/>
          <w:szCs w:val="26"/>
          <w:rtl/>
        </w:rPr>
      </w:pPr>
    </w:p>
    <w:p w:rsidR="00694556" w:rsidRDefault="00694556">
      <w:pPr>
        <w:rPr>
          <w:rtl/>
        </w:rPr>
      </w:pPr>
    </w:p>
    <w:tbl>
      <w:tblPr>
        <w:tblStyle w:val="a9"/>
        <w:bidiVisual/>
        <w:tblW w:w="88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049"/>
        <w:gridCol w:w="50"/>
        <w:gridCol w:w="3721"/>
      </w:tblGrid>
      <w:tr w:rsidR="00694556">
        <w:trPr>
          <w:trHeight w:val="295"/>
          <w:jc w:val="center"/>
        </w:trPr>
        <w:tc>
          <w:tcPr>
            <w:tcW w:w="5049" w:type="dxa"/>
          </w:tcPr>
          <w:p w:rsidR="00694556" w:rsidRPr="000962C7" w:rsidRDefault="004C307F" w:rsidP="00C66797">
            <w:pPr>
              <w:spacing w:line="360" w:lineRule="auto"/>
              <w:rPr>
                <w:sz w:val="28"/>
                <w:szCs w:val="28"/>
                <w:rtl/>
              </w:rPr>
            </w:pPr>
            <w:r>
              <w:rPr>
                <w:rFonts w:ascii="Arial" w:hAnsi="Arial" w:hint="cs"/>
                <w:b/>
                <w:bCs/>
                <w:noProof w:val="0"/>
                <w:sz w:val="28"/>
                <w:szCs w:val="28"/>
                <w:rtl/>
              </w:rPr>
              <w:t>פלונית</w:t>
            </w:r>
          </w:p>
        </w:tc>
        <w:tc>
          <w:tcPr>
            <w:tcW w:w="3771" w:type="dxa"/>
            <w:gridSpan w:val="2"/>
          </w:tcPr>
          <w:p w:rsidR="00694556" w:rsidRPr="000962C7" w:rsidRDefault="000829DE" w:rsidP="00C66797">
            <w:pPr>
              <w:spacing w:before="40" w:after="40" w:line="360" w:lineRule="auto"/>
              <w:jc w:val="right"/>
              <w:rPr>
                <w:rFonts w:ascii="Arial" w:hAnsi="Arial"/>
                <w:b/>
                <w:bCs/>
                <w:noProof w:val="0"/>
                <w:sz w:val="28"/>
                <w:szCs w:val="28"/>
                <w:rtl/>
              </w:rPr>
            </w:pPr>
            <w:r w:rsidRPr="000962C7">
              <w:rPr>
                <w:rFonts w:ascii="Arial" w:hAnsi="Arial" w:hint="cs"/>
                <w:b/>
                <w:bCs/>
                <w:noProof w:val="0"/>
                <w:sz w:val="28"/>
                <w:szCs w:val="28"/>
                <w:u w:val="single"/>
                <w:rtl/>
              </w:rPr>
              <w:t>המ</w:t>
            </w:r>
            <w:r w:rsidR="004C307F">
              <w:rPr>
                <w:rFonts w:ascii="Arial" w:hAnsi="Arial" w:hint="cs"/>
                <w:b/>
                <w:bCs/>
                <w:noProof w:val="0"/>
                <w:sz w:val="28"/>
                <w:szCs w:val="28"/>
                <w:u w:val="single"/>
                <w:rtl/>
              </w:rPr>
              <w:t>בקש</w:t>
            </w:r>
            <w:r w:rsidRPr="000962C7">
              <w:rPr>
                <w:rFonts w:ascii="Arial" w:hAnsi="Arial" w:hint="cs"/>
                <w:b/>
                <w:bCs/>
                <w:noProof w:val="0"/>
                <w:sz w:val="28"/>
                <w:szCs w:val="28"/>
                <w:u w:val="single"/>
                <w:rtl/>
              </w:rPr>
              <w:t>ת</w:t>
            </w:r>
          </w:p>
        </w:tc>
      </w:tr>
      <w:tr w:rsidR="000829DE" w:rsidTr="00ED2475">
        <w:trPr>
          <w:jc w:val="center"/>
        </w:trPr>
        <w:tc>
          <w:tcPr>
            <w:tcW w:w="8820" w:type="dxa"/>
            <w:gridSpan w:val="3"/>
          </w:tcPr>
          <w:p w:rsidR="000829DE" w:rsidRPr="000962C7" w:rsidRDefault="00305FC5" w:rsidP="00C66797">
            <w:pPr>
              <w:spacing w:before="240" w:after="240" w:line="360" w:lineRule="auto"/>
              <w:rPr>
                <w:rFonts w:ascii="Arial" w:hAnsi="Arial"/>
                <w:b/>
                <w:bCs/>
                <w:sz w:val="28"/>
                <w:szCs w:val="28"/>
                <w:highlight w:val="yellow"/>
              </w:rPr>
            </w:pPr>
            <w:r>
              <w:rPr>
                <w:rFonts w:ascii="Arial" w:hAnsi="Arial" w:hint="cs"/>
                <w:b/>
                <w:bCs/>
                <w:sz w:val="28"/>
                <w:szCs w:val="28"/>
                <w:rtl/>
              </w:rPr>
              <w:t xml:space="preserve">                  </w:t>
            </w:r>
            <w:r w:rsidR="000829DE" w:rsidRPr="000962C7">
              <w:rPr>
                <w:rFonts w:ascii="Arial" w:hAnsi="Arial" w:hint="cs"/>
                <w:b/>
                <w:bCs/>
                <w:sz w:val="28"/>
                <w:szCs w:val="28"/>
                <w:rtl/>
              </w:rPr>
              <w:t>-</w:t>
            </w:r>
          </w:p>
        </w:tc>
      </w:tr>
      <w:tr w:rsidR="00694556" w:rsidTr="000829DE">
        <w:trPr>
          <w:jc w:val="center"/>
        </w:trPr>
        <w:tc>
          <w:tcPr>
            <w:tcW w:w="5099" w:type="dxa"/>
            <w:gridSpan w:val="2"/>
          </w:tcPr>
          <w:p w:rsidR="00694556" w:rsidRPr="000962C7" w:rsidRDefault="008C1924" w:rsidP="00C66797">
            <w:pPr>
              <w:spacing w:line="360" w:lineRule="auto"/>
              <w:rPr>
                <w:sz w:val="28"/>
                <w:szCs w:val="28"/>
              </w:rPr>
            </w:pPr>
            <w:sdt>
              <w:sdtPr>
                <w:rPr>
                  <w:rtl/>
                </w:rPr>
                <w:alias w:val="1486"/>
                <w:tag w:val="1486"/>
                <w:id w:val="-2053527123"/>
                <w:text w:multiLine="1"/>
              </w:sdtPr>
              <w:sdtEndPr/>
              <w:sdtContent>
                <w:r w:rsidR="003155CB">
                  <w:rPr>
                    <w:rFonts w:ascii="Arial" w:hAnsi="Arial"/>
                    <w:b/>
                    <w:bCs/>
                    <w:noProof w:val="0"/>
                    <w:sz w:val="28"/>
                    <w:szCs w:val="28"/>
                    <w:rtl/>
                  </w:rPr>
                  <w:t>המוסד לביטוח לאומי</w:t>
                </w:r>
              </w:sdtContent>
            </w:sdt>
          </w:p>
        </w:tc>
        <w:tc>
          <w:tcPr>
            <w:tcW w:w="3721" w:type="dxa"/>
          </w:tcPr>
          <w:p w:rsidR="000829DE" w:rsidRPr="000962C7" w:rsidRDefault="000829DE" w:rsidP="00C66797">
            <w:pPr>
              <w:spacing w:before="40" w:after="40" w:line="360" w:lineRule="auto"/>
              <w:jc w:val="right"/>
              <w:rPr>
                <w:rFonts w:ascii="Arial" w:hAnsi="Arial"/>
                <w:b/>
                <w:bCs/>
                <w:noProof w:val="0"/>
                <w:sz w:val="28"/>
                <w:szCs w:val="28"/>
                <w:u w:val="single"/>
              </w:rPr>
            </w:pPr>
            <w:r w:rsidRPr="000962C7">
              <w:rPr>
                <w:rFonts w:ascii="Arial" w:hAnsi="Arial" w:hint="cs"/>
                <w:b/>
                <w:bCs/>
                <w:noProof w:val="0"/>
                <w:sz w:val="28"/>
                <w:szCs w:val="28"/>
                <w:u w:val="single"/>
                <w:rtl/>
              </w:rPr>
              <w:t>המשיב</w:t>
            </w:r>
          </w:p>
          <w:p w:rsidR="00694556" w:rsidRPr="000962C7" w:rsidRDefault="00694556" w:rsidP="00C66797">
            <w:pPr>
              <w:spacing w:line="360" w:lineRule="auto"/>
              <w:jc w:val="right"/>
              <w:rPr>
                <w:b/>
                <w:bCs/>
                <w:noProof w:val="0"/>
                <w:sz w:val="28"/>
                <w:szCs w:val="28"/>
              </w:rPr>
            </w:pPr>
          </w:p>
        </w:tc>
      </w:tr>
    </w:tbl>
    <w:p w:rsidR="00EA1E45" w:rsidRDefault="00EA1E45" w:rsidP="00C66797">
      <w:pPr>
        <w:spacing w:line="360" w:lineRule="auto"/>
      </w:pPr>
    </w:p>
    <w:tbl>
      <w:tblPr>
        <w:tblStyle w:val="a9"/>
        <w:bidiVisual/>
        <w:tblW w:w="938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387"/>
      </w:tblGrid>
      <w:tr w:rsidR="004C307F" w:rsidTr="00EA1E45">
        <w:trPr>
          <w:jc w:val="center"/>
        </w:trPr>
        <w:tc>
          <w:tcPr>
            <w:tcW w:w="9387" w:type="dxa"/>
          </w:tcPr>
          <w:p w:rsidR="004C307F" w:rsidRDefault="004C307F" w:rsidP="00C66797">
            <w:pPr>
              <w:spacing w:before="40" w:after="40" w:line="360" w:lineRule="auto"/>
              <w:rPr>
                <w:b/>
                <w:bCs/>
                <w:sz w:val="28"/>
                <w:szCs w:val="28"/>
                <w:rtl/>
              </w:rPr>
            </w:pPr>
            <w:r>
              <w:rPr>
                <w:b/>
                <w:bCs/>
                <w:sz w:val="28"/>
                <w:szCs w:val="28"/>
                <w:rtl/>
              </w:rPr>
              <w:t>בפני: סגן הנשיאה אילן איטח, השופטת סיגל דוידוב מוטולה, השופטת חני אופק גנדלר</w:t>
            </w:r>
          </w:p>
        </w:tc>
      </w:tr>
    </w:tbl>
    <w:p w:rsidR="00694556" w:rsidRDefault="00694556" w:rsidP="00C66797">
      <w:pPr>
        <w:spacing w:line="360" w:lineRule="auto"/>
        <w:rPr>
          <w:rtl/>
        </w:rPr>
      </w:pPr>
    </w:p>
    <w:p w:rsidR="00EA1E45" w:rsidRPr="00EA1E45" w:rsidRDefault="00EA1E45" w:rsidP="00C66797">
      <w:pPr>
        <w:spacing w:line="360" w:lineRule="auto"/>
        <w:rPr>
          <w:rtl/>
        </w:rPr>
      </w:pPr>
    </w:p>
    <w:p w:rsidR="004C307F" w:rsidRDefault="004C307F" w:rsidP="00C66797">
      <w:pPr>
        <w:spacing w:line="360" w:lineRule="auto"/>
        <w:rPr>
          <w:b/>
          <w:bCs/>
          <w:sz w:val="28"/>
          <w:szCs w:val="28"/>
        </w:rPr>
      </w:pPr>
      <w:r>
        <w:rPr>
          <w:b/>
          <w:bCs/>
          <w:sz w:val="28"/>
          <w:szCs w:val="28"/>
          <w:rtl/>
        </w:rPr>
        <w:t xml:space="preserve">בשם המבקשת – המבקשת בעצמה   </w:t>
      </w:r>
    </w:p>
    <w:p w:rsidR="004C307F" w:rsidRDefault="004C307F" w:rsidP="00C66797">
      <w:pPr>
        <w:spacing w:line="360" w:lineRule="auto"/>
        <w:rPr>
          <w:b/>
          <w:bCs/>
          <w:sz w:val="28"/>
          <w:szCs w:val="28"/>
        </w:rPr>
      </w:pPr>
      <w:r>
        <w:rPr>
          <w:b/>
          <w:bCs/>
          <w:sz w:val="28"/>
          <w:szCs w:val="28"/>
          <w:rtl/>
        </w:rPr>
        <w:t xml:space="preserve">בשם המשיב – עו"ד יהודה הריס </w:t>
      </w:r>
    </w:p>
    <w:p w:rsidR="004C307F" w:rsidRPr="004C307F" w:rsidRDefault="004C307F"/>
    <w:p w:rsidR="00694556" w:rsidRDefault="00694556"/>
    <w:tbl>
      <w:tblPr>
        <w:tblStyle w:val="a9"/>
        <w:bidiVisual/>
        <w:tblW w:w="88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820"/>
      </w:tblGrid>
      <w:tr w:rsidR="00694556">
        <w:trPr>
          <w:jc w:val="center"/>
        </w:trPr>
        <w:tc>
          <w:tcPr>
            <w:tcW w:w="8820" w:type="dxa"/>
          </w:tcPr>
          <w:p w:rsidR="002944D2" w:rsidRDefault="00706BFA" w:rsidP="002944D2">
            <w:pPr>
              <w:jc w:val="center"/>
              <w:rPr>
                <w:rFonts w:ascii="Arial" w:hAnsi="Arial"/>
                <w:b/>
                <w:bCs/>
                <w:noProof w:val="0"/>
                <w:sz w:val="28"/>
                <w:szCs w:val="28"/>
                <w:u w:val="single"/>
                <w:rtl/>
              </w:rPr>
            </w:pPr>
            <w:r w:rsidRPr="001B72A4">
              <w:rPr>
                <w:rFonts w:ascii="Arial" w:hAnsi="Arial" w:hint="cs"/>
                <w:b/>
                <w:bCs/>
                <w:noProof w:val="0"/>
                <w:sz w:val="36"/>
                <w:szCs w:val="36"/>
                <w:u w:val="single"/>
                <w:rtl/>
              </w:rPr>
              <w:t>פסק דין</w:t>
            </w:r>
            <w:r w:rsidR="008415FA" w:rsidRPr="001B72A4">
              <w:rPr>
                <w:rFonts w:ascii="Arial" w:hAnsi="Arial" w:hint="cs"/>
                <w:b/>
                <w:bCs/>
                <w:noProof w:val="0"/>
                <w:sz w:val="36"/>
                <w:szCs w:val="36"/>
                <w:u w:val="single"/>
                <w:rtl/>
              </w:rPr>
              <w:t xml:space="preserve"> </w:t>
            </w:r>
          </w:p>
          <w:p w:rsidR="00694556" w:rsidRPr="000962C7" w:rsidRDefault="008415FA" w:rsidP="002944D2">
            <w:pPr>
              <w:jc w:val="center"/>
              <w:rPr>
                <w:rFonts w:ascii="Arial" w:hAnsi="Arial"/>
                <w:b/>
                <w:bCs/>
                <w:noProof w:val="0"/>
                <w:sz w:val="36"/>
                <w:szCs w:val="36"/>
                <w:u w:val="single"/>
                <w:rtl/>
              </w:rPr>
            </w:pPr>
            <w:r w:rsidRPr="001B72A4">
              <w:rPr>
                <w:rFonts w:ascii="Arial" w:hAnsi="Arial" w:hint="cs"/>
                <w:b/>
                <w:bCs/>
                <w:noProof w:val="0"/>
                <w:sz w:val="28"/>
                <w:szCs w:val="28"/>
                <w:u w:val="single"/>
                <w:rtl/>
              </w:rPr>
              <w:t xml:space="preserve">(נוסח מותר לפרסום לפי החלטה מיום </w:t>
            </w:r>
            <w:r w:rsidR="00EA1E45" w:rsidRPr="001B72A4">
              <w:rPr>
                <w:rFonts w:ascii="Arial" w:hAnsi="Arial" w:hint="cs"/>
                <w:b/>
                <w:bCs/>
                <w:noProof w:val="0"/>
                <w:sz w:val="28"/>
                <w:szCs w:val="28"/>
                <w:u w:val="single"/>
                <w:rtl/>
              </w:rPr>
              <w:t>1</w:t>
            </w:r>
            <w:r w:rsidR="001B72A4">
              <w:rPr>
                <w:rFonts w:ascii="Arial" w:hAnsi="Arial" w:hint="cs"/>
                <w:b/>
                <w:bCs/>
                <w:noProof w:val="0"/>
                <w:sz w:val="28"/>
                <w:szCs w:val="28"/>
                <w:u w:val="single"/>
                <w:rtl/>
              </w:rPr>
              <w:t>1</w:t>
            </w:r>
            <w:r w:rsidR="00EA1E45" w:rsidRPr="001B72A4">
              <w:rPr>
                <w:rFonts w:ascii="Arial" w:hAnsi="Arial" w:hint="cs"/>
                <w:b/>
                <w:bCs/>
                <w:noProof w:val="0"/>
                <w:sz w:val="28"/>
                <w:szCs w:val="28"/>
                <w:u w:val="single"/>
                <w:rtl/>
              </w:rPr>
              <w:t>.5.22</w:t>
            </w:r>
            <w:r w:rsidRPr="001B72A4">
              <w:rPr>
                <w:rFonts w:ascii="Arial" w:hAnsi="Arial" w:hint="cs"/>
                <w:b/>
                <w:bCs/>
                <w:noProof w:val="0"/>
                <w:sz w:val="28"/>
                <w:szCs w:val="28"/>
                <w:u w:val="single"/>
                <w:rtl/>
              </w:rPr>
              <w:t>)</w:t>
            </w:r>
            <w:r w:rsidR="002944D2">
              <w:rPr>
                <w:rFonts w:ascii="Arial" w:hAnsi="Arial" w:hint="cs"/>
                <w:b/>
                <w:bCs/>
                <w:noProof w:val="0"/>
                <w:sz w:val="28"/>
                <w:szCs w:val="28"/>
                <w:u w:val="single"/>
                <w:rtl/>
              </w:rPr>
              <w:t xml:space="preserve"> (מתוקן לפי החלטה מיום 25.5.22)</w:t>
            </w:r>
          </w:p>
        </w:tc>
      </w:tr>
    </w:tbl>
    <w:p w:rsidR="00694556" w:rsidRDefault="00694556">
      <w:pPr>
        <w:spacing w:line="360" w:lineRule="auto"/>
        <w:jc w:val="both"/>
        <w:rPr>
          <w:rFonts w:ascii="Arial" w:hAnsi="Arial"/>
          <w:noProof w:val="0"/>
          <w:rtl/>
        </w:rPr>
      </w:pPr>
    </w:p>
    <w:p w:rsidR="00EA1E45" w:rsidRDefault="00EA1E45" w:rsidP="002944D2">
      <w:pPr>
        <w:numPr>
          <w:ilvl w:val="0"/>
          <w:numId w:val="1"/>
        </w:numPr>
        <w:spacing w:line="360" w:lineRule="auto"/>
        <w:ind w:left="425" w:hanging="425"/>
        <w:contextualSpacing/>
        <w:jc w:val="both"/>
        <w:rPr>
          <w:sz w:val="28"/>
          <w:szCs w:val="28"/>
        </w:rPr>
      </w:pPr>
      <w:r>
        <w:rPr>
          <w:noProof w:val="0"/>
          <w:sz w:val="28"/>
          <w:szCs w:val="28"/>
          <w:rtl/>
        </w:rPr>
        <w:t>לפנינו בקשת רשות ערעור על פסק דינו של בית הדין האזורי ירושלים (השופטת שרה שדיאור; ב"ל</w:t>
      </w:r>
      <w:r w:rsidR="002944D2">
        <w:rPr>
          <w:rFonts w:hint="cs"/>
          <w:noProof w:val="0"/>
          <w:sz w:val="28"/>
          <w:szCs w:val="28"/>
          <w:rtl/>
        </w:rPr>
        <w:t xml:space="preserve"> </w:t>
      </w:r>
      <w:r w:rsidR="002944D2" w:rsidRPr="002944D2">
        <w:rPr>
          <w:rFonts w:hint="cs"/>
          <w:noProof w:val="0"/>
          <w:sz w:val="22"/>
          <w:szCs w:val="22"/>
        </w:rPr>
        <w:t>XXX</w:t>
      </w:r>
      <w:r>
        <w:rPr>
          <w:noProof w:val="0"/>
          <w:sz w:val="28"/>
          <w:szCs w:val="28"/>
          <w:rtl/>
        </w:rPr>
        <w:t xml:space="preserve">), שבו נדחה ערעור המבקשת על החלטת הוועדה הרפואית לעררים (נפגעי עבודה) (להלן - </w:t>
      </w:r>
      <w:r>
        <w:rPr>
          <w:b/>
          <w:bCs/>
          <w:noProof w:val="0"/>
          <w:sz w:val="28"/>
          <w:szCs w:val="28"/>
          <w:rtl/>
        </w:rPr>
        <w:t>הוועדה</w:t>
      </w:r>
      <w:r>
        <w:rPr>
          <w:noProof w:val="0"/>
          <w:sz w:val="28"/>
          <w:szCs w:val="28"/>
          <w:rtl/>
        </w:rPr>
        <w:t>) מיום 26.11.2020.</w:t>
      </w:r>
    </w:p>
    <w:p w:rsidR="00EA1E45" w:rsidRDefault="00EA1E45" w:rsidP="00EA1E45">
      <w:pPr>
        <w:numPr>
          <w:ilvl w:val="0"/>
          <w:numId w:val="1"/>
        </w:numPr>
        <w:spacing w:line="360" w:lineRule="auto"/>
        <w:ind w:left="425" w:hanging="425"/>
        <w:contextualSpacing/>
        <w:jc w:val="both"/>
        <w:rPr>
          <w:sz w:val="28"/>
          <w:szCs w:val="28"/>
        </w:rPr>
      </w:pPr>
      <w:r>
        <w:rPr>
          <w:noProof w:val="0"/>
          <w:sz w:val="28"/>
          <w:szCs w:val="28"/>
          <w:rtl/>
        </w:rPr>
        <w:t xml:space="preserve">לאחר שבחנו את כלל חומר התיק ואת טענות הצדדים לפנינו בכתב ובעל פה החלטנו ליתן רשות ערעור, ולדון בערעור לפי הרשות שניתנה, ולפיכך מעתה תכונה המבקשת המערערת. </w:t>
      </w:r>
    </w:p>
    <w:p w:rsidR="00EA1E45" w:rsidRDefault="00EA1E45" w:rsidP="00EA1E45">
      <w:pPr>
        <w:ind w:left="27"/>
        <w:jc w:val="both"/>
        <w:rPr>
          <w:noProof w:val="0"/>
          <w:sz w:val="28"/>
          <w:szCs w:val="28"/>
        </w:rPr>
      </w:pPr>
    </w:p>
    <w:p w:rsidR="00EA1E45" w:rsidRDefault="00EA1E45" w:rsidP="00EA1E45">
      <w:pPr>
        <w:spacing w:line="360" w:lineRule="auto"/>
        <w:ind w:left="27"/>
        <w:jc w:val="both"/>
        <w:rPr>
          <w:b/>
          <w:bCs/>
          <w:noProof w:val="0"/>
          <w:sz w:val="28"/>
          <w:szCs w:val="28"/>
          <w:u w:val="single"/>
        </w:rPr>
      </w:pPr>
      <w:r>
        <w:rPr>
          <w:b/>
          <w:bCs/>
          <w:noProof w:val="0"/>
          <w:sz w:val="28"/>
          <w:szCs w:val="28"/>
          <w:u w:val="single"/>
          <w:rtl/>
        </w:rPr>
        <w:t>רקע</w:t>
      </w:r>
    </w:p>
    <w:p w:rsidR="00EA1E45" w:rsidRDefault="00EA1E45" w:rsidP="002944D2">
      <w:pPr>
        <w:numPr>
          <w:ilvl w:val="0"/>
          <w:numId w:val="1"/>
        </w:numPr>
        <w:spacing w:line="360" w:lineRule="auto"/>
        <w:ind w:left="425" w:hanging="425"/>
        <w:contextualSpacing/>
        <w:jc w:val="both"/>
        <w:rPr>
          <w:rFonts w:ascii="Arial" w:hAnsi="Arial"/>
          <w:noProof w:val="0"/>
          <w:sz w:val="28"/>
          <w:szCs w:val="28"/>
          <w:rtl/>
        </w:rPr>
      </w:pPr>
      <w:r>
        <w:rPr>
          <w:noProof w:val="0"/>
          <w:sz w:val="28"/>
          <w:szCs w:val="28"/>
          <w:rtl/>
        </w:rPr>
        <w:t>כפי שנסקר</w:t>
      </w:r>
      <w:r w:rsidR="002944D2">
        <w:rPr>
          <w:noProof w:val="0"/>
          <w:sz w:val="28"/>
          <w:szCs w:val="28"/>
          <w:rtl/>
        </w:rPr>
        <w:t xml:space="preserve"> בהליך קודם הנוגע למבקשת (בר"ע </w:t>
      </w:r>
      <w:r w:rsidR="002944D2" w:rsidRPr="002944D2">
        <w:rPr>
          <w:rFonts w:hint="cs"/>
          <w:noProof w:val="0"/>
          <w:sz w:val="22"/>
          <w:szCs w:val="22"/>
        </w:rPr>
        <w:t>XXX</w:t>
      </w:r>
      <w:r>
        <w:rPr>
          <w:noProof w:val="0"/>
          <w:sz w:val="28"/>
          <w:szCs w:val="28"/>
          <w:rtl/>
        </w:rPr>
        <w:t xml:space="preserve">), </w:t>
      </w:r>
      <w:r>
        <w:rPr>
          <w:rFonts w:ascii="Arial" w:hAnsi="Arial"/>
          <w:noProof w:val="0"/>
          <w:sz w:val="28"/>
          <w:szCs w:val="28"/>
          <w:rtl/>
        </w:rPr>
        <w:t xml:space="preserve">המערערת הוכרה כמי שנפגעה בעבודה בעקבות אירוע מיום 14.6.01. ההכרה ניתנה במסגרת פסק דינו של בית הדין האזורי ירושלים (הנשיאה דיתה פרוז'ינין ונציג הציבור מר קלינר; ב"ל </w:t>
      </w:r>
      <w:r w:rsidR="002944D2" w:rsidRPr="002944D2">
        <w:rPr>
          <w:rFonts w:hint="cs"/>
          <w:noProof w:val="0"/>
          <w:sz w:val="22"/>
          <w:szCs w:val="22"/>
        </w:rPr>
        <w:t>XXX</w:t>
      </w:r>
      <w:r>
        <w:rPr>
          <w:rFonts w:ascii="Arial" w:hAnsi="Arial"/>
          <w:noProof w:val="0"/>
          <w:sz w:val="28"/>
          <w:szCs w:val="28"/>
          <w:rtl/>
        </w:rPr>
        <w:t>) מיום 21.6.10 שבו ניתן תוקף להודעת המוסד מיום 21.4.10 לפיה "</w:t>
      </w:r>
      <w:r>
        <w:rPr>
          <w:rFonts w:ascii="Arial" w:hAnsi="Arial"/>
          <w:b/>
          <w:bCs/>
          <w:noProof w:val="0"/>
          <w:sz w:val="28"/>
          <w:szCs w:val="28"/>
          <w:rtl/>
        </w:rPr>
        <w:t xml:space="preserve">תוכר </w:t>
      </w:r>
      <w:r>
        <w:rPr>
          <w:rFonts w:ascii="Arial" w:hAnsi="Arial"/>
          <w:b/>
          <w:bCs/>
          <w:noProof w:val="0"/>
          <w:sz w:val="28"/>
          <w:szCs w:val="28"/>
          <w:rtl/>
        </w:rPr>
        <w:lastRenderedPageBreak/>
        <w:t>התובעת עקרונית כמי שנפגעה ב'אירוע תאונתי' בעבודה, אשר גרם להחמרה זמנית במצבה הנפשי</w:t>
      </w:r>
      <w:r>
        <w:rPr>
          <w:rFonts w:ascii="Arial" w:hAnsi="Arial"/>
          <w:noProof w:val="0"/>
          <w:sz w:val="28"/>
          <w:szCs w:val="28"/>
          <w:rtl/>
        </w:rPr>
        <w:t>".</w:t>
      </w:r>
    </w:p>
    <w:p w:rsidR="00EA1E45" w:rsidRDefault="00EA1E45" w:rsidP="002944D2">
      <w:pPr>
        <w:numPr>
          <w:ilvl w:val="0"/>
          <w:numId w:val="1"/>
        </w:numPr>
        <w:spacing w:line="360" w:lineRule="auto"/>
        <w:ind w:left="425" w:hanging="425"/>
        <w:contextualSpacing/>
        <w:jc w:val="both"/>
        <w:rPr>
          <w:rFonts w:ascii="Arial" w:hAnsi="Arial"/>
          <w:noProof w:val="0"/>
          <w:sz w:val="28"/>
          <w:szCs w:val="28"/>
        </w:rPr>
      </w:pPr>
      <w:r>
        <w:rPr>
          <w:rFonts w:ascii="Arial" w:hAnsi="Arial"/>
          <w:noProof w:val="0"/>
          <w:sz w:val="28"/>
          <w:szCs w:val="28"/>
          <w:rtl/>
        </w:rPr>
        <w:t xml:space="preserve">לאחר מספר הליכים הנוגעים להחלטות קודמות של הוועדה בהרכבה הקודם נקבע בפסק הדין מיום 19.1.16 (השופטת שרה שדיאור; ב"ל </w:t>
      </w:r>
      <w:r w:rsidR="002944D2" w:rsidRPr="002944D2">
        <w:rPr>
          <w:rFonts w:hint="cs"/>
          <w:noProof w:val="0"/>
          <w:sz w:val="22"/>
          <w:szCs w:val="22"/>
        </w:rPr>
        <w:t>XXX</w:t>
      </w:r>
      <w:r>
        <w:rPr>
          <w:rFonts w:ascii="Arial" w:hAnsi="Arial"/>
          <w:noProof w:val="0"/>
          <w:sz w:val="28"/>
          <w:szCs w:val="28"/>
          <w:rtl/>
        </w:rPr>
        <w:t xml:space="preserve">) (להלן – </w:t>
      </w:r>
      <w:r>
        <w:rPr>
          <w:rFonts w:ascii="Arial" w:hAnsi="Arial"/>
          <w:b/>
          <w:bCs/>
          <w:noProof w:val="0"/>
          <w:sz w:val="28"/>
          <w:szCs w:val="28"/>
          <w:rtl/>
        </w:rPr>
        <w:t>פסק הדין הראשון</w:t>
      </w:r>
      <w:r>
        <w:rPr>
          <w:rFonts w:ascii="Arial" w:hAnsi="Arial"/>
          <w:noProof w:val="0"/>
          <w:sz w:val="28"/>
          <w:szCs w:val="28"/>
          <w:rtl/>
        </w:rPr>
        <w:t xml:space="preserve">) כי עניינה של המערערת יובא לוועדה </w:t>
      </w:r>
      <w:r>
        <w:rPr>
          <w:rFonts w:ascii="Arial" w:hAnsi="Arial"/>
          <w:noProof w:val="0"/>
          <w:sz w:val="28"/>
          <w:szCs w:val="28"/>
          <w:u w:val="single"/>
          <w:rtl/>
        </w:rPr>
        <w:t>בהרכב חדש</w:t>
      </w:r>
      <w:r>
        <w:rPr>
          <w:rFonts w:ascii="Arial" w:hAnsi="Arial"/>
          <w:noProof w:val="0"/>
          <w:sz w:val="28"/>
          <w:szCs w:val="28"/>
          <w:rtl/>
        </w:rPr>
        <w:t xml:space="preserve">. כן נקבע כי הוועדה בהרכבה החדש תתייחס לשאלות שהופנו אליה, בין היתר, בנוגע לקשר הסיבתי שבין התאונה בעבודה לבין מצבה הנפשי של המערערת, מחלת </w:t>
      </w:r>
      <w:r>
        <w:rPr>
          <w:rFonts w:cs="Times New Roman"/>
          <w:noProof w:val="0"/>
        </w:rPr>
        <w:t>FMF</w:t>
      </w:r>
      <w:r>
        <w:rPr>
          <w:rFonts w:ascii="Arial" w:hAnsi="Arial"/>
          <w:noProof w:val="0"/>
          <w:sz w:val="28"/>
          <w:szCs w:val="28"/>
          <w:rtl/>
        </w:rPr>
        <w:t xml:space="preserve">, </w:t>
      </w:r>
      <w:r>
        <w:rPr>
          <w:rFonts w:cs="Times New Roman"/>
          <w:noProof w:val="0"/>
        </w:rPr>
        <w:t>SUPPURATIVA</w:t>
      </w:r>
      <w:r>
        <w:rPr>
          <w:rFonts w:cs="Times New Roman"/>
          <w:b/>
          <w:bCs/>
          <w:noProof w:val="0"/>
          <w:sz w:val="20"/>
          <w:szCs w:val="20"/>
        </w:rPr>
        <w:t xml:space="preserve"> </w:t>
      </w:r>
      <w:r>
        <w:rPr>
          <w:rFonts w:cs="Times New Roman"/>
          <w:noProof w:val="0"/>
        </w:rPr>
        <w:t>HYDRADENITIS</w:t>
      </w:r>
      <w:r>
        <w:rPr>
          <w:rFonts w:ascii="Arial" w:hAnsi="Arial"/>
          <w:noProof w:val="0"/>
          <w:sz w:val="28"/>
          <w:szCs w:val="28"/>
          <w:rtl/>
        </w:rPr>
        <w:t xml:space="preserve"> ומורסות. </w:t>
      </w:r>
    </w:p>
    <w:p w:rsidR="00EA1E45" w:rsidRDefault="00EA1E45" w:rsidP="00EA1E45">
      <w:pPr>
        <w:numPr>
          <w:ilvl w:val="0"/>
          <w:numId w:val="1"/>
        </w:numPr>
        <w:spacing w:line="360" w:lineRule="auto"/>
        <w:ind w:left="425" w:hanging="425"/>
        <w:contextualSpacing/>
        <w:jc w:val="both"/>
        <w:rPr>
          <w:rFonts w:ascii="Arial" w:hAnsi="Arial"/>
          <w:noProof w:val="0"/>
          <w:sz w:val="28"/>
          <w:szCs w:val="28"/>
        </w:rPr>
      </w:pPr>
      <w:r>
        <w:rPr>
          <w:rFonts w:ascii="Arial" w:hAnsi="Arial"/>
          <w:noProof w:val="0"/>
          <w:sz w:val="28"/>
          <w:szCs w:val="28"/>
          <w:rtl/>
        </w:rPr>
        <w:t>אחר פסק הדין הראשון התכנסה הוועדה ביום 9.6.16 בהרכבה החדש שכלל פסיכיאטרית - ד"ר מעינית סיגלר, פנימאי - ד"ר זאב שטגר, ומומחה עיניים - ד"ר יהודה וייס. בפני הוועדה הופיעו המערערת, בא כוחה דאז ופרופ' הנדזל. הוועדה סיכמה את מסקנותיה כך:</w:t>
      </w:r>
    </w:p>
    <w:p w:rsidR="00EA1E45" w:rsidRDefault="00EA1E45" w:rsidP="00EA1E45">
      <w:pPr>
        <w:ind w:left="850" w:right="426"/>
        <w:contextualSpacing/>
        <w:jc w:val="both"/>
        <w:rPr>
          <w:rFonts w:ascii="David" w:hAnsi="David"/>
          <w:b/>
          <w:bCs/>
          <w:noProof w:val="0"/>
          <w:sz w:val="26"/>
          <w:szCs w:val="26"/>
        </w:rPr>
      </w:pPr>
      <w:r>
        <w:rPr>
          <w:rFonts w:ascii="David" w:hAnsi="David"/>
          <w:b/>
          <w:bCs/>
          <w:noProof w:val="0"/>
          <w:sz w:val="26"/>
          <w:szCs w:val="26"/>
          <w:rtl/>
        </w:rPr>
        <w:t>"מבחינה פנימית הועדה קובעת שהתובעת סבלה מ-</w:t>
      </w:r>
      <w:r>
        <w:rPr>
          <w:rFonts w:cs="Times New Roman"/>
          <w:b/>
          <w:bCs/>
          <w:noProof w:val="0"/>
          <w:sz w:val="20"/>
          <w:szCs w:val="20"/>
        </w:rPr>
        <w:t>FMF</w:t>
      </w:r>
      <w:r>
        <w:rPr>
          <w:rFonts w:ascii="David" w:hAnsi="David"/>
          <w:b/>
          <w:bCs/>
          <w:noProof w:val="0"/>
          <w:sz w:val="26"/>
          <w:szCs w:val="26"/>
          <w:rtl/>
        </w:rPr>
        <w:t xml:space="preserve"> טרם התאונה הנדונה. ההחמרה עליה מספרת התובעת אירעה תקופה ארוכה (מספר שנים) לאחר התאונה הנדונה. עוצמת ההחמרה במידה וישנה אינה מקנה נכות בגין החמרה של מחלתה ועל כן הועדה אינה קובעת נכות נפרדת בשל בעיה זו.</w:t>
      </w:r>
    </w:p>
    <w:p w:rsidR="00EA1E45" w:rsidRDefault="00EA1E45" w:rsidP="00EA1E45">
      <w:pPr>
        <w:ind w:left="850" w:right="426"/>
        <w:contextualSpacing/>
        <w:jc w:val="both"/>
        <w:rPr>
          <w:rFonts w:ascii="David" w:hAnsi="David"/>
          <w:b/>
          <w:bCs/>
          <w:noProof w:val="0"/>
          <w:sz w:val="16"/>
          <w:szCs w:val="16"/>
          <w:rtl/>
        </w:rPr>
      </w:pPr>
    </w:p>
    <w:p w:rsidR="00EA1E45" w:rsidRDefault="00EA1E45" w:rsidP="00EA1E45">
      <w:pPr>
        <w:ind w:left="850" w:right="426"/>
        <w:contextualSpacing/>
        <w:jc w:val="both"/>
        <w:rPr>
          <w:rFonts w:ascii="David" w:hAnsi="David"/>
          <w:b/>
          <w:bCs/>
          <w:noProof w:val="0"/>
          <w:sz w:val="26"/>
          <w:szCs w:val="26"/>
          <w:rtl/>
        </w:rPr>
      </w:pPr>
      <w:r>
        <w:rPr>
          <w:rFonts w:ascii="David" w:hAnsi="David"/>
          <w:b/>
          <w:bCs/>
          <w:noProof w:val="0"/>
          <w:sz w:val="26"/>
          <w:szCs w:val="26"/>
          <w:rtl/>
        </w:rPr>
        <w:t>בנוגע לזיהומים החוזרים הועדה קראה את חוו"ד של פרופ' הנדזל, שמעה את עמדתו שהזיהומים החוזרים נובעים מהשפעת המתח והחרדה על התפקוד האימונולוגי. בבדיקות אימונולוגיות שבצעה ב-21.8.12 בבית חולים מאיר לא נמצא הפרעה אימונולוגית בתפקוד הנויטרופילים של התובעת. לדעת הועדה קשה לקבוע בוודאות שאכן המתח הנפשי והתסמונת ה-</w:t>
      </w:r>
      <w:r>
        <w:rPr>
          <w:rFonts w:cs="Times New Roman"/>
          <w:b/>
          <w:bCs/>
          <w:noProof w:val="0"/>
          <w:sz w:val="20"/>
          <w:szCs w:val="20"/>
        </w:rPr>
        <w:t>PTSD</w:t>
      </w:r>
      <w:r>
        <w:rPr>
          <w:rFonts w:ascii="David" w:hAnsi="David"/>
          <w:b/>
          <w:bCs/>
          <w:noProof w:val="0"/>
          <w:sz w:val="26"/>
          <w:szCs w:val="26"/>
          <w:rtl/>
        </w:rPr>
        <w:t xml:space="preserve"> פגמו בתפקוד המערכת האימונולוגית. הוועדה מוצאת לציין שלמרות שפרופ' הנדזל מצטט מהסיפרות הפרעות שונות בתפקוד המערכת החיסונית המיוחסת למתח וחרדה הפרעות אלו לא נבדקו אצל התובעת. יחד עם זאת הועדה אינה יכולה להתעלם מהסיפור הקליני שאירועים אלו החלו לאחר התאונה ומהקשר בין עוצמת התלונות והזיהומים למצבה הנפשי ועל כן הועדה מקבלת את הקשר האפשרי בין הזיהומים החוזרים לתאונה הנדונה ומציינת במכתב של ד"ר וולד דוד מ-23.6.03 נרשם כי פנתה לראשונה לטיפול פסיכיאטרי ב-1/02 עם מיגוון סימפטומים גופניים שפרצו לאחר משבר עם יחסיה עם מעבידה ופיטוריה מהעבודה. בחוו"ד של ד"ר וולד מ-11.1.04 מצוין גם כן שהתופעות הדלקתיות הקשות הן ביטוי פיזיולוגי למצוקתה הנפשית. לאור זאת הועדה קובעת שנכותה בגין הזיהומים החוזרים (הגם שלא הוכח בוודאות שקשורים לטראומה) תכלל בנכותה הנפשית וזאת על סמך דבריו של פרופ' הנדזל והתובעת שיש קשר ברור בין עוצמת התלונות למצבה הנפשי.</w:t>
      </w:r>
    </w:p>
    <w:p w:rsidR="00EA1E45" w:rsidRDefault="00EA1E45" w:rsidP="00EA1E45">
      <w:pPr>
        <w:ind w:left="850" w:right="426"/>
        <w:contextualSpacing/>
        <w:jc w:val="both"/>
        <w:rPr>
          <w:rFonts w:ascii="David" w:hAnsi="David"/>
          <w:b/>
          <w:bCs/>
          <w:noProof w:val="0"/>
          <w:sz w:val="16"/>
          <w:szCs w:val="16"/>
        </w:rPr>
      </w:pPr>
    </w:p>
    <w:p w:rsidR="00EA1E45" w:rsidRDefault="00EA1E45" w:rsidP="00EA1E45">
      <w:pPr>
        <w:ind w:left="850" w:right="426"/>
        <w:contextualSpacing/>
        <w:jc w:val="both"/>
        <w:rPr>
          <w:rFonts w:ascii="David" w:hAnsi="David"/>
          <w:b/>
          <w:bCs/>
          <w:noProof w:val="0"/>
          <w:sz w:val="26"/>
          <w:szCs w:val="26"/>
          <w:rtl/>
        </w:rPr>
      </w:pPr>
      <w:r>
        <w:rPr>
          <w:rFonts w:ascii="David" w:hAnsi="David"/>
          <w:b/>
          <w:bCs/>
          <w:noProof w:val="0"/>
          <w:sz w:val="26"/>
          <w:szCs w:val="26"/>
          <w:rtl/>
        </w:rPr>
        <w:t>מבחינה נפשית הועדה מקבלת את ערער התובעת וקובעת כי נכות בשיעור 40% לפי סעיף 34(ב) בין 4 5-5 מותאם מאחר ומדובר בתובעת הסובלת מ-</w:t>
      </w:r>
      <w:r>
        <w:rPr>
          <w:rFonts w:cs="Times New Roman"/>
          <w:b/>
          <w:bCs/>
          <w:noProof w:val="0"/>
          <w:sz w:val="20"/>
          <w:szCs w:val="20"/>
        </w:rPr>
        <w:t>PTSD</w:t>
      </w:r>
      <w:r>
        <w:rPr>
          <w:rFonts w:ascii="David" w:hAnsi="David"/>
          <w:b/>
          <w:bCs/>
          <w:noProof w:val="0"/>
          <w:sz w:val="26"/>
          <w:szCs w:val="26"/>
          <w:rtl/>
        </w:rPr>
        <w:t xml:space="preserve"> עם סימנים קליניים בחומרה בינונית עד קשה הכוללים כפי שרושם ד"ר וולד במכתבו מ-1.6.03 'סימפטומים פסיכוסומטיים שונים ומשונים דלקות חוזרת בלתי מוסברות במפשעה הפרעות קשות במחזור החודשי יובש ושינויים בלשון תיקים בעיניים וטשטוש ראיה רעד בידיים ועייפת כרונית קשה'.</w:t>
      </w:r>
    </w:p>
    <w:p w:rsidR="00EA1E45" w:rsidRDefault="00EA1E45" w:rsidP="00EA1E45">
      <w:pPr>
        <w:ind w:left="850" w:right="426"/>
        <w:contextualSpacing/>
        <w:jc w:val="both"/>
        <w:rPr>
          <w:rFonts w:ascii="David" w:hAnsi="David"/>
          <w:b/>
          <w:bCs/>
          <w:noProof w:val="0"/>
          <w:sz w:val="16"/>
          <w:szCs w:val="16"/>
          <w:rtl/>
        </w:rPr>
      </w:pPr>
    </w:p>
    <w:p w:rsidR="00C66797" w:rsidRDefault="00C66797" w:rsidP="00EA1E45">
      <w:pPr>
        <w:ind w:left="850" w:right="426"/>
        <w:contextualSpacing/>
        <w:jc w:val="both"/>
        <w:rPr>
          <w:rFonts w:ascii="David" w:hAnsi="David"/>
          <w:b/>
          <w:bCs/>
          <w:noProof w:val="0"/>
          <w:sz w:val="26"/>
          <w:szCs w:val="26"/>
          <w:rtl/>
        </w:rPr>
      </w:pPr>
    </w:p>
    <w:p w:rsidR="00C66797" w:rsidRDefault="00C66797" w:rsidP="00EA1E45">
      <w:pPr>
        <w:ind w:left="850" w:right="426"/>
        <w:contextualSpacing/>
        <w:jc w:val="both"/>
        <w:rPr>
          <w:rFonts w:ascii="David" w:hAnsi="David"/>
          <w:b/>
          <w:bCs/>
          <w:noProof w:val="0"/>
          <w:sz w:val="26"/>
          <w:szCs w:val="26"/>
          <w:rtl/>
        </w:rPr>
      </w:pPr>
    </w:p>
    <w:p w:rsidR="00EA1E45" w:rsidRDefault="00EA1E45" w:rsidP="00EA1E45">
      <w:pPr>
        <w:ind w:left="850" w:right="426"/>
        <w:contextualSpacing/>
        <w:jc w:val="both"/>
        <w:rPr>
          <w:rFonts w:ascii="David" w:hAnsi="David"/>
          <w:b/>
          <w:bCs/>
          <w:noProof w:val="0"/>
          <w:sz w:val="26"/>
          <w:szCs w:val="26"/>
          <w:rtl/>
        </w:rPr>
      </w:pPr>
      <w:r>
        <w:rPr>
          <w:rFonts w:ascii="David" w:hAnsi="David"/>
          <w:b/>
          <w:bCs/>
          <w:noProof w:val="0"/>
          <w:sz w:val="26"/>
          <w:szCs w:val="26"/>
          <w:rtl/>
        </w:rPr>
        <w:t xml:space="preserve">בבדיקה הקלינית של הועדה לא היה עדות למצב דיכאוני. ולכן מצבה אינו מתאים לסעיף ליקוי 34א 4 או 5 אלא לסעיף 34ב הניתן בגין </w:t>
      </w:r>
      <w:r>
        <w:rPr>
          <w:rFonts w:cs="Times New Roman"/>
          <w:b/>
          <w:bCs/>
          <w:noProof w:val="0"/>
          <w:sz w:val="20"/>
          <w:szCs w:val="20"/>
        </w:rPr>
        <w:t>PTSD</w:t>
      </w:r>
      <w:r>
        <w:rPr>
          <w:rFonts w:ascii="David" w:hAnsi="David"/>
          <w:b/>
          <w:bCs/>
          <w:noProof w:val="0"/>
          <w:sz w:val="26"/>
          <w:szCs w:val="26"/>
          <w:rtl/>
        </w:rPr>
        <w:t>.</w:t>
      </w:r>
    </w:p>
    <w:p w:rsidR="00EA1E45" w:rsidRDefault="00EA1E45" w:rsidP="00EA1E45">
      <w:pPr>
        <w:ind w:left="850" w:right="426"/>
        <w:contextualSpacing/>
        <w:jc w:val="both"/>
        <w:rPr>
          <w:rFonts w:ascii="David" w:hAnsi="David"/>
          <w:b/>
          <w:bCs/>
          <w:noProof w:val="0"/>
          <w:sz w:val="16"/>
          <w:szCs w:val="16"/>
          <w:rtl/>
        </w:rPr>
      </w:pPr>
    </w:p>
    <w:p w:rsidR="00EA1E45" w:rsidRDefault="00EA1E45" w:rsidP="00EA1E45">
      <w:pPr>
        <w:ind w:left="850" w:right="426"/>
        <w:contextualSpacing/>
        <w:jc w:val="both"/>
        <w:rPr>
          <w:rFonts w:ascii="David" w:hAnsi="David"/>
          <w:b/>
          <w:bCs/>
          <w:noProof w:val="0"/>
          <w:sz w:val="26"/>
          <w:szCs w:val="26"/>
          <w:rtl/>
        </w:rPr>
      </w:pPr>
      <w:r>
        <w:rPr>
          <w:rFonts w:ascii="David" w:hAnsi="David"/>
          <w:b/>
          <w:bCs/>
          <w:noProof w:val="0"/>
          <w:sz w:val="26"/>
          <w:szCs w:val="26"/>
          <w:rtl/>
        </w:rPr>
        <w:t xml:space="preserve">הועדה אינה מקבלת את חוו"ד של ד"ר וולד בנוגע לגובה הנכות מפני שלא חלה פגיעה קשה בתפקוד התעסוקתי והתובעת עובדת כיום באופן חלקי ואינה נמצאת במעקב פסיכיאטרי סדור מאז 2013. </w:t>
      </w:r>
    </w:p>
    <w:p w:rsidR="00EA1E45" w:rsidRDefault="00EA1E45" w:rsidP="00EA1E45">
      <w:pPr>
        <w:ind w:left="850" w:right="426"/>
        <w:contextualSpacing/>
        <w:jc w:val="both"/>
        <w:rPr>
          <w:rFonts w:ascii="David" w:hAnsi="David"/>
          <w:b/>
          <w:bCs/>
          <w:noProof w:val="0"/>
          <w:sz w:val="16"/>
          <w:szCs w:val="16"/>
          <w:rtl/>
        </w:rPr>
      </w:pPr>
    </w:p>
    <w:p w:rsidR="00EA1E45" w:rsidRDefault="00EA1E45" w:rsidP="00EA1E45">
      <w:pPr>
        <w:ind w:left="850" w:right="426"/>
        <w:contextualSpacing/>
        <w:jc w:val="both"/>
        <w:rPr>
          <w:rFonts w:ascii="David" w:hAnsi="David"/>
          <w:noProof w:val="0"/>
          <w:sz w:val="26"/>
          <w:szCs w:val="26"/>
          <w:rtl/>
        </w:rPr>
      </w:pPr>
      <w:r>
        <w:rPr>
          <w:rFonts w:ascii="David" w:hAnsi="David"/>
          <w:b/>
          <w:bCs/>
          <w:noProof w:val="0"/>
          <w:sz w:val="26"/>
          <w:szCs w:val="26"/>
          <w:rtl/>
        </w:rPr>
        <w:t>הועדה מקבלת את אבחנותיו של ד"ר וולד כי מדובר ב-</w:t>
      </w:r>
      <w:r>
        <w:rPr>
          <w:rFonts w:cs="Times New Roman"/>
          <w:b/>
          <w:bCs/>
          <w:noProof w:val="0"/>
          <w:sz w:val="20"/>
          <w:szCs w:val="20"/>
        </w:rPr>
        <w:t>PTSD</w:t>
      </w:r>
      <w:r>
        <w:rPr>
          <w:rFonts w:ascii="David" w:hAnsi="David"/>
          <w:b/>
          <w:bCs/>
          <w:noProof w:val="0"/>
          <w:sz w:val="26"/>
          <w:szCs w:val="26"/>
          <w:rtl/>
        </w:rPr>
        <w:t xml:space="preserve"> מלווה בתסמינים פסיכומטיים שהינם חלק מה-</w:t>
      </w:r>
      <w:r>
        <w:rPr>
          <w:rFonts w:cs="Times New Roman"/>
          <w:b/>
          <w:bCs/>
          <w:noProof w:val="0"/>
          <w:sz w:val="20"/>
          <w:szCs w:val="20"/>
        </w:rPr>
        <w:t>PTSD</w:t>
      </w:r>
      <w:r>
        <w:rPr>
          <w:rFonts w:ascii="David" w:hAnsi="David"/>
          <w:b/>
          <w:bCs/>
          <w:noProof w:val="0"/>
          <w:sz w:val="26"/>
          <w:szCs w:val="26"/>
          <w:rtl/>
        </w:rPr>
        <w:t xml:space="preserve">. לקביעה זו שותף גם פרופ' הנדזל שקבע שתסמיניה קשורים ונובעים מה </w:t>
      </w:r>
      <w:r>
        <w:rPr>
          <w:rFonts w:cs="Times New Roman"/>
          <w:b/>
          <w:bCs/>
          <w:noProof w:val="0"/>
          <w:sz w:val="20"/>
          <w:szCs w:val="20"/>
        </w:rPr>
        <w:t>PTSD</w:t>
      </w:r>
      <w:r>
        <w:rPr>
          <w:rFonts w:ascii="David" w:hAnsi="David"/>
          <w:b/>
          <w:bCs/>
          <w:noProof w:val="0"/>
          <w:sz w:val="26"/>
          <w:szCs w:val="26"/>
          <w:rtl/>
        </w:rPr>
        <w:t xml:space="preserve"> ולכן הועדה הגדילה את הנכות הפסיכאטרית שלה ואינה מוצאת כל מקום לקביעת נכות נפרדות אחרות."</w:t>
      </w:r>
      <w:r>
        <w:rPr>
          <w:rFonts w:ascii="David" w:hAnsi="David"/>
          <w:noProof w:val="0"/>
          <w:sz w:val="26"/>
          <w:szCs w:val="26"/>
          <w:rtl/>
        </w:rPr>
        <w:t xml:space="preserve"> </w:t>
      </w:r>
    </w:p>
    <w:p w:rsidR="00EA1E45" w:rsidRDefault="00EA1E45" w:rsidP="00EA1E45">
      <w:pPr>
        <w:spacing w:line="360" w:lineRule="auto"/>
        <w:ind w:left="850" w:right="426"/>
        <w:contextualSpacing/>
        <w:jc w:val="both"/>
        <w:rPr>
          <w:rFonts w:ascii="David" w:hAnsi="David"/>
          <w:noProof w:val="0"/>
          <w:sz w:val="26"/>
          <w:szCs w:val="26"/>
          <w:rtl/>
        </w:rPr>
      </w:pPr>
    </w:p>
    <w:p w:rsidR="00EA1E45" w:rsidRDefault="00EA1E45" w:rsidP="00EA1E45">
      <w:pPr>
        <w:spacing w:line="360" w:lineRule="auto"/>
        <w:ind w:left="425"/>
        <w:contextualSpacing/>
        <w:jc w:val="both"/>
        <w:rPr>
          <w:rFonts w:ascii="Arial" w:hAnsi="Arial"/>
          <w:noProof w:val="0"/>
          <w:sz w:val="28"/>
          <w:szCs w:val="28"/>
          <w:rtl/>
        </w:rPr>
      </w:pPr>
      <w:r>
        <w:rPr>
          <w:rFonts w:ascii="Arial" w:hAnsi="Arial"/>
          <w:noProof w:val="0"/>
          <w:sz w:val="28"/>
          <w:szCs w:val="28"/>
          <w:rtl/>
        </w:rPr>
        <w:t>באשר לתקנה 15 קבעה הוועדה כי "</w:t>
      </w:r>
      <w:r>
        <w:rPr>
          <w:rFonts w:ascii="Arial" w:hAnsi="Arial"/>
          <w:b/>
          <w:bCs/>
          <w:noProof w:val="0"/>
          <w:sz w:val="28"/>
          <w:szCs w:val="28"/>
          <w:rtl/>
        </w:rPr>
        <w:t>מצבה אינו מאפשר לה לעבוד לכן יש מקום להפעילה תקנה 15 במלואה</w:t>
      </w:r>
      <w:r>
        <w:rPr>
          <w:rFonts w:ascii="Arial" w:hAnsi="Arial"/>
          <w:noProof w:val="0"/>
          <w:sz w:val="28"/>
          <w:szCs w:val="28"/>
          <w:rtl/>
        </w:rPr>
        <w:t>".</w:t>
      </w:r>
    </w:p>
    <w:p w:rsidR="00EA1E45" w:rsidRDefault="00EA1E45" w:rsidP="00EA1E45">
      <w:pPr>
        <w:spacing w:line="360" w:lineRule="auto"/>
        <w:ind w:left="425"/>
        <w:contextualSpacing/>
        <w:jc w:val="both"/>
        <w:rPr>
          <w:rFonts w:ascii="Arial" w:hAnsi="Arial"/>
          <w:noProof w:val="0"/>
          <w:sz w:val="28"/>
          <w:szCs w:val="28"/>
          <w:rtl/>
        </w:rPr>
      </w:pPr>
      <w:r>
        <w:rPr>
          <w:rFonts w:ascii="Arial" w:hAnsi="Arial"/>
          <w:noProof w:val="0"/>
          <w:sz w:val="28"/>
          <w:szCs w:val="28"/>
          <w:rtl/>
        </w:rPr>
        <w:t>לאור המקובץ, למבקשת נקבעה נכות רפואית בשיעור 40% לפי פריט 34ב(4-5), ולאחר הגדלה הנכות לפי תקנה 15, נקבעה למבקשת נכות רפואית משוקללת בשיעור 60%.</w:t>
      </w:r>
    </w:p>
    <w:p w:rsidR="00EA1E45" w:rsidRDefault="00EA1E45" w:rsidP="002944D2">
      <w:pPr>
        <w:numPr>
          <w:ilvl w:val="0"/>
          <w:numId w:val="1"/>
        </w:numPr>
        <w:spacing w:line="360" w:lineRule="auto"/>
        <w:ind w:left="425" w:hanging="425"/>
        <w:contextualSpacing/>
        <w:jc w:val="both"/>
        <w:rPr>
          <w:rFonts w:ascii="Arial" w:hAnsi="Arial"/>
          <w:noProof w:val="0"/>
          <w:sz w:val="28"/>
          <w:szCs w:val="28"/>
          <w:rtl/>
        </w:rPr>
      </w:pPr>
      <w:r>
        <w:rPr>
          <w:noProof w:val="0"/>
          <w:sz w:val="28"/>
          <w:szCs w:val="28"/>
          <w:rtl/>
        </w:rPr>
        <w:t>על ההחלטה הנ"ל הגישה המערערת ערעור לבית הדין האזורי (ערעור ראשון)</w:t>
      </w:r>
      <w:r>
        <w:rPr>
          <w:rFonts w:ascii="Arial" w:hAnsi="Arial"/>
          <w:noProof w:val="0"/>
          <w:sz w:val="28"/>
          <w:szCs w:val="28"/>
          <w:rtl/>
        </w:rPr>
        <w:t xml:space="preserve">. בית הדין האזורי (השופט דניאל גולדברג; ב"ל </w:t>
      </w:r>
      <w:r w:rsidR="002944D2" w:rsidRPr="002944D2">
        <w:rPr>
          <w:rFonts w:hint="cs"/>
          <w:noProof w:val="0"/>
          <w:sz w:val="22"/>
          <w:szCs w:val="22"/>
        </w:rPr>
        <w:t>XXX</w:t>
      </w:r>
      <w:r>
        <w:rPr>
          <w:rFonts w:ascii="Arial" w:hAnsi="Arial"/>
          <w:noProof w:val="0"/>
          <w:sz w:val="28"/>
          <w:szCs w:val="28"/>
          <w:rtl/>
        </w:rPr>
        <w:t xml:space="preserve">) קבע כי נפל פגם באופן יישום פסק הדין הראשון והורה על החזרת עניינה של המערערת לוועדה (להלן - </w:t>
      </w:r>
      <w:r>
        <w:rPr>
          <w:rFonts w:ascii="Arial" w:hAnsi="Arial"/>
          <w:b/>
          <w:bCs/>
          <w:noProof w:val="0"/>
          <w:sz w:val="28"/>
          <w:szCs w:val="28"/>
          <w:rtl/>
        </w:rPr>
        <w:t>פסק הדין השני</w:t>
      </w:r>
      <w:r>
        <w:rPr>
          <w:rFonts w:ascii="Arial" w:hAnsi="Arial"/>
          <w:noProof w:val="0"/>
          <w:sz w:val="28"/>
          <w:szCs w:val="28"/>
          <w:rtl/>
        </w:rPr>
        <w:t>). להלן ההוראות שניתנו לוועדה:</w:t>
      </w:r>
    </w:p>
    <w:p w:rsidR="00EA1E45" w:rsidRDefault="00EA1E45" w:rsidP="00EA1E45">
      <w:pPr>
        <w:ind w:left="1275" w:right="426" w:hanging="567"/>
        <w:contextualSpacing/>
        <w:jc w:val="both"/>
        <w:rPr>
          <w:rFonts w:ascii="David" w:hAnsi="David"/>
          <w:b/>
          <w:bCs/>
          <w:noProof w:val="0"/>
          <w:sz w:val="26"/>
          <w:szCs w:val="26"/>
          <w:rtl/>
        </w:rPr>
      </w:pPr>
      <w:r>
        <w:rPr>
          <w:rFonts w:ascii="David" w:hAnsi="David"/>
          <w:noProof w:val="0"/>
          <w:sz w:val="26"/>
          <w:szCs w:val="26"/>
          <w:rtl/>
        </w:rPr>
        <w:t>"</w:t>
      </w:r>
      <w:r>
        <w:rPr>
          <w:rFonts w:ascii="David" w:hAnsi="David"/>
          <w:b/>
          <w:bCs/>
          <w:noProof w:val="0"/>
          <w:sz w:val="26"/>
          <w:szCs w:val="26"/>
          <w:rtl/>
        </w:rPr>
        <w:t>א.</w:t>
      </w:r>
      <w:r>
        <w:rPr>
          <w:rFonts w:ascii="David" w:hAnsi="David"/>
          <w:b/>
          <w:bCs/>
          <w:noProof w:val="0"/>
          <w:sz w:val="26"/>
          <w:szCs w:val="26"/>
          <w:rtl/>
        </w:rPr>
        <w:tab/>
        <w:t>תשוב ותדון בשיעור נכותה הנפשית של המערערת בשים לב לקביעתה כי מצבה של המערערת אינו מאפשר לה לעבוד, ותנמק החלטתה.</w:t>
      </w:r>
    </w:p>
    <w:p w:rsidR="00EA1E45" w:rsidRDefault="00EA1E45" w:rsidP="00EA1E45">
      <w:pPr>
        <w:ind w:left="1275" w:right="426" w:hanging="567"/>
        <w:contextualSpacing/>
        <w:jc w:val="both"/>
        <w:rPr>
          <w:rFonts w:ascii="David" w:hAnsi="David"/>
          <w:b/>
          <w:bCs/>
          <w:noProof w:val="0"/>
          <w:sz w:val="16"/>
          <w:szCs w:val="16"/>
        </w:rPr>
      </w:pPr>
    </w:p>
    <w:p w:rsidR="00EA1E45" w:rsidRDefault="00EA1E45" w:rsidP="00EA1E45">
      <w:pPr>
        <w:ind w:left="1275" w:right="426" w:hanging="425"/>
        <w:contextualSpacing/>
        <w:jc w:val="both"/>
        <w:rPr>
          <w:rFonts w:ascii="David" w:hAnsi="David"/>
          <w:b/>
          <w:bCs/>
          <w:noProof w:val="0"/>
          <w:sz w:val="26"/>
          <w:szCs w:val="26"/>
          <w:rtl/>
        </w:rPr>
      </w:pPr>
      <w:r>
        <w:rPr>
          <w:rFonts w:ascii="David" w:hAnsi="David"/>
          <w:b/>
          <w:bCs/>
          <w:noProof w:val="0"/>
          <w:sz w:val="26"/>
          <w:szCs w:val="26"/>
          <w:rtl/>
        </w:rPr>
        <w:t>ב.</w:t>
      </w:r>
      <w:r>
        <w:rPr>
          <w:rFonts w:ascii="David" w:hAnsi="David"/>
          <w:b/>
          <w:bCs/>
          <w:noProof w:val="0"/>
          <w:sz w:val="26"/>
          <w:szCs w:val="26"/>
          <w:rtl/>
        </w:rPr>
        <w:tab/>
        <w:t>תקבע מה היו ביטויי ה-</w:t>
      </w:r>
      <w:r>
        <w:rPr>
          <w:rFonts w:cs="Times New Roman"/>
          <w:b/>
          <w:bCs/>
          <w:noProof w:val="0"/>
          <w:sz w:val="20"/>
          <w:szCs w:val="20"/>
        </w:rPr>
        <w:t>FMF</w:t>
      </w:r>
      <w:r>
        <w:rPr>
          <w:rFonts w:ascii="David" w:hAnsi="David"/>
          <w:b/>
          <w:bCs/>
          <w:noProof w:val="0"/>
          <w:sz w:val="26"/>
          <w:szCs w:val="26"/>
          <w:rtl/>
        </w:rPr>
        <w:t xml:space="preserve"> אצל המערערת לפני התאונה ואחריה, והאם הביטויים המאוחרים מצדיקים נכות נפרדת. ככל שהתשובה היא בחיוב - האם נכות זו קשורה לתאונה? בהנמקתה תתייחס הוועדה לחוות דעתו של פרופ' הנדזל לפיה היו התלקחויות של מחלת </w:t>
      </w:r>
      <w:r>
        <w:rPr>
          <w:rFonts w:cs="Times New Roman"/>
          <w:b/>
          <w:bCs/>
          <w:noProof w:val="0"/>
          <w:sz w:val="20"/>
          <w:szCs w:val="20"/>
        </w:rPr>
        <w:t>FMF</w:t>
      </w:r>
      <w:r>
        <w:rPr>
          <w:rFonts w:ascii="David" w:hAnsi="David"/>
          <w:b/>
          <w:bCs/>
          <w:noProof w:val="0"/>
          <w:sz w:val="26"/>
          <w:szCs w:val="26"/>
          <w:rtl/>
        </w:rPr>
        <w:t xml:space="preserve"> לאחר התאונה.</w:t>
      </w:r>
    </w:p>
    <w:p w:rsidR="00EA1E45" w:rsidRDefault="00EA1E45" w:rsidP="00EA1E45">
      <w:pPr>
        <w:ind w:left="1275" w:right="426" w:hanging="425"/>
        <w:contextualSpacing/>
        <w:jc w:val="both"/>
        <w:rPr>
          <w:rFonts w:ascii="David" w:hAnsi="David"/>
          <w:b/>
          <w:bCs/>
          <w:noProof w:val="0"/>
          <w:sz w:val="16"/>
          <w:szCs w:val="16"/>
        </w:rPr>
      </w:pPr>
    </w:p>
    <w:p w:rsidR="00EA1E45" w:rsidRDefault="00EA1E45" w:rsidP="00EA1E45">
      <w:pPr>
        <w:ind w:left="1275" w:right="426" w:hanging="425"/>
        <w:contextualSpacing/>
        <w:jc w:val="both"/>
        <w:rPr>
          <w:rFonts w:ascii="David" w:hAnsi="David"/>
          <w:b/>
          <w:bCs/>
          <w:noProof w:val="0"/>
          <w:sz w:val="26"/>
          <w:szCs w:val="26"/>
          <w:rtl/>
        </w:rPr>
      </w:pPr>
      <w:r>
        <w:rPr>
          <w:rFonts w:ascii="David" w:hAnsi="David"/>
          <w:b/>
          <w:bCs/>
          <w:noProof w:val="0"/>
          <w:sz w:val="26"/>
          <w:szCs w:val="26"/>
          <w:rtl/>
        </w:rPr>
        <w:t xml:space="preserve">ג. </w:t>
      </w:r>
      <w:r>
        <w:rPr>
          <w:rFonts w:ascii="David" w:hAnsi="David"/>
          <w:b/>
          <w:bCs/>
          <w:noProof w:val="0"/>
          <w:sz w:val="26"/>
          <w:szCs w:val="26"/>
          <w:rtl/>
        </w:rPr>
        <w:tab/>
        <w:t>תקבע מהי המחלה המחוללת את הזיהומים והמורסות מהם סובלת המערערת - האם מדובר בהידרדניטיס או מחלה אחרת - והאם קיים סעיף ליקוי מתאים למחלה זו והאם המחלה קשורה לתאונה, והכל תוך התייחסות לחוות דעתו של פרופ' הנדזל.</w:t>
      </w:r>
    </w:p>
    <w:p w:rsidR="00EA1E45" w:rsidRDefault="00EA1E45" w:rsidP="00EA1E45">
      <w:pPr>
        <w:ind w:left="1275" w:right="426" w:hanging="425"/>
        <w:contextualSpacing/>
        <w:jc w:val="both"/>
        <w:rPr>
          <w:rFonts w:ascii="David" w:hAnsi="David"/>
          <w:b/>
          <w:bCs/>
          <w:noProof w:val="0"/>
          <w:sz w:val="16"/>
          <w:szCs w:val="16"/>
        </w:rPr>
      </w:pPr>
    </w:p>
    <w:p w:rsidR="00EA1E45" w:rsidRDefault="00EA1E45" w:rsidP="00EA1E45">
      <w:pPr>
        <w:ind w:left="1275" w:right="426" w:hanging="425"/>
        <w:contextualSpacing/>
        <w:jc w:val="both"/>
        <w:rPr>
          <w:rFonts w:ascii="David" w:hAnsi="David"/>
          <w:b/>
          <w:bCs/>
          <w:noProof w:val="0"/>
          <w:sz w:val="26"/>
          <w:szCs w:val="26"/>
          <w:rtl/>
        </w:rPr>
      </w:pPr>
      <w:r>
        <w:rPr>
          <w:rFonts w:ascii="David" w:hAnsi="David"/>
          <w:b/>
          <w:bCs/>
          <w:noProof w:val="0"/>
          <w:sz w:val="26"/>
          <w:szCs w:val="26"/>
          <w:rtl/>
        </w:rPr>
        <w:t xml:space="preserve">ד. </w:t>
      </w:r>
      <w:r>
        <w:rPr>
          <w:rFonts w:ascii="David" w:hAnsi="David"/>
          <w:b/>
          <w:bCs/>
          <w:noProof w:val="0"/>
          <w:sz w:val="26"/>
          <w:szCs w:val="26"/>
          <w:rtl/>
        </w:rPr>
        <w:tab/>
        <w:t>בעניין קביעת קשר סיבתי לתאונה, בית הדין מנחה את הוועדה הרפואית לעררים כי די בכך שלדעת הוועדה המסקנה בדבר קיום קשר סיבתי מסתברת יותר מן המסקנה ההפוכה (הסתברות של מעל 50%).</w:t>
      </w:r>
      <w:r>
        <w:rPr>
          <w:rFonts w:ascii="David" w:hAnsi="David"/>
          <w:noProof w:val="0"/>
          <w:sz w:val="26"/>
          <w:szCs w:val="26"/>
          <w:rtl/>
        </w:rPr>
        <w:t>"</w:t>
      </w:r>
    </w:p>
    <w:p w:rsidR="00EA1E45" w:rsidRDefault="00EA1E45" w:rsidP="00EA1E45">
      <w:pPr>
        <w:ind w:left="850" w:right="426"/>
        <w:contextualSpacing/>
        <w:jc w:val="both"/>
        <w:rPr>
          <w:rFonts w:ascii="David" w:hAnsi="David"/>
          <w:noProof w:val="0"/>
          <w:sz w:val="26"/>
          <w:szCs w:val="26"/>
        </w:rPr>
      </w:pPr>
    </w:p>
    <w:p w:rsidR="00EA1E45" w:rsidRDefault="00EA1E45" w:rsidP="002944D2">
      <w:pPr>
        <w:spacing w:line="360" w:lineRule="auto"/>
        <w:ind w:left="425"/>
        <w:contextualSpacing/>
        <w:jc w:val="both"/>
        <w:rPr>
          <w:rFonts w:ascii="Arial" w:hAnsi="Arial"/>
          <w:noProof w:val="0"/>
          <w:sz w:val="28"/>
          <w:szCs w:val="28"/>
          <w:rtl/>
        </w:rPr>
      </w:pPr>
      <w:r>
        <w:rPr>
          <w:rFonts w:ascii="Arial" w:hAnsi="Arial"/>
          <w:noProof w:val="0"/>
          <w:sz w:val="28"/>
          <w:szCs w:val="28"/>
          <w:rtl/>
        </w:rPr>
        <w:t xml:space="preserve">בקשת רשות ערעור שהוגשה על ידי המערערת על פסק הדין השני נדחתה (סגנית הנשיא, כתוארה אז, ורדה וירט-ליבנה; בר"ע </w:t>
      </w:r>
      <w:r w:rsidR="002944D2" w:rsidRPr="002944D2">
        <w:rPr>
          <w:rFonts w:hint="cs"/>
          <w:noProof w:val="0"/>
          <w:sz w:val="22"/>
          <w:szCs w:val="22"/>
        </w:rPr>
        <w:t>XXX</w:t>
      </w:r>
      <w:r>
        <w:rPr>
          <w:rFonts w:ascii="Arial" w:hAnsi="Arial"/>
          <w:noProof w:val="0"/>
          <w:sz w:val="28"/>
          <w:szCs w:val="28"/>
          <w:rtl/>
        </w:rPr>
        <w:t xml:space="preserve">). </w:t>
      </w:r>
    </w:p>
    <w:p w:rsidR="00EA1E45" w:rsidRDefault="00EA1E45" w:rsidP="00EA1E45">
      <w:pPr>
        <w:numPr>
          <w:ilvl w:val="0"/>
          <w:numId w:val="1"/>
        </w:numPr>
        <w:spacing w:line="360" w:lineRule="auto"/>
        <w:ind w:left="425" w:hanging="425"/>
        <w:contextualSpacing/>
        <w:jc w:val="both"/>
        <w:rPr>
          <w:rFonts w:ascii="Arial" w:hAnsi="Arial"/>
          <w:noProof w:val="0"/>
          <w:sz w:val="28"/>
          <w:szCs w:val="28"/>
        </w:rPr>
      </w:pPr>
      <w:r>
        <w:rPr>
          <w:rFonts w:ascii="Arial" w:hAnsi="Arial"/>
          <w:noProof w:val="0"/>
          <w:sz w:val="28"/>
          <w:szCs w:val="28"/>
          <w:rtl/>
        </w:rPr>
        <w:lastRenderedPageBreak/>
        <w:t>בעקבות פסק הדין השני התכנסה הוועדה ביום 18.1.2018 (בשנית). בישיבה זו הוצגו תלונות המערערת הן על ידה והן באמצעות ד"ר רושקה. הוועדה סיכמה את מסקנותיה כך:</w:t>
      </w:r>
    </w:p>
    <w:p w:rsidR="00EA1E45" w:rsidRDefault="00EA1E45" w:rsidP="00EA1E45">
      <w:pPr>
        <w:ind w:left="850" w:right="426"/>
        <w:contextualSpacing/>
        <w:jc w:val="both"/>
        <w:rPr>
          <w:rFonts w:ascii="David" w:hAnsi="David"/>
          <w:b/>
          <w:bCs/>
          <w:noProof w:val="0"/>
          <w:sz w:val="26"/>
          <w:szCs w:val="26"/>
          <w:rtl/>
        </w:rPr>
      </w:pPr>
      <w:r>
        <w:rPr>
          <w:rFonts w:ascii="David" w:hAnsi="David"/>
          <w:b/>
          <w:bCs/>
          <w:noProof w:val="0"/>
          <w:sz w:val="26"/>
          <w:szCs w:val="26"/>
          <w:rtl/>
        </w:rPr>
        <w:t>"הוועדה התכנסה מתוקף פס"ד מיום 25.7.17, הועדה תתייחס לסעיפים כפי שנקבעו בפס"ד, להלן:</w:t>
      </w:r>
    </w:p>
    <w:p w:rsidR="00EA1E45" w:rsidRDefault="00EA1E45" w:rsidP="00EA1E45">
      <w:pPr>
        <w:ind w:left="850" w:right="426"/>
        <w:contextualSpacing/>
        <w:jc w:val="both"/>
        <w:rPr>
          <w:rFonts w:ascii="David" w:hAnsi="David"/>
          <w:b/>
          <w:bCs/>
          <w:noProof w:val="0"/>
          <w:sz w:val="16"/>
          <w:szCs w:val="16"/>
          <w:rtl/>
        </w:rPr>
      </w:pPr>
      <w:r>
        <w:rPr>
          <w:rFonts w:ascii="David" w:hAnsi="David"/>
          <w:b/>
          <w:bCs/>
          <w:noProof w:val="0"/>
          <w:sz w:val="26"/>
          <w:szCs w:val="26"/>
          <w:rtl/>
        </w:rPr>
        <w:t xml:space="preserve"> </w:t>
      </w:r>
    </w:p>
    <w:p w:rsidR="00EA1E45" w:rsidRDefault="00EA1E45" w:rsidP="00EA1E45">
      <w:pPr>
        <w:ind w:left="1275" w:right="426" w:hanging="425"/>
        <w:contextualSpacing/>
        <w:jc w:val="both"/>
        <w:rPr>
          <w:rFonts w:ascii="David" w:hAnsi="David"/>
          <w:b/>
          <w:bCs/>
          <w:noProof w:val="0"/>
          <w:sz w:val="26"/>
          <w:szCs w:val="26"/>
          <w:rtl/>
        </w:rPr>
      </w:pPr>
      <w:r>
        <w:rPr>
          <w:rFonts w:ascii="David" w:hAnsi="David"/>
          <w:b/>
          <w:bCs/>
          <w:noProof w:val="0"/>
          <w:sz w:val="26"/>
          <w:szCs w:val="26"/>
          <w:rtl/>
        </w:rPr>
        <w:t>א.</w:t>
      </w:r>
      <w:r>
        <w:rPr>
          <w:rFonts w:ascii="David" w:hAnsi="David"/>
          <w:b/>
          <w:bCs/>
          <w:noProof w:val="0"/>
          <w:sz w:val="26"/>
          <w:szCs w:val="26"/>
          <w:rtl/>
        </w:rPr>
        <w:tab/>
        <w:t>בהתאם לחומר שעמד בפני הועדה ביום התכנסותה.</w:t>
      </w:r>
    </w:p>
    <w:p w:rsidR="00EA1E45" w:rsidRDefault="00EA1E45" w:rsidP="00EA1E45">
      <w:pPr>
        <w:ind w:left="1275" w:right="426"/>
        <w:contextualSpacing/>
        <w:jc w:val="both"/>
        <w:rPr>
          <w:rFonts w:ascii="David" w:hAnsi="David"/>
          <w:b/>
          <w:bCs/>
          <w:noProof w:val="0"/>
          <w:sz w:val="26"/>
          <w:szCs w:val="26"/>
          <w:rtl/>
        </w:rPr>
      </w:pPr>
      <w:r>
        <w:rPr>
          <w:rFonts w:ascii="David" w:hAnsi="David"/>
          <w:b/>
          <w:bCs/>
          <w:noProof w:val="0"/>
          <w:sz w:val="26"/>
          <w:szCs w:val="26"/>
          <w:rtl/>
        </w:rPr>
        <w:t>הועדה מותירה את שיעור הנכות הנפשית על כנה, מאחר ומדובר בתובעת הסובלת מרמיסיה חלקית עם סימנים קליניים בחומרה בינונית עד קשה לדעת הועדה. ההגבלה על כושר העבודה ניכרת עד קשה כפי שהיא מתבטאת בעבודה חלקית עם חיסורים רבים עפ"י סעיף הליקוי שנקבע לאור זאת, ניתן לקבוע הפעלת תקנה 15 במלואה. הנכות הנפשית כוללת את הביטויים הסומטיים העוריים כפי שהמליץ ד"ר וולד פסיכיאטר ופרופ' הנדזל המונולוג.</w:t>
      </w:r>
    </w:p>
    <w:p w:rsidR="00EA1E45" w:rsidRDefault="00EA1E45" w:rsidP="00EA1E45">
      <w:pPr>
        <w:ind w:left="1275" w:right="426"/>
        <w:contextualSpacing/>
        <w:jc w:val="both"/>
        <w:rPr>
          <w:rFonts w:ascii="David" w:hAnsi="David"/>
          <w:b/>
          <w:bCs/>
          <w:noProof w:val="0"/>
          <w:sz w:val="16"/>
          <w:szCs w:val="16"/>
          <w:rtl/>
        </w:rPr>
      </w:pPr>
    </w:p>
    <w:p w:rsidR="00EA1E45" w:rsidRDefault="00EA1E45" w:rsidP="00EA1E45">
      <w:pPr>
        <w:ind w:left="1275" w:right="426" w:hanging="425"/>
        <w:contextualSpacing/>
        <w:jc w:val="both"/>
        <w:rPr>
          <w:rFonts w:ascii="David" w:hAnsi="David"/>
          <w:b/>
          <w:bCs/>
          <w:noProof w:val="0"/>
          <w:sz w:val="26"/>
          <w:szCs w:val="26"/>
          <w:rtl/>
        </w:rPr>
      </w:pPr>
      <w:r>
        <w:rPr>
          <w:rFonts w:ascii="David" w:hAnsi="David"/>
          <w:b/>
          <w:bCs/>
          <w:noProof w:val="0"/>
          <w:sz w:val="26"/>
          <w:szCs w:val="26"/>
          <w:rtl/>
        </w:rPr>
        <w:t>ב.</w:t>
      </w:r>
      <w:r>
        <w:rPr>
          <w:rFonts w:ascii="David" w:hAnsi="David"/>
          <w:b/>
          <w:bCs/>
          <w:noProof w:val="0"/>
          <w:sz w:val="26"/>
          <w:szCs w:val="26"/>
          <w:rtl/>
        </w:rPr>
        <w:tab/>
        <w:t>בנושא ה-</w:t>
      </w:r>
      <w:r>
        <w:rPr>
          <w:rFonts w:cs="Times New Roman"/>
          <w:b/>
          <w:bCs/>
          <w:noProof w:val="0"/>
          <w:sz w:val="20"/>
          <w:szCs w:val="20"/>
        </w:rPr>
        <w:t>FMF</w:t>
      </w:r>
      <w:r>
        <w:rPr>
          <w:rFonts w:ascii="David" w:hAnsi="David"/>
          <w:b/>
          <w:bCs/>
          <w:noProof w:val="0"/>
          <w:sz w:val="26"/>
          <w:szCs w:val="26"/>
          <w:rtl/>
        </w:rPr>
        <w:t xml:space="preserve"> הועדה מציינת שמדובר במחלה גנטית ממנה סבלה התובעת ואף טופלה טרם ה(תאונה) הנדונה. בועדה הקודמת מיום 9.6.16 התובעת מסרה כי קיבלה טיפול עוד טרם התאונה הנדונה. מאז התאונה הומלץ לה לעלות את המינון אבל היא לא לקחה ולא תיארה את המינון. היא תיארה מספר מועט של כאבי פרקים, ללא תלונות של פריטוניטיס או פלוריטיס. לא היתה ידועה כל פגיעה כלייתית על כן לדעת הועדה אין כל קשר בין המחלה עצמה והתאונה הנדונה כיוון שכאמור מדובר במחלה גנטית שאובחנה טרם התאונה. הועדה לא התרשמה מהחמרה במחלתה הקשורה לתאונה הנדונה. הועדה מציינת שגם כיום בועדה התובעת מציינת שסבלה מסתרס בכאבי פרקים בעיקר בקרסול וביד שמאל על כן הביטויים המאוחרים אינם מצדיקים נכות נפרדת הקשורה סיבתית לתאונה. בהתייחסות לחוו"ד של פרופ' הנדזל מיום 22.10.12, הועדה מציינת כי לא פירט בחוו"ד שיעורי נכות בגין </w:t>
      </w:r>
      <w:r>
        <w:rPr>
          <w:rFonts w:cs="Times New Roman"/>
          <w:b/>
          <w:bCs/>
          <w:noProof w:val="0"/>
          <w:sz w:val="20"/>
          <w:szCs w:val="20"/>
        </w:rPr>
        <w:t>FMF</w:t>
      </w:r>
      <w:r>
        <w:rPr>
          <w:rFonts w:ascii="David" w:hAnsi="David"/>
          <w:b/>
          <w:bCs/>
          <w:noProof w:val="0"/>
          <w:sz w:val="26"/>
          <w:szCs w:val="26"/>
          <w:rtl/>
        </w:rPr>
        <w:t xml:space="preserve"> טרם לתאונה ואחריה פרופ' הנדזל ממליץ על נכות נפשית, אינו מתייחס כלל לנושא הקשר הסיבתי בין </w:t>
      </w:r>
      <w:r>
        <w:rPr>
          <w:rFonts w:cs="Times New Roman"/>
          <w:b/>
          <w:bCs/>
          <w:noProof w:val="0"/>
          <w:sz w:val="20"/>
          <w:szCs w:val="20"/>
        </w:rPr>
        <w:t>FMF</w:t>
      </w:r>
      <w:r>
        <w:rPr>
          <w:rFonts w:ascii="David" w:hAnsi="David"/>
          <w:b/>
          <w:bCs/>
          <w:noProof w:val="0"/>
          <w:sz w:val="26"/>
          <w:szCs w:val="26"/>
          <w:rtl/>
        </w:rPr>
        <w:t xml:space="preserve"> לאירוע הנדון. </w:t>
      </w:r>
    </w:p>
    <w:p w:rsidR="00EA1E45" w:rsidRDefault="00EA1E45" w:rsidP="00EA1E45">
      <w:pPr>
        <w:ind w:left="1275" w:right="426" w:hanging="425"/>
        <w:contextualSpacing/>
        <w:jc w:val="both"/>
        <w:rPr>
          <w:rFonts w:ascii="David" w:hAnsi="David"/>
          <w:b/>
          <w:bCs/>
          <w:noProof w:val="0"/>
          <w:sz w:val="16"/>
          <w:szCs w:val="16"/>
          <w:rtl/>
        </w:rPr>
      </w:pPr>
    </w:p>
    <w:p w:rsidR="00EA1E45" w:rsidRDefault="00EA1E45" w:rsidP="00EA1E45">
      <w:pPr>
        <w:ind w:left="1275" w:right="426" w:hanging="425"/>
        <w:contextualSpacing/>
        <w:jc w:val="both"/>
        <w:rPr>
          <w:rFonts w:ascii="David" w:hAnsi="David"/>
          <w:b/>
          <w:bCs/>
          <w:noProof w:val="0"/>
          <w:sz w:val="26"/>
          <w:szCs w:val="26"/>
          <w:rtl/>
        </w:rPr>
      </w:pPr>
      <w:r>
        <w:rPr>
          <w:rFonts w:ascii="David" w:hAnsi="David"/>
          <w:b/>
          <w:bCs/>
          <w:noProof w:val="0"/>
          <w:sz w:val="26"/>
          <w:szCs w:val="26"/>
          <w:rtl/>
        </w:rPr>
        <w:t>ג.</w:t>
      </w:r>
      <w:r>
        <w:rPr>
          <w:rFonts w:ascii="David" w:hAnsi="David"/>
          <w:b/>
          <w:bCs/>
          <w:noProof w:val="0"/>
          <w:sz w:val="26"/>
          <w:szCs w:val="26"/>
          <w:rtl/>
        </w:rPr>
        <w:tab/>
        <w:t xml:space="preserve">עפ"י התיעוד הרפואי שעמד בפני הוועדה והתיאור הקליני של החולה מדובר אכן בהידרדניטיס. עפ"י חוות חוו"ד של פרופ' הנדזל שמצטט גם את ד"ר וולד (פסיכיאטר) הוא קושר את ההפרעות וההידרדניטיס עם ההפרעה הנפשית. פרופ' הנדזל בסיכומו כותב במפורש "שתופעה זו הינה חלק מהתסמונת הפוסט טראומטית. הועדה מציינת מדברי התובעת היום "הבעיה העורית הינה חלק מהתסמונת ה - </w:t>
      </w:r>
      <w:r>
        <w:rPr>
          <w:rFonts w:cs="Times New Roman"/>
          <w:b/>
          <w:bCs/>
          <w:noProof w:val="0"/>
          <w:sz w:val="20"/>
          <w:szCs w:val="20"/>
        </w:rPr>
        <w:t>PTSD</w:t>
      </w:r>
      <w:r>
        <w:rPr>
          <w:rFonts w:ascii="David" w:hAnsi="David"/>
          <w:b/>
          <w:bCs/>
          <w:noProof w:val="0"/>
          <w:sz w:val="26"/>
          <w:szCs w:val="26"/>
          <w:rtl/>
        </w:rPr>
        <w:t xml:space="preserve">" לכן כפי שהמליץ גם פרופ' הנדזל אין מקום לקבוע סעיף ליקוי מתאים נפרד. </w:t>
      </w:r>
    </w:p>
    <w:p w:rsidR="00EA1E45" w:rsidRDefault="00EA1E45" w:rsidP="00EA1E45">
      <w:pPr>
        <w:ind w:left="1275" w:right="426" w:hanging="425"/>
        <w:contextualSpacing/>
        <w:jc w:val="both"/>
        <w:rPr>
          <w:rFonts w:ascii="David" w:hAnsi="David"/>
          <w:b/>
          <w:bCs/>
          <w:noProof w:val="0"/>
          <w:sz w:val="16"/>
          <w:szCs w:val="16"/>
          <w:rtl/>
        </w:rPr>
      </w:pPr>
    </w:p>
    <w:p w:rsidR="00EA1E45" w:rsidRDefault="00EA1E45" w:rsidP="00EA1E45">
      <w:pPr>
        <w:ind w:left="1275" w:right="426" w:hanging="425"/>
        <w:contextualSpacing/>
        <w:jc w:val="both"/>
        <w:rPr>
          <w:rFonts w:ascii="David" w:hAnsi="David"/>
          <w:b/>
          <w:bCs/>
          <w:noProof w:val="0"/>
          <w:sz w:val="26"/>
          <w:szCs w:val="26"/>
          <w:rtl/>
        </w:rPr>
      </w:pPr>
      <w:r>
        <w:rPr>
          <w:rFonts w:ascii="David" w:hAnsi="David"/>
          <w:b/>
          <w:bCs/>
          <w:noProof w:val="0"/>
          <w:sz w:val="26"/>
          <w:szCs w:val="26"/>
          <w:rtl/>
        </w:rPr>
        <w:t>ד.</w:t>
      </w:r>
      <w:r>
        <w:rPr>
          <w:rFonts w:ascii="David" w:hAnsi="David"/>
          <w:b/>
          <w:bCs/>
          <w:noProof w:val="0"/>
          <w:sz w:val="26"/>
          <w:szCs w:val="26"/>
          <w:rtl/>
        </w:rPr>
        <w:tab/>
        <w:t>הועדה בהחלטותיה לעיל פעלה על פי הנחיית פס"ד לעניין קיום קשר סיבתי בהסתברות של מעל ___ הועדה פעלה עפ"י פס"ד על כל הנחיותיו. חזרה ועיינה והתייחסה למסמכים שעמדו בפניה בעת התכנסות הוועדה מיום 9.6.16. הועדה דוחה את הערר ומותירה את הנכות שנקבעה על כנה.</w:t>
      </w:r>
      <w:r>
        <w:rPr>
          <w:rFonts w:ascii="David" w:hAnsi="David"/>
          <w:noProof w:val="0"/>
          <w:sz w:val="26"/>
          <w:szCs w:val="26"/>
          <w:rtl/>
        </w:rPr>
        <w:t>"</w:t>
      </w:r>
    </w:p>
    <w:p w:rsidR="00EA1E45" w:rsidRDefault="00EA1E45" w:rsidP="00EA1E45">
      <w:pPr>
        <w:ind w:left="1275" w:right="426" w:hanging="425"/>
        <w:contextualSpacing/>
        <w:jc w:val="both"/>
        <w:rPr>
          <w:rFonts w:ascii="David" w:hAnsi="David"/>
          <w:noProof w:val="0"/>
          <w:sz w:val="16"/>
          <w:szCs w:val="16"/>
          <w:rtl/>
        </w:rPr>
      </w:pPr>
    </w:p>
    <w:p w:rsidR="00EA1E45" w:rsidRDefault="00EA1E45" w:rsidP="00EA1E45">
      <w:pPr>
        <w:ind w:left="1275" w:right="426" w:hanging="425"/>
        <w:contextualSpacing/>
        <w:jc w:val="both"/>
        <w:rPr>
          <w:rFonts w:ascii="David" w:hAnsi="David"/>
          <w:noProof w:val="0"/>
          <w:sz w:val="26"/>
          <w:szCs w:val="26"/>
          <w:rtl/>
        </w:rPr>
      </w:pPr>
      <w:r>
        <w:rPr>
          <w:rFonts w:ascii="David" w:hAnsi="David"/>
          <w:noProof w:val="0"/>
          <w:sz w:val="26"/>
          <w:szCs w:val="26"/>
          <w:rtl/>
        </w:rPr>
        <w:t>(במקומות המסומנים בקו תחתון הופיעו במקור מילים לא ברורות - א.א.)</w:t>
      </w:r>
    </w:p>
    <w:p w:rsidR="00EA1E45" w:rsidRDefault="00EA1E45" w:rsidP="00EA1E45">
      <w:pPr>
        <w:ind w:left="850" w:right="426"/>
        <w:contextualSpacing/>
        <w:jc w:val="both"/>
        <w:rPr>
          <w:rFonts w:ascii="David" w:hAnsi="David"/>
          <w:noProof w:val="0"/>
          <w:sz w:val="26"/>
          <w:szCs w:val="26"/>
          <w:rtl/>
        </w:rPr>
      </w:pPr>
    </w:p>
    <w:p w:rsidR="00EA1E45" w:rsidRDefault="00EA1E45" w:rsidP="002944D2">
      <w:pPr>
        <w:numPr>
          <w:ilvl w:val="0"/>
          <w:numId w:val="1"/>
        </w:numPr>
        <w:spacing w:line="360" w:lineRule="auto"/>
        <w:ind w:left="425" w:hanging="425"/>
        <w:contextualSpacing/>
        <w:jc w:val="both"/>
        <w:rPr>
          <w:rFonts w:ascii="Arial" w:hAnsi="Arial"/>
          <w:noProof w:val="0"/>
          <w:sz w:val="28"/>
          <w:szCs w:val="28"/>
          <w:rtl/>
        </w:rPr>
      </w:pPr>
      <w:r>
        <w:rPr>
          <w:rFonts w:ascii="Arial" w:hAnsi="Arial"/>
          <w:noProof w:val="0"/>
          <w:sz w:val="28"/>
          <w:szCs w:val="28"/>
          <w:rtl/>
        </w:rPr>
        <w:lastRenderedPageBreak/>
        <w:t>המערערת</w:t>
      </w:r>
      <w:r>
        <w:rPr>
          <w:noProof w:val="0"/>
          <w:sz w:val="28"/>
          <w:szCs w:val="28"/>
          <w:rtl/>
        </w:rPr>
        <w:t xml:space="preserve"> </w:t>
      </w:r>
      <w:r>
        <w:rPr>
          <w:rFonts w:ascii="Arial" w:hAnsi="Arial"/>
          <w:noProof w:val="0"/>
          <w:sz w:val="28"/>
          <w:szCs w:val="28"/>
          <w:rtl/>
        </w:rPr>
        <w:t xml:space="preserve">שבה והגישה ערעור (שני) על החלטת הוועדה. בית הדין האזורי (השופט עמיצור איתם; ב"ל </w:t>
      </w:r>
      <w:r w:rsidR="002944D2" w:rsidRPr="002944D2">
        <w:rPr>
          <w:rFonts w:hint="cs"/>
          <w:noProof w:val="0"/>
          <w:sz w:val="22"/>
          <w:szCs w:val="22"/>
        </w:rPr>
        <w:t>XXX</w:t>
      </w:r>
      <w:r>
        <w:rPr>
          <w:rFonts w:ascii="Arial" w:hAnsi="Arial"/>
          <w:noProof w:val="0"/>
          <w:sz w:val="28"/>
          <w:szCs w:val="28"/>
          <w:rtl/>
        </w:rPr>
        <w:t xml:space="preserve">) קיבל בפסק דינו את הערעור וקבע כי יש להחזיר את עניינה של המבקש לוועדה (להלן - </w:t>
      </w:r>
      <w:r>
        <w:rPr>
          <w:rFonts w:ascii="Arial" w:hAnsi="Arial"/>
          <w:b/>
          <w:bCs/>
          <w:noProof w:val="0"/>
          <w:sz w:val="28"/>
          <w:szCs w:val="28"/>
          <w:rtl/>
        </w:rPr>
        <w:t>פסק הדין השלישי</w:t>
      </w:r>
      <w:r>
        <w:rPr>
          <w:rFonts w:ascii="Arial" w:hAnsi="Arial"/>
          <w:noProof w:val="0"/>
          <w:sz w:val="28"/>
          <w:szCs w:val="28"/>
          <w:rtl/>
        </w:rPr>
        <w:t>). וכך הורה בית הדין האזורי:</w:t>
      </w:r>
    </w:p>
    <w:p w:rsidR="00EA1E45" w:rsidRDefault="00EA1E45" w:rsidP="00EA1E45">
      <w:pPr>
        <w:ind w:left="1275" w:right="426" w:hanging="425"/>
        <w:contextualSpacing/>
        <w:jc w:val="both"/>
        <w:rPr>
          <w:rFonts w:ascii="David" w:hAnsi="David"/>
          <w:b/>
          <w:bCs/>
          <w:noProof w:val="0"/>
          <w:sz w:val="26"/>
          <w:szCs w:val="26"/>
          <w:rtl/>
        </w:rPr>
      </w:pPr>
      <w:r>
        <w:rPr>
          <w:rFonts w:ascii="David" w:hAnsi="David"/>
          <w:noProof w:val="0"/>
          <w:sz w:val="26"/>
          <w:szCs w:val="26"/>
          <w:rtl/>
        </w:rPr>
        <w:t>"</w:t>
      </w:r>
      <w:r>
        <w:rPr>
          <w:rFonts w:ascii="David" w:hAnsi="David"/>
          <w:b/>
          <w:bCs/>
          <w:noProof w:val="0"/>
          <w:sz w:val="26"/>
          <w:szCs w:val="26"/>
          <w:rtl/>
        </w:rPr>
        <w:t>א.</w:t>
      </w:r>
      <w:r>
        <w:rPr>
          <w:rFonts w:ascii="David" w:hAnsi="David"/>
          <w:b/>
          <w:bCs/>
          <w:noProof w:val="0"/>
          <w:sz w:val="26"/>
          <w:szCs w:val="26"/>
          <w:rtl/>
        </w:rPr>
        <w:tab/>
        <w:t>תשוב ותדון בנכותה הנפשית של התובעת. בין היתר תיתן דעתה לחוו"ד ד"ר רושקה מיום 17.1.18 ולחוו"ד ד"ר סקולסקי מיום 31.7.16. ככל שהוועדה תגיע למסקנה בדבר חומרת התסמינים הקליניים, תפרט: האם המערערת נהנית מרמיסיה אם כן באיזו דרגה, מה מביא את הוועדה למסקנה בדבר קיומה של רמיסיה. מהם התסמינים הקליניים הנפשיים מהם סובלת המערערת, מדוע הוועדה מגדירה אותם בדרגת חומרה כפי שהגדירה. האם קיים צורך בטיפול תרופתי קבוע, מהי מידת ההפרעה בתפקוד הנפשי והחברתי, מהי מידת ההגבלה של כושר העבודה. לצורך קביעת אחוזי הנכות ייבחנו גם הקריטריונים המפורטים להלן, כולם או חלקם, לפי העניין: עוצמה, תדירות ומשך ההפרעה; מספר ההתקפים בשנתיים האחרונות; מספר אשפוזים, משכם וסיבתם בשנתיים האחרונות; אורך תקופת הרמיסיה; היענות ותגובה לטיפול תרופתי/אחר; התפקוד הנפשי והחברתי; כושר העבודה.</w:t>
      </w:r>
    </w:p>
    <w:p w:rsidR="00EA1E45" w:rsidRDefault="00EA1E45" w:rsidP="00EA1E45">
      <w:pPr>
        <w:ind w:left="1275" w:right="426" w:hanging="425"/>
        <w:contextualSpacing/>
        <w:jc w:val="both"/>
        <w:rPr>
          <w:rFonts w:ascii="David" w:hAnsi="David"/>
          <w:b/>
          <w:bCs/>
          <w:noProof w:val="0"/>
          <w:sz w:val="16"/>
          <w:szCs w:val="16"/>
        </w:rPr>
      </w:pPr>
    </w:p>
    <w:p w:rsidR="00EA1E45" w:rsidRDefault="00EA1E45" w:rsidP="00EA1E45">
      <w:pPr>
        <w:ind w:left="1275" w:right="426" w:hanging="425"/>
        <w:contextualSpacing/>
        <w:jc w:val="both"/>
        <w:rPr>
          <w:rFonts w:ascii="David" w:hAnsi="David"/>
          <w:b/>
          <w:bCs/>
          <w:noProof w:val="0"/>
          <w:sz w:val="26"/>
          <w:szCs w:val="26"/>
          <w:rtl/>
        </w:rPr>
      </w:pPr>
      <w:r>
        <w:rPr>
          <w:rFonts w:ascii="David" w:hAnsi="David"/>
          <w:b/>
          <w:bCs/>
          <w:noProof w:val="0"/>
          <w:sz w:val="26"/>
          <w:szCs w:val="26"/>
          <w:rtl/>
        </w:rPr>
        <w:t>ב.</w:t>
      </w:r>
      <w:r>
        <w:rPr>
          <w:rFonts w:ascii="David" w:hAnsi="David"/>
          <w:b/>
          <w:bCs/>
          <w:noProof w:val="0"/>
          <w:sz w:val="26"/>
          <w:szCs w:val="26"/>
          <w:rtl/>
        </w:rPr>
        <w:tab/>
        <w:t xml:space="preserve">תשוב ותפעל בהתאם לאמור בפסק הדין הקודם בעניין ה- </w:t>
      </w:r>
      <w:r>
        <w:rPr>
          <w:rFonts w:cs="Times New Roman"/>
          <w:b/>
          <w:bCs/>
          <w:noProof w:val="0"/>
          <w:sz w:val="20"/>
          <w:szCs w:val="20"/>
        </w:rPr>
        <w:t>FMF</w:t>
      </w:r>
      <w:r>
        <w:rPr>
          <w:rFonts w:ascii="David" w:hAnsi="David"/>
          <w:b/>
          <w:bCs/>
          <w:noProof w:val="0"/>
          <w:sz w:val="26"/>
          <w:szCs w:val="26"/>
          <w:rtl/>
        </w:rPr>
        <w:t>. היינו: תקבע מה היו ביטויי ה-</w:t>
      </w:r>
      <w:r>
        <w:rPr>
          <w:rFonts w:cs="Times New Roman"/>
          <w:b/>
          <w:bCs/>
          <w:noProof w:val="0"/>
          <w:sz w:val="20"/>
          <w:szCs w:val="20"/>
        </w:rPr>
        <w:t>FMF</w:t>
      </w:r>
      <w:r>
        <w:rPr>
          <w:rFonts w:ascii="David" w:hAnsi="David"/>
          <w:b/>
          <w:bCs/>
          <w:noProof w:val="0"/>
          <w:sz w:val="26"/>
          <w:szCs w:val="26"/>
          <w:rtl/>
        </w:rPr>
        <w:t xml:space="preserve"> אצל המערערת לפני התאונה ואחריה, והאם הביטויים המאוחרים מצדיקים נכות נפרדת. ככל שהתשובה בשלילה אין די במסקנה אלא יש צורך בהנמקה. (לדוגמה: אם הוועדה תקבע כי המחלה הייתה לא פעילה לפני התאונה ואילו לאחר התאונה הביטויים הקליניים הם כאבי פרקים, ללא תלונות של פריטוניטיס או פלוריטיס, עליה להסביר מדוע ובהתאם לאיזה סעיף - אין בכך די על מנת להקנות נכות נפרדת). ככל שהתשובה היא בחיוב - תקבע האם נכות זו קשורה לתאונה. בעניין זה הוועדה תסביר האם לדעתה המסקנה בדבר קיום קשר סיבתי מסתברת יותר מן המסקנה ההפוכה (הסתברות של מעל 50%) ומדוע. ככל שאין בפני הוועדה את מלוא התיעוד הרפואי המערערת רשאית לשוב ולהציג אותו בפניה ובלבד שהוא קודם למועד התכנסות הוועדה הקודמת.</w:t>
      </w:r>
    </w:p>
    <w:p w:rsidR="00EA1E45" w:rsidRDefault="00EA1E45" w:rsidP="00EA1E45">
      <w:pPr>
        <w:ind w:left="1275" w:right="426" w:hanging="425"/>
        <w:contextualSpacing/>
        <w:jc w:val="both"/>
        <w:rPr>
          <w:rFonts w:ascii="David" w:hAnsi="David"/>
          <w:b/>
          <w:bCs/>
          <w:noProof w:val="0"/>
          <w:sz w:val="16"/>
          <w:szCs w:val="16"/>
          <w:rtl/>
        </w:rPr>
      </w:pPr>
    </w:p>
    <w:p w:rsidR="00EA1E45" w:rsidRDefault="00EA1E45" w:rsidP="00EA1E45">
      <w:pPr>
        <w:ind w:left="1275" w:right="426" w:hanging="425"/>
        <w:contextualSpacing/>
        <w:jc w:val="both"/>
        <w:rPr>
          <w:rFonts w:ascii="David" w:hAnsi="David"/>
          <w:b/>
          <w:bCs/>
          <w:noProof w:val="0"/>
          <w:sz w:val="26"/>
          <w:szCs w:val="26"/>
          <w:rtl/>
        </w:rPr>
      </w:pPr>
      <w:r>
        <w:rPr>
          <w:rFonts w:ascii="David" w:hAnsi="David"/>
          <w:b/>
          <w:bCs/>
          <w:noProof w:val="0"/>
          <w:sz w:val="26"/>
          <w:szCs w:val="26"/>
          <w:rtl/>
        </w:rPr>
        <w:t>ג.</w:t>
      </w:r>
      <w:r>
        <w:rPr>
          <w:rFonts w:ascii="David" w:hAnsi="David"/>
          <w:b/>
          <w:bCs/>
          <w:noProof w:val="0"/>
          <w:sz w:val="26"/>
          <w:szCs w:val="26"/>
          <w:rtl/>
        </w:rPr>
        <w:tab/>
        <w:t>תשוב ותדון בשאלה האם מחלת ההידרדניטיס מצדיקה מתן נכות נפרדת. זאת בהתאם לעקרון האמור בסעיף 15 לעיל.</w:t>
      </w:r>
    </w:p>
    <w:p w:rsidR="00EA1E45" w:rsidRDefault="00EA1E45" w:rsidP="00EA1E45">
      <w:pPr>
        <w:ind w:left="1275" w:right="426" w:hanging="425"/>
        <w:contextualSpacing/>
        <w:jc w:val="both"/>
        <w:rPr>
          <w:rFonts w:ascii="David" w:hAnsi="David"/>
          <w:b/>
          <w:bCs/>
          <w:noProof w:val="0"/>
          <w:sz w:val="16"/>
          <w:szCs w:val="16"/>
          <w:rtl/>
        </w:rPr>
      </w:pPr>
    </w:p>
    <w:p w:rsidR="00EA1E45" w:rsidRDefault="00EA1E45" w:rsidP="00EA1E45">
      <w:pPr>
        <w:ind w:left="850" w:right="426"/>
        <w:contextualSpacing/>
        <w:jc w:val="both"/>
        <w:rPr>
          <w:rFonts w:ascii="David" w:hAnsi="David"/>
          <w:b/>
          <w:bCs/>
          <w:noProof w:val="0"/>
          <w:sz w:val="26"/>
          <w:szCs w:val="26"/>
          <w:rtl/>
        </w:rPr>
      </w:pPr>
      <w:r>
        <w:rPr>
          <w:rFonts w:ascii="David" w:hAnsi="David"/>
          <w:b/>
          <w:bCs/>
          <w:noProof w:val="0"/>
          <w:sz w:val="26"/>
          <w:szCs w:val="26"/>
          <w:rtl/>
        </w:rPr>
        <w:t>זאת הפעם מתבקשים חברי הוועדה לעשות כל מאמץ על מנת להבהיר, להסביר, להנהיר, לנמק, לפרט, להטעים ולפרש את מסקנותיה כך שגם מי שאינו מבין דבר ברפואה יוכל להתרשם מה הוביל את הוועדה למסקנותיה. המערערת תוזמן פעם נוספת לטעון בפני הוועדה ומומלץ לה להשיג ייצוג משפטי ולמצער לקצר ולתמצת את טיעוניה כראוי.</w:t>
      </w:r>
      <w:r>
        <w:rPr>
          <w:rFonts w:ascii="David" w:hAnsi="David"/>
          <w:noProof w:val="0"/>
          <w:sz w:val="26"/>
          <w:szCs w:val="26"/>
          <w:rtl/>
        </w:rPr>
        <w:t>"</w:t>
      </w:r>
    </w:p>
    <w:p w:rsidR="00EA1E45" w:rsidRDefault="00EA1E45" w:rsidP="00EA1E45">
      <w:pPr>
        <w:ind w:left="850" w:right="426"/>
        <w:contextualSpacing/>
        <w:jc w:val="both"/>
        <w:rPr>
          <w:rFonts w:ascii="David" w:hAnsi="David"/>
          <w:noProof w:val="0"/>
          <w:sz w:val="26"/>
          <w:szCs w:val="26"/>
          <w:rtl/>
        </w:rPr>
      </w:pPr>
    </w:p>
    <w:p w:rsidR="00EA1E45" w:rsidRDefault="00EA1E45" w:rsidP="00EA1E45">
      <w:pPr>
        <w:numPr>
          <w:ilvl w:val="0"/>
          <w:numId w:val="1"/>
        </w:numPr>
        <w:spacing w:line="360" w:lineRule="auto"/>
        <w:ind w:left="425" w:hanging="425"/>
        <w:contextualSpacing/>
        <w:jc w:val="both"/>
        <w:rPr>
          <w:rFonts w:ascii="Arial" w:hAnsi="Arial"/>
          <w:noProof w:val="0"/>
          <w:sz w:val="28"/>
          <w:szCs w:val="28"/>
          <w:rtl/>
        </w:rPr>
      </w:pPr>
      <w:r>
        <w:rPr>
          <w:rFonts w:ascii="Arial" w:hAnsi="Arial"/>
          <w:noProof w:val="0"/>
          <w:sz w:val="28"/>
          <w:szCs w:val="28"/>
          <w:rtl/>
        </w:rPr>
        <w:t>ביום 7.2.2019 שבה הוועדה והתכנסה (בשלישית), ללא נוכחות המערערת. בהרכב הוועדה ישב ד"ר רותם משה - כירורג פלסטי, תחת מומחה העיניים - ד"ר וייס. בפרוטוקול הוועדה נכתב כך:</w:t>
      </w:r>
    </w:p>
    <w:p w:rsidR="00C66797" w:rsidRDefault="00C66797" w:rsidP="00EA1E45">
      <w:pPr>
        <w:ind w:left="850" w:right="426"/>
        <w:contextualSpacing/>
        <w:jc w:val="both"/>
        <w:rPr>
          <w:rFonts w:ascii="David" w:hAnsi="David"/>
          <w:b/>
          <w:bCs/>
          <w:noProof w:val="0"/>
          <w:sz w:val="26"/>
          <w:szCs w:val="26"/>
          <w:rtl/>
        </w:rPr>
      </w:pPr>
    </w:p>
    <w:p w:rsidR="00C66797" w:rsidRDefault="00C66797" w:rsidP="00EA1E45">
      <w:pPr>
        <w:ind w:left="850" w:right="426"/>
        <w:contextualSpacing/>
        <w:jc w:val="both"/>
        <w:rPr>
          <w:rFonts w:ascii="David" w:hAnsi="David"/>
          <w:b/>
          <w:bCs/>
          <w:noProof w:val="0"/>
          <w:sz w:val="26"/>
          <w:szCs w:val="26"/>
          <w:rtl/>
        </w:rPr>
      </w:pPr>
    </w:p>
    <w:p w:rsidR="00EA1E45" w:rsidRDefault="00EA1E45" w:rsidP="00EA1E45">
      <w:pPr>
        <w:ind w:left="850" w:right="426"/>
        <w:contextualSpacing/>
        <w:jc w:val="both"/>
        <w:rPr>
          <w:rFonts w:ascii="David" w:hAnsi="David"/>
          <w:b/>
          <w:bCs/>
          <w:noProof w:val="0"/>
          <w:sz w:val="26"/>
          <w:szCs w:val="26"/>
          <w:rtl/>
        </w:rPr>
      </w:pPr>
      <w:r>
        <w:rPr>
          <w:rFonts w:ascii="David" w:hAnsi="David"/>
          <w:b/>
          <w:bCs/>
          <w:noProof w:val="0"/>
          <w:sz w:val="26"/>
          <w:szCs w:val="26"/>
          <w:rtl/>
        </w:rPr>
        <w:lastRenderedPageBreak/>
        <w:t xml:space="preserve">"הוועדה עיינה בחומר הרפואי שבתיק ובחומר שהוצג בפניה. לא נבדקה. </w:t>
      </w:r>
    </w:p>
    <w:p w:rsidR="00EA1E45" w:rsidRDefault="00EA1E45" w:rsidP="00EA1E45">
      <w:pPr>
        <w:ind w:left="850" w:right="426"/>
        <w:contextualSpacing/>
        <w:jc w:val="both"/>
        <w:rPr>
          <w:rFonts w:ascii="David" w:hAnsi="David"/>
          <w:b/>
          <w:bCs/>
          <w:noProof w:val="0"/>
          <w:sz w:val="26"/>
          <w:szCs w:val="26"/>
        </w:rPr>
      </w:pPr>
      <w:r>
        <w:rPr>
          <w:rFonts w:ascii="David" w:hAnsi="David"/>
          <w:b/>
          <w:bCs/>
          <w:noProof w:val="0"/>
          <w:sz w:val="26"/>
          <w:szCs w:val="26"/>
          <w:rtl/>
        </w:rPr>
        <w:t xml:space="preserve">אבחנות </w:t>
      </w:r>
      <w:r>
        <w:rPr>
          <w:rFonts w:cs="Times New Roman"/>
          <w:b/>
          <w:bCs/>
          <w:noProof w:val="0"/>
          <w:sz w:val="20"/>
          <w:szCs w:val="20"/>
        </w:rPr>
        <w:t>PTSD</w:t>
      </w:r>
      <w:r>
        <w:rPr>
          <w:rFonts w:ascii="David" w:hAnsi="David"/>
          <w:b/>
          <w:bCs/>
          <w:noProof w:val="0"/>
          <w:sz w:val="26"/>
          <w:szCs w:val="26"/>
          <w:rtl/>
        </w:rPr>
        <w:t xml:space="preserve"> עם הפרעות פסיכוסומאטיות.</w:t>
      </w:r>
    </w:p>
    <w:p w:rsidR="00EA1E45" w:rsidRDefault="00EA1E45" w:rsidP="00EA1E45">
      <w:pPr>
        <w:ind w:left="850" w:right="426"/>
        <w:contextualSpacing/>
        <w:jc w:val="both"/>
        <w:rPr>
          <w:rFonts w:ascii="David" w:hAnsi="David"/>
          <w:b/>
          <w:bCs/>
          <w:noProof w:val="0"/>
          <w:sz w:val="26"/>
          <w:szCs w:val="26"/>
        </w:rPr>
      </w:pPr>
      <w:r>
        <w:rPr>
          <w:rFonts w:ascii="David" w:hAnsi="David"/>
          <w:b/>
          <w:bCs/>
          <w:noProof w:val="0"/>
          <w:sz w:val="26"/>
          <w:szCs w:val="26"/>
          <w:rtl/>
        </w:rPr>
        <w:t>הוועדה התכנסה מתוקף פס"ד מיום 21.10.18 ופועל על פיו:</w:t>
      </w:r>
    </w:p>
    <w:p w:rsidR="00EA1E45" w:rsidRDefault="00EA1E45" w:rsidP="00EA1E45">
      <w:pPr>
        <w:ind w:left="850" w:right="426"/>
        <w:contextualSpacing/>
        <w:jc w:val="both"/>
        <w:rPr>
          <w:rFonts w:ascii="David" w:hAnsi="David"/>
          <w:b/>
          <w:bCs/>
          <w:noProof w:val="0"/>
          <w:sz w:val="16"/>
          <w:szCs w:val="16"/>
          <w:rtl/>
        </w:rPr>
      </w:pPr>
    </w:p>
    <w:p w:rsidR="00EA1E45" w:rsidRDefault="00EA1E45" w:rsidP="00EA1E45">
      <w:pPr>
        <w:ind w:left="1134" w:right="426" w:hanging="284"/>
        <w:contextualSpacing/>
        <w:jc w:val="both"/>
        <w:rPr>
          <w:rFonts w:ascii="David" w:hAnsi="David"/>
          <w:b/>
          <w:bCs/>
          <w:noProof w:val="0"/>
          <w:sz w:val="26"/>
          <w:szCs w:val="26"/>
          <w:rtl/>
        </w:rPr>
      </w:pPr>
      <w:r>
        <w:rPr>
          <w:rFonts w:ascii="David" w:hAnsi="David"/>
          <w:b/>
          <w:bCs/>
          <w:noProof w:val="0"/>
          <w:sz w:val="26"/>
          <w:szCs w:val="26"/>
          <w:rtl/>
        </w:rPr>
        <w:t xml:space="preserve">1. </w:t>
      </w:r>
      <w:r>
        <w:rPr>
          <w:rFonts w:ascii="David" w:hAnsi="David"/>
          <w:b/>
          <w:bCs/>
          <w:noProof w:val="0"/>
          <w:sz w:val="26"/>
          <w:szCs w:val="26"/>
          <w:rtl/>
        </w:rPr>
        <w:tab/>
        <w:t xml:space="preserve">לענין הנפשי הועדה שבה ודנה בנכות הנפשית של התובעת תוך עיון בחוו"ד של ד"ר רושקה מיום 17.1.18 ו 3.2.19 בחוו"ד של ד"ר סקולסקי מיום 31.7.17 אין כדי להשפיע על הערכת חומרת נכותה הנפשית אשר מבוססת על בדיקה קלינית/פסיכיאטרית של הועדה והתיעוד הרפואי פסיכיאטרי. בבדיקה הקלינית של הועדה בניגוד לבדיקתו של ד"ר רושקה ב 2 חוו"ד לא נמצאו הפרעות בתפקודים קוגנטיביים לא הייתה עדות למחשבות התאבדות או לחוסר טעם לחיים ומשאלות מוות. התובעת לא ביצעה ניסיונות התאבדות לא אושפזה מעולם אשפוזים פסיכיאטריים ולכן לשאלת ביה"ד לגבי הגדרת חומרת ההפרעה בסעיף 17א מדובר בחומרה בינונית עד קשה כאמור והוועדה מסתמכת בקביעתה ביכולת השיקומית של התובעת כפי שכתבה עו"ס יעל לוי ב4.2.19 לפיו מראה רצון לצאת מהבית להתחיל לדאוג לבריאותה הגופנית עם רצון עז בשינוי ושיקום חייה. לגבי כושר העבודה ישנה הפעלת תקנה 15 במלואה המעידה על ההגבלה והקושי לצאת לעבודה ואובדן מקצוע אך אינה מתייחסת ליכולת השיקומית הבאה לידי ביטוי בקביעת אחוזי הנכות הנפשית. מדובר ברימיסיה חלקית מתמשכת על כן לא מדובר בהתקפים חוזרים מבחינת מצב נפשי. </w:t>
      </w:r>
    </w:p>
    <w:p w:rsidR="00EA1E45" w:rsidRDefault="00EA1E45" w:rsidP="00EA1E45">
      <w:pPr>
        <w:ind w:left="1134" w:right="426" w:hanging="284"/>
        <w:contextualSpacing/>
        <w:jc w:val="both"/>
        <w:rPr>
          <w:rFonts w:ascii="David" w:hAnsi="David"/>
          <w:b/>
          <w:bCs/>
          <w:noProof w:val="0"/>
          <w:sz w:val="16"/>
          <w:szCs w:val="16"/>
          <w:rtl/>
        </w:rPr>
      </w:pPr>
    </w:p>
    <w:p w:rsidR="00EA1E45" w:rsidRDefault="00EA1E45" w:rsidP="00EA1E45">
      <w:pPr>
        <w:ind w:left="1134" w:right="426"/>
        <w:contextualSpacing/>
        <w:jc w:val="both"/>
        <w:rPr>
          <w:rFonts w:ascii="David" w:hAnsi="David"/>
          <w:b/>
          <w:bCs/>
          <w:noProof w:val="0"/>
          <w:sz w:val="26"/>
          <w:szCs w:val="26"/>
          <w:rtl/>
        </w:rPr>
      </w:pPr>
      <w:r>
        <w:rPr>
          <w:rFonts w:ascii="David" w:hAnsi="David"/>
          <w:b/>
          <w:bCs/>
          <w:noProof w:val="0"/>
          <w:sz w:val="26"/>
          <w:szCs w:val="26"/>
          <w:rtl/>
        </w:rPr>
        <w:t>בחוו"ד של ד"ר רושקה מופיעות 2 אבחנות אשר הוועדה לא התייחסה בהעדר קש"ס לתאונה הנדונה. הראשון אפיזודה דכאונית ביונית מאחר ולא נמצאה עדות למצב דכאוני בבדיקות הקליניות של הועדה. השניה הפרעת אישיות לא יציבה מהסוג האימפולסיבי אשר מהווה הפרעה התפתחותית לא קשורה סיבתית לתאונה.</w:t>
      </w:r>
    </w:p>
    <w:p w:rsidR="00EA1E45" w:rsidRDefault="00EA1E45" w:rsidP="00EA1E45">
      <w:pPr>
        <w:ind w:left="1134" w:right="426"/>
        <w:contextualSpacing/>
        <w:jc w:val="both"/>
        <w:rPr>
          <w:rFonts w:ascii="David" w:hAnsi="David"/>
          <w:b/>
          <w:bCs/>
          <w:noProof w:val="0"/>
          <w:sz w:val="16"/>
          <w:szCs w:val="16"/>
          <w:rtl/>
        </w:rPr>
      </w:pPr>
    </w:p>
    <w:p w:rsidR="00EA1E45" w:rsidRDefault="00EA1E45" w:rsidP="00EA1E45">
      <w:pPr>
        <w:ind w:left="1134" w:right="426" w:hanging="284"/>
        <w:contextualSpacing/>
        <w:jc w:val="both"/>
        <w:rPr>
          <w:rFonts w:ascii="David" w:hAnsi="David"/>
          <w:b/>
          <w:bCs/>
          <w:noProof w:val="0"/>
          <w:sz w:val="26"/>
          <w:szCs w:val="26"/>
          <w:rtl/>
        </w:rPr>
      </w:pPr>
      <w:r>
        <w:rPr>
          <w:rFonts w:ascii="David" w:hAnsi="David"/>
          <w:b/>
          <w:bCs/>
          <w:noProof w:val="0"/>
          <w:sz w:val="26"/>
          <w:szCs w:val="26"/>
          <w:rtl/>
        </w:rPr>
        <w:t xml:space="preserve">2. לענין </w:t>
      </w:r>
      <w:r>
        <w:rPr>
          <w:rFonts w:cs="Times New Roman"/>
          <w:b/>
          <w:bCs/>
          <w:noProof w:val="0"/>
          <w:sz w:val="20"/>
          <w:szCs w:val="20"/>
        </w:rPr>
        <w:t>FMF</w:t>
      </w:r>
      <w:r>
        <w:rPr>
          <w:rFonts w:ascii="David" w:hAnsi="David"/>
          <w:b/>
          <w:bCs/>
          <w:noProof w:val="0"/>
          <w:sz w:val="26"/>
          <w:szCs w:val="26"/>
          <w:rtl/>
        </w:rPr>
        <w:t xml:space="preserve"> הועדה מצינת כי בתאריך 18.1.18 התובעת מסרה לועדה (כפי שמצויין בפרוטוקול הועדה עליו היא חתומה) כי התובעת לא הייתה בטיפול או מעקב ראומטולוגי בשל החמרה במחלת ה-</w:t>
      </w:r>
      <w:r>
        <w:rPr>
          <w:rFonts w:cs="Times New Roman"/>
          <w:b/>
          <w:bCs/>
          <w:noProof w:val="0"/>
          <w:sz w:val="20"/>
          <w:szCs w:val="20"/>
        </w:rPr>
        <w:t>FMF</w:t>
      </w:r>
      <w:r>
        <w:rPr>
          <w:rFonts w:ascii="David" w:hAnsi="David"/>
          <w:b/>
          <w:bCs/>
          <w:noProof w:val="0"/>
          <w:sz w:val="26"/>
          <w:szCs w:val="26"/>
          <w:rtl/>
        </w:rPr>
        <w:t xml:space="preserve"> לאחר התאונה הנדונה. הוועדה מציינת כי גם בחוו"ד של ד"ר הנדזל וד"ר סוקולסקי התייחסות וההמלצות לנכות רפואית אינה קשורה בהחמרה של </w:t>
      </w:r>
      <w:r>
        <w:rPr>
          <w:rFonts w:cs="Times New Roman"/>
          <w:b/>
          <w:bCs/>
          <w:noProof w:val="0"/>
          <w:sz w:val="20"/>
          <w:szCs w:val="20"/>
        </w:rPr>
        <w:t>FMF</w:t>
      </w:r>
      <w:r>
        <w:rPr>
          <w:rFonts w:ascii="David" w:hAnsi="David"/>
          <w:b/>
          <w:bCs/>
          <w:noProof w:val="0"/>
          <w:sz w:val="26"/>
          <w:szCs w:val="26"/>
          <w:rtl/>
        </w:rPr>
        <w:t xml:space="preserve"> אלא בבעייה הנפשית ועל כן בהעדר תיעוד רפואי על החמרה משמעותית של המחלה והיעדר מעקב ראומטולוגי והעובדה שסבלה מהמחלה קודם לתאונה הנדונה לדעת הועדה אין מקום לקבוע נכות בגין </w:t>
      </w:r>
      <w:r>
        <w:rPr>
          <w:rFonts w:cs="Times New Roman"/>
          <w:b/>
          <w:bCs/>
          <w:noProof w:val="0"/>
          <w:sz w:val="20"/>
          <w:szCs w:val="20"/>
        </w:rPr>
        <w:t>FMF</w:t>
      </w:r>
      <w:r>
        <w:rPr>
          <w:rFonts w:ascii="David" w:hAnsi="David"/>
          <w:b/>
          <w:bCs/>
          <w:noProof w:val="0"/>
          <w:sz w:val="26"/>
          <w:szCs w:val="26"/>
          <w:rtl/>
        </w:rPr>
        <w:t xml:space="preserve"> והחמרתה הקשורה לתאונה הנדונה.</w:t>
      </w:r>
    </w:p>
    <w:p w:rsidR="00EA1E45" w:rsidRDefault="00EA1E45" w:rsidP="00EA1E45">
      <w:pPr>
        <w:ind w:left="1134" w:right="426" w:hanging="284"/>
        <w:contextualSpacing/>
        <w:jc w:val="both"/>
        <w:rPr>
          <w:rFonts w:ascii="David" w:hAnsi="David"/>
          <w:b/>
          <w:bCs/>
          <w:noProof w:val="0"/>
          <w:sz w:val="16"/>
          <w:szCs w:val="16"/>
        </w:rPr>
      </w:pPr>
    </w:p>
    <w:p w:rsidR="00EA1E45" w:rsidRDefault="00EA1E45" w:rsidP="00EA1E45">
      <w:pPr>
        <w:ind w:left="1134" w:right="426"/>
        <w:contextualSpacing/>
        <w:jc w:val="both"/>
        <w:rPr>
          <w:rFonts w:ascii="David" w:hAnsi="David"/>
          <w:b/>
          <w:bCs/>
          <w:noProof w:val="0"/>
          <w:sz w:val="26"/>
          <w:szCs w:val="26"/>
          <w:rtl/>
        </w:rPr>
      </w:pPr>
      <w:r>
        <w:rPr>
          <w:rFonts w:ascii="David" w:hAnsi="David"/>
          <w:b/>
          <w:bCs/>
          <w:noProof w:val="0"/>
          <w:sz w:val="26"/>
          <w:szCs w:val="26"/>
          <w:rtl/>
        </w:rPr>
        <w:t>לדעת הוועדה ובהתאם לתיעוד הרפואי שקיים טרם התאונה ביטוי המחלה היו כאבי פרקים ולאחר התאונה אין כל תיעוד רפואי על החמרה ועל כן הועדה סבורה שאין מקום להקנות נכות נפרדת בגין</w:t>
      </w:r>
      <w:r>
        <w:rPr>
          <w:rFonts w:cs="Times New Roman"/>
          <w:b/>
          <w:bCs/>
          <w:noProof w:val="0"/>
          <w:sz w:val="20"/>
          <w:szCs w:val="20"/>
        </w:rPr>
        <w:t>FMF</w:t>
      </w:r>
      <w:r>
        <w:rPr>
          <w:rFonts w:ascii="David" w:hAnsi="David"/>
          <w:b/>
          <w:bCs/>
          <w:noProof w:val="0"/>
          <w:sz w:val="26"/>
          <w:szCs w:val="26"/>
        </w:rPr>
        <w:t xml:space="preserve"> </w:t>
      </w:r>
      <w:r>
        <w:rPr>
          <w:rFonts w:ascii="David" w:hAnsi="David"/>
          <w:b/>
          <w:bCs/>
          <w:noProof w:val="0"/>
          <w:sz w:val="26"/>
          <w:szCs w:val="26"/>
          <w:rtl/>
        </w:rPr>
        <w:t xml:space="preserve"> וההחמרה לה טוענת התובעת. הועדה מדגישה שלא זו בלבד שהתובעת לא הציגה מסמכים רפואיים התומכים בהחמרתה של מחלת ה-</w:t>
      </w:r>
      <w:r>
        <w:rPr>
          <w:rFonts w:cs="Times New Roman"/>
          <w:b/>
          <w:bCs/>
          <w:noProof w:val="0"/>
          <w:sz w:val="20"/>
          <w:szCs w:val="20"/>
        </w:rPr>
        <w:t>FMF</w:t>
      </w:r>
      <w:r>
        <w:rPr>
          <w:rFonts w:ascii="David" w:hAnsi="David"/>
          <w:b/>
          <w:bCs/>
          <w:noProof w:val="0"/>
          <w:sz w:val="26"/>
          <w:szCs w:val="26"/>
          <w:rtl/>
        </w:rPr>
        <w:t xml:space="preserve"> היא גם מסרה בועדה שלא הייתה במעקב ראומטולוגי בגין מחלה זו. למרות ממצאיו של פרופ' בן שטרית המעידים על השפעת </w:t>
      </w:r>
      <w:r>
        <w:rPr>
          <w:rFonts w:cs="Times New Roman"/>
          <w:b/>
          <w:bCs/>
          <w:noProof w:val="0"/>
          <w:sz w:val="20"/>
          <w:szCs w:val="20"/>
        </w:rPr>
        <w:t>PTSD</w:t>
      </w:r>
      <w:r>
        <w:rPr>
          <w:rFonts w:ascii="David" w:hAnsi="David"/>
          <w:b/>
          <w:bCs/>
          <w:noProof w:val="0"/>
          <w:sz w:val="26"/>
          <w:szCs w:val="26"/>
          <w:rtl/>
        </w:rPr>
        <w:t xml:space="preserve"> להחמרה במחלת ה-</w:t>
      </w:r>
      <w:r>
        <w:rPr>
          <w:rFonts w:cs="Times New Roman"/>
          <w:b/>
          <w:bCs/>
          <w:noProof w:val="0"/>
          <w:sz w:val="20"/>
          <w:szCs w:val="20"/>
        </w:rPr>
        <w:t>FMF</w:t>
      </w:r>
      <w:r>
        <w:rPr>
          <w:rFonts w:ascii="David" w:hAnsi="David"/>
          <w:b/>
          <w:bCs/>
          <w:noProof w:val="0"/>
          <w:sz w:val="26"/>
          <w:szCs w:val="26"/>
          <w:rtl/>
        </w:rPr>
        <w:t xml:space="preserve"> הרי שלא הוצג בפני הוועדה מסמכים המעידים על החמרה זו. </w:t>
      </w:r>
    </w:p>
    <w:p w:rsidR="00EA1E45" w:rsidRDefault="00EA1E45" w:rsidP="00EA1E45">
      <w:pPr>
        <w:ind w:left="1134" w:right="426"/>
        <w:contextualSpacing/>
        <w:jc w:val="both"/>
        <w:rPr>
          <w:rFonts w:ascii="David" w:hAnsi="David"/>
          <w:b/>
          <w:bCs/>
          <w:noProof w:val="0"/>
          <w:sz w:val="16"/>
          <w:szCs w:val="16"/>
          <w:rtl/>
        </w:rPr>
      </w:pPr>
    </w:p>
    <w:p w:rsidR="00C66797" w:rsidRDefault="00EA1E45" w:rsidP="00EA1E45">
      <w:pPr>
        <w:ind w:left="1134" w:right="426" w:hanging="284"/>
        <w:contextualSpacing/>
        <w:jc w:val="both"/>
        <w:rPr>
          <w:rFonts w:ascii="David" w:hAnsi="David"/>
          <w:b/>
          <w:bCs/>
          <w:noProof w:val="0"/>
          <w:sz w:val="26"/>
          <w:szCs w:val="26"/>
          <w:rtl/>
        </w:rPr>
      </w:pPr>
      <w:r>
        <w:rPr>
          <w:rFonts w:ascii="David" w:hAnsi="David"/>
          <w:b/>
          <w:bCs/>
          <w:noProof w:val="0"/>
          <w:sz w:val="26"/>
          <w:szCs w:val="26"/>
          <w:rtl/>
        </w:rPr>
        <w:t xml:space="preserve">3. </w:t>
      </w:r>
      <w:r>
        <w:rPr>
          <w:rFonts w:ascii="David" w:hAnsi="David"/>
          <w:b/>
          <w:bCs/>
          <w:noProof w:val="0"/>
          <w:sz w:val="26"/>
          <w:szCs w:val="26"/>
          <w:rtl/>
        </w:rPr>
        <w:tab/>
        <w:t xml:space="preserve">לענין הידרדניטיס בועדה מיום 9.6.16 נקבע כי ישנה סבירות כי ירידה בתנודות גורמים לזיהומים בקטריאלים חוזרים בעיקר באזור המפשעות בעתיים של זיהומים אלה הציגה תיעוד לפיו בוצעו ניקוזים מקומיים בהתאם לצורך. ככל שהוועדה מקבלת את הקשר הזה הליקוי המתאים הינו </w:t>
      </w:r>
    </w:p>
    <w:p w:rsidR="00EA1E45" w:rsidRDefault="00EA1E45" w:rsidP="00C66797">
      <w:pPr>
        <w:ind w:left="1134" w:right="426"/>
        <w:contextualSpacing/>
        <w:jc w:val="both"/>
        <w:rPr>
          <w:rFonts w:ascii="David" w:hAnsi="David"/>
          <w:b/>
          <w:bCs/>
          <w:noProof w:val="0"/>
          <w:sz w:val="26"/>
          <w:szCs w:val="26"/>
          <w:rtl/>
        </w:rPr>
      </w:pPr>
      <w:r>
        <w:rPr>
          <w:rFonts w:ascii="David" w:hAnsi="David"/>
          <w:b/>
          <w:bCs/>
          <w:noProof w:val="0"/>
          <w:sz w:val="26"/>
          <w:szCs w:val="26"/>
          <w:rtl/>
        </w:rPr>
        <w:lastRenderedPageBreak/>
        <w:t>עבור צלקות מכאיבות ומכערות לפי סעיף 75. אם התלונות לענין הצלקות נמשכות הוועדה סבורה שיש מקום להעניק בגין תלונות אלה נכות בשיעור 10% לפי סעיף 75(1)(ב) ובמקביל להפחית ערך נכות זו מנכותה הנפשית כפי שנקבעה בוועדה קודמת בשיעור 40% כלומר נכותה הנפשית תהיה 30% הזיהומים נגרמים בשל פלורה טבעית אשר נמצאת על עור גופה ויש אפשרות לטפל הם התקפים שעליהם קיבלה את הנכות הנ"ל (הופעת זיהומים) כלולים בנכות עבור הצלקות לפיכך אין כפל נכויות לענין התלונות של הזיהומים בעור.</w:t>
      </w:r>
    </w:p>
    <w:p w:rsidR="00EA1E45" w:rsidRDefault="00EA1E45" w:rsidP="00EA1E45">
      <w:pPr>
        <w:ind w:left="1134" w:right="426" w:hanging="284"/>
        <w:contextualSpacing/>
        <w:jc w:val="both"/>
        <w:rPr>
          <w:rFonts w:ascii="David" w:hAnsi="David"/>
          <w:b/>
          <w:bCs/>
          <w:noProof w:val="0"/>
          <w:sz w:val="16"/>
          <w:szCs w:val="16"/>
        </w:rPr>
      </w:pPr>
    </w:p>
    <w:p w:rsidR="00EA1E45" w:rsidRDefault="00EA1E45" w:rsidP="00EA1E45">
      <w:pPr>
        <w:ind w:left="1134" w:right="426"/>
        <w:contextualSpacing/>
        <w:jc w:val="both"/>
        <w:rPr>
          <w:rFonts w:ascii="David" w:hAnsi="David"/>
          <w:b/>
          <w:bCs/>
          <w:noProof w:val="0"/>
          <w:sz w:val="26"/>
          <w:szCs w:val="26"/>
          <w:rtl/>
        </w:rPr>
      </w:pPr>
      <w:r>
        <w:rPr>
          <w:rFonts w:ascii="David" w:hAnsi="David"/>
          <w:b/>
          <w:bCs/>
          <w:noProof w:val="0"/>
          <w:sz w:val="26"/>
          <w:szCs w:val="26"/>
          <w:rtl/>
        </w:rPr>
        <w:t>כיוון שקביעת הנכות באופן זה יפגע בתובעת הרי שהוועדה מותירה את הנכות בשיעור 40% על כנה. יש לציין כי ההכרה בשנת 2016 בגין התלונות בעור לתאונה הנדונה בקש"ס בין התלונות בעור לתאונה הנדונה נעשתה לפנים משורת הדין לאור הקשר האפשרי בין מצבה הנפשי לתפקוד מערכת חיסונית כפי שהמליץ ד"ר הנ[ד]זל.</w:t>
      </w:r>
      <w:r>
        <w:rPr>
          <w:rFonts w:ascii="David" w:hAnsi="David"/>
          <w:noProof w:val="0"/>
          <w:sz w:val="26"/>
          <w:szCs w:val="26"/>
          <w:rtl/>
        </w:rPr>
        <w:t>"</w:t>
      </w:r>
      <w:r>
        <w:rPr>
          <w:rFonts w:ascii="David" w:hAnsi="David"/>
          <w:b/>
          <w:bCs/>
          <w:noProof w:val="0"/>
          <w:sz w:val="26"/>
          <w:szCs w:val="26"/>
          <w:rtl/>
        </w:rPr>
        <w:t xml:space="preserve"> </w:t>
      </w:r>
    </w:p>
    <w:p w:rsidR="00EA1E45" w:rsidRDefault="00EA1E45" w:rsidP="00EA1E45">
      <w:pPr>
        <w:ind w:left="850" w:right="426"/>
        <w:contextualSpacing/>
        <w:jc w:val="both"/>
        <w:rPr>
          <w:rFonts w:ascii="David" w:hAnsi="David"/>
          <w:noProof w:val="0"/>
          <w:sz w:val="26"/>
          <w:szCs w:val="26"/>
          <w:rtl/>
        </w:rPr>
      </w:pPr>
    </w:p>
    <w:p w:rsidR="00EA1E45" w:rsidRDefault="00EA1E45" w:rsidP="002944D2">
      <w:pPr>
        <w:numPr>
          <w:ilvl w:val="0"/>
          <w:numId w:val="1"/>
        </w:numPr>
        <w:spacing w:line="360" w:lineRule="auto"/>
        <w:ind w:left="425" w:hanging="425"/>
        <w:contextualSpacing/>
        <w:jc w:val="both"/>
        <w:rPr>
          <w:rFonts w:ascii="Arial" w:hAnsi="Arial"/>
          <w:noProof w:val="0"/>
          <w:sz w:val="28"/>
          <w:szCs w:val="28"/>
        </w:rPr>
      </w:pPr>
      <w:r>
        <w:rPr>
          <w:rFonts w:ascii="Arial" w:hAnsi="Arial"/>
          <w:noProof w:val="0"/>
          <w:sz w:val="28"/>
          <w:szCs w:val="28"/>
          <w:rtl/>
        </w:rPr>
        <w:t xml:space="preserve">המערערת שבה וערערה על החלטת הוועדה. בית הדין האזורי (השופטת שרה שדיאור; ב"ל </w:t>
      </w:r>
      <w:r w:rsidR="002944D2" w:rsidRPr="002944D2">
        <w:rPr>
          <w:rFonts w:hint="cs"/>
          <w:noProof w:val="0"/>
          <w:sz w:val="22"/>
          <w:szCs w:val="22"/>
        </w:rPr>
        <w:t>XXX</w:t>
      </w:r>
      <w:r>
        <w:rPr>
          <w:rFonts w:ascii="Arial" w:hAnsi="Arial"/>
          <w:noProof w:val="0"/>
          <w:sz w:val="28"/>
          <w:szCs w:val="28"/>
          <w:rtl/>
        </w:rPr>
        <w:t xml:space="preserve">) קיבל חלקית את הערעור (להלן - </w:t>
      </w:r>
      <w:r>
        <w:rPr>
          <w:rFonts w:ascii="Arial" w:hAnsi="Arial"/>
          <w:b/>
          <w:bCs/>
          <w:noProof w:val="0"/>
          <w:sz w:val="28"/>
          <w:szCs w:val="28"/>
          <w:rtl/>
        </w:rPr>
        <w:t>פסק הדין הרביעי</w:t>
      </w:r>
      <w:r>
        <w:rPr>
          <w:rFonts w:ascii="Arial" w:hAnsi="Arial"/>
          <w:noProof w:val="0"/>
          <w:sz w:val="28"/>
          <w:szCs w:val="28"/>
          <w:rtl/>
        </w:rPr>
        <w:t xml:space="preserve"> </w:t>
      </w:r>
      <w:r>
        <w:rPr>
          <w:rFonts w:ascii="Arial" w:hAnsi="Arial"/>
          <w:b/>
          <w:bCs/>
          <w:noProof w:val="0"/>
          <w:sz w:val="28"/>
          <w:szCs w:val="28"/>
          <w:rtl/>
        </w:rPr>
        <w:t>או פסק הדין המחזיר</w:t>
      </w:r>
      <w:r>
        <w:rPr>
          <w:rFonts w:ascii="Arial" w:hAnsi="Arial"/>
          <w:noProof w:val="0"/>
          <w:sz w:val="28"/>
          <w:szCs w:val="28"/>
          <w:rtl/>
        </w:rPr>
        <w:t>) וקבע כדלקמן:</w:t>
      </w:r>
    </w:p>
    <w:p w:rsidR="00EA1E45" w:rsidRDefault="00EA1E45" w:rsidP="00EA1E45">
      <w:pPr>
        <w:ind w:left="1417" w:right="426" w:hanging="567"/>
        <w:contextualSpacing/>
        <w:jc w:val="both"/>
        <w:rPr>
          <w:rFonts w:ascii="David" w:hAnsi="David"/>
          <w:b/>
          <w:bCs/>
          <w:noProof w:val="0"/>
          <w:sz w:val="26"/>
          <w:szCs w:val="26"/>
          <w:rtl/>
        </w:rPr>
      </w:pPr>
      <w:r>
        <w:rPr>
          <w:rFonts w:ascii="David" w:hAnsi="David"/>
          <w:b/>
          <w:bCs/>
          <w:noProof w:val="0"/>
          <w:sz w:val="26"/>
          <w:szCs w:val="26"/>
          <w:rtl/>
        </w:rPr>
        <w:t xml:space="preserve">"37. עניינה של המערערת יוחזר לוועדה לעררים על מנת שתדון במצבה הנפשי, תתייחס לחוות דעת ד"ר רושקה בנוגע להחלת סעיף 34(ב)(6), לחילופין ליישום 34(ב)(5) על פי הגדרת מצבה בפרוטוקול הקודם על פי הוועדה עצמה וכן על פי היעדר כושר עבודה בחוות דעת ד"ר סקולסקי וד"ר רושקה ואחרים כמפורט לעיל בפסה"ד. עניין זה אף הוסכם על ידי המשיב בהודעה מטעם המשיב ביום 18/08/19 אשר הסכים כי הוועדה תבהיר אם מצבה עשוי לענות להוראות סעיף 34(ב)(5) המקנה 50% והדורש קיומה של הפרעה קשה בתפקוד הנפשי והחברתי. לעניין זה יש ביטוי בחוות הדעת של ד"ר רושקה וד"ר סקולסקי המתייחס אף למצב עם בני המשפחה ועל הוועדה להתייחס לכך. דהיינו, על הוועדה להתייחס לכלל רכיבי סעיף 34(ב)(5). </w:t>
      </w:r>
    </w:p>
    <w:p w:rsidR="00EA1E45" w:rsidRDefault="00EA1E45" w:rsidP="00EA1E45">
      <w:pPr>
        <w:ind w:left="1417" w:right="426" w:hanging="567"/>
        <w:contextualSpacing/>
        <w:jc w:val="both"/>
        <w:rPr>
          <w:rFonts w:ascii="David" w:hAnsi="David"/>
          <w:b/>
          <w:bCs/>
          <w:noProof w:val="0"/>
          <w:sz w:val="16"/>
          <w:szCs w:val="16"/>
        </w:rPr>
      </w:pPr>
    </w:p>
    <w:p w:rsidR="00EA1E45" w:rsidRDefault="00EA1E45" w:rsidP="00EA1E45">
      <w:pPr>
        <w:ind w:left="1417" w:right="426" w:hanging="567"/>
        <w:contextualSpacing/>
        <w:jc w:val="both"/>
        <w:rPr>
          <w:rFonts w:ascii="David" w:hAnsi="David"/>
          <w:b/>
          <w:bCs/>
          <w:noProof w:val="0"/>
          <w:sz w:val="26"/>
          <w:szCs w:val="26"/>
          <w:rtl/>
        </w:rPr>
      </w:pPr>
      <w:r>
        <w:rPr>
          <w:rFonts w:ascii="David" w:hAnsi="David"/>
          <w:b/>
          <w:bCs/>
          <w:noProof w:val="0"/>
          <w:sz w:val="26"/>
          <w:szCs w:val="26"/>
          <w:rtl/>
        </w:rPr>
        <w:t xml:space="preserve">38. </w:t>
      </w:r>
      <w:r>
        <w:rPr>
          <w:rFonts w:ascii="David" w:hAnsi="David"/>
          <w:b/>
          <w:bCs/>
          <w:noProof w:val="0"/>
          <w:sz w:val="26"/>
          <w:szCs w:val="26"/>
          <w:rtl/>
        </w:rPr>
        <w:tab/>
        <w:t>בנוסף תדון הוועדה במחלת ההידרדניטיס, שכן הכירה בקיומו של קשר סיבתי בין מחלה זו וביטויה, לרבות הצלקות, לבין מצבה הנפשי של המערערת, כך גם הוכר בחוו"ד רבות כמפורט לעיל. הוועדה תיתן דעתה על מתן הסעיף בנפרד, תוך בדיקה מחדש של הסעיף אותו יש לייחס למערערת לאחר בדיקת צלקות גופה והתצלומים שתגיש, כאמור לעיל. הוועדה תתייחס למחלה ותקבע את נכותה על פי הסעיף המתאים(75(ג) או 80 בחלופותיו), לאחר מכן תבהיר את הפרדת הנכויות. לתשומת לב הוועדה כי הנכות בעניין זה אינה מנופה לצורך נפגעי עבודה.</w:t>
      </w:r>
    </w:p>
    <w:p w:rsidR="00EA1E45" w:rsidRDefault="00EA1E45" w:rsidP="00EA1E45">
      <w:pPr>
        <w:ind w:left="1417" w:right="426" w:hanging="567"/>
        <w:contextualSpacing/>
        <w:jc w:val="both"/>
        <w:rPr>
          <w:rFonts w:ascii="David" w:hAnsi="David"/>
          <w:b/>
          <w:bCs/>
          <w:noProof w:val="0"/>
          <w:sz w:val="16"/>
          <w:szCs w:val="16"/>
          <w:rtl/>
        </w:rPr>
      </w:pPr>
    </w:p>
    <w:p w:rsidR="00EA1E45" w:rsidRDefault="00EA1E45" w:rsidP="00EA1E45">
      <w:pPr>
        <w:ind w:left="1417" w:right="426" w:hanging="567"/>
        <w:contextualSpacing/>
        <w:jc w:val="both"/>
        <w:rPr>
          <w:rFonts w:ascii="David" w:hAnsi="David"/>
          <w:b/>
          <w:bCs/>
          <w:noProof w:val="0"/>
          <w:sz w:val="26"/>
          <w:szCs w:val="26"/>
          <w:rtl/>
        </w:rPr>
      </w:pPr>
      <w:r>
        <w:rPr>
          <w:rFonts w:ascii="David" w:hAnsi="David"/>
          <w:b/>
          <w:bCs/>
          <w:noProof w:val="0"/>
          <w:sz w:val="26"/>
          <w:szCs w:val="26"/>
          <w:rtl/>
        </w:rPr>
        <w:t xml:space="preserve">39. </w:t>
      </w:r>
      <w:r>
        <w:rPr>
          <w:rFonts w:ascii="David" w:hAnsi="David"/>
          <w:b/>
          <w:bCs/>
          <w:noProof w:val="0"/>
          <w:sz w:val="26"/>
          <w:szCs w:val="26"/>
          <w:rtl/>
        </w:rPr>
        <w:tab/>
        <w:t>באשר לעניין ה-</w:t>
      </w:r>
      <w:r>
        <w:rPr>
          <w:rFonts w:cs="Times New Roman"/>
          <w:b/>
          <w:bCs/>
          <w:noProof w:val="0"/>
          <w:sz w:val="20"/>
          <w:szCs w:val="20"/>
        </w:rPr>
        <w:t>FMF</w:t>
      </w:r>
      <w:r>
        <w:rPr>
          <w:rFonts w:ascii="David" w:hAnsi="David"/>
          <w:b/>
          <w:bCs/>
          <w:noProof w:val="0"/>
          <w:sz w:val="26"/>
          <w:szCs w:val="26"/>
          <w:rtl/>
        </w:rPr>
        <w:t xml:space="preserve"> תתיחס לצילומים כמפורט לעיל, לחוות דעת פרופ' בן שטרית ולמצוטט בחוו"ד פרו' הנדזל ורופאים אחרים.</w:t>
      </w:r>
    </w:p>
    <w:p w:rsidR="00EA1E45" w:rsidRDefault="00EA1E45" w:rsidP="00EA1E45">
      <w:pPr>
        <w:ind w:left="1417" w:right="426" w:hanging="567"/>
        <w:contextualSpacing/>
        <w:jc w:val="both"/>
        <w:rPr>
          <w:rFonts w:ascii="David" w:hAnsi="David"/>
          <w:b/>
          <w:bCs/>
          <w:noProof w:val="0"/>
          <w:sz w:val="16"/>
          <w:szCs w:val="16"/>
        </w:rPr>
      </w:pPr>
    </w:p>
    <w:p w:rsidR="00EA1E45" w:rsidRDefault="00EA1E45" w:rsidP="00EA1E45">
      <w:pPr>
        <w:ind w:left="1417" w:right="426" w:hanging="567"/>
        <w:contextualSpacing/>
        <w:jc w:val="both"/>
        <w:rPr>
          <w:rFonts w:ascii="David" w:hAnsi="David"/>
          <w:b/>
          <w:bCs/>
          <w:noProof w:val="0"/>
          <w:sz w:val="26"/>
          <w:szCs w:val="26"/>
          <w:rtl/>
        </w:rPr>
      </w:pPr>
      <w:r>
        <w:rPr>
          <w:rFonts w:ascii="David" w:hAnsi="David"/>
          <w:b/>
          <w:bCs/>
          <w:noProof w:val="0"/>
          <w:sz w:val="26"/>
          <w:szCs w:val="26"/>
          <w:rtl/>
        </w:rPr>
        <w:t xml:space="preserve">40. </w:t>
      </w:r>
      <w:r>
        <w:rPr>
          <w:rFonts w:ascii="David" w:hAnsi="David"/>
          <w:b/>
          <w:bCs/>
          <w:noProof w:val="0"/>
          <w:sz w:val="26"/>
          <w:szCs w:val="26"/>
          <w:rtl/>
        </w:rPr>
        <w:tab/>
        <w:t>בעת החזרת עניינה של המערערת לוועדה יובא בפניה שוב פסק דינו של כב' השופט איתם במלואו וזאת יחד עם מלוא פסק דין זה והתמונות שהגישה המערערת בהליך (מסמך המערערת ונספחיו שהוגשו ביום 29/07/18)</w:t>
      </w:r>
    </w:p>
    <w:p w:rsidR="00EA1E45" w:rsidRDefault="00EA1E45" w:rsidP="00EA1E45">
      <w:pPr>
        <w:ind w:left="1417" w:right="426" w:hanging="567"/>
        <w:contextualSpacing/>
        <w:jc w:val="both"/>
        <w:rPr>
          <w:rFonts w:ascii="David" w:hAnsi="David"/>
          <w:b/>
          <w:bCs/>
          <w:noProof w:val="0"/>
          <w:sz w:val="16"/>
          <w:szCs w:val="16"/>
        </w:rPr>
      </w:pPr>
    </w:p>
    <w:p w:rsidR="00EA1E45" w:rsidRDefault="00EA1E45" w:rsidP="00EA1E45">
      <w:pPr>
        <w:ind w:left="1417" w:right="426" w:hanging="567"/>
        <w:contextualSpacing/>
        <w:jc w:val="both"/>
        <w:rPr>
          <w:rFonts w:ascii="David" w:hAnsi="David"/>
          <w:b/>
          <w:bCs/>
          <w:noProof w:val="0"/>
          <w:sz w:val="26"/>
          <w:szCs w:val="26"/>
          <w:rtl/>
        </w:rPr>
      </w:pPr>
      <w:r>
        <w:rPr>
          <w:rFonts w:ascii="David" w:hAnsi="David"/>
          <w:b/>
          <w:bCs/>
          <w:noProof w:val="0"/>
          <w:sz w:val="26"/>
          <w:szCs w:val="26"/>
          <w:rtl/>
        </w:rPr>
        <w:t xml:space="preserve">41. </w:t>
      </w:r>
      <w:r>
        <w:rPr>
          <w:rFonts w:ascii="David" w:hAnsi="David"/>
          <w:b/>
          <w:bCs/>
          <w:noProof w:val="0"/>
          <w:sz w:val="26"/>
          <w:szCs w:val="26"/>
          <w:rtl/>
        </w:rPr>
        <w:tab/>
        <w:t>המערערת רשאית להתייצב בפני הוועדה ולטעון, לרבות עם ייצוג.</w:t>
      </w:r>
    </w:p>
    <w:p w:rsidR="00EA1E45" w:rsidRDefault="00EA1E45" w:rsidP="00EA1E45">
      <w:pPr>
        <w:ind w:left="1417" w:right="426" w:hanging="567"/>
        <w:contextualSpacing/>
        <w:jc w:val="both"/>
        <w:rPr>
          <w:rFonts w:ascii="David" w:hAnsi="David"/>
          <w:b/>
          <w:bCs/>
          <w:noProof w:val="0"/>
          <w:sz w:val="16"/>
          <w:szCs w:val="16"/>
        </w:rPr>
      </w:pPr>
    </w:p>
    <w:p w:rsidR="00EA1E45" w:rsidRDefault="00EA1E45" w:rsidP="00EA1E45">
      <w:pPr>
        <w:ind w:left="1417" w:right="426" w:hanging="567"/>
        <w:contextualSpacing/>
        <w:jc w:val="both"/>
        <w:rPr>
          <w:rFonts w:ascii="David" w:hAnsi="David"/>
          <w:b/>
          <w:bCs/>
          <w:noProof w:val="0"/>
          <w:sz w:val="26"/>
          <w:szCs w:val="26"/>
          <w:rtl/>
        </w:rPr>
      </w:pPr>
      <w:r>
        <w:rPr>
          <w:rFonts w:ascii="David" w:hAnsi="David"/>
          <w:b/>
          <w:bCs/>
          <w:noProof w:val="0"/>
          <w:sz w:val="26"/>
          <w:szCs w:val="26"/>
          <w:rtl/>
        </w:rPr>
        <w:lastRenderedPageBreak/>
        <w:t xml:space="preserve">42. </w:t>
      </w:r>
      <w:r>
        <w:rPr>
          <w:rFonts w:ascii="David" w:hAnsi="David"/>
          <w:b/>
          <w:bCs/>
          <w:noProof w:val="0"/>
          <w:sz w:val="26"/>
          <w:szCs w:val="26"/>
          <w:rtl/>
        </w:rPr>
        <w:tab/>
        <w:t>הוועדה תפרט, תנמק ותבהיר את נימוקיה ותשקול אותם בכובד ראש, נוכח מצבה של המערערת בכל היבט מצדיק התייחסות ברגישות ובדייקנות המרבית."</w:t>
      </w:r>
    </w:p>
    <w:p w:rsidR="00EA1E45" w:rsidRDefault="00EA1E45" w:rsidP="00EA1E45">
      <w:pPr>
        <w:ind w:left="850" w:right="426"/>
        <w:contextualSpacing/>
        <w:jc w:val="both"/>
        <w:rPr>
          <w:rFonts w:ascii="David" w:hAnsi="David"/>
          <w:noProof w:val="0"/>
          <w:sz w:val="26"/>
          <w:szCs w:val="26"/>
        </w:rPr>
      </w:pPr>
      <w:r>
        <w:rPr>
          <w:rFonts w:ascii="David" w:hAnsi="David"/>
          <w:noProof w:val="0"/>
          <w:sz w:val="26"/>
          <w:szCs w:val="26"/>
          <w:rtl/>
        </w:rPr>
        <w:t xml:space="preserve"> </w:t>
      </w:r>
    </w:p>
    <w:p w:rsidR="00EA1E45" w:rsidRDefault="00EA1E45" w:rsidP="00EA1E45">
      <w:pPr>
        <w:spacing w:line="360" w:lineRule="auto"/>
        <w:ind w:left="425"/>
        <w:contextualSpacing/>
        <w:jc w:val="both"/>
        <w:rPr>
          <w:rFonts w:ascii="Arial" w:hAnsi="Arial"/>
          <w:noProof w:val="0"/>
          <w:sz w:val="28"/>
          <w:szCs w:val="28"/>
          <w:rtl/>
        </w:rPr>
      </w:pPr>
      <w:r>
        <w:rPr>
          <w:rFonts w:ascii="Arial" w:hAnsi="Arial"/>
          <w:noProof w:val="0"/>
          <w:sz w:val="28"/>
          <w:szCs w:val="28"/>
          <w:rtl/>
        </w:rPr>
        <w:t xml:space="preserve">בנוסף, נקבע כי הוועדה התייחסה לפסק הדין השלישי, אף כי לא פעלה לחלוטין על פיו. בית הדין האזורי דחה את בקשת המערערת להחלפת את הרכב הוועדה. נקבע כי יהיה יותר יעיל להחזיר את עניינה של המערערת לאותה וועדה על מנת שתיתן דעתה הפרטנית יותר לפי הנחיות פסק הדין. יחד עם זאת הדגיש בית הדין האזורי כי הוועדה מתבקשת להתייחס לכל האמור בפסק דינו לכל סעיף וסעיף, תוך פירוט ונימוק על מנת שלמבקשת יינתן יומה ויתאפשר לה למצות את זכויותיה נוכח מצבה הרפואי והנפשי כפי שעולה מהמסמכים הרפואיים. </w:t>
      </w:r>
    </w:p>
    <w:p w:rsidR="00EA1E45" w:rsidRDefault="00EA1E45" w:rsidP="002944D2">
      <w:pPr>
        <w:spacing w:line="360" w:lineRule="auto"/>
        <w:ind w:left="425"/>
        <w:contextualSpacing/>
        <w:jc w:val="both"/>
        <w:rPr>
          <w:noProof w:val="0"/>
          <w:sz w:val="28"/>
          <w:szCs w:val="28"/>
          <w:rtl/>
        </w:rPr>
      </w:pPr>
      <w:r>
        <w:rPr>
          <w:rFonts w:ascii="Arial" w:hAnsi="Arial"/>
          <w:noProof w:val="0"/>
          <w:sz w:val="28"/>
          <w:szCs w:val="28"/>
          <w:rtl/>
        </w:rPr>
        <w:t>בקשת רשות ערעור על פסק הדין הרביעי נדחתה</w:t>
      </w:r>
      <w:r>
        <w:rPr>
          <w:noProof w:val="0"/>
          <w:sz w:val="28"/>
          <w:szCs w:val="28"/>
          <w:rtl/>
        </w:rPr>
        <w:t xml:space="preserve"> (בר"ע </w:t>
      </w:r>
      <w:r w:rsidR="002944D2" w:rsidRPr="002944D2">
        <w:rPr>
          <w:rFonts w:hint="cs"/>
          <w:noProof w:val="0"/>
          <w:sz w:val="22"/>
          <w:szCs w:val="22"/>
        </w:rPr>
        <w:t>XXX</w:t>
      </w:r>
      <w:r>
        <w:rPr>
          <w:noProof w:val="0"/>
          <w:sz w:val="28"/>
          <w:szCs w:val="28"/>
          <w:rtl/>
        </w:rPr>
        <w:t xml:space="preserve">). גם עתירת המערערת נדחתה (בג"צ </w:t>
      </w:r>
      <w:r w:rsidR="002944D2" w:rsidRPr="002944D2">
        <w:rPr>
          <w:rFonts w:hint="cs"/>
          <w:noProof w:val="0"/>
          <w:sz w:val="22"/>
          <w:szCs w:val="22"/>
        </w:rPr>
        <w:t>XXX</w:t>
      </w:r>
      <w:r>
        <w:rPr>
          <w:noProof w:val="0"/>
          <w:sz w:val="28"/>
          <w:szCs w:val="28"/>
          <w:rtl/>
        </w:rPr>
        <w:t>).</w:t>
      </w:r>
    </w:p>
    <w:p w:rsidR="00EA1E45" w:rsidRDefault="00EA1E45" w:rsidP="00EA1E45">
      <w:pPr>
        <w:ind w:left="387"/>
        <w:jc w:val="both"/>
        <w:rPr>
          <w:rFonts w:ascii="Arial" w:hAnsi="Arial"/>
          <w:noProof w:val="0"/>
          <w:sz w:val="28"/>
          <w:szCs w:val="28"/>
          <w:rtl/>
        </w:rPr>
      </w:pPr>
    </w:p>
    <w:p w:rsidR="00EA1E45" w:rsidRDefault="00EA1E45" w:rsidP="00EA1E45">
      <w:pPr>
        <w:spacing w:line="360" w:lineRule="auto"/>
        <w:ind w:left="27"/>
        <w:jc w:val="both"/>
        <w:rPr>
          <w:b/>
          <w:bCs/>
          <w:noProof w:val="0"/>
          <w:sz w:val="28"/>
          <w:szCs w:val="28"/>
          <w:u w:val="single"/>
          <w:rtl/>
        </w:rPr>
      </w:pPr>
      <w:r>
        <w:rPr>
          <w:b/>
          <w:bCs/>
          <w:noProof w:val="0"/>
          <w:sz w:val="28"/>
          <w:szCs w:val="28"/>
          <w:u w:val="single"/>
          <w:rtl/>
        </w:rPr>
        <w:t>החלטת הוועדה</w:t>
      </w:r>
    </w:p>
    <w:p w:rsidR="00EA1E45" w:rsidRDefault="00EA1E45" w:rsidP="00EA1E45">
      <w:pPr>
        <w:numPr>
          <w:ilvl w:val="0"/>
          <w:numId w:val="1"/>
        </w:numPr>
        <w:spacing w:line="360" w:lineRule="auto"/>
        <w:ind w:left="425" w:hanging="425"/>
        <w:contextualSpacing/>
        <w:jc w:val="both"/>
        <w:rPr>
          <w:rFonts w:ascii="Arial" w:hAnsi="Arial"/>
          <w:noProof w:val="0"/>
          <w:sz w:val="28"/>
          <w:szCs w:val="28"/>
          <w:rtl/>
        </w:rPr>
      </w:pPr>
      <w:r>
        <w:rPr>
          <w:rFonts w:ascii="Arial" w:hAnsi="Arial"/>
          <w:noProof w:val="0"/>
          <w:sz w:val="28"/>
          <w:szCs w:val="28"/>
          <w:rtl/>
        </w:rPr>
        <w:t>אחר פסק הדין הרביעי התכנסה הוועדה ביום 3.9.2020 (ברביעית) בהרכבה פיסכיאטרית - ד"ר מעינית סיגלר, רופא פנימאי - ד"ר זאב שטגר, וכירורג פלסטי - ד"ר משה רותם. הוועדה שמעה את תלונות המערערת. בפרק הנוגע לממצאי בדיקות וצילומים נכתב כך:</w:t>
      </w:r>
    </w:p>
    <w:p w:rsidR="00EA1E45" w:rsidRDefault="00EA1E45" w:rsidP="00EA1E45">
      <w:pPr>
        <w:ind w:left="1134" w:right="426"/>
        <w:contextualSpacing/>
        <w:jc w:val="both"/>
        <w:rPr>
          <w:rFonts w:ascii="David" w:hAnsi="David"/>
          <w:b/>
          <w:bCs/>
          <w:noProof w:val="0"/>
          <w:sz w:val="26"/>
          <w:szCs w:val="26"/>
          <w:rtl/>
        </w:rPr>
      </w:pPr>
      <w:r>
        <w:rPr>
          <w:rFonts w:ascii="David" w:hAnsi="David"/>
          <w:b/>
          <w:bCs/>
          <w:noProof w:val="0"/>
          <w:sz w:val="26"/>
          <w:szCs w:val="26"/>
          <w:rtl/>
        </w:rPr>
        <w:t>"נבדקה בנוכחות ד''ר סגלר והמשקיפה - נבדקה ע''י ד''ר רותם: לא נראתה פעילות כפי שתיארה באנמנזה ובתלונות. לא נצפו פצעים פעילים או מוקדים תחת העור עם תלונות של כאב, הפרשה לא כל שכן מצב של זיהום מקומי הדורש טיפול תרופתי או טיפול כירורגי. לציין שבמסמכים הרפואיים לא צוין ולא פעם אחת שנעשתה תרבית ונמצא חיידק מחולל עם רגישות לאנטיביוטיקה.</w:t>
      </w:r>
    </w:p>
    <w:p w:rsidR="00EA1E45" w:rsidRDefault="00EA1E45" w:rsidP="00EA1E45">
      <w:pPr>
        <w:ind w:left="1134" w:right="426"/>
        <w:contextualSpacing/>
        <w:jc w:val="both"/>
        <w:rPr>
          <w:rFonts w:ascii="David" w:hAnsi="David"/>
          <w:b/>
          <w:bCs/>
          <w:noProof w:val="0"/>
          <w:sz w:val="16"/>
          <w:szCs w:val="16"/>
        </w:rPr>
      </w:pPr>
    </w:p>
    <w:p w:rsidR="00EA1E45" w:rsidRDefault="00EA1E45" w:rsidP="00EA1E45">
      <w:pPr>
        <w:ind w:left="1134" w:right="426"/>
        <w:contextualSpacing/>
        <w:jc w:val="both"/>
        <w:rPr>
          <w:rFonts w:ascii="David" w:hAnsi="David"/>
          <w:b/>
          <w:bCs/>
          <w:noProof w:val="0"/>
          <w:sz w:val="26"/>
          <w:szCs w:val="26"/>
          <w:rtl/>
        </w:rPr>
      </w:pPr>
      <w:r>
        <w:rPr>
          <w:rFonts w:ascii="David" w:hAnsi="David"/>
          <w:b/>
          <w:bCs/>
          <w:noProof w:val="0"/>
          <w:sz w:val="26"/>
          <w:szCs w:val="26"/>
          <w:rtl/>
        </w:rPr>
        <w:t>לגבי צלקות - מדובר בהצטלקויות מוקדיות קטנות (מקומות שבהם היו פצעים פעילים בעבר) הצלקות רכות, אין תלונה של רגישות (לטענתה לא מדובר אפילו בצלקות) ללא הפרוטרופיה לא דביקות, לרקמות עמוקות, לא כל שכן גורמת למגבלה תפקודית. נכון להיום אין מצב שניתן לאבחן."</w:t>
      </w:r>
    </w:p>
    <w:p w:rsidR="00EA1E45" w:rsidRDefault="00EA1E45" w:rsidP="00EA1E45">
      <w:pPr>
        <w:ind w:left="850" w:right="426"/>
        <w:contextualSpacing/>
        <w:jc w:val="both"/>
        <w:rPr>
          <w:rFonts w:ascii="David" w:hAnsi="David"/>
          <w:noProof w:val="0"/>
          <w:sz w:val="26"/>
          <w:szCs w:val="26"/>
        </w:rPr>
      </w:pPr>
    </w:p>
    <w:p w:rsidR="00EA1E45" w:rsidRDefault="00EA1E45" w:rsidP="00EA1E45">
      <w:pPr>
        <w:spacing w:line="360" w:lineRule="auto"/>
        <w:ind w:left="425"/>
        <w:contextualSpacing/>
        <w:jc w:val="both"/>
        <w:rPr>
          <w:rFonts w:ascii="Arial" w:hAnsi="Arial"/>
          <w:noProof w:val="0"/>
          <w:sz w:val="28"/>
          <w:szCs w:val="28"/>
          <w:rtl/>
        </w:rPr>
      </w:pPr>
      <w:r>
        <w:rPr>
          <w:rFonts w:ascii="Arial" w:hAnsi="Arial"/>
          <w:noProof w:val="0"/>
          <w:sz w:val="28"/>
          <w:szCs w:val="28"/>
          <w:rtl/>
        </w:rPr>
        <w:t>בפרק סיכום ומסקנות נכתב כך:</w:t>
      </w:r>
    </w:p>
    <w:p w:rsidR="00C66797" w:rsidRDefault="00EA1E45" w:rsidP="00EA1E45">
      <w:pPr>
        <w:ind w:left="1134" w:right="426"/>
        <w:contextualSpacing/>
        <w:jc w:val="both"/>
        <w:rPr>
          <w:rFonts w:ascii="David" w:hAnsi="David"/>
          <w:b/>
          <w:bCs/>
          <w:noProof w:val="0"/>
          <w:sz w:val="26"/>
          <w:szCs w:val="26"/>
          <w:rtl/>
        </w:rPr>
      </w:pPr>
      <w:r>
        <w:rPr>
          <w:rFonts w:ascii="David" w:hAnsi="David"/>
          <w:b/>
          <w:bCs/>
          <w:noProof w:val="0"/>
          <w:sz w:val="26"/>
          <w:szCs w:val="26"/>
          <w:rtl/>
        </w:rPr>
        <w:t xml:space="preserve">"הועדה התכנסה מתוקף פס''ד מיום 6/1/20 אשר מפנה לפס''ד של השופט איתם מיום 21/10/18 בעניין רב ולהלן מסקנותיה: הועדה הקשיבה בקשב רב לתובעת במשך שעה שלמה, התובעת הציגה מסמכים, הציגה וידאו וענתה חלקית לשאלות הועדה. דברי התובעת מהווים בסיס להערכה פסיכיאטרית כמקובל בתחום הנפשי. הועדה חזרה ועיינה בחוו''ד ד''ר סקולסקי מ- 31/7/16, הוא רופא תעסוקתי וחוו"ד אינה מבוססת על בדיקה </w:t>
      </w:r>
    </w:p>
    <w:p w:rsidR="00C66797" w:rsidRDefault="00C66797" w:rsidP="00EA1E45">
      <w:pPr>
        <w:ind w:left="1134" w:right="426"/>
        <w:contextualSpacing/>
        <w:jc w:val="both"/>
        <w:rPr>
          <w:rFonts w:ascii="David" w:hAnsi="David"/>
          <w:b/>
          <w:bCs/>
          <w:noProof w:val="0"/>
          <w:sz w:val="26"/>
          <w:szCs w:val="26"/>
          <w:rtl/>
        </w:rPr>
      </w:pPr>
    </w:p>
    <w:p w:rsidR="00EA1E45" w:rsidRDefault="00EA1E45" w:rsidP="00EA1E45">
      <w:pPr>
        <w:ind w:left="1134" w:right="426"/>
        <w:contextualSpacing/>
        <w:jc w:val="both"/>
        <w:rPr>
          <w:rFonts w:ascii="David" w:hAnsi="David"/>
          <w:b/>
          <w:bCs/>
          <w:noProof w:val="0"/>
          <w:sz w:val="26"/>
          <w:szCs w:val="26"/>
          <w:rtl/>
        </w:rPr>
      </w:pPr>
      <w:r>
        <w:rPr>
          <w:rFonts w:ascii="David" w:hAnsi="David"/>
          <w:b/>
          <w:bCs/>
          <w:noProof w:val="0"/>
          <w:sz w:val="26"/>
          <w:szCs w:val="26"/>
          <w:rtl/>
        </w:rPr>
        <w:lastRenderedPageBreak/>
        <w:t xml:space="preserve">פסיכיאטרית קלינית. ד"ר סקולסקי מעריך כי אובדן כושר העבודה המוחלט נובע ממספר מחלות ולא רק מהנכות הנפשית. בקביעת סעיף הליקוי הנפשי הועדה מתייחסת רק להשפעת הנכות הנפשית על כושר העבודה. הועדה עיינה בחוו''ד של ד''ר רושקה מ-17/1/18, ד''ר רושקה מוסיפה לאבחנה של </w:t>
      </w:r>
      <w:r>
        <w:rPr>
          <w:rFonts w:cs="Times New Roman"/>
          <w:b/>
          <w:bCs/>
          <w:noProof w:val="0"/>
          <w:sz w:val="20"/>
          <w:szCs w:val="20"/>
        </w:rPr>
        <w:t>PTSD</w:t>
      </w:r>
      <w:r>
        <w:rPr>
          <w:rFonts w:ascii="David" w:hAnsi="David"/>
          <w:b/>
          <w:bCs/>
          <w:noProof w:val="0"/>
          <w:sz w:val="26"/>
          <w:szCs w:val="26"/>
          <w:rtl/>
        </w:rPr>
        <w:t xml:space="preserve"> אשר ניתנה לאורך השנים ע''י פסיכיאטרים שונים, אבחנות נוספות ולא מתייחסת בחוו''ד לקש"ס בין ההפרעות הנלוות לאירוע הנדון. ע''פ התיעוד הרב שעומד בפני הועדה הנכות הנפשית הקשורה סיבתית לאירוע הנדון היא בגין </w:t>
      </w:r>
      <w:r>
        <w:rPr>
          <w:rFonts w:cs="Times New Roman"/>
          <w:b/>
          <w:bCs/>
          <w:noProof w:val="0"/>
          <w:sz w:val="20"/>
          <w:szCs w:val="20"/>
        </w:rPr>
        <w:t>PTSD</w:t>
      </w:r>
      <w:r>
        <w:rPr>
          <w:rFonts w:ascii="David" w:hAnsi="David"/>
          <w:b/>
          <w:bCs/>
          <w:noProof w:val="0"/>
          <w:sz w:val="26"/>
          <w:szCs w:val="26"/>
          <w:rtl/>
        </w:rPr>
        <w:t xml:space="preserve"> בלבד עם סימני חרדה ודכאון נלווים. כך קבעו גם פסיכיאטרים מטפלים כגון ד''ר ולד בשנת 2004 וד''ר שטרייכר ב-2010. הועדה מסכימה עם האבחנה הניתנת ע''י הפסיכיאטרים המטפלים. הועדה מציינת כי התובעת לא נמצאת במעקב פסיכיאטרי סדיר ומקבלת טיפול תרופתי ברישום רופא המשפחה בלבד. הבדיקה הקלינית של הועדה שונה מבדיקתה של ד''ר רושקה משנת 2018 במספר מדדים. התובעת מאורגנת בחשיבה ללא אי שקט פסיכומטרי, האפקט דיספורי ללא לביליות ולא נצפתה נטיה לסומטיזציה. מדובר בתובעת שלא סבלה מעולם מסימנים פסיכוטיים, ללא מחשבות או נסיונות התאבדות, ללא אשפוזים. גם לא במסגרת אשפוז יום כפי שדורש סעיף ליקוי 34(ב)(6) המומלץ על ידי ד''ר רושקה, לכן הועדה לא מקבלת את המלצתה לגובה הנכות. לדעת הועדה עוצמת סימני ה-</w:t>
      </w:r>
      <w:r>
        <w:rPr>
          <w:rFonts w:ascii="David" w:hAnsi="David"/>
          <w:b/>
          <w:bCs/>
          <w:noProof w:val="0"/>
          <w:sz w:val="26"/>
          <w:szCs w:val="26"/>
        </w:rPr>
        <w:t xml:space="preserve"> </w:t>
      </w:r>
      <w:r>
        <w:rPr>
          <w:rFonts w:cs="Times New Roman"/>
          <w:b/>
          <w:bCs/>
          <w:noProof w:val="0"/>
          <w:sz w:val="20"/>
          <w:szCs w:val="20"/>
        </w:rPr>
        <w:t>PTSD</w:t>
      </w:r>
      <w:r>
        <w:rPr>
          <w:rFonts w:ascii="David" w:hAnsi="David"/>
          <w:b/>
          <w:bCs/>
          <w:noProof w:val="0"/>
          <w:sz w:val="26"/>
          <w:szCs w:val="26"/>
          <w:rtl/>
        </w:rPr>
        <w:t xml:space="preserve"> שהיו ההפרעה היחידה הקשורה סיבתית לאירוע הנדון הם בחומרה בינונית עד קשה ולכן הועדה קובעת סעיף ליקוי ביניים. סימנים אלו מעידים על רמיסיה חלקית ומצב נפשי כרוני. לא במחלה פעילה חריפה כפי שדורש סעיף הליקוי 34(ב)(6). קיים צורך בטיפול תרופתי קבוע אך הטיפול הפסיכיאטרי נרשם ע''י רופא המשפחה ולא על ידי פסיכיאטר. כאמור סעיף ליקוי הביניים לאור סימנים בחומרה בינונית עד קשה עם הגבלה קשה ניכרת בתפקוד הנפשי והחברתי והתעסוקתי המתאים למצבה.</w:t>
      </w:r>
    </w:p>
    <w:p w:rsidR="00EA1E45" w:rsidRDefault="00EA1E45" w:rsidP="00EA1E45">
      <w:pPr>
        <w:ind w:left="1134" w:right="426"/>
        <w:contextualSpacing/>
        <w:jc w:val="both"/>
        <w:rPr>
          <w:rFonts w:ascii="David" w:hAnsi="David"/>
          <w:b/>
          <w:bCs/>
          <w:noProof w:val="0"/>
          <w:sz w:val="16"/>
          <w:szCs w:val="16"/>
          <w:rtl/>
        </w:rPr>
      </w:pPr>
    </w:p>
    <w:p w:rsidR="00EA1E45" w:rsidRDefault="00EA1E45" w:rsidP="00EA1E45">
      <w:pPr>
        <w:ind w:left="1134" w:right="426"/>
        <w:contextualSpacing/>
        <w:jc w:val="both"/>
        <w:rPr>
          <w:rFonts w:ascii="David" w:hAnsi="David"/>
          <w:b/>
          <w:bCs/>
          <w:noProof w:val="0"/>
          <w:sz w:val="26"/>
          <w:szCs w:val="26"/>
          <w:rtl/>
        </w:rPr>
      </w:pPr>
      <w:r>
        <w:rPr>
          <w:rFonts w:ascii="David" w:hAnsi="David"/>
          <w:b/>
          <w:bCs/>
          <w:noProof w:val="0"/>
          <w:sz w:val="26"/>
          <w:szCs w:val="26"/>
          <w:rtl/>
        </w:rPr>
        <w:t>לדעת הועדה אין הפרעה קשה בתפקוד הנפשי והחברתי וגם לא הגבלה קשה של כושר העבודה אולם מאחר והפעלת תקנה 15 אשר הינה תקנה סוציאלית ולכן הועדה מפעילה תקנה 15 במלואה אך אין בכדי נכותה כדי להתאים לסעיף 34(ב)(5) מבחינה רפואית. הועדה לא מתייחסת לחוו''ד של ד''ר הדנזל בתחום הנפשי מכיון שחוו''ד זו איננה קשורה לתחום זה.</w:t>
      </w:r>
    </w:p>
    <w:p w:rsidR="00EA1E45" w:rsidRDefault="00EA1E45" w:rsidP="00EA1E45">
      <w:pPr>
        <w:ind w:left="1134" w:right="426"/>
        <w:contextualSpacing/>
        <w:jc w:val="both"/>
        <w:rPr>
          <w:rFonts w:ascii="David" w:hAnsi="David"/>
          <w:b/>
          <w:bCs/>
          <w:noProof w:val="0"/>
          <w:sz w:val="16"/>
          <w:szCs w:val="16"/>
        </w:rPr>
      </w:pPr>
    </w:p>
    <w:p w:rsidR="00EA1E45" w:rsidRDefault="00EA1E45" w:rsidP="00EA1E45">
      <w:pPr>
        <w:ind w:left="1134" w:right="426"/>
        <w:contextualSpacing/>
        <w:jc w:val="both"/>
        <w:rPr>
          <w:rFonts w:ascii="David" w:hAnsi="David"/>
          <w:b/>
          <w:bCs/>
          <w:noProof w:val="0"/>
          <w:sz w:val="26"/>
          <w:szCs w:val="26"/>
          <w:rtl/>
        </w:rPr>
      </w:pPr>
      <w:r>
        <w:rPr>
          <w:rFonts w:ascii="David" w:hAnsi="David"/>
          <w:b/>
          <w:bCs/>
          <w:noProof w:val="0"/>
          <w:sz w:val="26"/>
          <w:szCs w:val="26"/>
          <w:rtl/>
        </w:rPr>
        <w:t>הועדה מבקשת להתכנס פעם נוספת ללא נוכחות התובעת לצורך סיכום דיון."</w:t>
      </w:r>
    </w:p>
    <w:p w:rsidR="00EA1E45" w:rsidRDefault="00EA1E45" w:rsidP="00EA1E45">
      <w:pPr>
        <w:ind w:left="850" w:right="426"/>
        <w:contextualSpacing/>
        <w:jc w:val="both"/>
        <w:rPr>
          <w:rFonts w:ascii="David" w:hAnsi="David"/>
          <w:noProof w:val="0"/>
          <w:sz w:val="26"/>
          <w:szCs w:val="26"/>
          <w:rtl/>
        </w:rPr>
      </w:pPr>
    </w:p>
    <w:p w:rsidR="00EA1E45" w:rsidRDefault="00EA1E45" w:rsidP="00EA1E45">
      <w:pPr>
        <w:numPr>
          <w:ilvl w:val="0"/>
          <w:numId w:val="1"/>
        </w:numPr>
        <w:spacing w:line="360" w:lineRule="auto"/>
        <w:ind w:left="425" w:hanging="425"/>
        <w:contextualSpacing/>
        <w:jc w:val="both"/>
        <w:rPr>
          <w:rFonts w:ascii="Arial" w:hAnsi="Arial"/>
          <w:noProof w:val="0"/>
          <w:sz w:val="28"/>
          <w:szCs w:val="28"/>
          <w:rtl/>
        </w:rPr>
      </w:pPr>
      <w:r>
        <w:rPr>
          <w:rFonts w:ascii="Arial" w:hAnsi="Arial"/>
          <w:noProof w:val="0"/>
          <w:sz w:val="28"/>
          <w:szCs w:val="28"/>
          <w:rtl/>
        </w:rPr>
        <w:t>הוועדה שבה והתכנסה בהרכבה הנ"ל ביום 26.11.2020, שלא בנוכחות המערערת, וקבעה כך:</w:t>
      </w:r>
    </w:p>
    <w:p w:rsidR="00C66797" w:rsidRDefault="00EA1E45" w:rsidP="00EA1E45">
      <w:pPr>
        <w:ind w:left="1134" w:right="426"/>
        <w:contextualSpacing/>
        <w:jc w:val="both"/>
        <w:rPr>
          <w:rFonts w:ascii="David" w:hAnsi="David"/>
          <w:b/>
          <w:bCs/>
          <w:noProof w:val="0"/>
          <w:sz w:val="26"/>
          <w:szCs w:val="26"/>
          <w:rtl/>
        </w:rPr>
      </w:pPr>
      <w:r>
        <w:rPr>
          <w:rFonts w:ascii="David" w:hAnsi="David"/>
          <w:b/>
          <w:bCs/>
          <w:noProof w:val="0"/>
          <w:sz w:val="26"/>
          <w:szCs w:val="26"/>
          <w:rtl/>
        </w:rPr>
        <w:t>"בהמשך לועדה הקודמת אשר התכנסה מתוקף פס''ד מיום 6/1/20, להלן התייחסות לתחום האידרדנטיס. האבחנה מתייחסת לזיהום בבלוטת זיעה בדרך כלל בבתי מהשחי או/ו באיזור המפשעות על רקע בקטריאלי וניתנת לטיפול מגוון, שמרני עם כיסוי אנטיביוטי עד ניתוח לכריתת האזורים הנגועים. במקרה זה לא נדגמה בשום שלב תרבית מהפצעים גם כשהייתה מאושפזת, בזמן הבדיקה לא היה מצב פעיל, לא בבתי השחי ולא במפשעות במועד הועדה הקודמת מיום 3/9/20. לאור האמור נכותה בתחום כירורגיה פלסטית</w:t>
      </w:r>
      <w:r w:rsidR="00C66797">
        <w:rPr>
          <w:rFonts w:ascii="David" w:hAnsi="David" w:hint="cs"/>
          <w:b/>
          <w:bCs/>
          <w:noProof w:val="0"/>
          <w:sz w:val="26"/>
          <w:szCs w:val="26"/>
          <w:rtl/>
        </w:rPr>
        <w:t xml:space="preserve"> </w:t>
      </w:r>
      <w:r>
        <w:rPr>
          <w:rFonts w:ascii="David" w:hAnsi="David"/>
          <w:b/>
          <w:bCs/>
          <w:noProof w:val="0"/>
          <w:sz w:val="26"/>
          <w:szCs w:val="26"/>
          <w:rtl/>
        </w:rPr>
        <w:t xml:space="preserve"> כמפורט: </w:t>
      </w:r>
      <w:r w:rsidR="00C66797">
        <w:rPr>
          <w:rFonts w:ascii="David" w:hAnsi="David" w:hint="cs"/>
          <w:b/>
          <w:bCs/>
          <w:noProof w:val="0"/>
          <w:sz w:val="26"/>
          <w:szCs w:val="26"/>
          <w:rtl/>
        </w:rPr>
        <w:t xml:space="preserve"> </w:t>
      </w:r>
      <w:r>
        <w:rPr>
          <w:rFonts w:ascii="David" w:hAnsi="David"/>
          <w:b/>
          <w:bCs/>
          <w:noProof w:val="0"/>
          <w:sz w:val="26"/>
          <w:szCs w:val="26"/>
          <w:rtl/>
        </w:rPr>
        <w:t xml:space="preserve">צלקות </w:t>
      </w:r>
      <w:r w:rsidR="00C66797">
        <w:rPr>
          <w:rFonts w:ascii="David" w:hAnsi="David" w:hint="cs"/>
          <w:b/>
          <w:bCs/>
          <w:noProof w:val="0"/>
          <w:sz w:val="26"/>
          <w:szCs w:val="26"/>
          <w:rtl/>
        </w:rPr>
        <w:t xml:space="preserve"> </w:t>
      </w:r>
      <w:r>
        <w:rPr>
          <w:rFonts w:ascii="David" w:hAnsi="David"/>
          <w:b/>
          <w:bCs/>
          <w:noProof w:val="0"/>
          <w:sz w:val="26"/>
          <w:szCs w:val="26"/>
          <w:rtl/>
        </w:rPr>
        <w:t>שנותרו</w:t>
      </w:r>
      <w:r w:rsidR="00C66797">
        <w:rPr>
          <w:rFonts w:ascii="David" w:hAnsi="David" w:hint="cs"/>
          <w:b/>
          <w:bCs/>
          <w:noProof w:val="0"/>
          <w:sz w:val="26"/>
          <w:szCs w:val="26"/>
          <w:rtl/>
        </w:rPr>
        <w:t xml:space="preserve"> </w:t>
      </w:r>
      <w:r>
        <w:rPr>
          <w:rFonts w:ascii="David" w:hAnsi="David"/>
          <w:b/>
          <w:bCs/>
          <w:noProof w:val="0"/>
          <w:sz w:val="26"/>
          <w:szCs w:val="26"/>
          <w:rtl/>
        </w:rPr>
        <w:t xml:space="preserve"> בעקבות </w:t>
      </w:r>
      <w:r w:rsidR="00C66797">
        <w:rPr>
          <w:rFonts w:ascii="David" w:hAnsi="David" w:hint="cs"/>
          <w:b/>
          <w:bCs/>
          <w:noProof w:val="0"/>
          <w:sz w:val="26"/>
          <w:szCs w:val="26"/>
          <w:rtl/>
        </w:rPr>
        <w:t xml:space="preserve"> </w:t>
      </w:r>
      <w:r>
        <w:rPr>
          <w:rFonts w:ascii="David" w:hAnsi="David"/>
          <w:b/>
          <w:bCs/>
          <w:noProof w:val="0"/>
          <w:sz w:val="26"/>
          <w:szCs w:val="26"/>
          <w:rtl/>
        </w:rPr>
        <w:t xml:space="preserve">זיהומים </w:t>
      </w:r>
      <w:r w:rsidR="00C66797">
        <w:rPr>
          <w:rFonts w:ascii="David" w:hAnsi="David" w:hint="cs"/>
          <w:b/>
          <w:bCs/>
          <w:noProof w:val="0"/>
          <w:sz w:val="26"/>
          <w:szCs w:val="26"/>
          <w:rtl/>
        </w:rPr>
        <w:t xml:space="preserve"> </w:t>
      </w:r>
      <w:r>
        <w:rPr>
          <w:rFonts w:ascii="David" w:hAnsi="David"/>
          <w:b/>
          <w:bCs/>
          <w:noProof w:val="0"/>
          <w:sz w:val="26"/>
          <w:szCs w:val="26"/>
          <w:rtl/>
        </w:rPr>
        <w:t>ש</w:t>
      </w:r>
      <w:r w:rsidR="00C66797">
        <w:rPr>
          <w:rFonts w:ascii="David" w:hAnsi="David"/>
          <w:b/>
          <w:bCs/>
          <w:noProof w:val="0"/>
          <w:sz w:val="26"/>
          <w:szCs w:val="26"/>
          <w:rtl/>
        </w:rPr>
        <w:t>החלימו הינה 10%</w:t>
      </w:r>
      <w:r w:rsidR="00C66797">
        <w:rPr>
          <w:rFonts w:ascii="David" w:hAnsi="David" w:hint="cs"/>
          <w:b/>
          <w:bCs/>
          <w:noProof w:val="0"/>
          <w:sz w:val="26"/>
          <w:szCs w:val="26"/>
          <w:rtl/>
        </w:rPr>
        <w:t xml:space="preserve">  </w:t>
      </w:r>
    </w:p>
    <w:p w:rsidR="00C66797" w:rsidRDefault="00C66797" w:rsidP="00EA1E45">
      <w:pPr>
        <w:ind w:left="1134" w:right="426"/>
        <w:contextualSpacing/>
        <w:jc w:val="both"/>
        <w:rPr>
          <w:rFonts w:ascii="David" w:hAnsi="David"/>
          <w:b/>
          <w:bCs/>
          <w:noProof w:val="0"/>
          <w:sz w:val="26"/>
          <w:szCs w:val="26"/>
          <w:rtl/>
        </w:rPr>
      </w:pPr>
    </w:p>
    <w:p w:rsidR="00C66797" w:rsidRDefault="00C66797" w:rsidP="00EA1E45">
      <w:pPr>
        <w:ind w:left="1134" w:right="426"/>
        <w:contextualSpacing/>
        <w:jc w:val="both"/>
        <w:rPr>
          <w:rFonts w:ascii="David" w:hAnsi="David"/>
          <w:b/>
          <w:bCs/>
          <w:noProof w:val="0"/>
          <w:sz w:val="26"/>
          <w:szCs w:val="26"/>
          <w:rtl/>
        </w:rPr>
      </w:pPr>
    </w:p>
    <w:p w:rsidR="00EA1E45" w:rsidRDefault="00EA1E45" w:rsidP="00EA1E45">
      <w:pPr>
        <w:ind w:left="1134" w:right="426"/>
        <w:contextualSpacing/>
        <w:jc w:val="both"/>
        <w:rPr>
          <w:rFonts w:ascii="David" w:hAnsi="David"/>
          <w:b/>
          <w:bCs/>
          <w:noProof w:val="0"/>
          <w:sz w:val="26"/>
          <w:szCs w:val="26"/>
        </w:rPr>
      </w:pPr>
      <w:r>
        <w:rPr>
          <w:rFonts w:ascii="David" w:hAnsi="David"/>
          <w:b/>
          <w:bCs/>
          <w:noProof w:val="0"/>
          <w:sz w:val="26"/>
          <w:szCs w:val="26"/>
          <w:rtl/>
        </w:rPr>
        <w:lastRenderedPageBreak/>
        <w:t>לפי סעיף 75(1)ב'. לעניין המצב עצמו הסעיף התאים היא 79(אקנה)(1) בצורה קלה ומוגבלת בשיעור 0%.</w:t>
      </w:r>
    </w:p>
    <w:p w:rsidR="00EA1E45" w:rsidRDefault="00EA1E45" w:rsidP="00EA1E45">
      <w:pPr>
        <w:ind w:left="1134" w:right="426"/>
        <w:contextualSpacing/>
        <w:jc w:val="both"/>
        <w:rPr>
          <w:rFonts w:ascii="David" w:hAnsi="David"/>
          <w:b/>
          <w:bCs/>
          <w:noProof w:val="0"/>
          <w:sz w:val="16"/>
          <w:szCs w:val="16"/>
        </w:rPr>
      </w:pPr>
    </w:p>
    <w:p w:rsidR="00EA1E45" w:rsidRDefault="00EA1E45" w:rsidP="00EA1E45">
      <w:pPr>
        <w:ind w:left="1134" w:right="426"/>
        <w:contextualSpacing/>
        <w:jc w:val="both"/>
        <w:rPr>
          <w:rFonts w:ascii="David" w:hAnsi="David"/>
          <w:b/>
          <w:bCs/>
          <w:noProof w:val="0"/>
          <w:sz w:val="26"/>
          <w:szCs w:val="26"/>
          <w:rtl/>
        </w:rPr>
      </w:pPr>
      <w:r>
        <w:rPr>
          <w:rFonts w:ascii="David" w:hAnsi="David"/>
          <w:b/>
          <w:bCs/>
          <w:noProof w:val="0"/>
          <w:sz w:val="26"/>
          <w:szCs w:val="26"/>
          <w:rtl/>
        </w:rPr>
        <w:t xml:space="preserve">התייחסות הועדה לתחום </w:t>
      </w:r>
      <w:r>
        <w:rPr>
          <w:rFonts w:cs="Times New Roman"/>
          <w:b/>
          <w:bCs/>
          <w:noProof w:val="0"/>
          <w:sz w:val="20"/>
          <w:szCs w:val="20"/>
        </w:rPr>
        <w:t>FMF</w:t>
      </w:r>
      <w:r>
        <w:rPr>
          <w:rFonts w:ascii="David" w:hAnsi="David"/>
          <w:b/>
          <w:bCs/>
          <w:noProof w:val="0"/>
          <w:sz w:val="26"/>
          <w:szCs w:val="26"/>
          <w:rtl/>
        </w:rPr>
        <w:t>: בועדה הקודמת מיום 7/2/2019 מסרה התובעת שלא הייתה במעקב ראומטולוגי לאחר האירוע (15/6/01) ולא הציגה בפני חברי הועדה תיעוד רפואי המעיד על החמרה במחלת ה-</w:t>
      </w:r>
      <w:r>
        <w:rPr>
          <w:rFonts w:cs="Times New Roman"/>
          <w:b/>
          <w:bCs/>
          <w:noProof w:val="0"/>
          <w:sz w:val="20"/>
          <w:szCs w:val="20"/>
        </w:rPr>
        <w:t>FMF</w:t>
      </w:r>
      <w:r>
        <w:rPr>
          <w:rFonts w:ascii="David" w:hAnsi="David"/>
          <w:b/>
          <w:bCs/>
          <w:noProof w:val="0"/>
          <w:sz w:val="26"/>
          <w:szCs w:val="26"/>
          <w:rtl/>
        </w:rPr>
        <w:t>. המסמכים שהוצגו הם מכתבו של פרופ' בן שטרית ראומטולוג 8/11/2017 ומכתבו של פרופ' הנ</w:t>
      </w:r>
      <w:r>
        <w:rPr>
          <w:rFonts w:ascii="David" w:hAnsi="David"/>
          <w:noProof w:val="0"/>
          <w:sz w:val="26"/>
          <w:szCs w:val="26"/>
          <w:rtl/>
        </w:rPr>
        <w:t>[ד]</w:t>
      </w:r>
      <w:r>
        <w:rPr>
          <w:rFonts w:ascii="David" w:hAnsi="David"/>
          <w:b/>
          <w:bCs/>
          <w:noProof w:val="0"/>
          <w:sz w:val="26"/>
          <w:szCs w:val="26"/>
          <w:rtl/>
        </w:rPr>
        <w:t xml:space="preserve">זל (אימונולוג) 22/10/12. מסמכים אלה נתנו מס' שנים לאחר האירוע שבנדון. מכתבים אלה לכן, אינם משקפים תלונות ו/או בדיקה בזמן אמת אלא מצטטים תלונות של התובעת בדיעבד. בועדה הנוכחית ביום 3/9/20 הציגה התובעת לראשונה תיעוד רפואי מרופא המשפחה משנים 2005 (1/3/05, 29/4/05) ד''ר קרסני. במכתבים אלה מצוין שבתקופה האחרונה יש החמרה בתדירות התקפי </w:t>
      </w:r>
      <w:r>
        <w:rPr>
          <w:rFonts w:cs="Times New Roman"/>
          <w:b/>
          <w:bCs/>
          <w:noProof w:val="0"/>
          <w:sz w:val="20"/>
          <w:szCs w:val="20"/>
        </w:rPr>
        <w:t>FMF</w:t>
      </w:r>
      <w:r>
        <w:rPr>
          <w:rFonts w:ascii="David" w:hAnsi="David"/>
          <w:b/>
          <w:bCs/>
          <w:noProof w:val="0"/>
          <w:sz w:val="26"/>
          <w:szCs w:val="26"/>
          <w:rtl/>
        </w:rPr>
        <w:t xml:space="preserve"> מסמכים אלה נתנו 4 שנים לאחר האירוע. בנוסף, הציגה התובעת מסמך מרופא נשים ד''ר בן שטרית מ-20/12/15 בו מצוין שהתובעת מוסרת על החמרה בתלונות </w:t>
      </w:r>
      <w:r>
        <w:rPr>
          <w:rFonts w:cs="Times New Roman"/>
          <w:b/>
          <w:bCs/>
          <w:noProof w:val="0"/>
          <w:sz w:val="20"/>
          <w:szCs w:val="20"/>
        </w:rPr>
        <w:t>FMF</w:t>
      </w:r>
      <w:r>
        <w:rPr>
          <w:rFonts w:ascii="David" w:hAnsi="David"/>
          <w:b/>
          <w:bCs/>
          <w:noProof w:val="0"/>
          <w:sz w:val="26"/>
          <w:szCs w:val="26"/>
          <w:rtl/>
        </w:rPr>
        <w:t>.</w:t>
      </w:r>
    </w:p>
    <w:p w:rsidR="00EA1E45" w:rsidRDefault="00EA1E45" w:rsidP="00EA1E45">
      <w:pPr>
        <w:ind w:left="1134" w:right="426"/>
        <w:contextualSpacing/>
        <w:jc w:val="both"/>
        <w:rPr>
          <w:rFonts w:ascii="David" w:hAnsi="David"/>
          <w:b/>
          <w:bCs/>
          <w:noProof w:val="0"/>
          <w:sz w:val="16"/>
          <w:szCs w:val="16"/>
        </w:rPr>
      </w:pPr>
    </w:p>
    <w:p w:rsidR="00EA1E45" w:rsidRDefault="00EA1E45" w:rsidP="00EA1E45">
      <w:pPr>
        <w:ind w:left="1134" w:right="426"/>
        <w:contextualSpacing/>
        <w:jc w:val="both"/>
        <w:rPr>
          <w:rFonts w:ascii="David" w:hAnsi="David"/>
          <w:b/>
          <w:bCs/>
          <w:noProof w:val="0"/>
          <w:sz w:val="26"/>
          <w:szCs w:val="26"/>
          <w:rtl/>
        </w:rPr>
      </w:pPr>
      <w:r>
        <w:rPr>
          <w:rFonts w:ascii="David" w:hAnsi="David"/>
          <w:b/>
          <w:bCs/>
          <w:noProof w:val="0"/>
          <w:sz w:val="26"/>
          <w:szCs w:val="26"/>
          <w:rtl/>
        </w:rPr>
        <w:t xml:space="preserve">במס' הועדה התובעת הציגה (צילומים ומצגת מחשב) תמונות של נפיחות ופריחה בקרסוליים משנת 2018. רופא הנשים בן שטרית מציין כי תלונות </w:t>
      </w:r>
      <w:r>
        <w:rPr>
          <w:rFonts w:cs="Times New Roman"/>
          <w:b/>
          <w:bCs/>
          <w:noProof w:val="0"/>
          <w:sz w:val="20"/>
          <w:szCs w:val="20"/>
        </w:rPr>
        <w:t>FMF</w:t>
      </w:r>
      <w:r>
        <w:rPr>
          <w:rFonts w:ascii="David" w:hAnsi="David"/>
          <w:b/>
          <w:bCs/>
          <w:noProof w:val="0"/>
          <w:sz w:val="26"/>
          <w:szCs w:val="26"/>
          <w:rtl/>
        </w:rPr>
        <w:t xml:space="preserve"> הוחמרו בזמן לחץ נפשי ובזמן ווסת. בנוסף הוצגו לראשונה בפני הועדה סיכומי ביקורי במרפאה ראומטולוגית הדסה עין כרם (ד''ר צמח תורן תהילה 1/9/2019) ובהם מצוין שהתובעת סובלת מ-</w:t>
      </w:r>
      <w:r>
        <w:rPr>
          <w:rFonts w:cs="Times New Roman"/>
          <w:b/>
          <w:bCs/>
          <w:noProof w:val="0"/>
          <w:sz w:val="20"/>
          <w:szCs w:val="20"/>
        </w:rPr>
        <w:t>FMF</w:t>
      </w:r>
      <w:r>
        <w:rPr>
          <w:rFonts w:ascii="David" w:hAnsi="David"/>
          <w:b/>
          <w:bCs/>
          <w:noProof w:val="0"/>
          <w:sz w:val="26"/>
          <w:szCs w:val="26"/>
          <w:rtl/>
        </w:rPr>
        <w:t xml:space="preserve"> עם אודם ונפיחות בקרסוליים, כאבים בשורשי כפות הידיים ובכתפיים אחת לחודשיים במשך כ- 3-4 ימים. בדיקתה תקינה ומטופלת בקולחיצין. ב-21/5/19 בביקור נוסף 'היו שנים עם התקפים של כאבי בטן וחום ובשנים האחרונות נפיחות בקרסולים'. התובעת גם הציגה לראשונה סיכום מידע רפואי של ד''ר חסין 19/1/98 בו מצוין שסובלת מ-</w:t>
      </w:r>
      <w:r>
        <w:rPr>
          <w:rFonts w:cs="Times New Roman"/>
          <w:b/>
          <w:bCs/>
          <w:noProof w:val="0"/>
          <w:sz w:val="20"/>
          <w:szCs w:val="20"/>
        </w:rPr>
        <w:t>FMF</w:t>
      </w:r>
      <w:r>
        <w:rPr>
          <w:rFonts w:ascii="David" w:hAnsi="David"/>
          <w:b/>
          <w:bCs/>
          <w:noProof w:val="0"/>
          <w:sz w:val="26"/>
          <w:szCs w:val="26"/>
          <w:rtl/>
        </w:rPr>
        <w:t xml:space="preserve"> ומטופלת בדרך קבע בקולחיצין 2 כדורים ליום. אין התקפים מזה מס' שנים. ללא תופעות של התרופות. לאור המידע החדש שהוצג לועדה לראשונה, למרות העדר תיעוד רפואי ובדיקה רפואית בסמיכות סבירה לאירוע הועדה קובעת נכות בשיעור 20% מיום 16/6/01 לפי סעיף 31(1) ג' בניכוי 10% בשל מצב קודם לפי סעיף 35(1) ב (</w:t>
      </w:r>
      <w:r>
        <w:rPr>
          <w:rFonts w:cs="Times New Roman"/>
          <w:b/>
          <w:bCs/>
          <w:noProof w:val="0"/>
          <w:sz w:val="20"/>
          <w:szCs w:val="20"/>
        </w:rPr>
        <w:t>FMF</w:t>
      </w:r>
      <w:r>
        <w:rPr>
          <w:rFonts w:ascii="David" w:hAnsi="David"/>
          <w:b/>
          <w:bCs/>
          <w:noProof w:val="0"/>
          <w:sz w:val="26"/>
          <w:szCs w:val="26"/>
          <w:rtl/>
        </w:rPr>
        <w:t xml:space="preserve"> הינה מחלה גנטית, התובעת אובחנה כסובלת ממחלה זאת טרם האירוע וקיבלה טיפול דרך קבע במחלה), מדובר בנכות בגין החמרת </w:t>
      </w:r>
      <w:r>
        <w:rPr>
          <w:rFonts w:cs="Times New Roman"/>
          <w:b/>
          <w:bCs/>
          <w:noProof w:val="0"/>
          <w:sz w:val="20"/>
          <w:szCs w:val="20"/>
        </w:rPr>
        <w:t>FMF</w:t>
      </w:r>
      <w:r>
        <w:rPr>
          <w:rFonts w:ascii="David" w:hAnsi="David"/>
          <w:b/>
          <w:bCs/>
          <w:noProof w:val="0"/>
          <w:sz w:val="26"/>
          <w:szCs w:val="26"/>
          <w:rtl/>
        </w:rPr>
        <w:t>.</w:t>
      </w:r>
    </w:p>
    <w:p w:rsidR="00EA1E45" w:rsidRDefault="00EA1E45" w:rsidP="00EA1E45">
      <w:pPr>
        <w:ind w:left="1134" w:right="426"/>
        <w:contextualSpacing/>
        <w:jc w:val="both"/>
        <w:rPr>
          <w:rFonts w:ascii="David" w:hAnsi="David"/>
          <w:b/>
          <w:bCs/>
          <w:noProof w:val="0"/>
          <w:sz w:val="26"/>
          <w:szCs w:val="26"/>
          <w:rtl/>
        </w:rPr>
      </w:pPr>
      <w:r>
        <w:rPr>
          <w:rFonts w:ascii="David" w:hAnsi="David"/>
          <w:b/>
          <w:bCs/>
          <w:noProof w:val="0"/>
          <w:sz w:val="26"/>
          <w:szCs w:val="26"/>
          <w:rtl/>
        </w:rPr>
        <w:t xml:space="preserve">הבהרה לעניין אינדרנדיטיס האמור בסעיף 38 של פס''ד - לא מדובר בצלקות נרחב כאמור בסעיף 75(1)ג ולעניין האידרנדיטיס עצמה, לא מדובר במצב שמתאים לסעיף 80 אקזמה כרונית ו/או לסעיף 86 </w:t>
      </w:r>
      <w:r>
        <w:rPr>
          <w:rFonts w:cs="Times New Roman"/>
          <w:b/>
          <w:bCs/>
          <w:noProof w:val="0"/>
          <w:sz w:val="20"/>
          <w:szCs w:val="20"/>
        </w:rPr>
        <w:t>RECIDIVANS</w:t>
      </w:r>
      <w:r>
        <w:rPr>
          <w:rFonts w:ascii="David" w:hAnsi="David"/>
          <w:b/>
          <w:bCs/>
          <w:noProof w:val="0"/>
          <w:sz w:val="26"/>
          <w:szCs w:val="26"/>
        </w:rPr>
        <w:t xml:space="preserve"> </w:t>
      </w:r>
      <w:r>
        <w:rPr>
          <w:rFonts w:ascii="David" w:hAnsi="David"/>
          <w:b/>
          <w:bCs/>
          <w:noProof w:val="0"/>
          <w:sz w:val="26"/>
          <w:szCs w:val="26"/>
          <w:rtl/>
        </w:rPr>
        <w:t>  </w:t>
      </w:r>
      <w:r>
        <w:rPr>
          <w:rFonts w:cs="Times New Roman"/>
          <w:b/>
          <w:bCs/>
          <w:noProof w:val="0"/>
          <w:sz w:val="20"/>
          <w:szCs w:val="20"/>
        </w:rPr>
        <w:t>ERYSIPELAS</w:t>
      </w:r>
      <w:r>
        <w:rPr>
          <w:rFonts w:ascii="David" w:hAnsi="David"/>
          <w:b/>
          <w:bCs/>
          <w:noProof w:val="0"/>
          <w:sz w:val="26"/>
          <w:szCs w:val="26"/>
          <w:rtl/>
        </w:rPr>
        <w:t>."</w:t>
      </w:r>
    </w:p>
    <w:p w:rsidR="00EA1E45" w:rsidRDefault="00EA1E45" w:rsidP="00EA1E45">
      <w:pPr>
        <w:ind w:left="1134" w:right="426"/>
        <w:contextualSpacing/>
        <w:jc w:val="both"/>
        <w:rPr>
          <w:rFonts w:ascii="David" w:hAnsi="David"/>
          <w:noProof w:val="0"/>
          <w:sz w:val="26"/>
          <w:szCs w:val="26"/>
          <w:rtl/>
        </w:rPr>
      </w:pPr>
    </w:p>
    <w:p w:rsidR="00EA1E45" w:rsidRDefault="00EA1E45" w:rsidP="00EA1E45">
      <w:pPr>
        <w:spacing w:line="360" w:lineRule="auto"/>
        <w:ind w:left="425"/>
        <w:contextualSpacing/>
        <w:jc w:val="both"/>
        <w:rPr>
          <w:rFonts w:ascii="Arial" w:hAnsi="Arial"/>
          <w:noProof w:val="0"/>
          <w:sz w:val="28"/>
          <w:szCs w:val="28"/>
          <w:rtl/>
        </w:rPr>
      </w:pPr>
      <w:r>
        <w:rPr>
          <w:rFonts w:ascii="Arial" w:hAnsi="Arial"/>
          <w:noProof w:val="0"/>
          <w:sz w:val="28"/>
          <w:szCs w:val="28"/>
          <w:rtl/>
        </w:rPr>
        <w:t>הוועדה שבה וקבעה כי יש להפעיל את תקנה 15 במלואה.</w:t>
      </w:r>
    </w:p>
    <w:p w:rsidR="00EA1E45" w:rsidRDefault="00EA1E45" w:rsidP="00EA1E45">
      <w:pPr>
        <w:numPr>
          <w:ilvl w:val="0"/>
          <w:numId w:val="1"/>
        </w:numPr>
        <w:spacing w:line="360" w:lineRule="auto"/>
        <w:ind w:left="425" w:hanging="425"/>
        <w:contextualSpacing/>
        <w:jc w:val="both"/>
        <w:rPr>
          <w:rFonts w:ascii="Arial" w:hAnsi="Arial"/>
          <w:noProof w:val="0"/>
          <w:sz w:val="28"/>
          <w:szCs w:val="28"/>
          <w:rtl/>
        </w:rPr>
      </w:pPr>
      <w:r>
        <w:rPr>
          <w:rFonts w:ascii="Arial" w:hAnsi="Arial"/>
          <w:noProof w:val="0"/>
          <w:sz w:val="28"/>
          <w:szCs w:val="28"/>
          <w:rtl/>
        </w:rPr>
        <w:t xml:space="preserve">לאור האמור למבקשת נקבעו הנכויות הבאות: 40% בגין </w:t>
      </w:r>
      <w:r>
        <w:rPr>
          <w:rFonts w:cs="Times New Roman"/>
          <w:noProof w:val="0"/>
        </w:rPr>
        <w:t>PTSD</w:t>
      </w:r>
      <w:r>
        <w:rPr>
          <w:rFonts w:ascii="Arial" w:hAnsi="Arial"/>
          <w:noProof w:val="0"/>
          <w:sz w:val="28"/>
          <w:szCs w:val="28"/>
          <w:rtl/>
        </w:rPr>
        <w:t xml:space="preserve"> לפי פריט ליקוי 34(ב)(4)-(5) מותאם; 10% בגין צלקות לפי פריט ליקוי 75(1)(ב); 10% בגין מחלת </w:t>
      </w:r>
      <w:r>
        <w:rPr>
          <w:rFonts w:cs="Times New Roman"/>
          <w:noProof w:val="0"/>
        </w:rPr>
        <w:t>FMF</w:t>
      </w:r>
      <w:r>
        <w:rPr>
          <w:rFonts w:ascii="Arial" w:hAnsi="Arial"/>
          <w:noProof w:val="0"/>
          <w:sz w:val="28"/>
          <w:szCs w:val="28"/>
          <w:rtl/>
        </w:rPr>
        <w:t xml:space="preserve"> שהם 20% מצב נוכחי בניכוי מצב קודם - 10%, לפי פריט ליקוי 35(1); 0% בגין הידרדניטיס לפי פריט ליקוי 79(1). סה"כ נכות רפואית משוקללת בשיעור 51.4%, ולאחר הפעלת תקנה 15 במלואה ועיגול שיעור הנכות - 78%.</w:t>
      </w:r>
    </w:p>
    <w:p w:rsidR="00EA1E45" w:rsidRDefault="00EA1E45" w:rsidP="00EA1E45">
      <w:pPr>
        <w:ind w:left="27"/>
        <w:jc w:val="both"/>
        <w:rPr>
          <w:b/>
          <w:bCs/>
          <w:noProof w:val="0"/>
          <w:sz w:val="28"/>
          <w:szCs w:val="28"/>
          <w:u w:val="single"/>
        </w:rPr>
      </w:pPr>
    </w:p>
    <w:p w:rsidR="00EA1E45" w:rsidRDefault="00EA1E45" w:rsidP="00EA1E45">
      <w:pPr>
        <w:ind w:left="27"/>
        <w:jc w:val="both"/>
        <w:rPr>
          <w:b/>
          <w:bCs/>
          <w:noProof w:val="0"/>
          <w:sz w:val="28"/>
          <w:szCs w:val="28"/>
          <w:u w:val="single"/>
          <w:rtl/>
        </w:rPr>
      </w:pPr>
    </w:p>
    <w:p w:rsidR="00EA1E45" w:rsidRDefault="00EA1E45" w:rsidP="00EA1E45">
      <w:pPr>
        <w:ind w:left="27"/>
        <w:jc w:val="both"/>
        <w:rPr>
          <w:b/>
          <w:bCs/>
          <w:noProof w:val="0"/>
          <w:sz w:val="28"/>
          <w:szCs w:val="28"/>
          <w:u w:val="single"/>
          <w:rtl/>
        </w:rPr>
      </w:pPr>
    </w:p>
    <w:p w:rsidR="00EA1E45" w:rsidRDefault="00EA1E45" w:rsidP="00EA1E45">
      <w:pPr>
        <w:ind w:left="27"/>
        <w:jc w:val="both"/>
        <w:rPr>
          <w:b/>
          <w:bCs/>
          <w:noProof w:val="0"/>
          <w:sz w:val="28"/>
          <w:szCs w:val="28"/>
          <w:u w:val="single"/>
          <w:rtl/>
        </w:rPr>
      </w:pPr>
    </w:p>
    <w:p w:rsidR="00EA1E45" w:rsidRDefault="00EA1E45" w:rsidP="00EA1E45">
      <w:pPr>
        <w:ind w:left="27"/>
        <w:jc w:val="both"/>
        <w:rPr>
          <w:b/>
          <w:bCs/>
          <w:noProof w:val="0"/>
          <w:sz w:val="28"/>
          <w:szCs w:val="28"/>
          <w:u w:val="single"/>
          <w:rtl/>
        </w:rPr>
      </w:pPr>
    </w:p>
    <w:p w:rsidR="00C66797" w:rsidRDefault="00C66797" w:rsidP="00EA1E45">
      <w:pPr>
        <w:spacing w:line="360" w:lineRule="auto"/>
        <w:ind w:left="27"/>
        <w:jc w:val="both"/>
        <w:rPr>
          <w:b/>
          <w:bCs/>
          <w:noProof w:val="0"/>
          <w:sz w:val="28"/>
          <w:szCs w:val="28"/>
          <w:u w:val="single"/>
          <w:rtl/>
        </w:rPr>
      </w:pPr>
    </w:p>
    <w:p w:rsidR="00EA1E45" w:rsidRDefault="00EA1E45" w:rsidP="00EA1E45">
      <w:pPr>
        <w:spacing w:line="360" w:lineRule="auto"/>
        <w:ind w:left="27"/>
        <w:jc w:val="both"/>
        <w:rPr>
          <w:b/>
          <w:bCs/>
          <w:noProof w:val="0"/>
          <w:sz w:val="28"/>
          <w:szCs w:val="28"/>
          <w:u w:val="single"/>
        </w:rPr>
      </w:pPr>
      <w:r>
        <w:rPr>
          <w:b/>
          <w:bCs/>
          <w:noProof w:val="0"/>
          <w:sz w:val="28"/>
          <w:szCs w:val="28"/>
          <w:u w:val="single"/>
          <w:rtl/>
        </w:rPr>
        <w:t>פסק דינו של בית הדין האזורי</w:t>
      </w:r>
    </w:p>
    <w:p w:rsidR="00EA1E45" w:rsidRDefault="00EA1E45" w:rsidP="00EA1E45">
      <w:pPr>
        <w:numPr>
          <w:ilvl w:val="0"/>
          <w:numId w:val="1"/>
        </w:numPr>
        <w:spacing w:line="360" w:lineRule="auto"/>
        <w:ind w:left="425" w:hanging="425"/>
        <w:contextualSpacing/>
        <w:jc w:val="both"/>
        <w:rPr>
          <w:rFonts w:ascii="Arial" w:hAnsi="Arial"/>
          <w:noProof w:val="0"/>
          <w:sz w:val="28"/>
          <w:szCs w:val="28"/>
          <w:rtl/>
        </w:rPr>
      </w:pPr>
      <w:r>
        <w:rPr>
          <w:rFonts w:ascii="Arial" w:hAnsi="Arial"/>
          <w:noProof w:val="0"/>
          <w:sz w:val="28"/>
          <w:szCs w:val="28"/>
          <w:rtl/>
        </w:rPr>
        <w:t>גם נגד החלטתה האחרונה של הוועדה שבה המערערת וערערה לבית הדין האזורי. בית הדין האזורי דחה את ערעורה. בית הדין האזורי קבע כי מקום שעניינו של מבוטח מוחזר לוועדה בפסק דין, יש לבחון אם פעלה הוועדה בהתאם להוראות פסק הדין המחזיר. בהתאם פנה בית הדין לבחון את קביעות הוועדה בתחומים אליהם היא נדרשה להתייחס בפסק הדין הרביעי - שבמקרה זה הוא פסק הדין המחזיר. וכך נקבע:</w:t>
      </w:r>
    </w:p>
    <w:p w:rsidR="00EA1E45" w:rsidRDefault="00EA1E45" w:rsidP="00EA1E45">
      <w:pPr>
        <w:numPr>
          <w:ilvl w:val="0"/>
          <w:numId w:val="1"/>
        </w:numPr>
        <w:spacing w:line="360" w:lineRule="auto"/>
        <w:ind w:left="425" w:hanging="425"/>
        <w:contextualSpacing/>
        <w:jc w:val="both"/>
        <w:rPr>
          <w:rFonts w:ascii="Arial" w:hAnsi="Arial"/>
          <w:noProof w:val="0"/>
          <w:sz w:val="28"/>
          <w:szCs w:val="28"/>
        </w:rPr>
      </w:pPr>
      <w:r>
        <w:rPr>
          <w:rFonts w:ascii="Arial" w:hAnsi="Arial"/>
          <w:noProof w:val="0"/>
          <w:sz w:val="28"/>
          <w:szCs w:val="28"/>
          <w:u w:val="single"/>
          <w:rtl/>
        </w:rPr>
        <w:t>לעניין הליקוי הנפשי</w:t>
      </w:r>
      <w:r>
        <w:rPr>
          <w:rFonts w:ascii="Arial" w:hAnsi="Arial"/>
          <w:noProof w:val="0"/>
          <w:sz w:val="28"/>
          <w:szCs w:val="28"/>
          <w:rtl/>
        </w:rPr>
        <w:t xml:space="preserve"> - בית הדין האזורי ציין כי ההנחיה הספציפית בעניין זה פורטה בסעיף 37 לפסק הדין המחזיר (פסק הדין הרביעי, ראו סעיף 9 לעיל). וכך קבע בית הדין האזורי לגבי ליקוי זה, לאחר שבחן את הסברי הוועדה:</w:t>
      </w:r>
    </w:p>
    <w:p w:rsidR="00EA1E45" w:rsidRDefault="00EA1E45" w:rsidP="00EA1E45">
      <w:pPr>
        <w:ind w:left="1417" w:right="426" w:hanging="567"/>
        <w:contextualSpacing/>
        <w:jc w:val="both"/>
        <w:rPr>
          <w:rFonts w:ascii="David" w:hAnsi="David"/>
          <w:b/>
          <w:bCs/>
          <w:noProof w:val="0"/>
          <w:sz w:val="26"/>
          <w:szCs w:val="26"/>
        </w:rPr>
      </w:pPr>
      <w:r>
        <w:rPr>
          <w:rFonts w:ascii="David" w:hAnsi="David"/>
          <w:b/>
          <w:bCs/>
          <w:noProof w:val="0"/>
          <w:sz w:val="26"/>
          <w:szCs w:val="26"/>
          <w:rtl/>
        </w:rPr>
        <w:t xml:space="preserve">"6. </w:t>
      </w:r>
      <w:r>
        <w:rPr>
          <w:rFonts w:ascii="David" w:hAnsi="David"/>
          <w:b/>
          <w:bCs/>
          <w:noProof w:val="0"/>
          <w:sz w:val="26"/>
          <w:szCs w:val="26"/>
          <w:rtl/>
        </w:rPr>
        <w:tab/>
        <w:t>רואים אפוא כי הוועדה התייחסה לסעיף 37 לפסק הדין המחזיר. הוועדה התייחסה לחוות דעת דוקטור רושקה, חוות דעת דוקטור סקולסקי, ולסעיפי הליקוי הרלוונטיים. הוועדה אף התייחסה לכך שחוות דעת ד"ר הנדזל אינה רלוונטית לתחום זה. כל הקביעות לעיל של הוועדה הן קביעות רפואיות מובהקות לאחר שהתייחסו למצבה של המערערת. גם הקביעה כי מדובר ב"הפרעה ניכרת" או אם מדובר ב"הפרעה קשה" היא קביעה רפואית. לוועדה רפואית יש את הזכות והסמכות לחלוק על קביעה רפואית של רופא אחר או של חוות דעת שהובאה בפניו, כל עוד קביעתה מנומקת.</w:t>
      </w:r>
    </w:p>
    <w:p w:rsidR="00EA1E45" w:rsidRDefault="00EA1E45" w:rsidP="00EA1E45">
      <w:pPr>
        <w:ind w:left="1417" w:right="426" w:hanging="567"/>
        <w:contextualSpacing/>
        <w:jc w:val="both"/>
        <w:rPr>
          <w:rFonts w:ascii="David" w:hAnsi="David"/>
          <w:b/>
          <w:bCs/>
          <w:noProof w:val="0"/>
          <w:sz w:val="16"/>
          <w:szCs w:val="16"/>
          <w:rtl/>
        </w:rPr>
      </w:pPr>
    </w:p>
    <w:p w:rsidR="00EA1E45" w:rsidRDefault="00EA1E45" w:rsidP="00EA1E45">
      <w:pPr>
        <w:ind w:left="1417" w:right="426" w:hanging="567"/>
        <w:contextualSpacing/>
        <w:jc w:val="both"/>
        <w:rPr>
          <w:rFonts w:ascii="David" w:hAnsi="David"/>
          <w:b/>
          <w:bCs/>
          <w:noProof w:val="0"/>
          <w:sz w:val="26"/>
          <w:szCs w:val="26"/>
          <w:rtl/>
        </w:rPr>
      </w:pPr>
      <w:r>
        <w:rPr>
          <w:rFonts w:ascii="David" w:hAnsi="David"/>
          <w:b/>
          <w:bCs/>
          <w:noProof w:val="0"/>
          <w:sz w:val="26"/>
          <w:szCs w:val="26"/>
          <w:rtl/>
        </w:rPr>
        <w:t>7.</w:t>
      </w:r>
      <w:r>
        <w:rPr>
          <w:rFonts w:ascii="David" w:hAnsi="David"/>
          <w:b/>
          <w:bCs/>
          <w:noProof w:val="0"/>
          <w:sz w:val="26"/>
          <w:szCs w:val="26"/>
          <w:rtl/>
        </w:rPr>
        <w:tab/>
        <w:t>מצאנו כי הוועדה התייחסה ספציפית ליישום של כל אחד מהסעיפים, תוך התייחסות לעוצמת ההפרעה, לאשפוזים או להיעדרם, לטיפול התרופתי ולתפקוד הנפשי החברתי והנוגע לכושר העבודה.</w:t>
      </w:r>
    </w:p>
    <w:p w:rsidR="00EA1E45" w:rsidRDefault="00EA1E45" w:rsidP="00EA1E45">
      <w:pPr>
        <w:ind w:left="1417" w:right="426" w:hanging="567"/>
        <w:contextualSpacing/>
        <w:jc w:val="both"/>
        <w:rPr>
          <w:rFonts w:ascii="David" w:hAnsi="David"/>
          <w:b/>
          <w:bCs/>
          <w:noProof w:val="0"/>
          <w:sz w:val="16"/>
          <w:szCs w:val="16"/>
        </w:rPr>
      </w:pPr>
    </w:p>
    <w:p w:rsidR="00EA1E45" w:rsidRDefault="00EA1E45" w:rsidP="00EA1E45">
      <w:pPr>
        <w:ind w:left="1417" w:right="426" w:hanging="567"/>
        <w:contextualSpacing/>
        <w:jc w:val="both"/>
        <w:rPr>
          <w:rFonts w:ascii="David" w:hAnsi="David"/>
          <w:b/>
          <w:bCs/>
          <w:noProof w:val="0"/>
          <w:sz w:val="26"/>
          <w:szCs w:val="26"/>
          <w:rtl/>
        </w:rPr>
      </w:pPr>
      <w:r>
        <w:rPr>
          <w:rFonts w:ascii="David" w:hAnsi="David"/>
          <w:b/>
          <w:bCs/>
          <w:noProof w:val="0"/>
          <w:sz w:val="26"/>
          <w:szCs w:val="26"/>
          <w:rtl/>
        </w:rPr>
        <w:t>8.</w:t>
      </w:r>
      <w:r>
        <w:rPr>
          <w:rFonts w:ascii="David" w:hAnsi="David"/>
          <w:b/>
          <w:bCs/>
          <w:noProof w:val="0"/>
          <w:sz w:val="26"/>
          <w:szCs w:val="26"/>
          <w:rtl/>
        </w:rPr>
        <w:tab/>
        <w:t>הוועדה אף מצאה לנכון ליישם את תקנה 15, וטוב שכך, שכן המערערת כבר שנים אינה עובדת וכושרה להשתכר ולעבוד אינו קיים זה מכבר.</w:t>
      </w:r>
    </w:p>
    <w:p w:rsidR="00EA1E45" w:rsidRDefault="00EA1E45" w:rsidP="00EA1E45">
      <w:pPr>
        <w:ind w:left="1417" w:right="426" w:hanging="567"/>
        <w:contextualSpacing/>
        <w:jc w:val="both"/>
        <w:rPr>
          <w:rFonts w:ascii="David" w:hAnsi="David"/>
          <w:b/>
          <w:bCs/>
          <w:noProof w:val="0"/>
          <w:sz w:val="16"/>
          <w:szCs w:val="16"/>
        </w:rPr>
      </w:pPr>
    </w:p>
    <w:p w:rsidR="00EA1E45" w:rsidRDefault="00EA1E45" w:rsidP="00EA1E45">
      <w:pPr>
        <w:ind w:left="1417" w:right="426" w:hanging="567"/>
        <w:contextualSpacing/>
        <w:jc w:val="both"/>
        <w:rPr>
          <w:rFonts w:ascii="David" w:hAnsi="David"/>
          <w:b/>
          <w:bCs/>
          <w:noProof w:val="0"/>
          <w:sz w:val="26"/>
          <w:szCs w:val="26"/>
          <w:rtl/>
        </w:rPr>
      </w:pPr>
      <w:r>
        <w:rPr>
          <w:rFonts w:ascii="David" w:hAnsi="David"/>
          <w:b/>
          <w:bCs/>
          <w:noProof w:val="0"/>
          <w:sz w:val="26"/>
          <w:szCs w:val="26"/>
          <w:rtl/>
        </w:rPr>
        <w:t>9.</w:t>
      </w:r>
      <w:r>
        <w:rPr>
          <w:rFonts w:ascii="David" w:hAnsi="David"/>
          <w:b/>
          <w:bCs/>
          <w:noProof w:val="0"/>
          <w:sz w:val="26"/>
          <w:szCs w:val="26"/>
          <w:rtl/>
        </w:rPr>
        <w:tab/>
        <w:t>לא מצאנו כי נפלה טעות משפטית כלשהי בעבודת הוועדה בנושא זה. לפיכך הערעור של המערערת להחזיר את עניינה בנושא הנפשי - נדחית."</w:t>
      </w:r>
    </w:p>
    <w:p w:rsidR="00EA1E45" w:rsidRDefault="00EA1E45" w:rsidP="00EA1E45">
      <w:pPr>
        <w:ind w:left="1134" w:right="426"/>
        <w:contextualSpacing/>
        <w:jc w:val="both"/>
        <w:rPr>
          <w:rFonts w:ascii="David" w:hAnsi="David"/>
          <w:noProof w:val="0"/>
          <w:sz w:val="26"/>
          <w:szCs w:val="26"/>
        </w:rPr>
      </w:pPr>
    </w:p>
    <w:p w:rsidR="00EA1E45" w:rsidRDefault="00EA1E45" w:rsidP="00EA1E45">
      <w:pPr>
        <w:numPr>
          <w:ilvl w:val="0"/>
          <w:numId w:val="1"/>
        </w:numPr>
        <w:spacing w:line="360" w:lineRule="auto"/>
        <w:ind w:left="425" w:hanging="425"/>
        <w:contextualSpacing/>
        <w:jc w:val="both"/>
        <w:rPr>
          <w:rFonts w:ascii="Arial" w:hAnsi="Arial"/>
          <w:noProof w:val="0"/>
          <w:sz w:val="28"/>
          <w:szCs w:val="28"/>
        </w:rPr>
      </w:pPr>
      <w:r>
        <w:rPr>
          <w:rFonts w:ascii="Arial" w:hAnsi="Arial"/>
          <w:noProof w:val="0"/>
          <w:sz w:val="28"/>
          <w:szCs w:val="28"/>
          <w:u w:val="single"/>
          <w:rtl/>
        </w:rPr>
        <w:t>לעניין הליקוי הנוגע להידרדניטיס (</w:t>
      </w:r>
      <w:r>
        <w:rPr>
          <w:rFonts w:cs="Times New Roman"/>
          <w:noProof w:val="0"/>
          <w:u w:val="single"/>
        </w:rPr>
        <w:t>HYDRADENITIS</w:t>
      </w:r>
      <w:r>
        <w:rPr>
          <w:rFonts w:ascii="Arial" w:hAnsi="Arial"/>
          <w:noProof w:val="0"/>
          <w:sz w:val="28"/>
          <w:szCs w:val="28"/>
          <w:u w:val="single"/>
          <w:rtl/>
        </w:rPr>
        <w:t>) והצלקות</w:t>
      </w:r>
      <w:r>
        <w:rPr>
          <w:rFonts w:ascii="Arial" w:hAnsi="Arial"/>
          <w:noProof w:val="0"/>
          <w:sz w:val="28"/>
          <w:szCs w:val="28"/>
          <w:rtl/>
        </w:rPr>
        <w:t xml:space="preserve"> - בית הדין האזורי ציין כי ההנחיה הספציפית בעניין זה פורטה בסעיף 38 לפסק הדין המחזיר (פסק הדין הרביעי, ראו סעיף 9 לעיל). וכך קבע בית הדין האזורי לגבי ליקוי זה, לאחר שבחן את הסברי הוועדה:</w:t>
      </w:r>
    </w:p>
    <w:p w:rsidR="00EA1E45" w:rsidRDefault="00EA1E45" w:rsidP="00EA1E45">
      <w:pPr>
        <w:ind w:left="1417" w:right="426" w:hanging="567"/>
        <w:contextualSpacing/>
        <w:jc w:val="both"/>
        <w:rPr>
          <w:rFonts w:ascii="David" w:hAnsi="David"/>
          <w:b/>
          <w:bCs/>
          <w:noProof w:val="0"/>
          <w:sz w:val="26"/>
          <w:szCs w:val="26"/>
          <w:rtl/>
        </w:rPr>
      </w:pPr>
      <w:r>
        <w:rPr>
          <w:rFonts w:ascii="David" w:hAnsi="David"/>
          <w:b/>
          <w:bCs/>
          <w:noProof w:val="0"/>
          <w:sz w:val="26"/>
          <w:szCs w:val="26"/>
          <w:rtl/>
        </w:rPr>
        <w:lastRenderedPageBreak/>
        <w:t>"10.</w:t>
      </w:r>
      <w:r>
        <w:rPr>
          <w:rFonts w:ascii="David" w:hAnsi="David"/>
          <w:b/>
          <w:bCs/>
          <w:noProof w:val="0"/>
          <w:sz w:val="26"/>
          <w:szCs w:val="26"/>
          <w:rtl/>
        </w:rPr>
        <w:tab/>
        <w:t>באשר לליקוי הנוגע ל-</w:t>
      </w:r>
      <w:r>
        <w:rPr>
          <w:rFonts w:cs="Times New Roman"/>
          <w:b/>
          <w:bCs/>
          <w:noProof w:val="0"/>
          <w:sz w:val="20"/>
          <w:szCs w:val="20"/>
        </w:rPr>
        <w:t>hidradenitis</w:t>
      </w:r>
      <w:r>
        <w:rPr>
          <w:rFonts w:ascii="David" w:hAnsi="David"/>
          <w:b/>
          <w:bCs/>
          <w:noProof w:val="0"/>
          <w:sz w:val="26"/>
          <w:szCs w:val="26"/>
          <w:rtl/>
        </w:rPr>
        <w:t xml:space="preserve">, קבע פסק הדין המחזיר שהוכר קיומו של קש"ס בין המחלה וביטויה לרבות הצלקות, לבין מצבה הנפשי של המערערת. לפיכך נקבע כי הוועדה תתן דעתה על מתן הסעיף בנפרד, כאמור בסעיף 38 לפסק הדין המחזיר, למחלה זו, ותקבע את נכותה על פי הסעיף המתאים (75) (ג) או 80 וחלופותיו, ותבהיר את הפרדת הנכויות. תשומת ליבה של הוועדה הופנתה לכך שהנכות בעניין זה אינה מנופה לצורך נפגעי עבודה. </w:t>
      </w:r>
    </w:p>
    <w:p w:rsidR="00EA1E45" w:rsidRDefault="00EA1E45" w:rsidP="00EA1E45">
      <w:pPr>
        <w:ind w:left="1417" w:right="426" w:hanging="567"/>
        <w:contextualSpacing/>
        <w:jc w:val="both"/>
        <w:rPr>
          <w:rFonts w:ascii="David" w:hAnsi="David"/>
          <w:b/>
          <w:bCs/>
          <w:noProof w:val="0"/>
          <w:sz w:val="16"/>
          <w:szCs w:val="16"/>
        </w:rPr>
      </w:pPr>
    </w:p>
    <w:p w:rsidR="00EA1E45" w:rsidRDefault="00EA1E45" w:rsidP="00EA1E45">
      <w:pPr>
        <w:ind w:left="1417" w:right="426" w:hanging="567"/>
        <w:contextualSpacing/>
        <w:jc w:val="both"/>
        <w:rPr>
          <w:rFonts w:ascii="David" w:hAnsi="David"/>
          <w:b/>
          <w:bCs/>
          <w:noProof w:val="0"/>
          <w:sz w:val="26"/>
          <w:szCs w:val="26"/>
          <w:rtl/>
        </w:rPr>
      </w:pPr>
      <w:r>
        <w:rPr>
          <w:rFonts w:ascii="David" w:hAnsi="David"/>
          <w:b/>
          <w:bCs/>
          <w:noProof w:val="0"/>
          <w:sz w:val="26"/>
          <w:szCs w:val="26"/>
          <w:rtl/>
        </w:rPr>
        <w:t>...</w:t>
      </w:r>
    </w:p>
    <w:p w:rsidR="00EA1E45" w:rsidRDefault="00EA1E45" w:rsidP="00EA1E45">
      <w:pPr>
        <w:ind w:left="1417" w:right="426" w:hanging="567"/>
        <w:contextualSpacing/>
        <w:jc w:val="both"/>
        <w:rPr>
          <w:rFonts w:ascii="David" w:hAnsi="David"/>
          <w:b/>
          <w:bCs/>
          <w:noProof w:val="0"/>
          <w:sz w:val="16"/>
          <w:szCs w:val="16"/>
          <w:rtl/>
        </w:rPr>
      </w:pPr>
    </w:p>
    <w:p w:rsidR="00EA1E45" w:rsidRDefault="00EA1E45" w:rsidP="00EA1E45">
      <w:pPr>
        <w:ind w:left="1417" w:right="426" w:hanging="567"/>
        <w:contextualSpacing/>
        <w:jc w:val="both"/>
        <w:rPr>
          <w:rFonts w:ascii="David" w:hAnsi="David"/>
          <w:b/>
          <w:bCs/>
          <w:noProof w:val="0"/>
          <w:sz w:val="26"/>
          <w:szCs w:val="26"/>
          <w:rtl/>
        </w:rPr>
      </w:pPr>
      <w:r>
        <w:rPr>
          <w:rFonts w:ascii="David" w:hAnsi="David"/>
          <w:b/>
          <w:bCs/>
          <w:noProof w:val="0"/>
          <w:sz w:val="26"/>
          <w:szCs w:val="26"/>
          <w:rtl/>
        </w:rPr>
        <w:t>13.</w:t>
      </w:r>
      <w:r>
        <w:rPr>
          <w:rFonts w:ascii="David" w:hAnsi="David"/>
          <w:b/>
          <w:bCs/>
          <w:noProof w:val="0"/>
          <w:sz w:val="26"/>
          <w:szCs w:val="26"/>
          <w:rtl/>
        </w:rPr>
        <w:tab/>
        <w:t>בדיקת סעיף 75 מצביעה כי התיאור הרפואי תואם את הסעיף שנקבע ומדובר בקביעה רפואית שאין להתערב בה. אין מדובר בתחום משפטי. אף לעניין סעיף 79 מדובר בקביעה רפואית על סמך בדיקה קלינית ובדיקה של המסמכים שהוצגו לוועדה, ואין טעות משפטית.</w:t>
      </w:r>
    </w:p>
    <w:p w:rsidR="00EA1E45" w:rsidRDefault="00EA1E45" w:rsidP="00EA1E45">
      <w:pPr>
        <w:ind w:left="1417" w:right="426" w:hanging="567"/>
        <w:contextualSpacing/>
        <w:jc w:val="both"/>
        <w:rPr>
          <w:rFonts w:ascii="David" w:hAnsi="David"/>
          <w:b/>
          <w:bCs/>
          <w:noProof w:val="0"/>
          <w:sz w:val="16"/>
          <w:szCs w:val="16"/>
          <w:rtl/>
        </w:rPr>
      </w:pPr>
    </w:p>
    <w:p w:rsidR="00EA1E45" w:rsidRDefault="00EA1E45" w:rsidP="00EA1E45">
      <w:pPr>
        <w:ind w:left="1417" w:right="426" w:hanging="567"/>
        <w:contextualSpacing/>
        <w:jc w:val="both"/>
        <w:rPr>
          <w:rFonts w:ascii="David" w:hAnsi="David"/>
          <w:b/>
          <w:bCs/>
          <w:noProof w:val="0"/>
          <w:sz w:val="26"/>
          <w:szCs w:val="26"/>
          <w:rtl/>
        </w:rPr>
      </w:pPr>
      <w:r>
        <w:rPr>
          <w:rFonts w:ascii="David" w:hAnsi="David"/>
          <w:b/>
          <w:bCs/>
          <w:noProof w:val="0"/>
          <w:sz w:val="26"/>
          <w:szCs w:val="26"/>
          <w:rtl/>
        </w:rPr>
        <w:t>14.</w:t>
      </w:r>
      <w:r>
        <w:rPr>
          <w:rFonts w:ascii="David" w:hAnsi="David"/>
          <w:b/>
          <w:bCs/>
          <w:noProof w:val="0"/>
          <w:sz w:val="26"/>
          <w:szCs w:val="26"/>
          <w:rtl/>
        </w:rPr>
        <w:tab/>
        <w:t>הוועדה אף טורחת להסביר היטב מדוע לא נכנסים הממצאים לסעיפים אחרים לגביהם הופנתה הוועדה בפסק הדין המחזיר. אף לעניין זה מדובר בקביעות רפואיות ואין טעות משפטית.</w:t>
      </w:r>
    </w:p>
    <w:p w:rsidR="00EA1E45" w:rsidRDefault="00EA1E45" w:rsidP="00EA1E45">
      <w:pPr>
        <w:ind w:left="1417" w:right="426" w:hanging="567"/>
        <w:contextualSpacing/>
        <w:jc w:val="both"/>
        <w:rPr>
          <w:rFonts w:ascii="David" w:hAnsi="David"/>
          <w:b/>
          <w:bCs/>
          <w:noProof w:val="0"/>
          <w:sz w:val="16"/>
          <w:szCs w:val="16"/>
          <w:rtl/>
        </w:rPr>
      </w:pPr>
    </w:p>
    <w:p w:rsidR="00EA1E45" w:rsidRDefault="00EA1E45" w:rsidP="00EA1E45">
      <w:pPr>
        <w:ind w:left="1417" w:right="426" w:hanging="567"/>
        <w:contextualSpacing/>
        <w:jc w:val="both"/>
        <w:rPr>
          <w:rFonts w:ascii="David" w:hAnsi="David"/>
          <w:b/>
          <w:bCs/>
          <w:noProof w:val="0"/>
          <w:sz w:val="26"/>
          <w:szCs w:val="26"/>
          <w:rtl/>
        </w:rPr>
      </w:pPr>
      <w:r>
        <w:rPr>
          <w:rFonts w:ascii="David" w:hAnsi="David"/>
          <w:b/>
          <w:bCs/>
          <w:noProof w:val="0"/>
          <w:sz w:val="26"/>
          <w:szCs w:val="26"/>
          <w:rtl/>
        </w:rPr>
        <w:t>15.</w:t>
      </w:r>
      <w:r>
        <w:rPr>
          <w:rFonts w:ascii="David" w:hAnsi="David"/>
          <w:b/>
          <w:bCs/>
          <w:noProof w:val="0"/>
          <w:sz w:val="26"/>
          <w:szCs w:val="26"/>
          <w:rtl/>
        </w:rPr>
        <w:tab/>
        <w:t xml:space="preserve">ערעורה של המערערת בנוגע ל- </w:t>
      </w:r>
      <w:r>
        <w:rPr>
          <w:rFonts w:cs="Times New Roman"/>
          <w:b/>
          <w:bCs/>
          <w:noProof w:val="0"/>
          <w:sz w:val="20"/>
          <w:szCs w:val="20"/>
        </w:rPr>
        <w:t>hidradenitis</w:t>
      </w:r>
      <w:r>
        <w:rPr>
          <w:rFonts w:ascii="David" w:hAnsi="David"/>
          <w:b/>
          <w:bCs/>
          <w:noProof w:val="0"/>
          <w:sz w:val="26"/>
          <w:szCs w:val="26"/>
          <w:rtl/>
        </w:rPr>
        <w:t xml:space="preserve"> נדחית."</w:t>
      </w:r>
    </w:p>
    <w:p w:rsidR="00EA1E45" w:rsidRDefault="00EA1E45" w:rsidP="00EA1E45">
      <w:pPr>
        <w:ind w:left="1134" w:right="426"/>
        <w:contextualSpacing/>
        <w:jc w:val="both"/>
        <w:rPr>
          <w:rFonts w:ascii="David" w:hAnsi="David"/>
          <w:noProof w:val="0"/>
          <w:sz w:val="26"/>
          <w:szCs w:val="26"/>
          <w:rtl/>
        </w:rPr>
      </w:pPr>
    </w:p>
    <w:p w:rsidR="00EA1E45" w:rsidRDefault="00EA1E45" w:rsidP="00EA1E45">
      <w:pPr>
        <w:numPr>
          <w:ilvl w:val="0"/>
          <w:numId w:val="1"/>
        </w:numPr>
        <w:spacing w:line="360" w:lineRule="auto"/>
        <w:ind w:left="425" w:hanging="425"/>
        <w:contextualSpacing/>
        <w:jc w:val="both"/>
        <w:rPr>
          <w:rFonts w:ascii="Arial" w:hAnsi="Arial"/>
          <w:noProof w:val="0"/>
          <w:sz w:val="28"/>
          <w:szCs w:val="28"/>
          <w:rtl/>
        </w:rPr>
      </w:pPr>
      <w:r>
        <w:rPr>
          <w:rFonts w:ascii="Arial" w:hAnsi="Arial"/>
          <w:noProof w:val="0"/>
          <w:sz w:val="28"/>
          <w:szCs w:val="28"/>
          <w:u w:val="single"/>
          <w:rtl/>
        </w:rPr>
        <w:t xml:space="preserve">לעניין מחלת ה- </w:t>
      </w:r>
      <w:r>
        <w:rPr>
          <w:rFonts w:cs="Times New Roman"/>
          <w:noProof w:val="0"/>
          <w:u w:val="single"/>
        </w:rPr>
        <w:t>FMF</w:t>
      </w:r>
      <w:r>
        <w:rPr>
          <w:rFonts w:ascii="Arial" w:hAnsi="Arial"/>
          <w:noProof w:val="0"/>
          <w:sz w:val="28"/>
          <w:szCs w:val="28"/>
          <w:rtl/>
        </w:rPr>
        <w:t xml:space="preserve"> - יצוין כי ההנחיה הספציפית בעניין זה פורטה בסעיף 39 לפסק הדין המחזיר (פסק הדין הרביעי, ראו סעיף 9 לעיל). וכך קבע בית הדין האזורי לגבי ליקוי זה, לאחר שבחן את הסברי הוועדה:</w:t>
      </w:r>
    </w:p>
    <w:p w:rsidR="00EA1E45" w:rsidRDefault="00EA1E45" w:rsidP="00EA1E45">
      <w:pPr>
        <w:ind w:left="1417" w:right="426" w:hanging="567"/>
        <w:contextualSpacing/>
        <w:jc w:val="both"/>
        <w:rPr>
          <w:rFonts w:ascii="David" w:hAnsi="David"/>
          <w:b/>
          <w:bCs/>
          <w:noProof w:val="0"/>
          <w:sz w:val="26"/>
          <w:szCs w:val="26"/>
          <w:rtl/>
        </w:rPr>
      </w:pPr>
      <w:r>
        <w:rPr>
          <w:rFonts w:ascii="David" w:hAnsi="David"/>
          <w:b/>
          <w:bCs/>
          <w:noProof w:val="0"/>
          <w:sz w:val="26"/>
          <w:szCs w:val="26"/>
          <w:rtl/>
        </w:rPr>
        <w:t>"17.</w:t>
      </w:r>
      <w:r>
        <w:rPr>
          <w:rFonts w:ascii="David" w:hAnsi="David"/>
          <w:b/>
          <w:bCs/>
          <w:noProof w:val="0"/>
          <w:sz w:val="26"/>
          <w:szCs w:val="26"/>
          <w:rtl/>
        </w:rPr>
        <w:tab/>
        <w:t xml:space="preserve">נראה כי הועדה התייחסה לכל ההיסטוריה של </w:t>
      </w:r>
      <w:r>
        <w:rPr>
          <w:rFonts w:cs="Times New Roman"/>
          <w:b/>
          <w:bCs/>
          <w:noProof w:val="0"/>
          <w:sz w:val="20"/>
          <w:szCs w:val="20"/>
        </w:rPr>
        <w:t>FMF</w:t>
      </w:r>
      <w:r>
        <w:rPr>
          <w:rFonts w:ascii="David" w:hAnsi="David"/>
          <w:b/>
          <w:bCs/>
          <w:noProof w:val="0"/>
          <w:sz w:val="26"/>
          <w:szCs w:val="26"/>
          <w:rtl/>
        </w:rPr>
        <w:t xml:space="preserve"> מתחילה ועד כה ולכל התיעוד הרפואי שהוצג בפניה בעניין זה. וכן ציינה כי מחלה זו גנטית, אשר התקיימה במערערת טרם האירוע ולכן מדובר בהחמרה.</w:t>
      </w:r>
    </w:p>
    <w:p w:rsidR="00EA1E45" w:rsidRDefault="00EA1E45" w:rsidP="00EA1E45">
      <w:pPr>
        <w:ind w:left="1417" w:right="426" w:hanging="567"/>
        <w:contextualSpacing/>
        <w:jc w:val="both"/>
        <w:rPr>
          <w:rFonts w:ascii="David" w:hAnsi="David"/>
          <w:b/>
          <w:bCs/>
          <w:noProof w:val="0"/>
          <w:sz w:val="16"/>
          <w:szCs w:val="16"/>
          <w:rtl/>
        </w:rPr>
      </w:pPr>
    </w:p>
    <w:p w:rsidR="00EA1E45" w:rsidRDefault="00EA1E45" w:rsidP="00EA1E45">
      <w:pPr>
        <w:ind w:left="1417" w:right="426" w:hanging="567"/>
        <w:contextualSpacing/>
        <w:jc w:val="both"/>
        <w:rPr>
          <w:rFonts w:ascii="David" w:hAnsi="David"/>
          <w:b/>
          <w:bCs/>
          <w:noProof w:val="0"/>
          <w:sz w:val="26"/>
          <w:szCs w:val="26"/>
          <w:rtl/>
        </w:rPr>
      </w:pPr>
      <w:r>
        <w:rPr>
          <w:rFonts w:ascii="David" w:hAnsi="David"/>
          <w:b/>
          <w:bCs/>
          <w:noProof w:val="0"/>
          <w:sz w:val="26"/>
          <w:szCs w:val="26"/>
          <w:rtl/>
        </w:rPr>
        <w:t>18.</w:t>
      </w:r>
      <w:r>
        <w:rPr>
          <w:rFonts w:ascii="David" w:hAnsi="David"/>
          <w:b/>
          <w:bCs/>
          <w:noProof w:val="0"/>
          <w:sz w:val="26"/>
          <w:szCs w:val="26"/>
          <w:rtl/>
        </w:rPr>
        <w:tab/>
        <w:t>המערערת טוענת כי בעניין הנכות הנפשית הסתמכה הוועדה על מחלה נפשית קודמת. אולם אין הדברים נכונים מכוח מה שנכתב ע"י הוועדה. ההתייחסות למצב קודם הייתה רק ביחס ל-</w:t>
      </w:r>
      <w:r>
        <w:rPr>
          <w:rFonts w:cs="Times New Roman"/>
          <w:b/>
          <w:bCs/>
          <w:noProof w:val="0"/>
          <w:sz w:val="20"/>
          <w:szCs w:val="20"/>
        </w:rPr>
        <w:t>FMF</w:t>
      </w:r>
      <w:r>
        <w:rPr>
          <w:rFonts w:ascii="David" w:hAnsi="David"/>
          <w:b/>
          <w:bCs/>
          <w:noProof w:val="0"/>
          <w:sz w:val="26"/>
          <w:szCs w:val="26"/>
          <w:rtl/>
        </w:rPr>
        <w:t xml:space="preserve"> בו נקבעה החמרה. הוועדה סקרה מצב קודם לפני האירוע ולאחריו, ובעקבות זאת ניכתה עקב מצב קודם. התנהלות זו היא התנהלות רפואית ולא נפלה בה טעות משפטית. אין מחלוקת כי </w:t>
      </w:r>
      <w:r>
        <w:rPr>
          <w:rFonts w:cs="Times New Roman"/>
          <w:b/>
          <w:bCs/>
          <w:noProof w:val="0"/>
          <w:sz w:val="20"/>
          <w:szCs w:val="20"/>
        </w:rPr>
        <w:t>FMF</w:t>
      </w:r>
      <w:r>
        <w:rPr>
          <w:rFonts w:ascii="David" w:hAnsi="David"/>
          <w:b/>
          <w:bCs/>
          <w:noProof w:val="0"/>
          <w:sz w:val="26"/>
          <w:szCs w:val="26"/>
          <w:rtl/>
        </w:rPr>
        <w:t xml:space="preserve"> התקיים במערערת לפני האירוע.</w:t>
      </w:r>
    </w:p>
    <w:p w:rsidR="00EA1E45" w:rsidRDefault="00EA1E45" w:rsidP="00EA1E45">
      <w:pPr>
        <w:ind w:left="1417" w:right="426" w:hanging="567"/>
        <w:contextualSpacing/>
        <w:jc w:val="both"/>
        <w:rPr>
          <w:rFonts w:ascii="David" w:hAnsi="David"/>
          <w:b/>
          <w:bCs/>
          <w:noProof w:val="0"/>
          <w:sz w:val="16"/>
          <w:szCs w:val="16"/>
          <w:rtl/>
        </w:rPr>
      </w:pPr>
    </w:p>
    <w:p w:rsidR="00EA1E45" w:rsidRDefault="00EA1E45" w:rsidP="00EA1E45">
      <w:pPr>
        <w:ind w:left="1417" w:right="426" w:hanging="567"/>
        <w:contextualSpacing/>
        <w:jc w:val="both"/>
        <w:rPr>
          <w:rFonts w:ascii="David" w:hAnsi="David"/>
          <w:b/>
          <w:bCs/>
          <w:noProof w:val="0"/>
          <w:sz w:val="26"/>
          <w:szCs w:val="26"/>
          <w:rtl/>
        </w:rPr>
      </w:pPr>
      <w:r>
        <w:rPr>
          <w:rFonts w:ascii="David" w:hAnsi="David"/>
          <w:b/>
          <w:bCs/>
          <w:noProof w:val="0"/>
          <w:sz w:val="26"/>
          <w:szCs w:val="26"/>
          <w:rtl/>
        </w:rPr>
        <w:t>19.</w:t>
      </w:r>
      <w:r>
        <w:rPr>
          <w:rFonts w:ascii="David" w:hAnsi="David"/>
          <w:b/>
          <w:bCs/>
          <w:noProof w:val="0"/>
          <w:sz w:val="26"/>
          <w:szCs w:val="26"/>
          <w:rtl/>
        </w:rPr>
        <w:tab/>
        <w:t>הוועדה קשרה קשר בין הנכות הנפשית ל-</w:t>
      </w:r>
      <w:r>
        <w:rPr>
          <w:rFonts w:cs="Times New Roman"/>
          <w:b/>
          <w:bCs/>
          <w:noProof w:val="0"/>
          <w:sz w:val="20"/>
          <w:szCs w:val="20"/>
        </w:rPr>
        <w:t>PTSD</w:t>
      </w:r>
      <w:r>
        <w:rPr>
          <w:rFonts w:ascii="David" w:hAnsi="David"/>
          <w:b/>
          <w:bCs/>
          <w:noProof w:val="0"/>
          <w:sz w:val="26"/>
          <w:szCs w:val="26"/>
          <w:rtl/>
        </w:rPr>
        <w:t xml:space="preserve"> ולאירוע, וכן למסמכים שהוגשו בפניה. לפיכך פעלה כדין ולא נפלה טעות משפטית בהחלטתה.</w:t>
      </w:r>
    </w:p>
    <w:p w:rsidR="00EA1E45" w:rsidRDefault="00EA1E45" w:rsidP="00EA1E45">
      <w:pPr>
        <w:ind w:left="1417" w:right="426" w:hanging="567"/>
        <w:contextualSpacing/>
        <w:jc w:val="both"/>
        <w:rPr>
          <w:rFonts w:ascii="David" w:hAnsi="David"/>
          <w:b/>
          <w:bCs/>
          <w:noProof w:val="0"/>
          <w:sz w:val="16"/>
          <w:szCs w:val="16"/>
          <w:rtl/>
        </w:rPr>
      </w:pPr>
    </w:p>
    <w:p w:rsidR="00EA1E45" w:rsidRDefault="00EA1E45" w:rsidP="00EA1E45">
      <w:pPr>
        <w:ind w:left="1417" w:right="426" w:hanging="567"/>
        <w:contextualSpacing/>
        <w:jc w:val="both"/>
        <w:rPr>
          <w:rFonts w:ascii="David" w:hAnsi="David"/>
          <w:b/>
          <w:bCs/>
          <w:noProof w:val="0"/>
          <w:sz w:val="26"/>
          <w:szCs w:val="26"/>
          <w:rtl/>
        </w:rPr>
      </w:pPr>
      <w:r>
        <w:rPr>
          <w:rFonts w:ascii="David" w:hAnsi="David"/>
          <w:b/>
          <w:bCs/>
          <w:noProof w:val="0"/>
          <w:sz w:val="26"/>
          <w:szCs w:val="26"/>
          <w:rtl/>
        </w:rPr>
        <w:t>20.</w:t>
      </w:r>
      <w:r>
        <w:rPr>
          <w:rFonts w:ascii="David" w:hAnsi="David"/>
          <w:b/>
          <w:bCs/>
          <w:noProof w:val="0"/>
          <w:sz w:val="26"/>
          <w:szCs w:val="26"/>
          <w:rtl/>
        </w:rPr>
        <w:tab/>
        <w:t>יתר על כן, הוועדה נימקה היטב את היישום של הסעיף הרלוונטי ואף בכך לא נפלה טעות.</w:t>
      </w:r>
    </w:p>
    <w:p w:rsidR="00EA1E45" w:rsidRDefault="00EA1E45" w:rsidP="00EA1E45">
      <w:pPr>
        <w:ind w:left="1417" w:right="426" w:hanging="567"/>
        <w:contextualSpacing/>
        <w:jc w:val="both"/>
        <w:rPr>
          <w:rFonts w:ascii="David" w:hAnsi="David"/>
          <w:b/>
          <w:bCs/>
          <w:noProof w:val="0"/>
          <w:sz w:val="16"/>
          <w:szCs w:val="16"/>
          <w:rtl/>
        </w:rPr>
      </w:pPr>
    </w:p>
    <w:p w:rsidR="00EA1E45" w:rsidRDefault="00EA1E45" w:rsidP="00EA1E45">
      <w:pPr>
        <w:ind w:left="1417" w:right="426" w:hanging="567"/>
        <w:contextualSpacing/>
        <w:jc w:val="both"/>
        <w:rPr>
          <w:rFonts w:ascii="David" w:hAnsi="David"/>
          <w:b/>
          <w:bCs/>
          <w:noProof w:val="0"/>
          <w:sz w:val="26"/>
          <w:szCs w:val="26"/>
          <w:rtl/>
        </w:rPr>
      </w:pPr>
      <w:r>
        <w:rPr>
          <w:rFonts w:ascii="David" w:hAnsi="David"/>
          <w:b/>
          <w:bCs/>
          <w:noProof w:val="0"/>
          <w:sz w:val="26"/>
          <w:szCs w:val="26"/>
          <w:rtl/>
        </w:rPr>
        <w:t>21.</w:t>
      </w:r>
      <w:r>
        <w:rPr>
          <w:rFonts w:ascii="David" w:hAnsi="David"/>
          <w:b/>
          <w:bCs/>
          <w:noProof w:val="0"/>
          <w:sz w:val="26"/>
          <w:szCs w:val="26"/>
          <w:rtl/>
        </w:rPr>
        <w:tab/>
        <w:t xml:space="preserve">המערערת טענה כי העובדה שהתרופות נרשמו ע"י רופאת משפחה ולא ע"י פסיכיאטר, לא היה בה כדי לפגום באחוז הנכות לו היא טוענת, שכן רופאת המשפחה מסתמכת על רשומות הנובעות מטיפולים ואשפוזים פסיכיאטריים, וכן כי השיפור נובע מכך שאיננה עובדת ואיננה נחשפת לעבודה ועל כן הלחץ הנפשי ירד. גם אם כך הם פני הדברים, הוועדה לקחה בחשבון את המצב בכללותו ואף ציינה כי הקשיבה ברוב קשר למערערת במשך שעה, טענותיה של המערערת נכתבו במפורט בפרוטוקול. הטענות באו לידי ביטוי בהחלטה והנמקותיה. </w:t>
      </w:r>
    </w:p>
    <w:p w:rsidR="00EA1E45" w:rsidRDefault="00EA1E45" w:rsidP="00EA1E45">
      <w:pPr>
        <w:ind w:left="1417" w:right="426" w:hanging="567"/>
        <w:contextualSpacing/>
        <w:jc w:val="both"/>
        <w:rPr>
          <w:rFonts w:ascii="David" w:hAnsi="David"/>
          <w:b/>
          <w:bCs/>
          <w:noProof w:val="0"/>
          <w:sz w:val="16"/>
          <w:szCs w:val="16"/>
          <w:rtl/>
        </w:rPr>
      </w:pPr>
    </w:p>
    <w:p w:rsidR="00EA1E45" w:rsidRDefault="00EA1E45" w:rsidP="00EA1E45">
      <w:pPr>
        <w:ind w:left="1417" w:right="426" w:hanging="567"/>
        <w:contextualSpacing/>
        <w:jc w:val="both"/>
        <w:rPr>
          <w:rFonts w:ascii="David" w:hAnsi="David"/>
          <w:b/>
          <w:bCs/>
          <w:noProof w:val="0"/>
          <w:sz w:val="26"/>
          <w:szCs w:val="26"/>
          <w:rtl/>
        </w:rPr>
      </w:pPr>
      <w:r>
        <w:rPr>
          <w:rFonts w:ascii="David" w:hAnsi="David"/>
          <w:b/>
          <w:bCs/>
          <w:noProof w:val="0"/>
          <w:sz w:val="26"/>
          <w:szCs w:val="26"/>
          <w:rtl/>
        </w:rPr>
        <w:lastRenderedPageBreak/>
        <w:t>22.</w:t>
      </w:r>
      <w:r>
        <w:rPr>
          <w:rFonts w:ascii="David" w:hAnsi="David"/>
          <w:b/>
          <w:bCs/>
          <w:noProof w:val="0"/>
          <w:sz w:val="26"/>
          <w:szCs w:val="26"/>
          <w:rtl/>
        </w:rPr>
        <w:tab/>
        <w:t>המערערת טענה כי הוועדה לא נחשפה לתיעוד של טיפולים חודרניים אצל כירורגים בנוגע ל-</w:t>
      </w:r>
      <w:r>
        <w:rPr>
          <w:rFonts w:cs="Times New Roman"/>
          <w:b/>
          <w:bCs/>
          <w:noProof w:val="0"/>
          <w:sz w:val="20"/>
          <w:szCs w:val="20"/>
        </w:rPr>
        <w:t>FMF</w:t>
      </w:r>
      <w:r>
        <w:rPr>
          <w:rFonts w:ascii="David" w:hAnsi="David"/>
          <w:b/>
          <w:bCs/>
          <w:noProof w:val="0"/>
          <w:sz w:val="26"/>
          <w:szCs w:val="26"/>
          <w:rtl/>
        </w:rPr>
        <w:t>. הוועדה סקרה היסטורית נושא זה, ונתנה דעתה לכל התהליך לאורך זמן. גם בכך בא לידי ביטוי כל מה שהועמד בפניה, לרבות מסמכים חדשים שלא היו בפניה קודם.</w:t>
      </w:r>
    </w:p>
    <w:p w:rsidR="00EA1E45" w:rsidRDefault="00EA1E45" w:rsidP="00EA1E45">
      <w:pPr>
        <w:ind w:left="1417" w:right="426" w:hanging="567"/>
        <w:contextualSpacing/>
        <w:jc w:val="both"/>
        <w:rPr>
          <w:rFonts w:ascii="David" w:hAnsi="David"/>
          <w:b/>
          <w:bCs/>
          <w:noProof w:val="0"/>
          <w:sz w:val="16"/>
          <w:szCs w:val="16"/>
          <w:rtl/>
        </w:rPr>
      </w:pPr>
    </w:p>
    <w:p w:rsidR="00EA1E45" w:rsidRDefault="00EA1E45" w:rsidP="00EA1E45">
      <w:pPr>
        <w:ind w:left="1417" w:right="426" w:hanging="567"/>
        <w:contextualSpacing/>
        <w:jc w:val="both"/>
        <w:rPr>
          <w:rFonts w:ascii="David" w:hAnsi="David"/>
          <w:b/>
          <w:bCs/>
          <w:noProof w:val="0"/>
          <w:sz w:val="26"/>
          <w:szCs w:val="26"/>
          <w:rtl/>
        </w:rPr>
      </w:pPr>
      <w:r>
        <w:rPr>
          <w:rFonts w:ascii="David" w:hAnsi="David"/>
          <w:b/>
          <w:bCs/>
          <w:noProof w:val="0"/>
          <w:sz w:val="26"/>
          <w:szCs w:val="26"/>
          <w:rtl/>
        </w:rPr>
        <w:t>23.</w:t>
      </w:r>
      <w:r>
        <w:rPr>
          <w:rFonts w:ascii="David" w:hAnsi="David"/>
          <w:b/>
          <w:bCs/>
          <w:noProof w:val="0"/>
          <w:sz w:val="26"/>
          <w:szCs w:val="26"/>
          <w:rtl/>
        </w:rPr>
        <w:tab/>
        <w:t>הוועדה אף התייחסה לקשר בין המצב הנפשי להידרטיניטיס ול-</w:t>
      </w:r>
      <w:r>
        <w:rPr>
          <w:rFonts w:cs="Times New Roman"/>
          <w:b/>
          <w:bCs/>
          <w:noProof w:val="0"/>
          <w:sz w:val="20"/>
          <w:szCs w:val="20"/>
        </w:rPr>
        <w:t>FMF</w:t>
      </w:r>
      <w:r>
        <w:rPr>
          <w:rFonts w:ascii="David" w:hAnsi="David"/>
          <w:b/>
          <w:bCs/>
          <w:noProof w:val="0"/>
          <w:sz w:val="26"/>
          <w:szCs w:val="26"/>
          <w:rtl/>
        </w:rPr>
        <w:t xml:space="preserve"> ועשתה את ההבחנה ביניהן תוך התייחסות לכל תחום בנפרד ולסעיפי הליקוי הרלוונטיים בנפרד, תוך הנמקה מדוע יישמה סעיף ליקוי ספציפי ומדוע לא עשתה שימוש בסעיף ליקוי אחר."</w:t>
      </w:r>
    </w:p>
    <w:p w:rsidR="00EA1E45" w:rsidRDefault="00EA1E45" w:rsidP="00EA1E45">
      <w:pPr>
        <w:ind w:left="1417" w:right="426" w:hanging="567"/>
        <w:contextualSpacing/>
        <w:jc w:val="both"/>
        <w:rPr>
          <w:rFonts w:ascii="David" w:hAnsi="David"/>
          <w:noProof w:val="0"/>
          <w:sz w:val="26"/>
          <w:szCs w:val="26"/>
          <w:rtl/>
        </w:rPr>
      </w:pPr>
    </w:p>
    <w:p w:rsidR="00EA1E45" w:rsidRDefault="00EA1E45" w:rsidP="00EA1E45">
      <w:pPr>
        <w:numPr>
          <w:ilvl w:val="0"/>
          <w:numId w:val="1"/>
        </w:numPr>
        <w:spacing w:line="360" w:lineRule="auto"/>
        <w:ind w:left="425" w:hanging="425"/>
        <w:contextualSpacing/>
        <w:jc w:val="both"/>
        <w:rPr>
          <w:noProof w:val="0"/>
          <w:sz w:val="28"/>
          <w:szCs w:val="28"/>
          <w:rtl/>
        </w:rPr>
      </w:pPr>
      <w:r>
        <w:rPr>
          <w:noProof w:val="0"/>
          <w:sz w:val="28"/>
          <w:szCs w:val="28"/>
          <w:rtl/>
        </w:rPr>
        <w:t>מסכם בית הדין האזורי וקובע:</w:t>
      </w:r>
    </w:p>
    <w:p w:rsidR="00EA1E45" w:rsidRDefault="00EA1E45" w:rsidP="00EA1E45">
      <w:pPr>
        <w:ind w:left="1417" w:right="426" w:hanging="567"/>
        <w:contextualSpacing/>
        <w:jc w:val="both"/>
        <w:rPr>
          <w:rFonts w:ascii="David" w:hAnsi="David"/>
          <w:b/>
          <w:bCs/>
          <w:noProof w:val="0"/>
          <w:sz w:val="26"/>
          <w:szCs w:val="26"/>
          <w:rtl/>
        </w:rPr>
      </w:pPr>
      <w:r>
        <w:rPr>
          <w:rFonts w:ascii="David" w:hAnsi="David"/>
          <w:b/>
          <w:bCs/>
          <w:noProof w:val="0"/>
          <w:sz w:val="26"/>
          <w:szCs w:val="26"/>
          <w:rtl/>
        </w:rPr>
        <w:t>"24.</w:t>
      </w:r>
      <w:r>
        <w:rPr>
          <w:rFonts w:ascii="David" w:hAnsi="David"/>
          <w:b/>
          <w:bCs/>
          <w:noProof w:val="0"/>
          <w:sz w:val="26"/>
          <w:szCs w:val="26"/>
          <w:rtl/>
        </w:rPr>
        <w:tab/>
        <w:t>מקום בו ועדה צריכה לפעול מכוח פסק דין מחזיר, יבדוק בית הדין האם מילאה הוועדה אחרי הנחיותיו בצורה מדוייקת, וככל שכן, משמעות הדבר כי לא נפל פגם משפטי בהתנהלותה, המצדיק החזרה לוועדה.</w:t>
      </w:r>
    </w:p>
    <w:p w:rsidR="00EA1E45" w:rsidRDefault="00EA1E45" w:rsidP="00EA1E45">
      <w:pPr>
        <w:ind w:left="1417" w:right="426" w:hanging="567"/>
        <w:contextualSpacing/>
        <w:jc w:val="both"/>
        <w:rPr>
          <w:rFonts w:ascii="David" w:hAnsi="David"/>
          <w:b/>
          <w:bCs/>
          <w:noProof w:val="0"/>
          <w:sz w:val="16"/>
          <w:szCs w:val="16"/>
        </w:rPr>
      </w:pPr>
    </w:p>
    <w:p w:rsidR="00EA1E45" w:rsidRDefault="00EA1E45" w:rsidP="00EA1E45">
      <w:pPr>
        <w:ind w:left="1417" w:right="426" w:hanging="567"/>
        <w:contextualSpacing/>
        <w:jc w:val="both"/>
        <w:rPr>
          <w:rFonts w:ascii="David" w:hAnsi="David"/>
          <w:b/>
          <w:bCs/>
          <w:noProof w:val="0"/>
          <w:sz w:val="26"/>
          <w:szCs w:val="26"/>
          <w:rtl/>
        </w:rPr>
      </w:pPr>
      <w:r>
        <w:rPr>
          <w:rFonts w:ascii="David" w:hAnsi="David"/>
          <w:b/>
          <w:bCs/>
          <w:noProof w:val="0"/>
          <w:sz w:val="26"/>
          <w:szCs w:val="26"/>
          <w:rtl/>
        </w:rPr>
        <w:t>25.</w:t>
      </w:r>
      <w:r>
        <w:rPr>
          <w:rFonts w:ascii="David" w:hAnsi="David"/>
          <w:b/>
          <w:bCs/>
          <w:noProof w:val="0"/>
          <w:sz w:val="26"/>
          <w:szCs w:val="26"/>
          <w:rtl/>
        </w:rPr>
        <w:tab/>
        <w:t>כפי שפירטנו לעיל בהרחבה, הוועדה התייחסה לפסק הדין של כב' השופט עמיצור איתם, וכן לפסק הדין המחזיר, ולכל אחד מסעיפיו המנחים (37, 38, 39, 40, 41, 42). כל סעיף מסעיפי החלטת הוועדה בפרוטוקולים, הן מיום 3.9.20 והן מיום 26.11.20, מפורט, מנומק ומתייחס לנדרש ממנה. הוועדה התייחסה לחוות הדעת אליהן הפנה פסק הדין המחזיר, הסבירה מדוע מסכימה או חולקת על האמור בהן ונוקבת בסעיף הליקוי ובשיעור הנכות הרלוונטי.</w:t>
      </w:r>
    </w:p>
    <w:p w:rsidR="00EA1E45" w:rsidRDefault="00EA1E45" w:rsidP="00EA1E45">
      <w:pPr>
        <w:ind w:left="1417" w:right="426" w:hanging="567"/>
        <w:contextualSpacing/>
        <w:jc w:val="both"/>
        <w:rPr>
          <w:rFonts w:ascii="David" w:hAnsi="David"/>
          <w:b/>
          <w:bCs/>
          <w:noProof w:val="0"/>
          <w:sz w:val="16"/>
          <w:szCs w:val="16"/>
        </w:rPr>
      </w:pPr>
    </w:p>
    <w:p w:rsidR="00EA1E45" w:rsidRDefault="00EA1E45" w:rsidP="00EA1E45">
      <w:pPr>
        <w:ind w:left="1417" w:right="426" w:hanging="567"/>
        <w:contextualSpacing/>
        <w:jc w:val="both"/>
        <w:rPr>
          <w:rFonts w:ascii="David" w:hAnsi="David"/>
          <w:b/>
          <w:bCs/>
          <w:noProof w:val="0"/>
          <w:sz w:val="26"/>
          <w:szCs w:val="26"/>
          <w:rtl/>
        </w:rPr>
      </w:pPr>
      <w:r>
        <w:rPr>
          <w:rFonts w:ascii="David" w:hAnsi="David"/>
          <w:b/>
          <w:bCs/>
          <w:noProof w:val="0"/>
          <w:sz w:val="26"/>
          <w:szCs w:val="26"/>
          <w:rtl/>
        </w:rPr>
        <w:t>26.</w:t>
      </w:r>
      <w:r>
        <w:rPr>
          <w:rFonts w:ascii="David" w:hAnsi="David"/>
          <w:b/>
          <w:bCs/>
          <w:noProof w:val="0"/>
          <w:sz w:val="26"/>
          <w:szCs w:val="26"/>
          <w:rtl/>
        </w:rPr>
        <w:tab/>
        <w:t>נימוקי הוועדה רפואיים, ובנימוקים רפואיים לא יתערב בית הדין, באשר אינם בסמכותו.</w:t>
      </w:r>
    </w:p>
    <w:p w:rsidR="00EA1E45" w:rsidRDefault="00EA1E45" w:rsidP="00EA1E45">
      <w:pPr>
        <w:ind w:left="1417" w:right="426" w:hanging="567"/>
        <w:contextualSpacing/>
        <w:jc w:val="both"/>
        <w:rPr>
          <w:rFonts w:ascii="David" w:hAnsi="David"/>
          <w:b/>
          <w:bCs/>
          <w:noProof w:val="0"/>
          <w:sz w:val="16"/>
          <w:szCs w:val="16"/>
        </w:rPr>
      </w:pPr>
    </w:p>
    <w:p w:rsidR="00EA1E45" w:rsidRDefault="00EA1E45" w:rsidP="00EA1E45">
      <w:pPr>
        <w:ind w:left="1417" w:right="426" w:hanging="567"/>
        <w:contextualSpacing/>
        <w:jc w:val="both"/>
        <w:rPr>
          <w:rFonts w:ascii="David" w:hAnsi="David"/>
          <w:b/>
          <w:bCs/>
          <w:noProof w:val="0"/>
          <w:sz w:val="26"/>
          <w:szCs w:val="26"/>
          <w:rtl/>
        </w:rPr>
      </w:pPr>
      <w:r>
        <w:rPr>
          <w:rFonts w:ascii="David" w:hAnsi="David"/>
          <w:b/>
          <w:bCs/>
          <w:noProof w:val="0"/>
          <w:sz w:val="26"/>
          <w:szCs w:val="26"/>
          <w:rtl/>
        </w:rPr>
        <w:t>27.</w:t>
      </w:r>
      <w:r>
        <w:rPr>
          <w:rFonts w:ascii="David" w:hAnsi="David"/>
          <w:b/>
          <w:bCs/>
          <w:noProof w:val="0"/>
          <w:sz w:val="26"/>
          <w:szCs w:val="26"/>
          <w:rtl/>
        </w:rPr>
        <w:tab/>
        <w:t>נוכח כל האמור לעיל, דין הערעור להידחות, בכל אחת ואחת מטענותיו, וביחס לכל אחד מנושאי הליקוי וסעיפיו."</w:t>
      </w:r>
    </w:p>
    <w:p w:rsidR="00EA1E45" w:rsidRDefault="00EA1E45" w:rsidP="00EA1E45">
      <w:pPr>
        <w:spacing w:line="360" w:lineRule="auto"/>
        <w:ind w:left="1417" w:right="426" w:hanging="567"/>
        <w:contextualSpacing/>
        <w:jc w:val="both"/>
        <w:rPr>
          <w:rFonts w:ascii="David" w:hAnsi="David"/>
          <w:noProof w:val="0"/>
          <w:sz w:val="26"/>
          <w:szCs w:val="26"/>
        </w:rPr>
      </w:pPr>
    </w:p>
    <w:p w:rsidR="00EA1E45" w:rsidRDefault="00EA1E45" w:rsidP="00EA1E45">
      <w:pPr>
        <w:spacing w:line="360" w:lineRule="auto"/>
        <w:ind w:left="27"/>
        <w:jc w:val="both"/>
        <w:rPr>
          <w:b/>
          <w:bCs/>
          <w:noProof w:val="0"/>
          <w:sz w:val="28"/>
          <w:szCs w:val="28"/>
          <w:u w:val="single"/>
        </w:rPr>
      </w:pPr>
      <w:r>
        <w:rPr>
          <w:b/>
          <w:bCs/>
          <w:noProof w:val="0"/>
          <w:sz w:val="28"/>
          <w:szCs w:val="28"/>
          <w:u w:val="single"/>
          <w:rtl/>
        </w:rPr>
        <w:t>בקשת רשות הערעור</w:t>
      </w:r>
    </w:p>
    <w:p w:rsidR="00EA1E45" w:rsidRDefault="00EA1E45" w:rsidP="00EA1E45">
      <w:pPr>
        <w:numPr>
          <w:ilvl w:val="0"/>
          <w:numId w:val="1"/>
        </w:numPr>
        <w:spacing w:line="360" w:lineRule="auto"/>
        <w:ind w:left="425" w:hanging="425"/>
        <w:contextualSpacing/>
        <w:jc w:val="both"/>
        <w:rPr>
          <w:noProof w:val="0"/>
          <w:sz w:val="28"/>
          <w:szCs w:val="28"/>
          <w:rtl/>
        </w:rPr>
      </w:pPr>
      <w:r>
        <w:rPr>
          <w:noProof w:val="0"/>
          <w:sz w:val="28"/>
          <w:szCs w:val="28"/>
          <w:rtl/>
        </w:rPr>
        <w:t>המערערת הגישה בקשת רשות ערעור האוחזת נספחים וטענות נרחבות החוזרות על עצמן ואינן ערוכות בצורה ממוקדת. אין בכוונתי להתייחס לכלל הטענות, ואציג את אלו המצדיקות התייחסות. להלן בתמצית, טענות המערערת:</w:t>
      </w:r>
    </w:p>
    <w:p w:rsidR="00C66797" w:rsidRDefault="00EA1E45" w:rsidP="00EA1E45">
      <w:pPr>
        <w:numPr>
          <w:ilvl w:val="0"/>
          <w:numId w:val="2"/>
        </w:numPr>
        <w:spacing w:line="360" w:lineRule="auto"/>
        <w:jc w:val="both"/>
        <w:rPr>
          <w:sz w:val="28"/>
          <w:szCs w:val="28"/>
        </w:rPr>
      </w:pPr>
      <w:r>
        <w:rPr>
          <w:noProof w:val="0"/>
          <w:sz w:val="28"/>
          <w:szCs w:val="28"/>
          <w:u w:val="single"/>
          <w:rtl/>
        </w:rPr>
        <w:t>לעניין מחלת ההידרדניטיס</w:t>
      </w:r>
      <w:r>
        <w:rPr>
          <w:noProof w:val="0"/>
          <w:sz w:val="28"/>
          <w:szCs w:val="28"/>
          <w:rtl/>
        </w:rPr>
        <w:t xml:space="preserve"> - לא היה מקום לקבוע נכות אחת המשלבת את הנכות הנפשית ואת הנכות בגין מחלת ההידרדניטיס, שעה שהוועדה בישיבותיה הקודמות הכירה בקשר הסיבתי שבין הנכות הנפשית לבין מחלת ההידרדניטיס. נקבעו 0% נכות, חרף ממצאים קליניים קשים במהלך השנים; לא היה מקום לעשות שימוש בפריט ליקוי של 79 שעניינו אקנה, תחת פריט ליקוי המתאים למחלת ההידרדניטיס; לפי חוזר המוסד (חוזר נכות 420/02/2021 מיום 21.3.2021) נקבע כי פריט הליקוי המתאים למחלת ההידרדניטיס הוא פריט 80 </w:t>
      </w:r>
    </w:p>
    <w:p w:rsidR="00C66797" w:rsidRDefault="00C66797" w:rsidP="00C66797">
      <w:pPr>
        <w:spacing w:line="360" w:lineRule="auto"/>
        <w:ind w:left="747"/>
        <w:jc w:val="both"/>
        <w:rPr>
          <w:noProof w:val="0"/>
          <w:sz w:val="28"/>
          <w:szCs w:val="28"/>
          <w:u w:val="single"/>
          <w:rtl/>
        </w:rPr>
      </w:pPr>
    </w:p>
    <w:p w:rsidR="00EA1E45" w:rsidRDefault="00EA1E45" w:rsidP="00C66797">
      <w:pPr>
        <w:spacing w:line="360" w:lineRule="auto"/>
        <w:ind w:left="747"/>
        <w:jc w:val="both"/>
        <w:rPr>
          <w:sz w:val="28"/>
          <w:szCs w:val="28"/>
          <w:rtl/>
        </w:rPr>
      </w:pPr>
      <w:r>
        <w:rPr>
          <w:noProof w:val="0"/>
          <w:sz w:val="28"/>
          <w:szCs w:val="28"/>
          <w:rtl/>
        </w:rPr>
        <w:lastRenderedPageBreak/>
        <w:t>מותאם; המערערת אובחנה כסובלת ממחלת ההידרדניטיס, הוועדה לא התייחסה לתיעוד רפואי בעניין זה. יתר על כן, בוועדות רפואיות לעררים (מס הכנסה) נקבעו למבקשת בגין מחלת ההידרדניטיס 30% נכות לפי פריט ליקוי 80 מותאם אקזמה; במכתב נושא תאריך 26.10.2021 הודיע המוסד למבקשת כי בין יתר הליקויים שהוכרו במסגרת הפגיעה בעבודה הוכרה גם מחלת ההידרדניטיס (הודעת המערערת מיום 29.11.2021); גם הנכות בגין הצלקות לא יכולה לבוא תחת התאמת נכות בגין מחלת ההידרדניטיס.</w:t>
      </w:r>
    </w:p>
    <w:p w:rsidR="00EA1E45" w:rsidRDefault="00EA1E45" w:rsidP="00EA1E45">
      <w:pPr>
        <w:numPr>
          <w:ilvl w:val="0"/>
          <w:numId w:val="2"/>
        </w:numPr>
        <w:spacing w:line="360" w:lineRule="auto"/>
        <w:jc w:val="both"/>
        <w:rPr>
          <w:sz w:val="28"/>
          <w:szCs w:val="28"/>
        </w:rPr>
      </w:pPr>
      <w:r>
        <w:rPr>
          <w:noProof w:val="0"/>
          <w:sz w:val="28"/>
          <w:szCs w:val="28"/>
          <w:u w:val="single"/>
          <w:rtl/>
        </w:rPr>
        <w:t xml:space="preserve">לעניין מחלת ה- </w:t>
      </w:r>
      <w:r>
        <w:rPr>
          <w:rFonts w:cs="Times New Roman"/>
          <w:noProof w:val="0"/>
          <w:u w:val="single"/>
        </w:rPr>
        <w:t>FMF</w:t>
      </w:r>
      <w:r>
        <w:rPr>
          <w:noProof w:val="0"/>
          <w:sz w:val="28"/>
          <w:szCs w:val="28"/>
          <w:rtl/>
        </w:rPr>
        <w:t xml:space="preserve"> - תחילה יצוין כי המערערת לא משיגה על שיעור הנכות בגין מחלת ה- </w:t>
      </w:r>
      <w:r>
        <w:rPr>
          <w:rFonts w:cs="Times New Roman"/>
          <w:noProof w:val="0"/>
        </w:rPr>
        <w:t>FMF</w:t>
      </w:r>
      <w:r>
        <w:rPr>
          <w:noProof w:val="0"/>
          <w:sz w:val="28"/>
          <w:szCs w:val="28"/>
          <w:rtl/>
        </w:rPr>
        <w:t xml:space="preserve"> - 20%, שיעור נכות שנקבע לה בגין ליקוי זה גם בוועדות הרפואיות (מס הכנסה). השגתה נוגעת לניכוי המצב הקודם. לטענתה לא היה מקום לנכות מצב קודם. שכן, קודם לפגיעה בעבודה המחלה היתה מאוזנת בשל תרופות שנטלה; ניכוי המצב הקודם לא נעשה לפי הכללים שנקבעו לכך בעניין </w:t>
      </w:r>
      <w:r>
        <w:rPr>
          <w:b/>
          <w:bCs/>
          <w:noProof w:val="0"/>
          <w:sz w:val="28"/>
          <w:szCs w:val="28"/>
          <w:rtl/>
        </w:rPr>
        <w:t>מרגוליס</w:t>
      </w:r>
      <w:r>
        <w:rPr>
          <w:noProof w:val="0"/>
          <w:sz w:val="28"/>
          <w:szCs w:val="28"/>
          <w:vertAlign w:val="superscript"/>
          <w:rtl/>
        </w:rPr>
        <w:footnoteReference w:id="1"/>
      </w:r>
      <w:r>
        <w:rPr>
          <w:noProof w:val="0"/>
          <w:sz w:val="28"/>
          <w:szCs w:val="28"/>
          <w:rtl/>
        </w:rPr>
        <w:t xml:space="preserve">. </w:t>
      </w:r>
    </w:p>
    <w:p w:rsidR="00EA1E45" w:rsidRDefault="00EA1E45" w:rsidP="00EA1E45">
      <w:pPr>
        <w:numPr>
          <w:ilvl w:val="0"/>
          <w:numId w:val="2"/>
        </w:numPr>
        <w:spacing w:line="360" w:lineRule="auto"/>
        <w:jc w:val="both"/>
        <w:rPr>
          <w:sz w:val="28"/>
          <w:szCs w:val="28"/>
        </w:rPr>
      </w:pPr>
      <w:r>
        <w:rPr>
          <w:noProof w:val="0"/>
          <w:sz w:val="28"/>
          <w:szCs w:val="28"/>
          <w:u w:val="single"/>
          <w:rtl/>
        </w:rPr>
        <w:t>לעניין הליקוי הנפשי</w:t>
      </w:r>
      <w:r>
        <w:rPr>
          <w:noProof w:val="0"/>
          <w:sz w:val="28"/>
          <w:szCs w:val="28"/>
          <w:rtl/>
        </w:rPr>
        <w:t xml:space="preserve"> - הוועדה לא התייחסה לאמור בחוות דעתה של ד"ר ויסבורד לפיה בשנים 2002 - 2013 טופלה המערערת; בתחום הנפשי היה על הוועדה לקבוע 70% נכות לפי הקבוע בחוות דעתה של ד"ר רושקה.</w:t>
      </w:r>
    </w:p>
    <w:p w:rsidR="00EA1E45" w:rsidRDefault="00EA1E45" w:rsidP="00EA1E45">
      <w:pPr>
        <w:numPr>
          <w:ilvl w:val="0"/>
          <w:numId w:val="1"/>
        </w:numPr>
        <w:spacing w:line="360" w:lineRule="auto"/>
        <w:ind w:left="425" w:hanging="425"/>
        <w:contextualSpacing/>
        <w:jc w:val="both"/>
        <w:rPr>
          <w:sz w:val="28"/>
          <w:szCs w:val="28"/>
        </w:rPr>
      </w:pPr>
      <w:r>
        <w:rPr>
          <w:noProof w:val="0"/>
          <w:sz w:val="28"/>
          <w:szCs w:val="28"/>
          <w:rtl/>
        </w:rPr>
        <w:t xml:space="preserve">לעמדת המשיב נתייחס בשלב ההכרעה. </w:t>
      </w:r>
    </w:p>
    <w:p w:rsidR="00EA1E45" w:rsidRDefault="00EA1E45" w:rsidP="00EA1E45">
      <w:pPr>
        <w:jc w:val="both"/>
        <w:rPr>
          <w:sz w:val="28"/>
          <w:szCs w:val="28"/>
        </w:rPr>
      </w:pPr>
    </w:p>
    <w:p w:rsidR="00EA1E45" w:rsidRDefault="00EA1E45" w:rsidP="00EA1E45">
      <w:pPr>
        <w:spacing w:line="360" w:lineRule="auto"/>
        <w:ind w:left="27"/>
        <w:jc w:val="both"/>
        <w:rPr>
          <w:b/>
          <w:bCs/>
          <w:sz w:val="28"/>
          <w:szCs w:val="28"/>
          <w:u w:val="single"/>
        </w:rPr>
      </w:pPr>
      <w:r>
        <w:rPr>
          <w:b/>
          <w:bCs/>
          <w:noProof w:val="0"/>
          <w:sz w:val="28"/>
          <w:szCs w:val="28"/>
          <w:u w:val="single"/>
          <w:rtl/>
        </w:rPr>
        <w:t>הכרעה</w:t>
      </w:r>
    </w:p>
    <w:p w:rsidR="00EA1E45" w:rsidRDefault="00EA1E45" w:rsidP="00EA1E45">
      <w:pPr>
        <w:numPr>
          <w:ilvl w:val="0"/>
          <w:numId w:val="1"/>
        </w:numPr>
        <w:spacing w:line="360" w:lineRule="auto"/>
        <w:ind w:left="425" w:hanging="425"/>
        <w:contextualSpacing/>
        <w:jc w:val="both"/>
        <w:rPr>
          <w:sz w:val="28"/>
          <w:szCs w:val="28"/>
        </w:rPr>
      </w:pPr>
      <w:r>
        <w:rPr>
          <w:noProof w:val="0"/>
          <w:sz w:val="28"/>
          <w:szCs w:val="28"/>
          <w:rtl/>
        </w:rPr>
        <w:t xml:space="preserve">לאחר שבחנו את טענות הצדדים בכתב ובעל פה החלטנו לקבל את הערעור בחלקו. </w:t>
      </w:r>
    </w:p>
    <w:p w:rsidR="00EA1E45" w:rsidRDefault="00EA1E45" w:rsidP="00EA1E45">
      <w:pPr>
        <w:numPr>
          <w:ilvl w:val="0"/>
          <w:numId w:val="1"/>
        </w:numPr>
        <w:spacing w:line="360" w:lineRule="auto"/>
        <w:ind w:left="425" w:hanging="425"/>
        <w:contextualSpacing/>
        <w:jc w:val="both"/>
        <w:rPr>
          <w:sz w:val="28"/>
          <w:szCs w:val="28"/>
        </w:rPr>
      </w:pPr>
      <w:r>
        <w:rPr>
          <w:noProof w:val="0"/>
          <w:sz w:val="28"/>
          <w:szCs w:val="28"/>
          <w:rtl/>
        </w:rPr>
        <w:t xml:space="preserve">בפתח הדברים נזכיר כי שעה שעניינו של מבוטח מוחזר לוועדה בפסק דין מחזיר על מנת שתפעל לפי הוראותיו, מוגבלת הבקורת השיפוטית על החלטת הוועדה לשאלה אם קוימו הוראות פסק הדין המחזיר. להלן נבחן ביחס לכל אחד מהליקויים אם קוימו הוראות פסק הדין הרביעי (שהוא פסק הדין המחזיר) אם לאו. </w:t>
      </w:r>
    </w:p>
    <w:p w:rsidR="00C66797" w:rsidRDefault="00EA1E45" w:rsidP="00EA1E45">
      <w:pPr>
        <w:numPr>
          <w:ilvl w:val="0"/>
          <w:numId w:val="1"/>
        </w:numPr>
        <w:spacing w:line="360" w:lineRule="auto"/>
        <w:ind w:left="425" w:hanging="425"/>
        <w:contextualSpacing/>
        <w:jc w:val="both"/>
        <w:rPr>
          <w:sz w:val="28"/>
          <w:szCs w:val="28"/>
        </w:rPr>
      </w:pPr>
      <w:r>
        <w:rPr>
          <w:b/>
          <w:bCs/>
          <w:noProof w:val="0"/>
          <w:sz w:val="28"/>
          <w:szCs w:val="28"/>
          <w:u w:val="single"/>
          <w:rtl/>
        </w:rPr>
        <w:t>לעניין הליקוי הנפשי</w:t>
      </w:r>
      <w:r>
        <w:rPr>
          <w:noProof w:val="0"/>
          <w:sz w:val="28"/>
          <w:szCs w:val="28"/>
          <w:rtl/>
        </w:rPr>
        <w:t xml:space="preserve"> – מקובלת עלינו קביעת בית הדין האזורי לפיה הוועדה קיימה את הוראות סעיף 37 לפסק הדין המחזיר כאשר התייחסה לחוות הדעת השונות ולפריטי הליקוי הנזכרים בסעיף. קביעת הוועדה לגבי פריט הליקוי התואם</w:t>
      </w:r>
    </w:p>
    <w:p w:rsidR="00EA1E45" w:rsidRDefault="00EA1E45" w:rsidP="00C66797">
      <w:pPr>
        <w:spacing w:line="360" w:lineRule="auto"/>
        <w:ind w:left="425"/>
        <w:contextualSpacing/>
        <w:jc w:val="both"/>
        <w:rPr>
          <w:sz w:val="28"/>
          <w:szCs w:val="28"/>
        </w:rPr>
      </w:pPr>
      <w:r>
        <w:rPr>
          <w:noProof w:val="0"/>
          <w:sz w:val="28"/>
          <w:szCs w:val="28"/>
          <w:rtl/>
        </w:rPr>
        <w:lastRenderedPageBreak/>
        <w:t xml:space="preserve">את מצבה הנפשי של המערערת היא קביעה רפואית, שבית הדין אינו מוסמך להתערב בה, ומשכך לא נפלה טעות משפטית בהחלטת הוועדה ביחס לליקוי זה. המערערת אמנם סבורה כי כל ליקוייה השונים נובעים מהטראומה הנפשית (כפי שמלמדת ההטבה שהתרחשה בכלל מחלותיה כאשר הפסיקה לעבוד) ולכן הסעיף המתאים לשיטתה הוא סעיף הליקוי 34(ב)(6) העוסק ב"הגבלה קשה מאוד של כושר העבודה", אך הוועדה לא סברה כמוה ונימקה את הכרעתה, כאשר מדובר כאמור בקביעה מקצועית של אנשי המקצוע.  </w:t>
      </w:r>
    </w:p>
    <w:p w:rsidR="00EA1E45" w:rsidRDefault="00EA1E45" w:rsidP="00EA1E45">
      <w:pPr>
        <w:spacing w:line="360" w:lineRule="auto"/>
        <w:ind w:left="425"/>
        <w:contextualSpacing/>
        <w:jc w:val="both"/>
        <w:rPr>
          <w:sz w:val="28"/>
          <w:szCs w:val="28"/>
        </w:rPr>
      </w:pPr>
      <w:r>
        <w:rPr>
          <w:noProof w:val="0"/>
          <w:sz w:val="28"/>
          <w:szCs w:val="28"/>
          <w:rtl/>
        </w:rPr>
        <w:t xml:space="preserve">לאמור נוסיף כי התייחסות הוועדה לכך שהמערערת לא עבדה בשנים האחרונות קיבלה ביטוי ביישום (המלא) של תקנה 15 לתקנות הביטוח הלאומי (קביעת דרגת נכות לנפגעי עבודה), תשט"ז-1956. </w:t>
      </w:r>
    </w:p>
    <w:p w:rsidR="00EA1E45" w:rsidRDefault="00EA1E45" w:rsidP="00EA1E45">
      <w:pPr>
        <w:numPr>
          <w:ilvl w:val="0"/>
          <w:numId w:val="1"/>
        </w:numPr>
        <w:spacing w:line="360" w:lineRule="auto"/>
        <w:ind w:left="425" w:hanging="425"/>
        <w:contextualSpacing/>
        <w:jc w:val="both"/>
        <w:rPr>
          <w:rFonts w:ascii="David" w:hAnsi="David"/>
          <w:sz w:val="28"/>
          <w:szCs w:val="28"/>
        </w:rPr>
      </w:pPr>
      <w:r>
        <w:rPr>
          <w:b/>
          <w:bCs/>
          <w:noProof w:val="0"/>
          <w:sz w:val="28"/>
          <w:szCs w:val="28"/>
          <w:u w:val="single"/>
          <w:rtl/>
        </w:rPr>
        <w:t>לעניין מחלת ה-</w:t>
      </w:r>
      <w:r>
        <w:rPr>
          <w:rFonts w:cs="Times New Roman"/>
          <w:b/>
          <w:bCs/>
          <w:noProof w:val="0"/>
          <w:u w:val="single"/>
        </w:rPr>
        <w:t>FMF</w:t>
      </w:r>
      <w:r>
        <w:rPr>
          <w:rFonts w:cs="Times New Roman"/>
          <w:b/>
          <w:bCs/>
          <w:noProof w:val="0"/>
          <w:u w:val="single"/>
          <w:rtl/>
        </w:rPr>
        <w:t xml:space="preserve"> </w:t>
      </w:r>
      <w:r>
        <w:rPr>
          <w:rFonts w:ascii="David" w:hAnsi="David"/>
          <w:noProof w:val="0"/>
          <w:sz w:val="28"/>
          <w:szCs w:val="28"/>
          <w:rtl/>
        </w:rPr>
        <w:t xml:space="preserve">– מקובלת עלינו טענת המערערת כי הנמקת הוועדה בכל הנוגע לניכוי המצב הקודם מעוררת קושי. כפי שהסכים ב"כ המוסד בדיון בפנינו הנמקת הוועדה בנוגע לניכוי מצב קודם היתה כי המערערת לקתה במחלת ה </w:t>
      </w:r>
      <w:r>
        <w:rPr>
          <w:rFonts w:ascii="David" w:hAnsi="David"/>
          <w:sz w:val="28"/>
          <w:szCs w:val="28"/>
        </w:rPr>
        <w:t>FMF</w:t>
      </w:r>
      <w:r>
        <w:rPr>
          <w:rFonts w:ascii="David" w:hAnsi="David"/>
          <w:noProof w:val="0"/>
          <w:sz w:val="28"/>
          <w:szCs w:val="28"/>
          <w:rtl/>
        </w:rPr>
        <w:t xml:space="preserve"> טרם תחילת הפגיעה בעבודה מיום 14.6.01. אלא שהנמקה זו אינה מספקת. עיון בפריט 35(1) בו עשתה הוועדה שימוש מעלה כי אחוזי הנכות בגין המחלה נקבעים לא בשל עצם קיומה אלא בשל השפעתה על כושר הפעולה הכללי או התנועות. משכך, היה על הוועדה, על פי הנפסק בעניין </w:t>
      </w:r>
      <w:r>
        <w:rPr>
          <w:rFonts w:ascii="David" w:hAnsi="David"/>
          <w:b/>
          <w:bCs/>
          <w:noProof w:val="0"/>
          <w:sz w:val="28"/>
          <w:szCs w:val="28"/>
          <w:rtl/>
        </w:rPr>
        <w:t>מרגוליס</w:t>
      </w:r>
      <w:r>
        <w:rPr>
          <w:rFonts w:ascii="David" w:hAnsi="David"/>
          <w:noProof w:val="0"/>
          <w:sz w:val="28"/>
          <w:szCs w:val="28"/>
          <w:rtl/>
        </w:rPr>
        <w:t xml:space="preserve">, לפנות לאותם נתונים מוכחים המלמדים כי ערב הפגיעה בעבודה מחלת ה </w:t>
      </w:r>
      <w:r>
        <w:rPr>
          <w:rFonts w:ascii="David" w:hAnsi="David"/>
          <w:sz w:val="28"/>
          <w:szCs w:val="28"/>
        </w:rPr>
        <w:t>FMF</w:t>
      </w:r>
      <w:r>
        <w:rPr>
          <w:rFonts w:ascii="David" w:hAnsi="David"/>
          <w:noProof w:val="0"/>
          <w:sz w:val="28"/>
          <w:szCs w:val="28"/>
          <w:rtl/>
        </w:rPr>
        <w:t xml:space="preserve"> השפיעה השפעה קלה על כושר התנועה הכללי או התנועות. זאת, כאמור בפריט ליקוי 35(1)(ב), אליו הפנתה הוועדה. וודאי כאשר פריט ליקוי 35(1)(א) קובע אפס אחוזי נכות שעה שהמחלה לא משפיעה על כושר הפעולה הכללי ואין הגבלת תנועות. </w:t>
      </w:r>
    </w:p>
    <w:p w:rsidR="00EA1E45" w:rsidRDefault="00EA1E45" w:rsidP="00EA1E45">
      <w:pPr>
        <w:numPr>
          <w:ilvl w:val="0"/>
          <w:numId w:val="1"/>
        </w:numPr>
        <w:spacing w:line="360" w:lineRule="auto"/>
        <w:ind w:left="425" w:hanging="425"/>
        <w:contextualSpacing/>
        <w:jc w:val="both"/>
        <w:rPr>
          <w:rFonts w:ascii="David" w:hAnsi="David"/>
          <w:sz w:val="28"/>
          <w:szCs w:val="28"/>
        </w:rPr>
      </w:pPr>
      <w:r>
        <w:rPr>
          <w:rFonts w:ascii="David" w:hAnsi="David"/>
          <w:noProof w:val="0"/>
          <w:sz w:val="28"/>
          <w:szCs w:val="28"/>
          <w:rtl/>
        </w:rPr>
        <w:t xml:space="preserve">משכך, העניין יוחזר לוועדה על מנת שתשקול מחדש את ניכוי המצב הקודם בגין מחלת ה </w:t>
      </w:r>
      <w:r>
        <w:rPr>
          <w:rFonts w:ascii="David" w:hAnsi="David"/>
          <w:sz w:val="28"/>
          <w:szCs w:val="28"/>
        </w:rPr>
        <w:t>FMF</w:t>
      </w:r>
      <w:r>
        <w:rPr>
          <w:rFonts w:ascii="David" w:hAnsi="David"/>
          <w:noProof w:val="0"/>
          <w:sz w:val="28"/>
          <w:szCs w:val="28"/>
          <w:rtl/>
        </w:rPr>
        <w:t xml:space="preserve"> וככל שתמצא כי המצב הקודם היה מקנה למערערת אחוזי נכות ערב הפגיעה בעבודה תפרט ותנמק מהם הנתונים המוכחים על יסודם היו נקבעים אחוזי הנכות כאמור. </w:t>
      </w:r>
    </w:p>
    <w:p w:rsidR="00C66797" w:rsidRDefault="00EA1E45" w:rsidP="00EA1E45">
      <w:pPr>
        <w:numPr>
          <w:ilvl w:val="0"/>
          <w:numId w:val="1"/>
        </w:numPr>
        <w:spacing w:line="360" w:lineRule="auto"/>
        <w:ind w:left="425" w:hanging="425"/>
        <w:contextualSpacing/>
        <w:jc w:val="both"/>
        <w:rPr>
          <w:rFonts w:ascii="David" w:hAnsi="David"/>
          <w:sz w:val="28"/>
          <w:szCs w:val="28"/>
        </w:rPr>
      </w:pPr>
      <w:r>
        <w:rPr>
          <w:b/>
          <w:bCs/>
          <w:noProof w:val="0"/>
          <w:sz w:val="28"/>
          <w:szCs w:val="28"/>
          <w:u w:val="single"/>
          <w:rtl/>
        </w:rPr>
        <w:t>לעניין מחלת ההידרדניטיס</w:t>
      </w:r>
      <w:r>
        <w:rPr>
          <w:rFonts w:ascii="David" w:hAnsi="David"/>
          <w:noProof w:val="0"/>
          <w:sz w:val="28"/>
          <w:szCs w:val="28"/>
          <w:rtl/>
        </w:rPr>
        <w:t xml:space="preserve"> – בתחילת הדברים ייאמר כי יש לדחות את טענת המערערת לפיה בגין מחלה זו לא  נפסקו לה אחוזי נכות על אף שמחלה זו הוכרה כתוצאה של הפגיעה בעבודה. אכן, בהחלטות קודמות של הוועדה לא נקבעה נכות נפרדת בגין מחלה זו שעה שהוועדה ראתה בה כנכללת בנכות הנפשית. אלא שלאחר מכן, בהחלטת הוועדה מושא הליך זה – אשר ניתנה בעקבות פסק הדין המחזיר –</w:t>
      </w:r>
    </w:p>
    <w:p w:rsidR="00EA1E45" w:rsidRDefault="00EA1E45" w:rsidP="00C66797">
      <w:pPr>
        <w:spacing w:line="360" w:lineRule="auto"/>
        <w:ind w:left="425"/>
        <w:contextualSpacing/>
        <w:jc w:val="both"/>
        <w:rPr>
          <w:rFonts w:ascii="David" w:hAnsi="David"/>
          <w:sz w:val="28"/>
          <w:szCs w:val="28"/>
        </w:rPr>
      </w:pPr>
      <w:r>
        <w:rPr>
          <w:rFonts w:ascii="David" w:hAnsi="David"/>
          <w:noProof w:val="0"/>
          <w:sz w:val="28"/>
          <w:szCs w:val="28"/>
          <w:rtl/>
        </w:rPr>
        <w:lastRenderedPageBreak/>
        <w:t xml:space="preserve">נקבעו בגין מחלה זו אפס אחוזי נכות. זאת, כיוון שבבדיקת המערערת מיום 3.9.2020 נמצא שמחלה זו לא היתה במצב פעיל בבתי השחי או במפשעות. משכך, יש לדחות את טענת המערערת עליה חזרה בפנינו, כאילו לא הוכרה מחלה זו כתוצאה של פגיעה בעבודה. </w:t>
      </w:r>
    </w:p>
    <w:p w:rsidR="00EA1E45" w:rsidRDefault="00EA1E45" w:rsidP="00EA1E45">
      <w:pPr>
        <w:numPr>
          <w:ilvl w:val="0"/>
          <w:numId w:val="1"/>
        </w:numPr>
        <w:spacing w:line="360" w:lineRule="auto"/>
        <w:ind w:left="425" w:hanging="425"/>
        <w:contextualSpacing/>
        <w:jc w:val="both"/>
        <w:rPr>
          <w:rFonts w:ascii="David" w:hAnsi="David"/>
          <w:sz w:val="28"/>
          <w:szCs w:val="28"/>
        </w:rPr>
      </w:pPr>
      <w:r>
        <w:rPr>
          <w:rFonts w:ascii="David" w:hAnsi="David"/>
          <w:noProof w:val="0"/>
          <w:sz w:val="28"/>
          <w:szCs w:val="28"/>
          <w:rtl/>
        </w:rPr>
        <w:t>בכל הנוגע לקביעת הוועדה כי למערערת אפס אחוזי נכות בגין מחלה זו מתעורר קושי שלא מצאנו לו מענה בהחלטת הוועדה.</w:t>
      </w:r>
      <w:r>
        <w:rPr>
          <w:rFonts w:ascii="David" w:hAnsi="David"/>
          <w:b/>
          <w:bCs/>
          <w:noProof w:val="0"/>
          <w:sz w:val="28"/>
          <w:szCs w:val="28"/>
          <w:rtl/>
        </w:rPr>
        <w:t xml:space="preserve"> </w:t>
      </w:r>
      <w:r>
        <w:rPr>
          <w:rFonts w:ascii="David" w:hAnsi="David"/>
          <w:noProof w:val="0"/>
          <w:sz w:val="28"/>
          <w:szCs w:val="28"/>
          <w:rtl/>
        </w:rPr>
        <w:t>ונסביר,</w:t>
      </w:r>
      <w:r>
        <w:rPr>
          <w:rFonts w:ascii="David" w:hAnsi="David"/>
          <w:b/>
          <w:bCs/>
          <w:noProof w:val="0"/>
          <w:sz w:val="28"/>
          <w:szCs w:val="28"/>
          <w:rtl/>
        </w:rPr>
        <w:t xml:space="preserve"> </w:t>
      </w:r>
      <w:r>
        <w:rPr>
          <w:rFonts w:ascii="David" w:hAnsi="David"/>
          <w:noProof w:val="0"/>
          <w:sz w:val="28"/>
          <w:szCs w:val="28"/>
          <w:rtl/>
        </w:rPr>
        <w:t xml:space="preserve">בקביעתה התייחסה הוועדה למצבה של המערערת ביום 3.9.2020 אך לא התייחסה למצב המחלה בתקופה שממועד הפגיעה ועד למועד הבדיקה ביום 3.9.2020, כשעל פני הדברים אין לשלול אפשרות שמחלה זו – שלפי קביעת הוועדה הותירה צלקות בגופה של המערערת – היתה פעילה בעבר. משכך, יש להחזיר היבט זה לוועדה על מנת שתשלים הכרעתה. </w:t>
      </w:r>
    </w:p>
    <w:p w:rsidR="00EA1E45" w:rsidRDefault="00EA1E45" w:rsidP="00EA1E45">
      <w:pPr>
        <w:numPr>
          <w:ilvl w:val="0"/>
          <w:numId w:val="1"/>
        </w:numPr>
        <w:spacing w:line="360" w:lineRule="auto"/>
        <w:ind w:left="425" w:hanging="425"/>
        <w:contextualSpacing/>
        <w:jc w:val="both"/>
        <w:rPr>
          <w:rFonts w:ascii="David" w:hAnsi="David"/>
          <w:sz w:val="28"/>
          <w:szCs w:val="28"/>
        </w:rPr>
      </w:pPr>
      <w:r>
        <w:rPr>
          <w:rFonts w:ascii="David" w:hAnsi="David"/>
          <w:noProof w:val="0"/>
          <w:sz w:val="28"/>
          <w:szCs w:val="28"/>
          <w:rtl/>
        </w:rPr>
        <w:t>כיוון שענין ה</w:t>
      </w:r>
      <w:r>
        <w:rPr>
          <w:noProof w:val="0"/>
          <w:sz w:val="28"/>
          <w:szCs w:val="28"/>
          <w:rtl/>
        </w:rPr>
        <w:t>הידרדניטיס</w:t>
      </w:r>
      <w:r>
        <w:rPr>
          <w:rFonts w:ascii="David" w:hAnsi="David"/>
          <w:b/>
          <w:bCs/>
          <w:noProof w:val="0"/>
          <w:sz w:val="28"/>
          <w:szCs w:val="28"/>
          <w:rtl/>
        </w:rPr>
        <w:t xml:space="preserve"> </w:t>
      </w:r>
      <w:r>
        <w:rPr>
          <w:rFonts w:ascii="David" w:hAnsi="David"/>
          <w:noProof w:val="0"/>
          <w:sz w:val="28"/>
          <w:szCs w:val="28"/>
          <w:rtl/>
        </w:rPr>
        <w:t xml:space="preserve">ממילא מוחזר לוועדה כאמור, הרי שבהזדמנות זו מתבקשת הוועדה לנמק ביתר פירוט את בחירתה בפריט המותאם (תוך שקילתו מחדש טרם לכן). הוועדה בחרה בפריט 79 ("אקנה") ולא בפריט 80 ("אקזמה"), כפי שנעשה בחוזר המוסד בקשר למחלה זו. הגם שהחוזר כשלעצמו אינו מחייב את הוועדה (ולמען הסר ספק הדבר יובהר לוועדה), עדיין מתבקש הסבר מדוע בחרה הוועדה דווקא בפריט 79 ולא בפריט 80. </w:t>
      </w:r>
    </w:p>
    <w:p w:rsidR="00EA1E45" w:rsidRDefault="00EA1E45" w:rsidP="00EA1E45">
      <w:pPr>
        <w:numPr>
          <w:ilvl w:val="0"/>
          <w:numId w:val="1"/>
        </w:numPr>
        <w:spacing w:line="360" w:lineRule="auto"/>
        <w:ind w:left="425" w:hanging="425"/>
        <w:contextualSpacing/>
        <w:jc w:val="both"/>
        <w:rPr>
          <w:rFonts w:ascii="David" w:hAnsi="David"/>
          <w:sz w:val="28"/>
          <w:szCs w:val="28"/>
        </w:rPr>
      </w:pPr>
      <w:r>
        <w:rPr>
          <w:rFonts w:ascii="David" w:hAnsi="David"/>
          <w:b/>
          <w:bCs/>
          <w:noProof w:val="0"/>
          <w:sz w:val="28"/>
          <w:szCs w:val="28"/>
          <w:u w:val="single"/>
          <w:rtl/>
        </w:rPr>
        <w:t>סוף דבר</w:t>
      </w:r>
      <w:r>
        <w:rPr>
          <w:rFonts w:ascii="David" w:hAnsi="David"/>
          <w:noProof w:val="0"/>
          <w:sz w:val="28"/>
          <w:szCs w:val="28"/>
          <w:rtl/>
        </w:rPr>
        <w:t xml:space="preserve"> – ערעור המערערת בתחום הנפשי נדחה, ומתקבל בענין ניכוי מצב רפואי קודם בגין מחלת ה</w:t>
      </w:r>
      <w:r>
        <w:rPr>
          <w:rFonts w:ascii="David" w:hAnsi="David"/>
          <w:sz w:val="28"/>
          <w:szCs w:val="28"/>
        </w:rPr>
        <w:t xml:space="preserve">FMF </w:t>
      </w:r>
      <w:r>
        <w:rPr>
          <w:rFonts w:ascii="David" w:hAnsi="David"/>
          <w:noProof w:val="0"/>
          <w:sz w:val="28"/>
          <w:szCs w:val="28"/>
          <w:rtl/>
        </w:rPr>
        <w:t xml:space="preserve"> כאמור בסעיף 25 וכן מתקבל בנוגע למחלת ה</w:t>
      </w:r>
      <w:r>
        <w:rPr>
          <w:noProof w:val="0"/>
          <w:sz w:val="28"/>
          <w:szCs w:val="28"/>
          <w:rtl/>
        </w:rPr>
        <w:t xml:space="preserve">הידרדניטיס כאמור בסעיפים 27-28 לעיל. שעה שהערעור התקבל בחלקו ונדחה בחלקו, לא מצאנו לנכון לעשות צו להוצאות. </w:t>
      </w:r>
    </w:p>
    <w:p w:rsidR="004C307F" w:rsidRPr="00EA1E45" w:rsidRDefault="004C307F" w:rsidP="000F63CB">
      <w:pPr>
        <w:spacing w:line="360" w:lineRule="auto"/>
        <w:jc w:val="both"/>
        <w:rPr>
          <w:rFonts w:ascii="Arial" w:hAnsi="Arial"/>
          <w:noProof w:val="0"/>
          <w:sz w:val="28"/>
          <w:szCs w:val="28"/>
          <w:rtl/>
        </w:rPr>
      </w:pPr>
    </w:p>
    <w:p w:rsidR="00694556" w:rsidRPr="004C307F" w:rsidRDefault="0043502B" w:rsidP="004C307F">
      <w:pPr>
        <w:spacing w:line="360" w:lineRule="auto"/>
        <w:jc w:val="both"/>
        <w:rPr>
          <w:rFonts w:ascii="Arial" w:hAnsi="Arial"/>
          <w:b/>
          <w:bCs/>
          <w:noProof w:val="0"/>
          <w:sz w:val="28"/>
          <w:szCs w:val="28"/>
          <w:rtl/>
        </w:rPr>
      </w:pPr>
      <w:r w:rsidRPr="004C307F">
        <w:rPr>
          <w:rFonts w:ascii="Arial" w:hAnsi="Arial"/>
          <w:b/>
          <w:bCs/>
          <w:noProof w:val="0"/>
          <w:sz w:val="28"/>
          <w:szCs w:val="28"/>
          <w:rtl/>
        </w:rPr>
        <w:t>נית</w:t>
      </w:r>
      <w:r w:rsidR="00706BFA" w:rsidRPr="004C307F">
        <w:rPr>
          <w:rFonts w:ascii="Arial" w:hAnsi="Arial" w:hint="cs"/>
          <w:b/>
          <w:bCs/>
          <w:noProof w:val="0"/>
          <w:sz w:val="28"/>
          <w:szCs w:val="28"/>
          <w:rtl/>
        </w:rPr>
        <w:t>ן</w:t>
      </w:r>
      <w:r w:rsidR="00005C8B" w:rsidRPr="004C307F">
        <w:rPr>
          <w:rFonts w:ascii="Arial" w:hAnsi="Arial"/>
          <w:b/>
          <w:bCs/>
          <w:noProof w:val="0"/>
          <w:sz w:val="28"/>
          <w:szCs w:val="28"/>
          <w:rtl/>
        </w:rPr>
        <w:t xml:space="preserve"> </w:t>
      </w:r>
      <w:r w:rsidR="004C307F" w:rsidRPr="004C307F">
        <w:rPr>
          <w:rFonts w:ascii="Arial" w:hAnsi="Arial" w:hint="cs"/>
          <w:b/>
          <w:bCs/>
          <w:noProof w:val="0"/>
          <w:sz w:val="28"/>
          <w:szCs w:val="28"/>
          <w:rtl/>
        </w:rPr>
        <w:t>ב</w:t>
      </w:r>
      <w:r w:rsidR="00005C8B" w:rsidRPr="004C307F">
        <w:rPr>
          <w:rFonts w:ascii="Arial" w:hAnsi="Arial"/>
          <w:b/>
          <w:bCs/>
          <w:noProof w:val="0"/>
          <w:sz w:val="28"/>
          <w:szCs w:val="28"/>
          <w:rtl/>
        </w:rPr>
        <w:t>יום</w:t>
      </w:r>
      <w:r w:rsidR="004C307F" w:rsidRPr="004C307F">
        <w:rPr>
          <w:rFonts w:ascii="Arial" w:hAnsi="Arial" w:hint="cs"/>
          <w:b/>
          <w:bCs/>
          <w:noProof w:val="0"/>
          <w:sz w:val="28"/>
          <w:szCs w:val="28"/>
          <w:rtl/>
        </w:rPr>
        <w:t xml:space="preserve"> ל' ניסן תשפ"ב (01 מאי 2022), </w:t>
      </w:r>
      <w:r w:rsidR="00005C8B" w:rsidRPr="004C307F">
        <w:rPr>
          <w:rFonts w:ascii="Arial" w:hAnsi="Arial"/>
          <w:b/>
          <w:bCs/>
          <w:noProof w:val="0"/>
          <w:sz w:val="28"/>
          <w:szCs w:val="28"/>
          <w:rtl/>
        </w:rPr>
        <w:t>בהעדר הצדדים</w:t>
      </w:r>
      <w:r w:rsidR="007F0805" w:rsidRPr="004C307F">
        <w:rPr>
          <w:rFonts w:ascii="Arial" w:hAnsi="Arial" w:hint="cs"/>
          <w:b/>
          <w:bCs/>
          <w:noProof w:val="0"/>
          <w:sz w:val="28"/>
          <w:szCs w:val="28"/>
          <w:rtl/>
        </w:rPr>
        <w:t xml:space="preserve"> ו</w:t>
      </w:r>
      <w:r w:rsidR="00706BFA" w:rsidRPr="004C307F">
        <w:rPr>
          <w:rFonts w:ascii="Arial" w:hAnsi="Arial" w:hint="cs"/>
          <w:b/>
          <w:bCs/>
          <w:noProof w:val="0"/>
          <w:sz w:val="28"/>
          <w:szCs w:val="28"/>
          <w:rtl/>
        </w:rPr>
        <w:t>י</w:t>
      </w:r>
      <w:r w:rsidR="007F0805" w:rsidRPr="004C307F">
        <w:rPr>
          <w:rFonts w:ascii="Arial" w:hAnsi="Arial" w:hint="cs"/>
          <w:b/>
          <w:bCs/>
          <w:noProof w:val="0"/>
          <w:sz w:val="28"/>
          <w:szCs w:val="28"/>
          <w:rtl/>
        </w:rPr>
        <w:t>ישלח אליהם</w:t>
      </w:r>
      <w:r w:rsidR="00005C8B" w:rsidRPr="004C307F">
        <w:rPr>
          <w:rFonts w:ascii="Arial" w:hAnsi="Arial"/>
          <w:b/>
          <w:bCs/>
          <w:noProof w:val="0"/>
          <w:sz w:val="28"/>
          <w:szCs w:val="28"/>
          <w:rtl/>
        </w:rPr>
        <w:t>.</w:t>
      </w:r>
    </w:p>
    <w:p w:rsidR="00694556" w:rsidRPr="004C307F" w:rsidRDefault="00694556">
      <w:pPr>
        <w:spacing w:line="360" w:lineRule="auto"/>
        <w:jc w:val="both"/>
        <w:rPr>
          <w:rFonts w:ascii="Arial" w:hAnsi="Arial"/>
          <w:noProof w:val="0"/>
          <w:rtl/>
        </w:rPr>
      </w:pPr>
    </w:p>
    <w:tbl>
      <w:tblPr>
        <w:tblStyle w:val="a9"/>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89"/>
        <w:gridCol w:w="341"/>
        <w:gridCol w:w="2556"/>
        <w:gridCol w:w="341"/>
        <w:gridCol w:w="2578"/>
      </w:tblGrid>
      <w:tr w:rsidR="004C307F" w:rsidTr="006B4223">
        <w:tc>
          <w:tcPr>
            <w:tcW w:w="2834" w:type="dxa"/>
            <w:tcBorders>
              <w:bottom w:val="single" w:sz="4" w:space="0" w:color="auto"/>
            </w:tcBorders>
            <w:vAlign w:val="center"/>
          </w:tcPr>
          <w:p w:rsidR="004C307F" w:rsidRPr="002E3BE9" w:rsidRDefault="004C307F" w:rsidP="006B4223">
            <w:pPr>
              <w:spacing w:before="40" w:after="40"/>
              <w:jc w:val="center"/>
              <w:rPr>
                <w:rtl/>
              </w:rPr>
            </w:pPr>
            <w:r>
              <w:drawing>
                <wp:inline distT="0" distB="0" distL="0" distR="0" wp14:anchorId="4FC0BB91" wp14:editId="2FE87C66">
                  <wp:extent cx="990600" cy="762000"/>
                  <wp:effectExtent l="0" t="0" r="0" b="0"/>
                  <wp:docPr id="4" name="Picture 1" descr="069600930"/>
                  <wp:cNvGraphicFramePr/>
                  <a:graphic xmlns:a="http://schemas.openxmlformats.org/drawingml/2006/main">
                    <a:graphicData uri="http://schemas.openxmlformats.org/drawingml/2006/picture">
                      <pic:pic xmlns:pic="http://schemas.openxmlformats.org/drawingml/2006/picture">
                        <pic:nvPicPr>
                          <pic:cNvPr id="1" name="Picture 1" descr="069600930"/>
                          <pic:cNvPicPr/>
                        </pic:nvPicPr>
                        <pic:blipFill>
                          <a:blip r:embed="rId8">
                            <a:lum contrast="54000"/>
                            <a:extLst>
                              <a:ext uri="{28A0092B-C50C-407E-A947-70E740481C1C}">
                                <a14:useLocalDpi xmlns:a14="http://schemas.microsoft.com/office/drawing/2010/main" val="0"/>
                              </a:ext>
                            </a:extLst>
                          </a:blip>
                          <a:srcRect/>
                          <a:stretch>
                            <a:fillRect/>
                          </a:stretch>
                        </pic:blipFill>
                        <pic:spPr bwMode="auto">
                          <a:xfrm>
                            <a:off x="0" y="0"/>
                            <a:ext cx="990600" cy="762000"/>
                          </a:xfrm>
                          <a:prstGeom prst="rect">
                            <a:avLst/>
                          </a:prstGeom>
                          <a:noFill/>
                          <a:ln>
                            <a:noFill/>
                          </a:ln>
                        </pic:spPr>
                      </pic:pic>
                    </a:graphicData>
                  </a:graphic>
                </wp:inline>
              </w:drawing>
            </w:r>
          </w:p>
        </w:tc>
        <w:tc>
          <w:tcPr>
            <w:tcW w:w="360" w:type="dxa"/>
            <w:vAlign w:val="center"/>
          </w:tcPr>
          <w:p w:rsidR="004C307F" w:rsidRDefault="004C307F" w:rsidP="006B4223">
            <w:pPr>
              <w:spacing w:before="40" w:after="40"/>
              <w:jc w:val="center"/>
              <w:rPr>
                <w:rtl/>
              </w:rPr>
            </w:pPr>
          </w:p>
        </w:tc>
        <w:tc>
          <w:tcPr>
            <w:tcW w:w="2340" w:type="dxa"/>
            <w:tcBorders>
              <w:bottom w:val="single" w:sz="4" w:space="0" w:color="auto"/>
            </w:tcBorders>
            <w:vAlign w:val="center"/>
          </w:tcPr>
          <w:p w:rsidR="004C307F" w:rsidRPr="00C176F3" w:rsidRDefault="004C307F" w:rsidP="006B4223">
            <w:pPr>
              <w:spacing w:before="40" w:after="40"/>
              <w:jc w:val="center"/>
              <w:rPr>
                <w:rtl/>
              </w:rPr>
            </w:pPr>
            <w:r>
              <w:drawing>
                <wp:inline distT="0" distB="0" distL="0" distR="0" wp14:anchorId="0CCBB119" wp14:editId="7D55C1E1">
                  <wp:extent cx="1476375" cy="685800"/>
                  <wp:effectExtent l="0" t="0" r="9525" b="0"/>
                  <wp:docPr id="3" name="Picture 3" descr="022937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229374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76375" cy="685800"/>
                          </a:xfrm>
                          <a:prstGeom prst="rect">
                            <a:avLst/>
                          </a:prstGeom>
                          <a:noFill/>
                          <a:ln>
                            <a:noFill/>
                          </a:ln>
                        </pic:spPr>
                      </pic:pic>
                    </a:graphicData>
                  </a:graphic>
                </wp:inline>
              </w:drawing>
            </w:r>
          </w:p>
        </w:tc>
        <w:tc>
          <w:tcPr>
            <w:tcW w:w="360" w:type="dxa"/>
            <w:vAlign w:val="center"/>
          </w:tcPr>
          <w:p w:rsidR="004C307F" w:rsidRDefault="004C307F" w:rsidP="006B4223">
            <w:pPr>
              <w:spacing w:before="40" w:after="40"/>
              <w:jc w:val="center"/>
              <w:rPr>
                <w:rtl/>
              </w:rPr>
            </w:pPr>
          </w:p>
        </w:tc>
        <w:tc>
          <w:tcPr>
            <w:tcW w:w="2628" w:type="dxa"/>
            <w:tcBorders>
              <w:bottom w:val="single" w:sz="4" w:space="0" w:color="auto"/>
            </w:tcBorders>
            <w:vAlign w:val="center"/>
          </w:tcPr>
          <w:p w:rsidR="004C307F" w:rsidRPr="00FF00DF" w:rsidRDefault="004C307F" w:rsidP="006B4223">
            <w:pPr>
              <w:spacing w:before="40" w:after="40"/>
              <w:jc w:val="center"/>
              <w:rPr>
                <w:rtl/>
              </w:rPr>
            </w:pPr>
            <w:r>
              <w:drawing>
                <wp:inline distT="0" distB="0" distL="0" distR="0" wp14:anchorId="15C4C7C8" wp14:editId="2A2626C1">
                  <wp:extent cx="1302106" cy="606908"/>
                  <wp:effectExtent l="0" t="0" r="0" b="3175"/>
                  <wp:docPr id="2" name="תמונה 2" descr="C:\Users\ShimiG\AppData\Local\Microsoft\Windows\Temporary Internet Files\Content.Word\024498149.tif"/>
                  <wp:cNvGraphicFramePr/>
                  <a:graphic xmlns:a="http://schemas.openxmlformats.org/drawingml/2006/main">
                    <a:graphicData uri="http://schemas.openxmlformats.org/drawingml/2006/picture">
                      <pic:pic xmlns:pic="http://schemas.openxmlformats.org/drawingml/2006/picture">
                        <pic:nvPicPr>
                          <pic:cNvPr id="2" name="תמונה 2" descr="C:\Users\ShimiG\AppData\Local\Microsoft\Windows\Temporary Internet Files\Content.Word\024498149.tif"/>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06864" cy="609126"/>
                          </a:xfrm>
                          <a:prstGeom prst="rect">
                            <a:avLst/>
                          </a:prstGeom>
                          <a:noFill/>
                          <a:ln>
                            <a:noFill/>
                          </a:ln>
                        </pic:spPr>
                      </pic:pic>
                    </a:graphicData>
                  </a:graphic>
                </wp:inline>
              </w:drawing>
            </w:r>
          </w:p>
        </w:tc>
      </w:tr>
      <w:tr w:rsidR="004C307F" w:rsidTr="006B4223">
        <w:tc>
          <w:tcPr>
            <w:tcW w:w="2834" w:type="dxa"/>
            <w:tcBorders>
              <w:top w:val="single" w:sz="4" w:space="0" w:color="auto"/>
            </w:tcBorders>
            <w:vAlign w:val="center"/>
          </w:tcPr>
          <w:p w:rsidR="004C307F" w:rsidRDefault="004C307F" w:rsidP="006B4223">
            <w:pPr>
              <w:spacing w:before="40" w:after="40"/>
              <w:jc w:val="center"/>
              <w:rPr>
                <w:b/>
                <w:bCs/>
                <w:sz w:val="28"/>
                <w:szCs w:val="28"/>
                <w:rtl/>
              </w:rPr>
            </w:pPr>
            <w:r>
              <w:rPr>
                <w:rFonts w:hint="cs"/>
                <w:b/>
                <w:bCs/>
                <w:sz w:val="28"/>
                <w:szCs w:val="28"/>
                <w:rtl/>
              </w:rPr>
              <w:t>אילן איטח,</w:t>
            </w:r>
          </w:p>
          <w:p w:rsidR="004C307F" w:rsidRDefault="004C307F" w:rsidP="006B4223">
            <w:pPr>
              <w:spacing w:before="40" w:after="40"/>
              <w:jc w:val="center"/>
              <w:rPr>
                <w:b/>
                <w:bCs/>
                <w:sz w:val="28"/>
                <w:szCs w:val="28"/>
                <w:rtl/>
              </w:rPr>
            </w:pPr>
            <w:r>
              <w:rPr>
                <w:rFonts w:hint="cs"/>
                <w:b/>
                <w:bCs/>
                <w:sz w:val="28"/>
                <w:szCs w:val="28"/>
                <w:rtl/>
              </w:rPr>
              <w:t>סגן נשיאה, אב"ד</w:t>
            </w:r>
          </w:p>
        </w:tc>
        <w:tc>
          <w:tcPr>
            <w:tcW w:w="360" w:type="dxa"/>
            <w:vAlign w:val="center"/>
          </w:tcPr>
          <w:p w:rsidR="004C307F" w:rsidRDefault="004C307F" w:rsidP="006B4223">
            <w:pPr>
              <w:spacing w:before="40" w:after="40"/>
              <w:jc w:val="center"/>
              <w:rPr>
                <w:rtl/>
              </w:rPr>
            </w:pPr>
          </w:p>
        </w:tc>
        <w:tc>
          <w:tcPr>
            <w:tcW w:w="2340" w:type="dxa"/>
            <w:tcBorders>
              <w:top w:val="single" w:sz="4" w:space="0" w:color="auto"/>
            </w:tcBorders>
            <w:vAlign w:val="center"/>
          </w:tcPr>
          <w:p w:rsidR="004C307F" w:rsidRDefault="004C307F" w:rsidP="006B4223">
            <w:pPr>
              <w:spacing w:before="40" w:after="40"/>
              <w:jc w:val="center"/>
              <w:rPr>
                <w:b/>
                <w:bCs/>
                <w:sz w:val="28"/>
                <w:szCs w:val="28"/>
                <w:rtl/>
              </w:rPr>
            </w:pPr>
            <w:r>
              <w:rPr>
                <w:rFonts w:hint="cs"/>
                <w:b/>
                <w:bCs/>
                <w:sz w:val="28"/>
                <w:szCs w:val="28"/>
                <w:rtl/>
              </w:rPr>
              <w:t>סיגל דוידוב-מוטולה,</w:t>
            </w:r>
          </w:p>
          <w:p w:rsidR="004C307F" w:rsidRDefault="004C307F" w:rsidP="006B4223">
            <w:pPr>
              <w:spacing w:before="40" w:after="40"/>
              <w:jc w:val="center"/>
              <w:rPr>
                <w:b/>
                <w:bCs/>
                <w:sz w:val="28"/>
                <w:szCs w:val="28"/>
              </w:rPr>
            </w:pPr>
            <w:r>
              <w:rPr>
                <w:rFonts w:hint="cs"/>
                <w:b/>
                <w:bCs/>
                <w:sz w:val="28"/>
                <w:szCs w:val="28"/>
                <w:rtl/>
              </w:rPr>
              <w:t>שופטת</w:t>
            </w:r>
          </w:p>
        </w:tc>
        <w:tc>
          <w:tcPr>
            <w:tcW w:w="360" w:type="dxa"/>
            <w:vAlign w:val="center"/>
          </w:tcPr>
          <w:p w:rsidR="004C307F" w:rsidRDefault="004C307F" w:rsidP="006B4223">
            <w:pPr>
              <w:spacing w:before="40" w:after="40"/>
              <w:jc w:val="center"/>
              <w:rPr>
                <w:rtl/>
              </w:rPr>
            </w:pPr>
          </w:p>
        </w:tc>
        <w:tc>
          <w:tcPr>
            <w:tcW w:w="2628" w:type="dxa"/>
            <w:tcBorders>
              <w:top w:val="single" w:sz="4" w:space="0" w:color="auto"/>
            </w:tcBorders>
            <w:vAlign w:val="center"/>
          </w:tcPr>
          <w:p w:rsidR="004C307F" w:rsidRDefault="004C307F" w:rsidP="006B4223">
            <w:pPr>
              <w:spacing w:before="40" w:after="40"/>
              <w:jc w:val="center"/>
              <w:rPr>
                <w:b/>
                <w:bCs/>
                <w:sz w:val="28"/>
                <w:szCs w:val="28"/>
                <w:rtl/>
              </w:rPr>
            </w:pPr>
            <w:r>
              <w:rPr>
                <w:rFonts w:hint="cs"/>
                <w:b/>
                <w:bCs/>
                <w:sz w:val="28"/>
                <w:szCs w:val="28"/>
                <w:rtl/>
              </w:rPr>
              <w:t>חני אופק-גנדלר,</w:t>
            </w:r>
          </w:p>
          <w:p w:rsidR="004C307F" w:rsidRDefault="004C307F" w:rsidP="006B4223">
            <w:pPr>
              <w:spacing w:before="40" w:after="40"/>
              <w:jc w:val="center"/>
              <w:rPr>
                <w:b/>
                <w:bCs/>
                <w:sz w:val="28"/>
                <w:szCs w:val="28"/>
                <w:rtl/>
              </w:rPr>
            </w:pPr>
            <w:r>
              <w:rPr>
                <w:rFonts w:hint="cs"/>
                <w:b/>
                <w:bCs/>
                <w:sz w:val="28"/>
                <w:szCs w:val="28"/>
                <w:rtl/>
              </w:rPr>
              <w:t>שופטת</w:t>
            </w:r>
          </w:p>
        </w:tc>
      </w:tr>
    </w:tbl>
    <w:p w:rsidR="004C307F" w:rsidRDefault="004C307F">
      <w:pPr>
        <w:rPr>
          <w:rtl/>
        </w:rPr>
      </w:pPr>
    </w:p>
    <w:sectPr w:rsidR="004C307F" w:rsidSect="001229FA">
      <w:headerReference w:type="default" r:id="rId11"/>
      <w:footerReference w:type="default" r:id="rId12"/>
      <w:pgSz w:w="11907" w:h="16840" w:code="9"/>
      <w:pgMar w:top="720" w:right="1701" w:bottom="1134" w:left="1701" w:header="720" w:footer="737" w:gutter="0"/>
      <w:cols w:space="720"/>
      <w:rtlGutter/>
      <w:docGrid w:linePitch="360"/>
    </w:sectPr>
  </w:body>
</w:document>
</file>

<file path=word/customizations.xml><?xml version="1.0" encoding="utf-8"?>
<wne:tcg xmlns:r="http://schemas.openxmlformats.org/officeDocument/2006/relationships" xmlns:wne="http://schemas.microsoft.com/office/word/2006/wordml">
  <wne:keymaps>
    <wne:keymap wne:kcmPrimary="0072">
      <wne:macro wne:macroName="PROJECT.MODULE1.CONTROLWDKEYF3A"/>
    </wne:keymap>
    <wne:keymap wne:kcmPrimary="0073">
      <wne:macro wne:macroName="PROJECT.MODULE1.CONTROLWDKEYF4A"/>
    </wne:keymap>
    <wne:keymap wne:kcmPrimary="0431">
      <wne:macro wne:macroName="PROJECT.MODULE1.CONTROLWDKEY1"/>
    </wne:keymap>
    <wne:keymap wne:kcmPrimary="0432">
      <wne:macro wne:macroName="PROJECT.MODULE1.CONTROLWDKEY2"/>
    </wne:keymap>
    <wne:keymap wne:kcmPrimary="0433">
      <wne:macro wne:macroName="PROJECT.MODULE1.CONTROLWDKEY3"/>
    </wne:keymap>
    <wne:keymap wne:kcmPrimary="0434">
      <wne:macro wne:macroName="PROJECT.MODULE1.CONTROLWDKEY4"/>
    </wne:keymap>
    <wne:keymap wne:kcmPrimary="0435">
      <wne:macro wne:macroName="PROJECT.MODULE1.CONTROLWDKEY5"/>
    </wne:keymap>
    <wne:keymap wne:kcmPrimary="0436">
      <wne:macro wne:macroName="PROJECT.MODULE1.CONTROLWDKEY6"/>
    </wne:keymap>
    <wne:keymap wne:kcmPrimary="0437">
      <wne:macro wne:macroName="PROJECT.MODULE1.CONTROLWDKEY7"/>
    </wne:keymap>
    <wne:keymap wne:kcmPrimary="0441">
      <wne:macro wne:macroName="PROJECT.MODULE1.CONTROLWDKEYA"/>
    </wne:keymap>
    <wne:keymap wne:kcmPrimary="0442">
      <wne:macro wne:macroName="PROJECT.MODULE1.CONTROLWDKEYB"/>
    </wne:keymap>
    <wne:keymap wne:kcmPrimary="0443">
      <wne:macro wne:macroName="PROJECT.MODULE1.CONTROLWDKEYC"/>
    </wne:keymap>
    <wne:keymap wne:kcmPrimary="0444">
      <wne:macro wne:macroName="PROJECT.MODULE1.CONTROLWDKEYD"/>
    </wne:keymap>
    <wne:keymap wne:kcmPrimary="0445">
      <wne:macro wne:macroName="PROJECT.MODULE1.CONTROLWDKEYE"/>
    </wne:keymap>
    <wne:keymap wne:kcmPrimary="0446">
      <wne:macro wne:macroName="PROJECT.MODULE1.CONTROLWDKEYF"/>
    </wne:keymap>
    <wne:keymap wne:kcmPrimary="0447">
      <wne:macro wne:macroName="PROJECT.MODULE1.CONTROLWDKEYG"/>
    </wne:keymap>
    <wne:keymap wne:kcmPrimary="0448">
      <wne:macro wne:macroName="PROJECT.MODULE1.CONTROLWDKEYH"/>
    </wne:keymap>
    <wne:keymap wne:kcmPrimary="044A">
      <wne:macro wne:macroName="PROJECT.MODULE1.CONTROLWDKEYJ"/>
    </wne:keymap>
    <wne:keymap wne:kcmPrimary="044B">
      <wne:macro wne:macroName="PROJECT.MODULE1.CONTROLWDKEYK"/>
    </wne:keymap>
    <wne:keymap wne:kcmPrimary="044C">
      <wne:macro wne:macroName="PROJECT.MODULE1.CONTROLWDKEYL"/>
    </wne:keymap>
    <wne:keymap wne:kcmPrimary="044D">
      <wne:macro wne:macroName="PROJECT.MODULE1.CONTROLWDKEYM"/>
    </wne:keymap>
    <wne:keymap wne:kcmPrimary="044E">
      <wne:macro wne:macroName="PROJECT.MODULE1.CONTROLWDKEYN"/>
    </wne:keymap>
    <wne:keymap wne:kcmPrimary="0450">
      <wne:macro wne:macroName="PROJECT.MODULE1.CONTROLWDKEYP"/>
    </wne:keymap>
    <wne:keymap wne:kcmPrimary="0451">
      <wne:macro wne:macroName="PROJECT.MODULE1.CONTROLWDKEYQ"/>
    </wne:keymap>
    <wne:keymap wne:kcmPrimary="0452">
      <wne:macro wne:macroName="PROJECT.MODULE1.CONTROLWDKEYR"/>
    </wne:keymap>
    <wne:keymap wne:kcmPrimary="0453">
      <wne:macro wne:macroName="PROJECT.MODULE1.CONTROLWDKEYS"/>
    </wne:keymap>
    <wne:keymap wne:kcmPrimary="0454">
      <wne:macro wne:macroName="PROJECT.MODULE1.CONTROLWDKEYT"/>
    </wne:keymap>
    <wne:keymap wne:kcmPrimary="0455">
      <wne:macro wne:macroName="PROJECT.MODULE1.CONTROLWDKEYU"/>
    </wne:keymap>
    <wne:keymap wne:kcmPrimary="0456">
      <wne:macro wne:macroName="PROJECT.MODULE1.CONTROLWDKEYV"/>
    </wne:keymap>
    <wne:keymap wne:kcmPrimary="0457">
      <wne:macro wne:macroName="PROJECT.MODULE1.CONTROLWDKEYW"/>
    </wne:keymap>
    <wne:keymap wne:kcmPrimary="0458">
      <wne:macro wne:macroName="PROJECT.MODULE1.CONTROLWDKEYX"/>
    </wne:keymap>
    <wne:keymap wne:kcmPrimary="0459">
      <wne:macro wne:macroName="PROJECT.MODULE1.CONTROLWDKEYY"/>
    </wne:keymap>
    <wne:keymap wne:kcmPrimary="045A">
      <wne:macro wne:macroName="PROJECT.MODULE1.CONTROLWDKEYZ"/>
    </wne:keymap>
    <wne:keymap wne:kcmPrimary="0470">
      <wne:macro wne:macroName="PROJECT.MODULE1.CONTROLWDKEYF1"/>
    </wne:keymap>
    <wne:keymap wne:kcmPrimary="0471">
      <wne:macro wne:macroName="PROJECT.MODULE1.CONTROLWDKEYF2"/>
    </wne:keymap>
    <wne:keymap wne:kcmPrimary="0474">
      <wne:macro wne:macroName="PROJECT.MODULE1.CONTROLWDKEYF5"/>
    </wne:keymap>
    <wne:keymap wne:kcmPrimary="0475">
      <wne:macro wne:macroName="PROJECT.MODULE1.CONTROLWDKEYF6"/>
    </wne:keymap>
    <wne:keymap wne:kcmPrimary="0476">
      <wne:macro wne:macroName="PROJECT.MODULE1.CONTROLWDKEYF7"/>
    </wne:keymap>
    <wne:keymap wne:kcmPrimary="0478">
      <wne:macro wne:macroName="PROJECT.MODULE1.CONTROLWDKEYF9"/>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556" w:rsidRDefault="00005C8B">
      <w:r>
        <w:separator/>
      </w:r>
    </w:p>
  </w:endnote>
  <w:endnote w:type="continuationSeparator" w:id="0">
    <w:p w:rsidR="00694556" w:rsidRDefault="00005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rankRuehl">
    <w:panose1 w:val="020E050306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556" w:rsidRPr="004E6E3C" w:rsidRDefault="00094E2B">
    <w:pPr>
      <w:pStyle w:val="a4"/>
      <w:jc w:val="center"/>
      <w:rPr>
        <w:rStyle w:val="ab"/>
      </w:rPr>
    </w:pPr>
    <w:r w:rsidRPr="00B041C1">
      <w:rPr>
        <w:rStyle w:val="ab"/>
        <w:rFonts w:cs="Times New Roman"/>
      </w:rPr>
      <w:fldChar w:fldCharType="begin"/>
    </w:r>
    <w:r w:rsidR="00005C8B" w:rsidRPr="00B041C1">
      <w:rPr>
        <w:rStyle w:val="ab"/>
        <w:rFonts w:cs="Times New Roman"/>
      </w:rPr>
      <w:instrText xml:space="preserve"> PAGE </w:instrText>
    </w:r>
    <w:r w:rsidRPr="00B041C1">
      <w:rPr>
        <w:rStyle w:val="ab"/>
        <w:rFonts w:cs="Times New Roman"/>
      </w:rPr>
      <w:fldChar w:fldCharType="separate"/>
    </w:r>
    <w:r w:rsidR="008C1924">
      <w:rPr>
        <w:rStyle w:val="ab"/>
        <w:rFonts w:cs="Times New Roman"/>
        <w:rtl/>
      </w:rPr>
      <w:t>1</w:t>
    </w:r>
    <w:r w:rsidRPr="00B041C1">
      <w:rPr>
        <w:rStyle w:val="ab"/>
        <w:rFonts w:cs="Times New Roman"/>
      </w:rPr>
      <w:fldChar w:fldCharType="end"/>
    </w:r>
    <w:r w:rsidR="00005C8B" w:rsidRPr="00B041C1">
      <w:rPr>
        <w:rStyle w:val="ab"/>
        <w:rFonts w:hint="cs"/>
        <w:rtl/>
      </w:rPr>
      <w:t xml:space="preserve"> מתוך </w:t>
    </w:r>
    <w:r w:rsidRPr="00B041C1">
      <w:rPr>
        <w:rStyle w:val="ab"/>
      </w:rPr>
      <w:fldChar w:fldCharType="begin"/>
    </w:r>
    <w:r w:rsidR="00005C8B" w:rsidRPr="00B041C1">
      <w:rPr>
        <w:rStyle w:val="ab"/>
      </w:rPr>
      <w:instrText xml:space="preserve"> NUMPAGES </w:instrText>
    </w:r>
    <w:r w:rsidRPr="00B041C1">
      <w:rPr>
        <w:rStyle w:val="ab"/>
      </w:rPr>
      <w:fldChar w:fldCharType="separate"/>
    </w:r>
    <w:r w:rsidR="008C1924">
      <w:rPr>
        <w:rStyle w:val="ab"/>
        <w:rtl/>
      </w:rPr>
      <w:t>16</w:t>
    </w:r>
    <w:r w:rsidRPr="00B041C1">
      <w:rPr>
        <w:rStyle w:val="a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556" w:rsidRDefault="00005C8B">
      <w:r>
        <w:separator/>
      </w:r>
    </w:p>
  </w:footnote>
  <w:footnote w:type="continuationSeparator" w:id="0">
    <w:p w:rsidR="00694556" w:rsidRDefault="00005C8B">
      <w:r>
        <w:continuationSeparator/>
      </w:r>
    </w:p>
  </w:footnote>
  <w:footnote w:id="1">
    <w:p w:rsidR="00EA1E45" w:rsidRDefault="00EA1E45" w:rsidP="00EA1E45">
      <w:pPr>
        <w:pStyle w:val="ad"/>
        <w:rPr>
          <w:rtl/>
        </w:rPr>
      </w:pPr>
      <w:r>
        <w:rPr>
          <w:rStyle w:val="af"/>
        </w:rPr>
        <w:footnoteRef/>
      </w:r>
      <w:r>
        <w:rPr>
          <w:noProof w:val="0"/>
          <w:rtl/>
        </w:rPr>
        <w:t xml:space="preserve">  </w:t>
      </w:r>
      <w:r>
        <w:rPr>
          <w:noProof w:val="0"/>
          <w:rtl/>
        </w:rPr>
        <w:tab/>
        <w:t xml:space="preserve">דב"ע (ארצי) נג/01-46 </w:t>
      </w:r>
      <w:r>
        <w:rPr>
          <w:b/>
          <w:bCs/>
          <w:noProof w:val="0"/>
          <w:rtl/>
        </w:rPr>
        <w:t>מרגוליס - המוסד לביטוח לאומי</w:t>
      </w:r>
      <w:r>
        <w:rPr>
          <w:noProof w:val="0"/>
          <w:rtl/>
        </w:rPr>
        <w:t xml:space="preserve">, פד"ע כו(1) 364 (1993)(להלן: </w:t>
      </w:r>
      <w:r>
        <w:rPr>
          <w:b/>
          <w:bCs/>
          <w:noProof w:val="0"/>
          <w:rtl/>
        </w:rPr>
        <w:t>ענין מרגוליס</w:t>
      </w:r>
      <w:r>
        <w:rPr>
          <w:noProof w:val="0"/>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556" w:rsidRDefault="00A23F15">
    <w:pPr>
      <w:pStyle w:val="a3"/>
      <w:jc w:val="center"/>
      <w:rPr>
        <w:rFonts w:cs="FrankRuehl"/>
        <w:noProof w:val="0"/>
        <w:sz w:val="28"/>
        <w:szCs w:val="28"/>
        <w:rtl/>
      </w:rPr>
    </w:pPr>
    <w:r>
      <w:rPr>
        <w:rFonts w:cs="FrankRuehl"/>
        <w:sz w:val="28"/>
        <w:szCs w:val="28"/>
      </w:rPr>
      <w:drawing>
        <wp:inline distT="0" distB="0" distL="0" distR="0" wp14:anchorId="2ECED813" wp14:editId="504427AB">
          <wp:extent cx="374015" cy="469265"/>
          <wp:effectExtent l="0" t="0" r="6985" b="6985"/>
          <wp:docPr id="1" name="Picture 1" descr="ישראל - המנורה -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ישראל - המנורה -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4015" cy="469265"/>
                  </a:xfrm>
                  <a:prstGeom prst="rect">
                    <a:avLst/>
                  </a:prstGeom>
                  <a:noFill/>
                  <a:ln>
                    <a:noFill/>
                  </a:ln>
                </pic:spPr>
              </pic:pic>
            </a:graphicData>
          </a:graphic>
        </wp:inline>
      </w:drawing>
    </w:r>
  </w:p>
  <w:tbl>
    <w:tblPr>
      <w:bidiVisual/>
      <w:tblW w:w="0" w:type="auto"/>
      <w:jc w:val="center"/>
      <w:tblLook w:val="0000" w:firstRow="0" w:lastRow="0" w:firstColumn="0" w:lastColumn="0" w:noHBand="0" w:noVBand="0"/>
    </w:tblPr>
    <w:tblGrid>
      <w:gridCol w:w="4909"/>
      <w:gridCol w:w="3596"/>
    </w:tblGrid>
    <w:tr w:rsidR="00694556">
      <w:trPr>
        <w:trHeight w:hRule="exact" w:val="418"/>
        <w:jc w:val="center"/>
      </w:trPr>
      <w:sdt>
        <w:sdtPr>
          <w:rPr>
            <w:sz w:val="36"/>
            <w:szCs w:val="36"/>
            <w:rtl/>
          </w:rPr>
          <w:alias w:val="1174"/>
          <w:tag w:val="1174"/>
          <w:id w:val="-140737790"/>
          <w:text/>
        </w:sdtPr>
        <w:sdtEndPr/>
        <w:sdtContent>
          <w:tc>
            <w:tcPr>
              <w:tcW w:w="8721" w:type="dxa"/>
              <w:gridSpan w:val="2"/>
            </w:tcPr>
            <w:p w:rsidR="00694556" w:rsidRPr="00991619" w:rsidRDefault="00005C8B">
              <w:pPr>
                <w:pStyle w:val="a3"/>
                <w:jc w:val="center"/>
                <w:rPr>
                  <w:rFonts w:ascii="Tahoma" w:hAnsi="Tahoma"/>
                  <w:noProof w:val="0"/>
                  <w:color w:val="000080"/>
                  <w:sz w:val="36"/>
                  <w:szCs w:val="36"/>
                  <w:rtl/>
                </w:rPr>
              </w:pPr>
              <w:r w:rsidRPr="00991619">
                <w:rPr>
                  <w:rFonts w:ascii="Tahoma" w:hAnsi="Tahoma"/>
                  <w:b/>
                  <w:bCs/>
                  <w:noProof w:val="0"/>
                  <w:color w:val="000080"/>
                  <w:sz w:val="36"/>
                  <w:szCs w:val="36"/>
                  <w:rtl/>
                </w:rPr>
                <w:t>בית הדין הארצי לעבודה</w:t>
              </w:r>
            </w:p>
          </w:tc>
        </w:sdtContent>
      </w:sdt>
    </w:tr>
    <w:tr w:rsidR="00694556">
      <w:trPr>
        <w:trHeight w:val="337"/>
        <w:jc w:val="center"/>
      </w:trPr>
      <w:tc>
        <w:tcPr>
          <w:tcW w:w="5047" w:type="dxa"/>
        </w:tcPr>
        <w:p w:rsidR="00694556" w:rsidRDefault="00694556">
          <w:pPr>
            <w:rPr>
              <w:b/>
              <w:bCs/>
              <w:noProof w:val="0"/>
              <w:sz w:val="26"/>
              <w:szCs w:val="26"/>
              <w:rtl/>
            </w:rPr>
          </w:pPr>
        </w:p>
      </w:tc>
      <w:tc>
        <w:tcPr>
          <w:tcW w:w="3674" w:type="dxa"/>
        </w:tcPr>
        <w:p w:rsidR="000D1016" w:rsidRDefault="008C1924" w:rsidP="004C307F">
          <w:pPr>
            <w:jc w:val="right"/>
            <w:rPr>
              <w:b/>
              <w:bCs/>
              <w:sz w:val="28"/>
              <w:szCs w:val="28"/>
              <w:u w:val="single"/>
              <w:rtl/>
            </w:rPr>
          </w:pPr>
          <w:sdt>
            <w:sdtPr>
              <w:rPr>
                <w:sz w:val="28"/>
                <w:szCs w:val="28"/>
                <w:u w:val="single"/>
                <w:rtl/>
              </w:rPr>
              <w:alias w:val="1170"/>
              <w:tag w:val="1170"/>
              <w:id w:val="1350066499"/>
              <w:text w:multiLine="1"/>
            </w:sdtPr>
            <w:sdtEndPr/>
            <w:sdtContent>
              <w:r w:rsidR="003155CB">
                <w:rPr>
                  <w:b/>
                  <w:bCs/>
                  <w:sz w:val="28"/>
                  <w:szCs w:val="28"/>
                  <w:u w:val="single"/>
                  <w:rtl/>
                </w:rPr>
                <w:t>בר"ע</w:t>
              </w:r>
            </w:sdtContent>
          </w:sdt>
          <w:r w:rsidR="00A573CE" w:rsidRPr="00305FC5">
            <w:rPr>
              <w:b/>
              <w:bCs/>
              <w:sz w:val="28"/>
              <w:szCs w:val="28"/>
              <w:u w:val="single"/>
              <w:rtl/>
            </w:rPr>
            <w:t xml:space="preserve"> </w:t>
          </w:r>
          <w:sdt>
            <w:sdtPr>
              <w:rPr>
                <w:sz w:val="28"/>
                <w:szCs w:val="28"/>
                <w:u w:val="single"/>
                <w:rtl/>
              </w:rPr>
              <w:alias w:val="1171"/>
              <w:tag w:val="1171"/>
              <w:id w:val="-1493478238"/>
              <w:text w:multiLine="1"/>
            </w:sdtPr>
            <w:sdtEndPr/>
            <w:sdtContent>
              <w:r w:rsidR="003155CB">
                <w:rPr>
                  <w:b/>
                  <w:bCs/>
                  <w:sz w:val="28"/>
                  <w:szCs w:val="28"/>
                  <w:u w:val="single"/>
                  <w:rtl/>
                </w:rPr>
                <w:t>13759-08-21</w:t>
              </w:r>
            </w:sdtContent>
          </w:sdt>
          <w:r w:rsidR="00A573CE" w:rsidRPr="00305FC5">
            <w:rPr>
              <w:b/>
              <w:bCs/>
              <w:sz w:val="28"/>
              <w:szCs w:val="28"/>
              <w:u w:val="single"/>
              <w:rtl/>
            </w:rPr>
            <w:t xml:space="preserve"> </w:t>
          </w:r>
        </w:p>
        <w:p w:rsidR="00EA1E45" w:rsidRDefault="00EA1E45" w:rsidP="004C307F">
          <w:pPr>
            <w:jc w:val="right"/>
            <w:rPr>
              <w:sz w:val="28"/>
              <w:szCs w:val="28"/>
              <w:rtl/>
            </w:rPr>
          </w:pPr>
        </w:p>
        <w:p w:rsidR="00EA1E45" w:rsidRDefault="00EA1E45" w:rsidP="004C307F">
          <w:pPr>
            <w:jc w:val="right"/>
            <w:rPr>
              <w:sz w:val="28"/>
              <w:szCs w:val="28"/>
              <w:rtl/>
            </w:rPr>
          </w:pPr>
        </w:p>
      </w:tc>
    </w:tr>
  </w:tbl>
  <w:p w:rsidR="00694556" w:rsidRDefault="00005C8B">
    <w:pPr>
      <w:pStyle w:val="a3"/>
      <w:rPr>
        <w:noProof w:val="0"/>
        <w:rtl/>
      </w:rPr>
    </w:pPr>
    <w:r>
      <w:rPr>
        <w:noProof w:val="0"/>
        <w:rt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1C56F9"/>
    <w:multiLevelType w:val="hybridMultilevel"/>
    <w:tmpl w:val="CF301B1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6E160B82"/>
    <w:multiLevelType w:val="hybridMultilevel"/>
    <w:tmpl w:val="3208E906"/>
    <w:lvl w:ilvl="0" w:tplc="189C7084">
      <w:start w:val="1"/>
      <w:numFmt w:val="hebrew1"/>
      <w:lvlText w:val="%1."/>
      <w:lvlJc w:val="left"/>
      <w:pPr>
        <w:ind w:left="747" w:hanging="360"/>
      </w:pPr>
      <w:rPr>
        <w:rFonts w:ascii="David" w:hAnsi="David" w:cs="David" w:hint="default"/>
      </w:rPr>
    </w:lvl>
    <w:lvl w:ilvl="1" w:tplc="04090019">
      <w:start w:val="1"/>
      <w:numFmt w:val="lowerLetter"/>
      <w:lvlText w:val="%2."/>
      <w:lvlJc w:val="left"/>
      <w:pPr>
        <w:ind w:left="1467" w:hanging="360"/>
      </w:pPr>
      <w:rPr>
        <w:rFonts w:cs="Times New Roman"/>
      </w:rPr>
    </w:lvl>
    <w:lvl w:ilvl="2" w:tplc="0409001B">
      <w:start w:val="1"/>
      <w:numFmt w:val="lowerRoman"/>
      <w:lvlText w:val="%3."/>
      <w:lvlJc w:val="right"/>
      <w:pPr>
        <w:ind w:left="2187" w:hanging="180"/>
      </w:pPr>
      <w:rPr>
        <w:rFonts w:cs="Times New Roman"/>
      </w:rPr>
    </w:lvl>
    <w:lvl w:ilvl="3" w:tplc="0409000F">
      <w:start w:val="1"/>
      <w:numFmt w:val="decimal"/>
      <w:lvlText w:val="%4."/>
      <w:lvlJc w:val="left"/>
      <w:pPr>
        <w:ind w:left="2907" w:hanging="360"/>
      </w:pPr>
      <w:rPr>
        <w:rFonts w:cs="Times New Roman"/>
      </w:rPr>
    </w:lvl>
    <w:lvl w:ilvl="4" w:tplc="04090019">
      <w:start w:val="1"/>
      <w:numFmt w:val="lowerLetter"/>
      <w:lvlText w:val="%5."/>
      <w:lvlJc w:val="left"/>
      <w:pPr>
        <w:ind w:left="3627" w:hanging="360"/>
      </w:pPr>
      <w:rPr>
        <w:rFonts w:cs="Times New Roman"/>
      </w:rPr>
    </w:lvl>
    <w:lvl w:ilvl="5" w:tplc="0409001B">
      <w:start w:val="1"/>
      <w:numFmt w:val="lowerRoman"/>
      <w:lvlText w:val="%6."/>
      <w:lvlJc w:val="right"/>
      <w:pPr>
        <w:ind w:left="4347" w:hanging="180"/>
      </w:pPr>
      <w:rPr>
        <w:rFonts w:cs="Times New Roman"/>
      </w:rPr>
    </w:lvl>
    <w:lvl w:ilvl="6" w:tplc="0409000F">
      <w:start w:val="1"/>
      <w:numFmt w:val="decimal"/>
      <w:lvlText w:val="%7."/>
      <w:lvlJc w:val="left"/>
      <w:pPr>
        <w:ind w:left="5067" w:hanging="360"/>
      </w:pPr>
      <w:rPr>
        <w:rFonts w:cs="Times New Roman"/>
      </w:rPr>
    </w:lvl>
    <w:lvl w:ilvl="7" w:tplc="04090019">
      <w:start w:val="1"/>
      <w:numFmt w:val="lowerLetter"/>
      <w:lvlText w:val="%8."/>
      <w:lvlJc w:val="left"/>
      <w:pPr>
        <w:ind w:left="5787" w:hanging="360"/>
      </w:pPr>
      <w:rPr>
        <w:rFonts w:cs="Times New Roman"/>
      </w:rPr>
    </w:lvl>
    <w:lvl w:ilvl="8" w:tplc="0409001B">
      <w:start w:val="1"/>
      <w:numFmt w:val="lowerRoman"/>
      <w:lvlText w:val="%9."/>
      <w:lvlJc w:val="right"/>
      <w:pPr>
        <w:ind w:left="6507"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aseID" w:val="78548489"/>
    <w:docVar w:name="CourtID" w:val="47"/>
    <w:docVar w:name="DocumentDS" w:val="&amp;lt;?xml version=&amp;quot;1.0&amp;quot;?&amp;gt;_x000d__x000a_&amp;lt;DocumentDS&amp;gt;_x000d__x000a_  &amp;lt;xs:schema id=&amp;quot;DocumentDS&amp;quot; targetNamespace=&amp;quot;http://www.tempuri.org/DocumentDS.xsd&amp;quot; xmlns:mstns=&amp;quot;http://www.tempuri.org/DocumentDS.xsd&amp;quot; xmlns=&amp;quot;http://www.tempuri.org/DocumentDS.xsd&amp;quot; xmlns:xs=&amp;quot;http://www.w3.org/2001/XMLSchema&amp;quot; xmlns:msdata=&amp;quot;urn:schemas-microsoft-com:xml-msdata&amp;quot; attributeFormDefault=&amp;quot;qualified&amp;quot; elementFormDefault=&amp;quot;qualified&amp;quot;&amp;gt;_x000d__x000a_    &amp;lt;xs:element name=&amp;quot;DocumentDS&amp;quot; msdata:IsDataSet=&amp;quot;true&amp;quot; msdata:Locale=&amp;quot;en-US&amp;quot;&amp;gt;_x000d__x000a_      &amp;lt;xs:complexType&amp;gt;_x000d__x000a_        &amp;lt;xs:choice minOccurs=&amp;quot;0&amp;quot; maxOccurs=&amp;quot;unbounded&amp;quot;&amp;gt;_x000d__x000a_          &amp;lt;xs:element name=&amp;quot;dt_DocumentCase&amp;quot;&amp;gt;_x000d__x000a_            &amp;lt;xs:complexType&amp;gt;_x000d__x000a_              &amp;lt;xs:sequence&amp;gt;_x000d__x000a_                &amp;lt;xs:element name=&amp;quot;CaseID&amp;quot; type=&amp;quot;xs:int&amp;quot; /&amp;gt;_x000d__x000a_                &amp;lt;xs:element name=&amp;quot;DocumentID&amp;quot; type=&amp;quot;xs:int&amp;quot; /&amp;gt;_x000d__x000a_              &amp;lt;/xs:sequence&amp;gt;_x000d__x000a_            &amp;lt;/xs:complexType&amp;gt;_x000d__x000a_          &amp;lt;/xs:element&amp;gt;_x000d__x000a_          &amp;lt;xs:element name=&amp;quot;dt_Bookmark&amp;quot;&amp;gt;_x000d__x000a_            &amp;lt;xs:complexType&amp;gt;_x000d__x000a_              &amp;lt;xs:sequence&amp;gt;_x000d__x000a_                &amp;lt;xs:element name=&amp;quot;BookmarkID&amp;quot; msdata:ReadOnly=&amp;quot;true&amp;quot; msdata:AutoIncrement=&amp;quot;true&amp;quot; msdata:AutoIncrementSeed=&amp;quot;-1&amp;quot; msdata:AutoIncrementStep=&amp;quot;-1&amp;quot; type=&amp;quot;xs:int&amp;quot; /&amp;gt;_x000d__x000a_                &amp;lt;xs:element name=&amp;quot;DocumentID&amp;quot; type=&amp;quot;xs:int&amp;quot; /&amp;gt;_x000d__x000a_                &amp;lt;xs:element name=&amp;quot;BookmarkName&amp;quot; type=&amp;quot;xs:string&amp;quot; minOccurs=&amp;quot;0&amp;quot; /&amp;gt;_x000d__x000a_                &amp;lt;xs:element name=&amp;quot;DocumentPage&amp;quot; type=&amp;quot;xs:int&amp;quot; minOccurs=&amp;quot;0&amp;quot; /&amp;gt;_x000d__x000a_              &amp;lt;/xs:sequence&amp;gt;_x000d__x000a_            &amp;lt;/xs:complexType&amp;gt;_x000d__x000a_          &amp;lt;/xs:element&amp;gt;_x000d__x000a_          &amp;lt;xs:element name=&amp;quot;dt_Document&amp;quot;&amp;gt;_x000d__x000a_            &amp;lt;xs:complexType&amp;gt;_x000d__x000a_              &amp;lt;xs:sequence&amp;gt;_x000d__x000a_                &amp;lt;xs:element name=&amp;quot;DocumentID&amp;quot; msdata:ReadOnly=&amp;quot;true&amp;quot; msdata:AutoIncrement=&amp;quot;true&amp;quot; msdata:AutoIncrementSeed=&amp;quot;-1&amp;quot; msdata:AutoIncrementStep=&amp;quot;-1&amp;quot; type=&amp;quot;xs:int&amp;quot; /&amp;gt;_x000d__x000a_                &amp;lt;xs:element name=&amp;quot;DocumentMainID&amp;quot; type=&amp;quot;xs:int&amp;quot; /&amp;gt;_x000d__x000a_                &amp;lt;xs:element name=&amp;quot;CaseID&amp;quot; type=&amp;quot;xs:int&amp;quot; minOccurs=&amp;quot;0&amp;quot; /&amp;gt;_x000d__x000a_                &amp;lt;xs:element name=&amp;quot;ConvertCaseID&amp;quot; type=&amp;quot;xs:int&amp;quot; minOccurs=&amp;quot;0&amp;quot; /&amp;gt;_x000d__x000a_                &amp;lt;xs:element name=&amp;quot;OldDocumentID&amp;quot; type=&amp;quot;xs:string&amp;quot; minOccurs=&amp;quot;0&amp;quot; /&amp;gt;_x000d__x000a_                &amp;lt;xs:element name=&amp;quot;OldCaseID&amp;quot; type=&amp;quot;xs:string&amp;quot; minOccurs=&amp;quot;0&amp;quot; /&amp;gt;_x000d__x000a_                &amp;lt;xs:element name=&amp;quot;DocumentIncludedDate&amp;quot; type=&amp;quot;xs:dateTime&amp;quot; /&amp;gt;_x000d__x000a_                &amp;lt;xs:element name=&amp;quot;DocumentDesc&amp;quot; type=&amp;quot;xs:string&amp;quot; /&amp;gt;_x000d__x000a_                &amp;lt;xs:element name=&amp;quot;DocumentDirectionID&amp;quot; type=&amp;quot;xs:int&amp;quot; minOccurs=&amp;quot;0&amp;quot; /&amp;gt;_x000d__x000a_                &amp;lt;xs:element name=&amp;quot;SourceID&amp;quot; type=&amp;quot;xs:int&amp;quot; minOccurs=&amp;quot;0&amp;quot; /&amp;gt;_x000d__x000a_                &amp;lt;xs:element name=&amp;quot;SavingMethodID&amp;quot; type=&amp;quot;xs:int&amp;quot; minOccurs=&amp;quot;0&amp;quot; /&amp;gt;_x000d__x000a_                &amp;lt;xs:element name=&amp;quot;PaperDocumentSavingPlace&amp;quot; type=&amp;quot;xs:string&amp;quot; minOccurs=&amp;quot;0&amp;quot; /&amp;gt;_x000d__x000a_                &amp;lt;xs:element name=&amp;quot;VersionNumber&amp;quot; type=&amp;quot;xs:int&amp;quot; /&amp;gt;_x000d__x000a_                &amp;lt;xs:element name=&amp;quot;DocumentVersionTypeID&amp;quot; type=&amp;quot;xs:int&amp;quot; minOccurs=&amp;quot;0&amp;quot; /&amp;gt;_x000d__x000a_                &amp;lt;xs:element name=&amp;quot;IsAttachment&amp;quot; type=&amp;quot;xs:boolean&amp;quot; /&amp;gt;_x000d__x000a_                &amp;lt;xs:element name=&amp;quot;AttachmentOrdinalNumber&amp;quot; type=&amp;quot;xs:int&amp;quot; minOccurs=&amp;quot;0&amp;quot; /&amp;gt;_x000d__x000a_                &amp;lt;xs:element name=&amp;quot;DocumentTypeID&amp;quot; type=&amp;quot;xs:int&amp;quot; minOccurs=&amp;quot;0&amp;quot; /&amp;gt;_x000d__x000a_                &amp;lt;xs:element name=&amp;quot;DocumentSavingDate&amp;quot; type=&amp;quot;xs:dateTime&amp;quot; minOccurs=&amp;quot;0&amp;quot; /&amp;gt;_x000d__x000a_                &amp;lt;xs:element name=&amp;quot;DocumentChangeDate&amp;quot; type=&amp;quot;xs:dateTime&amp;quot; /&amp;gt;_x000d__x000a_                &amp;lt;xs:element name=&amp;quot;IsScanned&amp;quot; type=&amp;quot;xs:boolean&amp;quot; minOccurs=&amp;quot;0&amp;quot; /&amp;gt;_x000d__x000a_                &amp;lt;xs:element name=&amp;quot;DocumentScanningDate&amp;quot; type=&amp;quot;xs:dateTime&amp;quot; minOccurs=&amp;quot;0&amp;quot; /&amp;gt;_x000d__x000a_                &amp;lt;xs:element name=&amp;quot;PageQuantity&amp;quot; type=&amp;quot;xs:int&amp;quot; minOccurs=&amp;quot;0&amp;quot; /&amp;gt;_x000d__x000a_                &amp;lt;xs:element name=&amp;quot;DocumentStatusID&amp;quot; type=&amp;quot;xs:int&amp;quot; minOccurs=&amp;quot;0&amp;quot; /&amp;gt;_x000d__x000a_                &amp;lt;xs:element name=&amp;quot;DocumentStatusChangeDate&amp;quot; type=&amp;quot;xs:dateTime&amp;quot; minOccurs=&amp;quot;0&amp;quot; /&amp;gt;_x000d__x000a_                &amp;lt;xs:element name=&amp;quot;TemplateID&amp;quot; type=&amp;quot;xs:int&amp;quot; minOccurs=&amp;quot;0&amp;quot; /&amp;gt;_x000d__x000a_                &amp;lt;xs:element name=&amp;quot;TemplateVersionID&amp;quot; type=&amp;quot;xs:int&amp;quot; minOccurs=&amp;quot;0&amp;quot; /&amp;gt;_x000d__x000a_                &amp;lt;xs:element name=&amp;quot;DocumentChangeUserID&amp;quot; type=&amp;quot;xs:string&amp;quot; minOccurs=&amp;quot;0&amp;quot; /&amp;gt;_x000d__x000a_                &amp;lt;xs:element name=&amp;quot;DocumentCreationUserID&amp;quot; type=&amp;quot;xs:string&amp;quot; minOccurs=&amp;quot;0&amp;quot; /&amp;gt;_x000d__x000a_                &amp;lt;xs:element name=&amp;quot;OriginalDocumentID&amp;quot; type=&amp;quot;xs:int&amp;quot; minOccurs=&amp;quot;0&amp;quot; /&amp;gt;_x000d__x000a_                &amp;lt;xs:element name=&amp;quot;PrivillegeID&amp;quot; type=&amp;quot;xs:int&amp;quot; /&amp;gt;_x000d__x000a_                &amp;lt;xs:element name=&amp;quot;FromPage&amp;quot; type=&amp;quot;xs:int&amp;quot; default=&amp;quot;0&amp;quot; minOccurs=&amp;quot;0&amp;quot; /&amp;gt;_x000d__x000a_                &amp;lt;xs:element name=&amp;quot;ToPage&amp;quot; type=&amp;quot;xs:int&amp;quot; default=&amp;quot;0&amp;quot; minOccurs=&amp;quot;0&amp;quot; /&amp;gt;_x000d__x000a_                &amp;lt;xs:element name=&amp;quot;IsScannedWithoutEntity&amp;quot; type=&amp;quot;xs:boolean&amp;quot; minOccurs=&amp;quot;0&amp;quot; /&amp;gt;_x000d__x000a_                &amp;lt;xs:element name=&amp;quot;DocumentComment&amp;quot; type=&amp;quot;xs:string&amp;quot; minOccurs=&amp;quot;0&amp;quot; /&amp;gt;_x000d__x000a_                &amp;lt;xs:element name=&amp;quot;BoxNumber&amp;quot; type=&amp;quot;xs:string&amp;quot; minOccurs=&amp;quot;0&amp;quot; /&amp;gt;_x000d__x000a_                &amp;lt;xs:element name=&amp;quot;Archive&amp;quot; type=&amp;quot;xs:string&amp;quot; minOccurs=&amp;quot;0&amp;quot; /&amp;gt;_x000d__x000a_                &amp;lt;xs:element name=&amp;quot;CasePartyID&amp;quot; type=&amp;quot;xs:int&amp;quot; minOccurs=&amp;quot;0&amp;quot; /&amp;gt;_x000d__x000a_                &amp;lt;xs:element name=&amp;quot;FileID&amp;quot; type=&amp;quot;xs:string&amp;quot; minOccurs=&amp;quot;0&amp;quot; /&amp;gt;_x000d__x000a_                &amp;lt;xs:element name=&amp;quot;OriginalFileID&amp;quot; type=&amp;quot;xs:string&amp;quot; minOccurs=&amp;quot;0&amp;quot; /&amp;gt;_x000d__x000a_                &amp;lt;xs:element name=&amp;quot;CaseDisplayNumber&amp;quot; type=&amp;quot;xs:string&amp;quot; minOccurs=&amp;quot;0&amp;quot; /&amp;gt;_x000d__x000a_                &amp;lt;xs:element name=&amp;quot;URL&amp;quot; type=&amp;quot;xs:string&amp;quot; minOccurs=&amp;quot;0&amp;quot; /&amp;gt;_x000d__x000a_                &amp;lt;xs:element name=&amp;quot;SplittedNumberOfPages&amp;quot; type=&amp;quot;xs:int&amp;quot; minOccurs=&amp;quot;0&amp;quot; /&amp;gt;_x000d__x000a_                &amp;lt;xs:element name=&amp;quot;isOliveProcessed&amp;quot; type=&amp;quot;xs:boolean&amp;quot; minOccurs=&amp;quot;0&amp;quot; /&amp;gt;_x000d__x000a_                &amp;lt;xs:element name=&amp;quot;CasePartyDisplayName&amp;quot; type=&amp;quot;xs:string&amp;quot; minOccurs=&amp;quot;0&amp;quot; /&amp;gt;_x000d__x000a_                &amp;lt;xs:element name=&amp;quot;OlivePriority&amp;quot; type=&amp;quot;xs:int&amp;quot; default=&amp;quot;1&amp;quot; minOccurs=&amp;quot;0&amp;quot; /&amp;gt;_x000d__x000a_                &amp;lt;xs:element name=&amp;quot;PreFetchUrl&amp;quot; type=&amp;quot;xs:string&amp;quot; minOccurs=&amp;quot;0&amp;quot; /&amp;gt;_x000d__x000a_                &amp;lt;xs:element name=&amp;quot;DocumentCdImportID&amp;quot; type=&amp;quot;xs:string&amp;quot; minOccurs=&amp;quot;0&amp;quot; /&amp;gt;_x000d__x000a_                &amp;lt;xs:element name=&amp;quot;MetaDataTypeID&amp;quot; type=&amp;quot;xs:int&amp;quot; minOccurs=&amp;quot;0&amp;quot; /&amp;gt;_x000d__x000a_                &amp;lt;xs:element name=&amp;quot;MetaDataChangeDate&amp;quot; type=&amp;quot;xs:dateTime&amp;quot; minOccurs=&amp;quot;0&amp;quot; /&amp;gt;_x000d__x000a_                &amp;lt;xs:element name=&amp;quot;MetaData&amp;quot; type=&amp;quot;xs:string&amp;quot; minOccurs=&amp;quot;0&amp;quot; /&amp;gt;_x000d__x000a_                &amp;lt;xs:element name=&amp;quot;NewVersionRequired&amp;quot; type=&amp;quot;xs:boolean&amp;quot; minOccurs=&amp;quot;0&amp;quot; /&amp;gt;_x000d__x000a_                &amp;lt;xs:element name=&amp;quot;IsReturned&amp;quot; type=&amp;quot;xs:boolean&amp;quot; default=&amp;quot;false&amp;quot; /&amp;gt;_x000d__x000a_                &amp;lt;xs:element name=&amp;quot;SignatureURL&amp;quot; type=&amp;quot;xs:string&amp;quot; minOccurs=&amp;quot;0&amp;quot; /&amp;gt;_x000d__x000a_                &amp;lt;xs:element name=&amp;quot;IsCritical&amp;quot; type=&amp;quot;xs:boolean&amp;quot; default=&amp;quot;false&amp;quot; minOccurs=&amp;quot;0&amp;quot; /&amp;gt;_x000d__x000a_                &amp;lt;xs:element name=&amp;quot;IsEntityCanceled&amp;quot; type=&amp;quot;xs:boolean&amp;quot; default=&amp;quot;false&amp;quot; /&amp;gt;_x000d__x000a_                &amp;lt;xs:element name=&amp;quot;IsRepresentativeRegistryOpenToPublic&amp;quot; type=&amp;quot;xs:boolean&amp;quot; default=&amp;quot;false&amp;quot; minOccurs=&amp;quot;0&amp;quot; /&amp;gt;_x000d__x000a_                &amp;lt;xs:element name=&amp;quot;PresentationDate&amp;quot; type=&amp;quot;xs:dateTime&amp;quot; minOccurs=&amp;quot;0&amp;quot; /&amp;gt;_x000d__x000a_                &amp;lt;xs:element name=&amp;quot;IsIDCPublished&amp;quot; type=&amp;quot;xs:boolean&amp;quot; minOccurs=&amp;quot;0&amp;quot; /&amp;gt;_x000d__x000a_                &amp;lt;xs:element name=&amp;quot;IsDocumentPipexed&amp;quot; type=&amp;quot;xs:boolean&amp;quot; minOccurs=&amp;quot;0&amp;quot; /&amp;gt;_x000d__x000a_              &amp;lt;/xs:sequence&amp;gt;_x000d__x000a_            &amp;lt;/xs:complexType&amp;gt;_x000d__x000a_          &amp;lt;/xs:element&amp;gt;_x000d__x000a_          &amp;lt;xs:element name=&amp;quot;dt_DocumentNote&amp;quot;&amp;gt;_x000d__x000a_            &amp;lt;xs:complexType&amp;gt;_x000d__x000a_              &amp;lt;xs:sequence&amp;gt;_x000d__x000a_                &amp;lt;xs:element name=&amp;quot;DocumentNoteID&amp;quot; msdata:ReadOnly=&amp;quot;true&amp;quot; msdata:AutoIncrement=&amp;quot;true&amp;quot; msdata:AutoIncrementSeed=&amp;quot;-1&amp;quot; msdata:AutoIncrementStep=&amp;quot;-1&amp;quot; type=&amp;quot;xs:int&amp;quot; /&amp;gt;_x000d__x000a_                &amp;lt;xs:element name=&amp;quot;DocumentID&amp;quot; type=&amp;quot;xs:int&amp;quot; /&amp;gt;_x000d__x000a_                &amp;lt;xs:element name=&amp;quot;DocumentNoteCreateDate&amp;quot; type=&amp;quot;xs:dateTime&amp;quot; /&amp;gt;_x000d__x000a_                &amp;lt;xs:element name=&amp;quot;CreationUserID&amp;quot; type=&amp;quot;xs:string&amp;quot; /&amp;gt;_x000d__x000a_                &amp;lt;xs:element name=&amp;quot;DocumentNoteDesc&amp;quot; type=&amp;quot;xs:string&amp;quot; minOccurs=&amp;quot;0&amp;quot; /&amp;gt;_x000d__x000a_                &amp;lt;xs:element name=&amp;quot;DocumentNoteXML&amp;quot; type=&amp;quot;xs:string&amp;quot; minOccurs=&amp;quot;0&amp;quot; /&amp;gt;_x000d__x000a_                &amp;lt;xs:element name=&amp;quot;DescriptionPageNumber&amp;quot; type=&amp;quot;xs:int&amp;quot; minOccurs=&amp;quot;0&amp;quot; /&amp;gt;_x000d__x000a_                &amp;lt;xs:element name=&amp;quot;AccessTypeID&amp;quot; type=&amp;quot;xs:int&amp;quot; minOccurs=&amp;quot;0&amp;quot; /&amp;gt;_x000d__x000a_                &amp;lt;xs:element name=&amp;quot;NoteTypeID&amp;quot; type=&amp;quot;xs:int&amp;quot; minOccurs=&amp;quot;0&amp;quot; /&amp;gt;_x000d__x000a_                &amp;lt;xs:element name=&amp;quot;X1Location&amp;quot; type=&amp;quot;xs:decimal&amp;quot; /&amp;gt;_x000d__x000a_                &amp;lt;xs:element name=&amp;quot;X2Location&amp;quot; type=&amp;quot;xs:decimal&amp;quot; /&amp;gt;_x000d__x000a_                &amp;lt;xs:element name=&amp;quot;Y1Location&amp;quot; type=&amp;quot;xs:decimal&amp;quot; /&amp;gt;_x000d__x000a_                &amp;lt;xs:element name=&amp;quot;Y2Location&amp;quot; type=&amp;quot;xs:decimal&amp;quot; /&amp;gt;_x000d__x000a_                &amp;lt;xs:element name=&amp;quot;XmlContent&amp;quot; type=&amp;quot;xs:string&amp;quot; minOccurs=&amp;quot;0&amp;quot; /&amp;gt;_x000d__x000a_                &amp;lt;xs:element name=&amp;quot;X1RectLocation&amp;quot; type=&amp;quot;xs:decimal&amp;quot; /&amp;gt;_x000d__x000a_                &amp;lt;xs:element name=&amp;quot;X2RectLocation&amp;quot; type=&amp;quot;xs:decimal&amp;quot; /&amp;gt;_x000d__x000a_                &amp;lt;xs:element name=&amp;quot;Y1RectLocation&amp;quot; type=&amp;quot;xs:decimal&amp;quot; /&amp;gt;_x000d__x000a_                &amp;lt;xs:element name=&amp;quot;Y2RectLocation&amp;quot; type=&amp;quot;xs:decimal&amp;quot; /&amp;gt;_x000d__x000a_                &amp;lt;xs:element name=&amp;quot;IsPopupOpen&amp;quot; type=&amp;quot;xs:boolean&amp;quot; /&amp;gt;_x000d__x000a_                &amp;lt;xs:element name=&amp;quot;CDATA&amp;quot; type=&amp;quot;xs:string&amp;quot; minOccurs=&amp;quot;0&amp;quot; /&amp;gt;_x000d__x000a_                &amp;lt;xs:element name=&amp;quot;Title&amp;quot; type=&amp;quot;xs:string&amp;quot; minOccurs=&amp;quot;0&amp;quot; /&amp;gt;_x000d__x000a_                &amp;lt;xs:element name=&amp;quot;Page&amp;quot; type=&amp;quot;xs:int&amp;quot; minOccurs=&amp;quot;0&amp;quot; /&amp;gt;_x000d__x000a_                &amp;lt;xs:element name=&amp;quot;IsVisiable&amp;quot; type=&amp;quot;xs:boolean&amp;quot; default=&amp;quot;false&amp;quot; /&amp;gt;_x000d__x000a_                &amp;lt;xs:element name=&amp;quot;ActivityStatusID&amp;quot; type=&amp;quot;xs:int&amp;quot; default=&amp;quot;1&amp;quot; /&amp;gt;_x000d__x000a_                &amp;lt;xs:element name=&amp;quot;NoteCaseTitle&amp;quot; type=&amp;quot;xs:string&amp;quot; minOccurs=&amp;quot;0&amp;quot; /&amp;gt;_x000d__x000a_                &amp;lt;xs:element name=&amp;quot;NoteComposerTitle&amp;quot; type=&amp;quot;xs:string&amp;quot; minOccurs=&amp;quot;0&amp;quot; /&amp;gt;_x000d__x000a_                &amp;lt;xs:element name=&amp;quot;NoteZoom&amp;quot; type=&amp;quot;xs:decimal&amp;quot; minOccurs=&amp;quot;0&amp;quot; /&amp;gt;_x000d__x000a_              &amp;lt;/xs:sequence&amp;gt;_x000d__x000a_            &amp;lt;/xs:complexType&amp;gt;_x000d__x000a_          &amp;lt;/xs:element&amp;gt;_x000d__x000a_          &amp;lt;xs:element name=&amp;quot;dt_MLDocsAnalysisPunishment&amp;quot;&amp;gt;_x000d__x000a_            &amp;lt;xs:complexType&amp;gt;_x000d__x000a_              &amp;lt;xs:sequence&amp;gt;_x000d__x000a_                &amp;lt;xs:element name=&amp;quot;MLDocsAnalysisPunishmentID&amp;quot; msdata:AutoIncrement=&amp;quot;true&amp;quot; msdata:AutoIncrementSeed=&amp;quot;-1&amp;quot; msdata:AutoIncrementStep=&amp;quot;-1&amp;quot; type=&amp;quot;xs:int&amp;quot; /&amp;gt;_x000d__x000a_                &amp;lt;xs:element name=&amp;quot;MLDocsAnalysisID&amp;quot; type=&amp;quot;xs:int&amp;quot; /&amp;gt;_x000d__x000a_                &amp;lt;xs:element name=&amp;quot;FileID&amp;quot; type=&amp;quot;xs:string&amp;quot; /&amp;gt;_x000d__x000a_                &amp;lt;xs:element name=&amp;quot;DocumentID&amp;quot; type=&amp;quot;xs:int&amp;quot; /&amp;gt;_x000d__x000a_                &amp;lt;xs:element name=&amp;quot;PunishmentType&amp;quot; type=&amp;quot;xs:int&amp;quot; /&amp;gt;_x000d__x000a_                &amp;lt;xs:element name=&amp;quot;Result&amp;quot; type=&amp;quot;xs:string&amp;quot; minOccurs=&amp;quot;0&amp;quot; /&amp;gt;_x000d__x000a_              &amp;lt;/xs:sequence&amp;gt;_x000d__x000a_            &amp;lt;/xs:complexType&amp;gt;_x000d__x000a_          &amp;lt;/xs:element&amp;gt;_x000d__x000a_        &amp;lt;/xs:choice&amp;gt;_x000d__x000a_      &amp;lt;/xs:complexType&amp;gt;_x000d__x000a_      &amp;lt;xs:unique name=&amp;quot;Constraint1&amp;quot; msdata:PrimaryKey=&amp;quot;true&amp;quot;&amp;gt;_x000d__x000a_        &amp;lt;xs:selector xpath=&amp;quot;.//mstns:dt_DocumentCase&amp;quot; /&amp;gt;_x000d__x000a_        &amp;lt;xs:field xpath=&amp;quot;mstns:CaseID&amp;quot; /&amp;gt;_x000d__x000a_        &amp;lt;xs:field xpath=&amp;quot;mstns:DocumentID&amp;quot; /&amp;gt;_x000d__x000a_      &amp;lt;/xs:unique&amp;gt;_x000d__x000a_      &amp;lt;xs:unique name=&amp;quot;dt_Bookmark_Constraint1&amp;quot; msdata:ConstraintName=&amp;quot;Constraint1&amp;quot; msdata:PrimaryKey=&amp;quot;true&amp;quot;&amp;gt;_x000d__x000a_        &amp;lt;xs:selector xpath=&amp;quot;.//mstns:dt_Bookmark&amp;quot; /&amp;gt;_x000d__x000a_        &amp;lt;xs:field xpath=&amp;quot;mstns:BookmarkID&amp;quot; /&amp;gt;_x000d__x000a_      &amp;lt;/xs:unique&amp;gt;_x000d__x000a_      &amp;lt;xs:unique name=&amp;quot;dt_Document_Constraint1&amp;quot; msdata:ConstraintName=&amp;quot;Constraint1&amp;quot; msdata:PrimaryKey=&amp;quot;true&amp;quot;&amp;gt;_x000d__x000a_        &amp;lt;xs:selector xpath=&amp;quot;.//mstns:dt_Document&amp;quot; /&amp;gt;_x000d__x000a_        &amp;lt;xs:field xpath=&amp;quot;mstns:DocumentID&amp;quot; /&amp;gt;_x000d__x000a_      &amp;lt;/xs:unique&amp;gt;_x000d__x000a_      &amp;lt;xs:unique name=&amp;quot;DocumentDSKey1&amp;quot; msdata:PrimaryKey=&amp;quot;true&amp;quot;&amp;gt;_x000d__x000a_        &amp;lt;xs:selector xpath=&amp;quot;.//mstns:dt_DocumentNote&amp;quot; /&amp;gt;_x000d__x000a_        &amp;lt;xs:field xpath=&amp;quot;mstns:DocumentNoteID&amp;quot; /&amp;gt;_x000d__x000a_      &amp;lt;/xs:unique&amp;gt;_x000d__x000a_      &amp;lt;xs:keyref name=&amp;quot;dt_Documentdt_DocumentNote&amp;quot; refer=&amp;quot;dt_Document_Constraint1&amp;quot;&amp;gt;_x000d__x000a_        &amp;lt;xs:selector xpath=&amp;quot;.//mstns:dt_DocumentNote&amp;quot; /&amp;gt;_x000d__x000a_        &amp;lt;xs:field xpath=&amp;quot;mstns:DocumentID&amp;quot; /&amp;gt;_x000d__x000a_      &amp;lt;/xs:keyref&amp;gt;_x000d__x000a_      &amp;lt;xs:keyref name=&amp;quot;dt_Documentdt_Bookmark&amp;quot; refer=&amp;quot;dt_Document_Constraint1&amp;quot;&amp;gt;_x000d__x000a_        &amp;lt;xs:selector xpath=&amp;quot;.//mstns:dt_Bookmark&amp;quot; /&amp;gt;_x000d__x000a_        &amp;lt;xs:field xpath=&amp;quot;mstns:DocumentID&amp;quot; /&amp;gt;_x000d__x000a_      &amp;lt;/xs:keyref&amp;gt;_x000d__x000a_      &amp;lt;xs:keyref name=&amp;quot;dt_Documentdt_DocumentCase&amp;quot; refer=&amp;quot;dt_Document_Constraint1&amp;quot;&amp;gt;_x000d__x000a_        &amp;lt;xs:selector xpath=&amp;quot;.//mstns:dt_DocumentCase&amp;quot; /&amp;gt;_x000d__x000a_        &amp;lt;xs:field xpath=&amp;quot;mstns:DocumentID&amp;quot; /&amp;gt;_x000d__x000a_      &amp;lt;/xs:keyref&amp;gt;_x000d__x000a_    &amp;lt;/xs:element&amp;gt;_x000d__x000a_  &amp;lt;/xs:schema&amp;gt;_x000d__x000a_  &amp;lt;diffgr:diffgram xmlns:msdata=&amp;quot;urn:schemas-microsoft-com:xml-msdata&amp;quot; xmlns:diffgr=&amp;quot;urn:schemas-microsoft-com:xml-diffgram-v1&amp;quot;&amp;gt;_x000d__x000a_    &amp;lt;DocumentDS xmlns=&amp;quot;http://www.tempuri.org/DocumentDS.xsd&amp;quot;&amp;gt;_x000d__x000a_      &amp;lt;dt_DocumentCase diffgr:id=&amp;quot;dt_DocumentCase1&amp;quot; msdata:rowOrder=&amp;quot;0&amp;quot;&amp;gt;_x000d__x000a_        &amp;lt;CaseID&amp;gt;78548489&amp;lt;/CaseID&amp;gt;_x000d__x000a_        &amp;lt;DocumentID&amp;gt;379120446&amp;lt;/DocumentID&amp;gt;_x000d__x000a_      &amp;lt;/dt_DocumentCase&amp;gt;_x000d__x000a_      &amp;lt;dt_Document diffgr:id=&amp;quot;dt_Document1&amp;quot; msdata:rowOrder=&amp;quot;0&amp;quot; diffgr:hasChanges=&amp;quot;modified&amp;quot;&amp;gt;_x000d__x000a_        &amp;lt;DocumentID&amp;gt;379120446&amp;lt;/DocumentID&amp;gt;_x000d__x000a_        &amp;lt;DocumentMainID&amp;gt;0&amp;lt;/DocumentMainID&amp;gt;_x000d__x000a_        &amp;lt;CaseID&amp;gt;78548489&amp;lt;/CaseID&amp;gt;_x000d__x000a_        &amp;lt;DocumentIncludedDate&amp;gt;2022-05-25T12:32:25.357+03:00&amp;lt;/DocumentIncludedDate&amp;gt;_x000d__x000a_        &amp;lt;DocumentDesc&amp;gt;פסק דין  שניתנה ע&amp;quot;י  אילן איטח&amp;lt;/DocumentDesc&amp;gt;_x000d__x000a_        &amp;lt;DocumentDirectionID&amp;gt;2&amp;lt;/DocumentDirectionID&amp;gt;_x000d__x000a_        &amp;lt;SourceID&amp;gt;1&amp;lt;/SourceID&amp;gt;_x000d__x000a_        &amp;lt;VersionNumber&amp;gt;1&amp;lt;/VersionNumber&amp;gt;_x000d__x000a_        &amp;lt;DocumentVersionTypeID&amp;gt;1&amp;lt;/DocumentVersionTypeID&amp;gt;_x000d__x000a_        &amp;lt;IsAttachment&amp;gt;false&amp;lt;/IsAttachment&amp;gt;_x000d__x000a_        &amp;lt;AttachmentOrdinalNumber&amp;gt;0&amp;lt;/AttachmentOrdinalNumber&amp;gt;_x000d__x000a_        &amp;lt;DocumentTypeID&amp;gt;73&amp;lt;/DocumentTypeID&amp;gt;_x000d__x000a_        &amp;lt;DocumentSavingDate&amp;gt;2022-05-25T12:32:25.357+03:00&amp;lt;/DocumentSavingDate&amp;gt;_x000d__x000a_        &amp;lt;DocumentChangeDate&amp;gt;2022-05-25T12:41:20.197+03:00&amp;lt;/DocumentChangeDate&amp;gt;_x000d__x000a_        &amp;lt;IsScanned&amp;gt;false&amp;lt;/IsScanned&amp;gt;_x000d__x000a_        &amp;lt;PageQuantity&amp;gt;0&amp;lt;/PageQuantity&amp;gt;_x000d__x000a_        &amp;lt;DocumentStatusID&amp;gt;2&amp;lt;/DocumentStatusID&amp;gt;_x000d__x000a_        &amp;lt;DocumentStatusChangeDate&amp;gt;2022-05-25T12:32:25.433+03:00&amp;lt;/DocumentStatusChangeDate&amp;gt;_x000d__x000a_        &amp;lt;TemplateVersionID&amp;gt;1&amp;lt;/TemplateVersionID&amp;gt;_x000d__x000a_        &amp;lt;DocumentChangeUserID&amp;gt;038560314@GOV.IL&amp;lt;/DocumentChangeUserID&amp;gt;_x000d__x000a_        &amp;lt;DocumentCreationUserID&amp;gt;038560314@GOV.IL&amp;lt;/DocumentCreationUserID&amp;gt;_x000d__x000a_        &amp;lt;OriginalDocumentID&amp;gt;377667966&amp;lt;/OriginalDocumentID&amp;gt;_x000d__x000a_        &amp;lt;PrivillegeID&amp;gt;1&amp;lt;/PrivillegeID&amp;gt;_x000d__x000a_        &amp;lt;FromPage&amp;gt;0&amp;lt;/FromPage&amp;gt;_x000d__x000a_        &amp;lt;ToPage&amp;gt;0&amp;lt;/ToPage&amp;gt;_x000d__x000a_        &amp;lt;FileID&amp;gt;986d8ffa80010000090037f6a2f744db&amp;lt;/FileID&amp;gt;_x000d__x000a_        &amp;lt;CaseDisplayNumber&amp;gt;13759-08-21&amp;lt;/CaseDisplayNumber&amp;gt;_x000d__x000a_        &amp;lt;URL&amp;gt;\\CTLNFSV02\doc_repository\828\32\986d8ffa80010000090037f6a2f744db.docx&amp;lt;/URL&amp;gt;_x000d__x000a_        &amp;lt;OlivePriority&amp;gt;1&amp;lt;/OlivePriority&amp;gt;_x000d__x000a_        &amp;lt;MetaDataTypeID&amp;gt;1&amp;lt;/MetaDataTypeID&amp;gt;_x000d__x000a_        &amp;lt;MetaDataChangeDate&amp;gt;2022-05-25T12:32:25.433+03:00&amp;lt;/MetaDataChangeDate&amp;gt;_x000d__x000a_        &amp;lt;MetaData&amp;gt;&amp;amp;lt;?xml version=&amp;quot;1.0&amp;quot; encoding=&amp;quot;utf-16&amp;quot;?&amp;amp;gt;_x000d__x000a_&amp;amp;lt;MetaDataSerializableObject xmlns:xsd=&amp;quot;http://www.w3.org/2001/XMLSchema&amp;quot; xmlns:xsi=&amp;quot;http://www.w3.org/2001/XMLSchema-instance&amp;quot;&amp;amp;gt;_x000d__x000a_  &amp;amp;lt;_keys&amp;amp;gt;_x000d__x000a_    &amp;amp;lt;string&amp;amp;gt;decisionType&amp;amp;lt;/string&amp;amp;gt;_x000d__x000a_    &amp;amp;lt;string&amp;amp;gt;technicalDecision&amp;amp;lt;/string&amp;amp;gt;_x000d__x000a_    &amp;amp;lt;string&amp;amp;gt;judgeName&amp;amp;lt;/string&amp;amp;gt;_x000d__x000a_    &amp;amp;lt;string&amp;amp;gt;decisionDate&amp;amp;lt;/string&amp;amp;gt;_x000d__x000a_  &amp;amp;lt;/_keys&amp;amp;gt;_x000d__x000a_  &amp;amp;lt;_values&amp;amp;gt;_x000d__x000a_    &amp;amp;lt;anyType xsi:type=&amp;quot;xsd:string&amp;quot;&amp;amp;gt;2&amp;amp;lt;/anyType&amp;amp;gt;_x000d__x000a_    &amp;amp;lt;anyType xsi:type=&amp;quot;xsd:string&amp;quot;&amp;amp;gt;1&amp;amp;lt;/anyType&amp;amp;gt;_x000d__x000a_    &amp;amp;lt;anyType xsi:type=&amp;quot;xsd:string&amp;quot;&amp;amp;gt;אילן איטח&amp;amp;lt;/anyType&amp;amp;gt;_x000d__x000a_    &amp;amp;lt;anyType xsi:type=&amp;quot;xsd:dateTime&amp;quot;&amp;amp;gt;2022-05-11T10:23:40.940172&amp;amp;lt;/anyType&amp;amp;gt;_x000d__x000a_  &amp;amp;lt;/_values&amp;amp;gt;_x000d__x000a_&amp;amp;lt;/MetaDataSerializableObject&amp;amp;gt;&amp;lt;/MetaData&amp;gt;_x000d__x000a_        &amp;lt;IsReturned&amp;gt;false&amp;lt;/IsReturned&amp;gt;_x000d__x000a_        &amp;lt;IsCritical&amp;gt;true&amp;lt;/IsCritical&amp;gt;_x000d__x000a_        &amp;lt;IsEntityCanceled&amp;gt;false&amp;lt;/IsEntityCanceled&amp;gt;_x000d__x000a_        &amp;lt;IsRepresentativeRegistryOpenToPublic&amp;gt;false&amp;lt;/IsRepresentativeRegistryOpenToPublic&amp;gt;_x000d__x000a_        &amp;lt;PresentationDate&amp;gt;2022-05-11T10:23:40.94+03:00&amp;lt;/PresentationDate&amp;gt;_x000d__x000a_      &amp;lt;/dt_Document&amp;gt;_x000d__x000a_    &amp;lt;/DocumentDS&amp;gt;_x000d__x000a_    &amp;lt;diffgr:before&amp;gt;_x000d__x000a_      &amp;lt;dt_Document diffgr:id=&amp;quot;dt_Document1&amp;quot; msdata:rowOrder=&amp;quot;0&amp;quot; xmlns=&amp;quot;http://www.tempuri.org/DocumentDS.xsd&amp;quot;&amp;gt;_x000d__x000a_        &amp;lt;DocumentID&amp;gt;379120446&amp;lt;/DocumentID&amp;gt;_x000d__x000a_        &amp;lt;DocumentMainID&amp;gt;0&amp;lt;/DocumentMainID&amp;gt;_x000d__x000a_        &amp;lt;CaseID&amp;gt;78548489&amp;lt;/CaseID&amp;gt;_x000d__x000a_        &amp;lt;DocumentIncludedDate&amp;gt;2022-05-25T12:32:25.357+03:00&amp;lt;/DocumentIncludedDate&amp;gt;_x000d__x000a_        &amp;lt;DocumentDesc&amp;gt;פסק דין  שניתנה ע&amp;quot;י  אילן איטח&amp;lt;/DocumentDesc&amp;gt;_x000d__x000a_        &amp;lt;DocumentDirectionID&amp;gt;2&amp;lt;/DocumentDirectionID&amp;gt;_x000d__x000a_        &amp;lt;SourceID&amp;gt;1&amp;lt;/SourceID&amp;gt;_x000d__x000a_        &amp;lt;VersionNumber&amp;gt;1&amp;lt;/VersionNumber&amp;gt;_x000d__x000a_        &amp;lt;DocumentVersionTypeID&amp;gt;1&amp;lt;/DocumentVersionTypeID&amp;gt;_x000d__x000a_        &amp;lt;IsAttachment&amp;gt;false&amp;lt;/IsAttachment&amp;gt;_x000d__x000a_        &amp;lt;AttachmentOrdinalNumber&amp;gt;0&amp;lt;/AttachmentOrdinalNumber&amp;gt;_x000d__x000a_        &amp;lt;DocumentTypeID&amp;gt;73&amp;lt;/DocumentTypeID&amp;gt;_x000d__x000a_        &amp;lt;DocumentSavingDate&amp;gt;2022-05-25T12:32:25.357+03:00&amp;lt;/DocumentSavingDate&amp;gt;_x000d__x000a_        &amp;lt;DocumentChangeDate&amp;gt;2022-05-25T12:41:20.197+03:00&amp;lt;/DocumentChangeDate&amp;gt;_x000d__x000a_        &amp;lt;IsScanned&amp;gt;false&amp;lt;/IsScanned&amp;gt;_x000d__x000a_        &amp;lt;PageQuantity&amp;gt;0&amp;lt;/PageQuantity&amp;gt;_x000d__x000a_        &amp;lt;DocumentStatusID&amp;gt;2&amp;lt;/DocumentStatusID&amp;gt;_x000d__x000a_        &amp;lt;DocumentStatusChangeDate&amp;gt;2022-05-25T12:32:25.433+03:00&amp;lt;/DocumentStatusChangeDate&amp;gt;_x000d__x000a_        &amp;lt;TemplateVersionID&amp;gt;1&amp;lt;/TemplateVersionID&amp;gt;_x000d__x000a_        &amp;lt;DocumentChangeUserID&amp;gt;038560314@GOV.IL&amp;lt;/DocumentChangeUserID&amp;gt;_x000d__x000a_        &amp;lt;DocumentCreationUserID&amp;gt;038560314@GOV.IL&amp;lt;/DocumentCreationUserID&amp;gt;_x000d__x000a_        &amp;lt;OriginalDocumentID&amp;gt;377667966&amp;lt;/OriginalDocumentID&amp;gt;_x000d__x000a_        &amp;lt;PrivillegeID&amp;gt;1&amp;lt;/PrivillegeID&amp;gt;_x000d__x000a_        &amp;lt;FromPage&amp;gt;0&amp;lt;/FromPage&amp;gt;_x000d__x000a_        &amp;lt;ToPage&amp;gt;0&amp;lt;/ToPage&amp;gt;_x000d__x000a_        &amp;lt;FileID&amp;gt;986d8ffa80010000090037f6a2f744db&amp;lt;/FileID&amp;gt;_x000d__x000a_        &amp;lt;CaseDisplayNumber&amp;gt;13759-08-21&amp;lt;/CaseDisplayNumber&amp;gt;_x000d__x000a_        &amp;lt;URL /&amp;gt;_x000d__x000a_        &amp;lt;OlivePriority&amp;gt;1&amp;lt;/OlivePriority&amp;gt;_x000d__x000a_        &amp;lt;MetaDataTypeID&amp;gt;1&amp;lt;/MetaDataTypeID&amp;gt;_x000d__x000a_        &amp;lt;MetaDataChangeDate&amp;gt;2022-05-25T12:32:25.433+03:00&amp;lt;/MetaDataChangeDate&amp;gt;_x000d__x000a_        &amp;lt;MetaData&amp;gt;&amp;amp;lt;?xml version=&amp;quot;1.0&amp;quot; encoding=&amp;quot;utf-16&amp;quot;?&amp;amp;gt;_x000d__x000a_&amp;amp;lt;MetaDataSerializableObject xmlns:xsd=&amp;quot;http://www.w3.org/2001/XMLSchema&amp;quot; xmlns:xsi=&amp;quot;http://www.w3.org/2001/XMLSchema-instance&amp;quot;&amp;amp;gt;_x000d__x000a_  &amp;amp;lt;_keys&amp;amp;gt;_x000d__x000a_    &amp;amp;lt;string&amp;amp;gt;decisionType&amp;amp;lt;/string&amp;amp;gt;_x000d__x000a_    &amp;amp;lt;string&amp;amp;gt;technicalDecision&amp;amp;lt;/string&amp;amp;gt;_x000d__x000a_    &amp;amp;lt;string&amp;amp;gt;judgeName&amp;amp;lt;/string&amp;amp;gt;_x000d__x000a_    &amp;amp;lt;string&amp;amp;gt;decisionDate&amp;amp;lt;/string&amp;amp;gt;_x000d__x000a_  &amp;amp;lt;/_keys&amp;amp;gt;_x000d__x000a_  &amp;amp;lt;_values&amp;amp;gt;_x000d__x000a_    &amp;amp;lt;anyType xsi:type=&amp;quot;xsd:string&amp;quot;&amp;amp;gt;2&amp;amp;lt;/anyType&amp;amp;gt;_x000d__x000a_    &amp;amp;lt;anyType xsi:type=&amp;quot;xsd:string&amp;quot;&amp;amp;gt;1&amp;amp;lt;/anyType&amp;amp;gt;_x000d__x000a_    &amp;amp;lt;anyType xsi:type=&amp;quot;xsd:string&amp;quot;&amp;amp;gt;אילן איטח&amp;amp;lt;/anyType&amp;amp;gt;_x000d__x000a_    &amp;amp;lt;anyType xsi:type=&amp;quot;xsd:dateTime&amp;quot;&amp;amp;gt;2022-05-11T10:23:40.940172&amp;amp;lt;/anyType&amp;amp;gt;_x000d__x000a_  &amp;amp;lt;/_values&amp;amp;gt;_x000d__x000a_&amp;amp;lt;/MetaDataSerializableObject&amp;amp;gt;&amp;lt;/MetaData&amp;gt;_x000d__x000a_        &amp;lt;IsReturned&amp;gt;false&amp;lt;/IsReturned&amp;gt;_x000d__x000a_        &amp;lt;IsCritical&amp;gt;true&amp;lt;/IsCritical&amp;gt;_x000d__x000a_        &amp;lt;IsEntityCanceled&amp;gt;false&amp;lt;/IsEntityCanceled&amp;gt;_x000d__x000a_        &amp;lt;IsRepresentativeRegistryOpenToPublic&amp;gt;false&amp;lt;/IsRepresentativeRegistryOpenToPublic&amp;gt;_x000d__x000a_        &amp;lt;PresentationDate&amp;gt;2022-05-11T10:23:40.94+03:00&amp;lt;/PresentationDate&amp;gt;_x000d__x000a_      &amp;lt;/dt_Document&amp;gt;_x000d__x000a_    &amp;lt;/diffgr:before&amp;gt;_x000d__x000a_  &amp;lt;/diffgr:diffgram&amp;gt;_x000d__x000a_&amp;lt;/DocumentDS&amp;gt;"/>
    <w:docVar w:name="WordClientAssemblyName" w:val="NGCS.Decision.ClientWordBL"/>
    <w:docVar w:name="WordClientClassName" w:val="NGCS.Decision.ClientWordBL.VersionWordClient"/>
  </w:docVars>
  <w:rsids>
    <w:rsidRoot w:val="00694556"/>
    <w:rsid w:val="00005C8B"/>
    <w:rsid w:val="000564AB"/>
    <w:rsid w:val="00064FBD"/>
    <w:rsid w:val="000829DE"/>
    <w:rsid w:val="00094E2B"/>
    <w:rsid w:val="000962C7"/>
    <w:rsid w:val="00096AF7"/>
    <w:rsid w:val="000C3B0F"/>
    <w:rsid w:val="000D1016"/>
    <w:rsid w:val="000E6C7F"/>
    <w:rsid w:val="000F0BC8"/>
    <w:rsid w:val="000F63CB"/>
    <w:rsid w:val="00107E6D"/>
    <w:rsid w:val="0011194C"/>
    <w:rsid w:val="001229FA"/>
    <w:rsid w:val="00140253"/>
    <w:rsid w:val="00144D2A"/>
    <w:rsid w:val="00163FA9"/>
    <w:rsid w:val="00170669"/>
    <w:rsid w:val="00180519"/>
    <w:rsid w:val="001B72A4"/>
    <w:rsid w:val="001C4003"/>
    <w:rsid w:val="001E60BE"/>
    <w:rsid w:val="002265FF"/>
    <w:rsid w:val="002944D2"/>
    <w:rsid w:val="002B0BF1"/>
    <w:rsid w:val="00305FC5"/>
    <w:rsid w:val="00307A6A"/>
    <w:rsid w:val="00307C40"/>
    <w:rsid w:val="003155CB"/>
    <w:rsid w:val="00320433"/>
    <w:rsid w:val="00326CBE"/>
    <w:rsid w:val="0036743F"/>
    <w:rsid w:val="003B5E22"/>
    <w:rsid w:val="00416B90"/>
    <w:rsid w:val="0043125D"/>
    <w:rsid w:val="0043502B"/>
    <w:rsid w:val="00446925"/>
    <w:rsid w:val="004C307F"/>
    <w:rsid w:val="004C37FE"/>
    <w:rsid w:val="004C4BDF"/>
    <w:rsid w:val="004D1187"/>
    <w:rsid w:val="004E6E3C"/>
    <w:rsid w:val="005268F6"/>
    <w:rsid w:val="00530B5E"/>
    <w:rsid w:val="00547DB7"/>
    <w:rsid w:val="0055041F"/>
    <w:rsid w:val="00556961"/>
    <w:rsid w:val="0056038D"/>
    <w:rsid w:val="005D36CE"/>
    <w:rsid w:val="00617C14"/>
    <w:rsid w:val="00622BAA"/>
    <w:rsid w:val="00671BD5"/>
    <w:rsid w:val="006805C1"/>
    <w:rsid w:val="00694556"/>
    <w:rsid w:val="006E1A53"/>
    <w:rsid w:val="00704EDA"/>
    <w:rsid w:val="00706BFA"/>
    <w:rsid w:val="0076132E"/>
    <w:rsid w:val="007E60D1"/>
    <w:rsid w:val="007E6115"/>
    <w:rsid w:val="007F0805"/>
    <w:rsid w:val="007F4609"/>
    <w:rsid w:val="00820005"/>
    <w:rsid w:val="008415FA"/>
    <w:rsid w:val="00891E44"/>
    <w:rsid w:val="00896889"/>
    <w:rsid w:val="008B41B2"/>
    <w:rsid w:val="008C1924"/>
    <w:rsid w:val="008C5714"/>
    <w:rsid w:val="00903896"/>
    <w:rsid w:val="00906F3D"/>
    <w:rsid w:val="00913306"/>
    <w:rsid w:val="009546DB"/>
    <w:rsid w:val="00961589"/>
    <w:rsid w:val="00990E87"/>
    <w:rsid w:val="00991619"/>
    <w:rsid w:val="009B4F8F"/>
    <w:rsid w:val="009B72F3"/>
    <w:rsid w:val="009E0D81"/>
    <w:rsid w:val="009E3700"/>
    <w:rsid w:val="00A034BD"/>
    <w:rsid w:val="00A10723"/>
    <w:rsid w:val="00A10BE8"/>
    <w:rsid w:val="00A16AEB"/>
    <w:rsid w:val="00A23F15"/>
    <w:rsid w:val="00A404AC"/>
    <w:rsid w:val="00A573CE"/>
    <w:rsid w:val="00A836E3"/>
    <w:rsid w:val="00A85BAD"/>
    <w:rsid w:val="00A94B64"/>
    <w:rsid w:val="00AC3B7B"/>
    <w:rsid w:val="00AC5209"/>
    <w:rsid w:val="00AE4CEB"/>
    <w:rsid w:val="00B041C1"/>
    <w:rsid w:val="00B80CBD"/>
    <w:rsid w:val="00B86096"/>
    <w:rsid w:val="00BF1908"/>
    <w:rsid w:val="00C22D93"/>
    <w:rsid w:val="00C23C03"/>
    <w:rsid w:val="00C34482"/>
    <w:rsid w:val="00C66797"/>
    <w:rsid w:val="00CC3B05"/>
    <w:rsid w:val="00CE2352"/>
    <w:rsid w:val="00D32D84"/>
    <w:rsid w:val="00D33B86"/>
    <w:rsid w:val="00D53924"/>
    <w:rsid w:val="00D55D0C"/>
    <w:rsid w:val="00D840CB"/>
    <w:rsid w:val="00D96D8C"/>
    <w:rsid w:val="00DA6649"/>
    <w:rsid w:val="00E25B04"/>
    <w:rsid w:val="00E54642"/>
    <w:rsid w:val="00EA1E45"/>
    <w:rsid w:val="00EC37E9"/>
    <w:rsid w:val="00EC4436"/>
    <w:rsid w:val="00F426CE"/>
    <w:rsid w:val="00F44B96"/>
    <w:rsid w:val="00F82C64"/>
    <w:rsid w:val="00F84B6D"/>
    <w:rsid w:val="00FD79E4"/>
    <w:rsid w:val="00FE2894"/>
  </w:rsids>
  <m:mathPr>
    <m:mathFont m:val="Cambria Math"/>
    <m:brkBin m:val="before"/>
    <m:brkBinSub m:val="--"/>
    <m:smallFrac m:val="0"/>
    <m:dispDef/>
    <m:lMargin m:val="0"/>
    <m:rMargin m:val="0"/>
    <m:defJc m:val="centerGroup"/>
    <m:wrapIndent m:val="1440"/>
    <m:intLim m:val="subSup"/>
    <m:naryLim m:val="undOvr"/>
  </m:mathPr>
  <w:attachedSchema w:val="http://schemas.microsoft.com/InformationBridge/2004"/>
  <w:attachedSchema w:val="NGCS.MergeFields.Schema"/>
  <w:attachedSchema w:val="urn:schemas-microsoft-com:office:smarttags"/>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5:docId w15:val="{F702FEA5-539A-4A94-8470-F3949036E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4423"/>
    <w:pPr>
      <w:bidi/>
    </w:pPr>
    <w:rPr>
      <w:rFonts w:cs="David"/>
      <w:noProof/>
      <w:sz w:val="24"/>
      <w:szCs w:val="24"/>
    </w:rPr>
  </w:style>
  <w:style w:type="paragraph" w:styleId="4">
    <w:name w:val="heading 4"/>
    <w:basedOn w:val="a"/>
    <w:next w:val="a"/>
    <w:qFormat/>
    <w:rsid w:val="00C64423"/>
    <w:pPr>
      <w:keepNext/>
      <w:ind w:left="5760" w:firstLine="720"/>
      <w:outlineLvl w:val="3"/>
    </w:pPr>
    <w:rPr>
      <w:rFonts w:cs="Narkisim"/>
      <w:b/>
      <w:bCs/>
      <w14:shadow w14:blurRad="50800" w14:dist="38100" w14:dir="2700000" w14:sx="100000" w14:sy="100000" w14:kx="0" w14:ky="0" w14:algn="tl">
        <w14:srgbClr w14:val="000000">
          <w14:alpha w14:val="60000"/>
        </w14:srgbClr>
      </w14:shado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64423"/>
    <w:pPr>
      <w:tabs>
        <w:tab w:val="center" w:pos="4153"/>
        <w:tab w:val="right" w:pos="8306"/>
      </w:tabs>
    </w:pPr>
  </w:style>
  <w:style w:type="paragraph" w:styleId="a4">
    <w:name w:val="footer"/>
    <w:basedOn w:val="a"/>
    <w:rsid w:val="00C64423"/>
    <w:pPr>
      <w:tabs>
        <w:tab w:val="center" w:pos="4153"/>
        <w:tab w:val="right" w:pos="8306"/>
      </w:tabs>
    </w:pPr>
  </w:style>
  <w:style w:type="paragraph" w:customStyle="1" w:styleId="a5">
    <w:name w:val="סעיפים"/>
    <w:basedOn w:val="a"/>
    <w:rsid w:val="00C64423"/>
    <w:pPr>
      <w:tabs>
        <w:tab w:val="left" w:pos="567"/>
        <w:tab w:val="left" w:pos="1134"/>
        <w:tab w:val="left" w:pos="1701"/>
        <w:tab w:val="left" w:pos="2268"/>
        <w:tab w:val="left" w:pos="2835"/>
        <w:tab w:val="left" w:pos="3402"/>
        <w:tab w:val="left" w:pos="3969"/>
      </w:tabs>
      <w:spacing w:line="360" w:lineRule="auto"/>
      <w:jc w:val="both"/>
    </w:pPr>
    <w:rPr>
      <w:noProof w:val="0"/>
    </w:rPr>
  </w:style>
  <w:style w:type="paragraph" w:styleId="a6">
    <w:name w:val="annotation text"/>
    <w:basedOn w:val="a"/>
    <w:semiHidden/>
    <w:rsid w:val="00C64423"/>
    <w:rPr>
      <w:rFonts w:cs="Times New Roman"/>
      <w:noProof w:val="0"/>
    </w:rPr>
  </w:style>
  <w:style w:type="character" w:styleId="a7">
    <w:name w:val="annotation reference"/>
    <w:basedOn w:val="a0"/>
    <w:semiHidden/>
    <w:rsid w:val="00C64423"/>
    <w:rPr>
      <w:sz w:val="16"/>
      <w:szCs w:val="16"/>
    </w:rPr>
  </w:style>
  <w:style w:type="paragraph" w:styleId="a8">
    <w:name w:val="Balloon Text"/>
    <w:basedOn w:val="a"/>
    <w:semiHidden/>
    <w:rsid w:val="00C64423"/>
    <w:rPr>
      <w:rFonts w:ascii="Tahoma" w:hAnsi="Tahoma" w:cs="Tahoma"/>
      <w:sz w:val="16"/>
      <w:szCs w:val="16"/>
    </w:rPr>
  </w:style>
  <w:style w:type="table" w:styleId="a9">
    <w:name w:val="Table Grid"/>
    <w:basedOn w:val="a1"/>
    <w:rsid w:val="00C64423"/>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C64423"/>
  </w:style>
  <w:style w:type="character" w:styleId="ab">
    <w:name w:val="page number"/>
    <w:basedOn w:val="a0"/>
    <w:rsid w:val="00C64423"/>
  </w:style>
  <w:style w:type="table" w:customStyle="1" w:styleId="1">
    <w:name w:val="טבלת רשת1"/>
    <w:basedOn w:val="a1"/>
    <w:next w:val="a9"/>
    <w:rsid w:val="001C4003"/>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laceholder Text"/>
    <w:basedOn w:val="a0"/>
    <w:uiPriority w:val="99"/>
    <w:semiHidden/>
    <w:rsid w:val="000E6C7F"/>
    <w:rPr>
      <w:color w:val="808080"/>
    </w:rPr>
  </w:style>
  <w:style w:type="paragraph" w:styleId="ad">
    <w:name w:val="footnote text"/>
    <w:basedOn w:val="a"/>
    <w:link w:val="ae"/>
    <w:uiPriority w:val="99"/>
    <w:semiHidden/>
    <w:unhideWhenUsed/>
    <w:rsid w:val="004C307F"/>
    <w:rPr>
      <w:sz w:val="20"/>
      <w:szCs w:val="20"/>
    </w:rPr>
  </w:style>
  <w:style w:type="character" w:customStyle="1" w:styleId="ae">
    <w:name w:val="טקסט הערת שוליים תו"/>
    <w:basedOn w:val="a0"/>
    <w:link w:val="ad"/>
    <w:uiPriority w:val="99"/>
    <w:semiHidden/>
    <w:rsid w:val="004C307F"/>
    <w:rPr>
      <w:rFonts w:cs="David"/>
      <w:noProof/>
    </w:rPr>
  </w:style>
  <w:style w:type="character" w:styleId="af">
    <w:name w:val="footnote reference"/>
    <w:basedOn w:val="a0"/>
    <w:uiPriority w:val="99"/>
    <w:semiHidden/>
    <w:unhideWhenUsed/>
    <w:rsid w:val="004C307F"/>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61123">
      <w:bodyDiv w:val="1"/>
      <w:marLeft w:val="0"/>
      <w:marRight w:val="0"/>
      <w:marTop w:val="0"/>
      <w:marBottom w:val="0"/>
      <w:divBdr>
        <w:top w:val="none" w:sz="0" w:space="0" w:color="auto"/>
        <w:left w:val="none" w:sz="0" w:space="0" w:color="auto"/>
        <w:bottom w:val="none" w:sz="0" w:space="0" w:color="auto"/>
        <w:right w:val="none" w:sz="0" w:space="0" w:color="auto"/>
      </w:divBdr>
    </w:div>
    <w:div w:id="235750207">
      <w:bodyDiv w:val="1"/>
      <w:marLeft w:val="0"/>
      <w:marRight w:val="0"/>
      <w:marTop w:val="0"/>
      <w:marBottom w:val="0"/>
      <w:divBdr>
        <w:top w:val="none" w:sz="0" w:space="0" w:color="auto"/>
        <w:left w:val="none" w:sz="0" w:space="0" w:color="auto"/>
        <w:bottom w:val="none" w:sz="0" w:space="0" w:color="auto"/>
        <w:right w:val="none" w:sz="0" w:space="0" w:color="auto"/>
      </w:divBdr>
    </w:div>
    <w:div w:id="308049645">
      <w:bodyDiv w:val="1"/>
      <w:marLeft w:val="0"/>
      <w:marRight w:val="0"/>
      <w:marTop w:val="0"/>
      <w:marBottom w:val="0"/>
      <w:divBdr>
        <w:top w:val="none" w:sz="0" w:space="0" w:color="auto"/>
        <w:left w:val="none" w:sz="0" w:space="0" w:color="auto"/>
        <w:bottom w:val="none" w:sz="0" w:space="0" w:color="auto"/>
        <w:right w:val="none" w:sz="0" w:space="0" w:color="auto"/>
      </w:divBdr>
    </w:div>
    <w:div w:id="338385645">
      <w:bodyDiv w:val="1"/>
      <w:marLeft w:val="0"/>
      <w:marRight w:val="0"/>
      <w:marTop w:val="0"/>
      <w:marBottom w:val="0"/>
      <w:divBdr>
        <w:top w:val="none" w:sz="0" w:space="0" w:color="auto"/>
        <w:left w:val="none" w:sz="0" w:space="0" w:color="auto"/>
        <w:bottom w:val="none" w:sz="0" w:space="0" w:color="auto"/>
        <w:right w:val="none" w:sz="0" w:space="0" w:color="auto"/>
      </w:divBdr>
    </w:div>
    <w:div w:id="339046410">
      <w:bodyDiv w:val="1"/>
      <w:marLeft w:val="0"/>
      <w:marRight w:val="0"/>
      <w:marTop w:val="0"/>
      <w:marBottom w:val="0"/>
      <w:divBdr>
        <w:top w:val="none" w:sz="0" w:space="0" w:color="auto"/>
        <w:left w:val="none" w:sz="0" w:space="0" w:color="auto"/>
        <w:bottom w:val="none" w:sz="0" w:space="0" w:color="auto"/>
        <w:right w:val="none" w:sz="0" w:space="0" w:color="auto"/>
      </w:divBdr>
    </w:div>
    <w:div w:id="581262457">
      <w:bodyDiv w:val="1"/>
      <w:marLeft w:val="0"/>
      <w:marRight w:val="0"/>
      <w:marTop w:val="0"/>
      <w:marBottom w:val="0"/>
      <w:divBdr>
        <w:top w:val="none" w:sz="0" w:space="0" w:color="auto"/>
        <w:left w:val="none" w:sz="0" w:space="0" w:color="auto"/>
        <w:bottom w:val="none" w:sz="0" w:space="0" w:color="auto"/>
        <w:right w:val="none" w:sz="0" w:space="0" w:color="auto"/>
      </w:divBdr>
    </w:div>
    <w:div w:id="962467077">
      <w:bodyDiv w:val="1"/>
      <w:marLeft w:val="0"/>
      <w:marRight w:val="0"/>
      <w:marTop w:val="0"/>
      <w:marBottom w:val="0"/>
      <w:divBdr>
        <w:top w:val="none" w:sz="0" w:space="0" w:color="auto"/>
        <w:left w:val="none" w:sz="0" w:space="0" w:color="auto"/>
        <w:bottom w:val="none" w:sz="0" w:space="0" w:color="auto"/>
        <w:right w:val="none" w:sz="0" w:space="0" w:color="auto"/>
      </w:divBdr>
    </w:div>
    <w:div w:id="1015767478">
      <w:bodyDiv w:val="1"/>
      <w:marLeft w:val="0"/>
      <w:marRight w:val="0"/>
      <w:marTop w:val="0"/>
      <w:marBottom w:val="0"/>
      <w:divBdr>
        <w:top w:val="none" w:sz="0" w:space="0" w:color="auto"/>
        <w:left w:val="none" w:sz="0" w:space="0" w:color="auto"/>
        <w:bottom w:val="none" w:sz="0" w:space="0" w:color="auto"/>
        <w:right w:val="none" w:sz="0" w:space="0" w:color="auto"/>
      </w:divBdr>
    </w:div>
    <w:div w:id="1276906384">
      <w:bodyDiv w:val="1"/>
      <w:marLeft w:val="0"/>
      <w:marRight w:val="0"/>
      <w:marTop w:val="0"/>
      <w:marBottom w:val="0"/>
      <w:divBdr>
        <w:top w:val="none" w:sz="0" w:space="0" w:color="auto"/>
        <w:left w:val="none" w:sz="0" w:space="0" w:color="auto"/>
        <w:bottom w:val="none" w:sz="0" w:space="0" w:color="auto"/>
        <w:right w:val="none" w:sz="0" w:space="0" w:color="auto"/>
      </w:divBdr>
    </w:div>
    <w:div w:id="1307122835">
      <w:bodyDiv w:val="1"/>
      <w:marLeft w:val="0"/>
      <w:marRight w:val="0"/>
      <w:marTop w:val="0"/>
      <w:marBottom w:val="0"/>
      <w:divBdr>
        <w:top w:val="none" w:sz="0" w:space="0" w:color="auto"/>
        <w:left w:val="none" w:sz="0" w:space="0" w:color="auto"/>
        <w:bottom w:val="none" w:sz="0" w:space="0" w:color="auto"/>
        <w:right w:val="none" w:sz="0" w:space="0" w:color="auto"/>
      </w:divBdr>
    </w:div>
    <w:div w:id="1432820806">
      <w:bodyDiv w:val="1"/>
      <w:marLeft w:val="0"/>
      <w:marRight w:val="0"/>
      <w:marTop w:val="0"/>
      <w:marBottom w:val="0"/>
      <w:divBdr>
        <w:top w:val="none" w:sz="0" w:space="0" w:color="auto"/>
        <w:left w:val="none" w:sz="0" w:space="0" w:color="auto"/>
        <w:bottom w:val="none" w:sz="0" w:space="0" w:color="auto"/>
        <w:right w:val="none" w:sz="0" w:space="0" w:color="auto"/>
      </w:divBdr>
    </w:div>
    <w:div w:id="1642929257">
      <w:bodyDiv w:val="1"/>
      <w:marLeft w:val="0"/>
      <w:marRight w:val="0"/>
      <w:marTop w:val="0"/>
      <w:marBottom w:val="0"/>
      <w:divBdr>
        <w:top w:val="none" w:sz="0" w:space="0" w:color="auto"/>
        <w:left w:val="none" w:sz="0" w:space="0" w:color="auto"/>
        <w:bottom w:val="none" w:sz="0" w:space="0" w:color="auto"/>
        <w:right w:val="none" w:sz="0" w:space="0" w:color="auto"/>
      </w:divBdr>
    </w:div>
    <w:div w:id="1696467333">
      <w:bodyDiv w:val="1"/>
      <w:marLeft w:val="0"/>
      <w:marRight w:val="0"/>
      <w:marTop w:val="0"/>
      <w:marBottom w:val="0"/>
      <w:divBdr>
        <w:top w:val="none" w:sz="0" w:space="0" w:color="auto"/>
        <w:left w:val="none" w:sz="0" w:space="0" w:color="auto"/>
        <w:bottom w:val="none" w:sz="0" w:space="0" w:color="auto"/>
        <w:right w:val="none" w:sz="0" w:space="0" w:color="auto"/>
      </w:divBdr>
    </w:div>
    <w:div w:id="1819497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tif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5435</Words>
  <Characters>27179</Characters>
  <Application>Microsoft Office Word</Application>
  <DocSecurity>4</DocSecurity>
  <Lines>226</Lines>
  <Paragraphs>65</Paragraphs>
  <ScaleCrop>false</ScaleCrop>
  <HeadingPairs>
    <vt:vector size="2" baseType="variant">
      <vt:variant>
        <vt:lpstr>שם</vt:lpstr>
      </vt:variant>
      <vt:variant>
        <vt:i4>1</vt:i4>
      </vt:variant>
    </vt:vector>
  </HeadingPairs>
  <TitlesOfParts>
    <vt:vector size="1" baseType="lpstr">
      <vt:lpstr/>
    </vt:vector>
  </TitlesOfParts>
  <Company>Microsoft Corporation</Company>
  <LinksUpToDate>false</LinksUpToDate>
  <CharactersWithSpaces>32549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anatk</dc:creator>
  <cp:keywords/>
  <dc:description/>
  <cp:lastModifiedBy>הדס לרנר</cp:lastModifiedBy>
  <cp:revision>2</cp:revision>
  <dcterms:created xsi:type="dcterms:W3CDTF">2022-05-31T06:27:00Z</dcterms:created>
  <dcterms:modified xsi:type="dcterms:W3CDTF">2022-05-31T06:27:00Z</dcterms:modified>
</cp:coreProperties>
</file>