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D84" w:rsidRPr="00921D84" w:rsidRDefault="00CE3ABA" w:rsidP="00921D84">
      <w:pPr>
        <w:spacing w:after="0"/>
        <w:ind w:left="-1192"/>
        <w:rPr>
          <w:sz w:val="24"/>
          <w:szCs w:val="24"/>
          <w:rtl/>
          <w:lang w:eastAsia="he-IL"/>
        </w:rPr>
      </w:pPr>
      <w:bookmarkStart w:id="0" w:name="_GoBack"/>
      <w:bookmarkEnd w:id="0"/>
      <w:r w:rsidRPr="00C501F0">
        <w:rPr>
          <w:rFonts w:ascii="David,Bold" w:hint="cs"/>
          <w:b/>
          <w:bCs/>
          <w:noProof/>
        </w:rPr>
        <w:drawing>
          <wp:inline distT="0" distB="0" distL="0" distR="0">
            <wp:extent cx="264160" cy="264160"/>
            <wp:effectExtent l="0" t="0" r="2540" b="2540"/>
            <wp:docPr id="525065019" name="תמונה 1" descr="מסמך נגי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מסמך נגיש"/>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p w:rsidR="00DF11E7" w:rsidRPr="005253B2" w:rsidRDefault="00CE3ABA" w:rsidP="00DF11E7">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David"/>
          <w:sz w:val="20"/>
          <w:szCs w:val="24"/>
          <w:lang w:eastAsia="he-IL"/>
        </w:rPr>
      </w:pPr>
      <w:r w:rsidRPr="005253B2">
        <w:rPr>
          <w:rFonts w:ascii="Times New Roman" w:eastAsia="Times New Roman" w:hAnsi="Times New Roman" w:cs="David"/>
          <w:noProof/>
          <w:sz w:val="20"/>
          <w:szCs w:val="24"/>
        </w:rPr>
        <w:drawing>
          <wp:inline distT="0" distB="0" distL="0" distR="0">
            <wp:extent cx="337020" cy="398296"/>
            <wp:effectExtent l="0" t="0" r="6350" b="1905"/>
            <wp:docPr id="1" name="תמונה 2"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41568" cy="403671"/>
                    </a:xfrm>
                    <a:prstGeom prst="rect">
                      <a:avLst/>
                    </a:prstGeom>
                    <a:noFill/>
                    <a:ln>
                      <a:noFill/>
                    </a:ln>
                  </pic:spPr>
                </pic:pic>
              </a:graphicData>
            </a:graphic>
          </wp:inline>
        </w:drawing>
      </w:r>
    </w:p>
    <w:p w:rsidR="00DF11E7" w:rsidRPr="00DF11E7" w:rsidRDefault="00CE3ABA" w:rsidP="00DF11E7">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4"/>
          <w:szCs w:val="24"/>
          <w:rtl/>
          <w:lang w:eastAsia="he-IL"/>
        </w:rPr>
      </w:pPr>
      <w:r w:rsidRPr="00DF11E7">
        <w:rPr>
          <w:rFonts w:ascii="Times New Roman" w:eastAsia="Times New Roman" w:hAnsi="Times New Roman" w:cs="FrankRuehl" w:hint="cs"/>
          <w:b/>
          <w:bCs/>
          <w:color w:val="000080"/>
          <w:spacing w:val="6"/>
          <w:sz w:val="24"/>
          <w:szCs w:val="24"/>
          <w:rtl/>
          <w:lang w:eastAsia="he-IL"/>
        </w:rPr>
        <w:t>מערכת בתי המשפט</w:t>
      </w:r>
    </w:p>
    <w:p w:rsidR="00DF11E7" w:rsidRPr="00DF11E7" w:rsidRDefault="00CE3ABA" w:rsidP="00DF11E7">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4"/>
          <w:szCs w:val="24"/>
          <w:rtl/>
          <w:lang w:eastAsia="he-IL"/>
        </w:rPr>
      </w:pPr>
      <w:r w:rsidRPr="00DF11E7">
        <w:rPr>
          <w:rFonts w:ascii="Times New Roman" w:eastAsia="Times New Roman" w:hAnsi="Times New Roman" w:cs="FrankRuehl" w:hint="cs"/>
          <w:b/>
          <w:bCs/>
          <w:color w:val="000080"/>
          <w:spacing w:val="6"/>
          <w:sz w:val="24"/>
          <w:szCs w:val="24"/>
          <w:rtl/>
          <w:lang w:eastAsia="he-IL"/>
        </w:rPr>
        <w:t>דוברות והסברה</w:t>
      </w:r>
    </w:p>
    <w:p w:rsidR="00983123" w:rsidRPr="00671536" w:rsidRDefault="00CE3ABA" w:rsidP="00921D84">
      <w:pPr>
        <w:spacing w:after="0" w:line="240" w:lineRule="auto"/>
        <w:jc w:val="right"/>
        <w:rPr>
          <w:rFonts w:ascii="Times New Roman" w:eastAsia="Times New Roman" w:hAnsi="Times New Roman" w:cs="David"/>
          <w:sz w:val="24"/>
          <w:szCs w:val="24"/>
        </w:rPr>
      </w:pPr>
      <w:r w:rsidRPr="00671536">
        <w:rPr>
          <w:rFonts w:ascii="Times New Roman" w:eastAsia="Times New Roman" w:hAnsi="Times New Roman" w:cs="David" w:hint="cs"/>
          <w:sz w:val="24"/>
          <w:szCs w:val="24"/>
          <w:rtl/>
        </w:rPr>
        <w:fldChar w:fldCharType="begin"/>
      </w:r>
      <w:r w:rsidRPr="00671536">
        <w:rPr>
          <w:rFonts w:ascii="Times New Roman" w:eastAsia="Times New Roman" w:hAnsi="Times New Roman" w:cs="David" w:hint="cs"/>
          <w:sz w:val="24"/>
          <w:szCs w:val="24"/>
          <w:rtl/>
        </w:rPr>
        <w:instrText xml:space="preserve"> </w:instrText>
      </w:r>
      <w:r w:rsidRPr="00671536">
        <w:rPr>
          <w:rFonts w:ascii="Times New Roman" w:eastAsia="Times New Roman" w:hAnsi="Times New Roman" w:cs="David"/>
          <w:sz w:val="24"/>
          <w:szCs w:val="24"/>
        </w:rPr>
        <w:instrText>DOCPROPERTY  DocDateEng  \* MERGEFORMAT</w:instrText>
      </w:r>
      <w:r w:rsidRPr="00671536">
        <w:rPr>
          <w:rFonts w:ascii="Times New Roman" w:eastAsia="Times New Roman" w:hAnsi="Times New Roman" w:cs="David" w:hint="cs"/>
          <w:sz w:val="24"/>
          <w:szCs w:val="24"/>
          <w:rtl/>
        </w:rPr>
        <w:instrText xml:space="preserve"> </w:instrText>
      </w:r>
      <w:r w:rsidRPr="00671536">
        <w:rPr>
          <w:rFonts w:ascii="Times New Roman" w:eastAsia="Times New Roman" w:hAnsi="Times New Roman" w:cs="David" w:hint="cs"/>
          <w:sz w:val="24"/>
          <w:szCs w:val="24"/>
          <w:rtl/>
        </w:rPr>
        <w:fldChar w:fldCharType="separate"/>
      </w:r>
      <w:r w:rsidRPr="00671536">
        <w:rPr>
          <w:rFonts w:ascii="Times New Roman" w:eastAsia="Times New Roman" w:hAnsi="Times New Roman" w:cs="David" w:hint="cs"/>
          <w:sz w:val="24"/>
          <w:szCs w:val="24"/>
          <w:rtl/>
        </w:rPr>
        <w:t>23 ביולי 2025</w:t>
      </w:r>
      <w:r w:rsidRPr="00671536">
        <w:rPr>
          <w:rFonts w:ascii="Times New Roman" w:eastAsia="Times New Roman" w:hAnsi="Times New Roman" w:cs="David" w:hint="cs"/>
          <w:sz w:val="24"/>
          <w:szCs w:val="24"/>
          <w:rtl/>
        </w:rPr>
        <w:fldChar w:fldCharType="end"/>
      </w:r>
    </w:p>
    <w:p w:rsidR="00983123" w:rsidRPr="00671536" w:rsidRDefault="00CE3ABA" w:rsidP="00832AD7">
      <w:pPr>
        <w:spacing w:after="0" w:line="240" w:lineRule="auto"/>
        <w:jc w:val="right"/>
        <w:rPr>
          <w:rFonts w:ascii="Times New Roman" w:eastAsia="Times New Roman" w:hAnsi="Times New Roman" w:cs="David"/>
          <w:sz w:val="24"/>
          <w:szCs w:val="24"/>
          <w:rtl/>
        </w:rPr>
      </w:pPr>
      <w:r w:rsidRPr="00671536">
        <w:rPr>
          <w:rFonts w:ascii="Times New Roman" w:eastAsia="Times New Roman" w:hAnsi="Times New Roman" w:cs="David" w:hint="cs"/>
          <w:sz w:val="24"/>
          <w:szCs w:val="24"/>
          <w:rtl/>
        </w:rPr>
        <w:fldChar w:fldCharType="begin"/>
      </w:r>
      <w:r w:rsidRPr="00671536">
        <w:rPr>
          <w:rFonts w:ascii="Times New Roman" w:eastAsia="Times New Roman" w:hAnsi="Times New Roman" w:cs="David" w:hint="cs"/>
          <w:sz w:val="24"/>
          <w:szCs w:val="24"/>
          <w:rtl/>
        </w:rPr>
        <w:instrText xml:space="preserve"> </w:instrText>
      </w:r>
      <w:r w:rsidRPr="00671536">
        <w:rPr>
          <w:rFonts w:ascii="Times New Roman" w:eastAsia="Times New Roman" w:hAnsi="Times New Roman" w:cs="David"/>
          <w:sz w:val="24"/>
          <w:szCs w:val="24"/>
        </w:rPr>
        <w:instrText>DOCPROPERTY  DocDateHeb  \* MERGEFORMAT</w:instrText>
      </w:r>
      <w:r w:rsidRPr="00671536">
        <w:rPr>
          <w:rFonts w:ascii="Times New Roman" w:eastAsia="Times New Roman" w:hAnsi="Times New Roman" w:cs="David" w:hint="cs"/>
          <w:sz w:val="24"/>
          <w:szCs w:val="24"/>
          <w:rtl/>
        </w:rPr>
        <w:instrText xml:space="preserve"> </w:instrText>
      </w:r>
      <w:r w:rsidRPr="00671536">
        <w:rPr>
          <w:rFonts w:ascii="Times New Roman" w:eastAsia="Times New Roman" w:hAnsi="Times New Roman" w:cs="David" w:hint="cs"/>
          <w:sz w:val="24"/>
          <w:szCs w:val="24"/>
          <w:rtl/>
        </w:rPr>
        <w:fldChar w:fldCharType="separate"/>
      </w:r>
      <w:r w:rsidRPr="00671536">
        <w:rPr>
          <w:rFonts w:ascii="Times New Roman" w:eastAsia="Times New Roman" w:hAnsi="Times New Roman" w:cs="David" w:hint="cs"/>
          <w:sz w:val="24"/>
          <w:szCs w:val="24"/>
          <w:rtl/>
        </w:rPr>
        <w:t>כ"ז בתמוז תשפ"ה</w:t>
      </w:r>
      <w:r w:rsidRPr="00671536">
        <w:rPr>
          <w:rFonts w:ascii="Times New Roman" w:eastAsia="Times New Roman" w:hAnsi="Times New Roman" w:cs="David" w:hint="cs"/>
          <w:sz w:val="24"/>
          <w:szCs w:val="24"/>
          <w:rtl/>
        </w:rPr>
        <w:fldChar w:fldCharType="end"/>
      </w:r>
    </w:p>
    <w:p w:rsidR="00515986" w:rsidRPr="00671536" w:rsidRDefault="00CE3ABA" w:rsidP="00141720">
      <w:pPr>
        <w:spacing w:after="0" w:line="240" w:lineRule="auto"/>
        <w:jc w:val="right"/>
        <w:rPr>
          <w:rFonts w:ascii="Times New Roman" w:eastAsia="Times New Roman" w:hAnsi="Times New Roman" w:cs="David"/>
          <w:sz w:val="24"/>
          <w:szCs w:val="24"/>
          <w:rtl/>
        </w:rPr>
      </w:pPr>
      <w:r w:rsidRPr="00671536">
        <w:rPr>
          <w:rFonts w:ascii="Times New Roman" w:eastAsia="Times New Roman" w:hAnsi="Times New Roman" w:cs="David" w:hint="cs"/>
          <w:sz w:val="24"/>
          <w:szCs w:val="24"/>
          <w:rtl/>
        </w:rPr>
        <w:fldChar w:fldCharType="begin"/>
      </w:r>
      <w:r w:rsidRPr="00671536">
        <w:rPr>
          <w:rFonts w:ascii="Times New Roman" w:eastAsia="Times New Roman" w:hAnsi="Times New Roman" w:cs="David" w:hint="cs"/>
          <w:sz w:val="24"/>
          <w:szCs w:val="24"/>
          <w:rtl/>
        </w:rPr>
        <w:instrText xml:space="preserve"> </w:instrText>
      </w:r>
      <w:r w:rsidRPr="00671536">
        <w:rPr>
          <w:rFonts w:ascii="Times New Roman" w:eastAsia="Times New Roman" w:hAnsi="Times New Roman" w:cs="David"/>
          <w:sz w:val="24"/>
          <w:szCs w:val="24"/>
        </w:rPr>
        <w:instrText>DOCPROPERTY  DocNumber  \* MERGEFORMAT</w:instrText>
      </w:r>
      <w:r w:rsidRPr="00671536">
        <w:rPr>
          <w:rFonts w:ascii="Times New Roman" w:eastAsia="Times New Roman" w:hAnsi="Times New Roman" w:cs="David" w:hint="cs"/>
          <w:sz w:val="24"/>
          <w:szCs w:val="24"/>
          <w:rtl/>
        </w:rPr>
        <w:instrText xml:space="preserve"> </w:instrText>
      </w:r>
      <w:r w:rsidRPr="00671536">
        <w:rPr>
          <w:rFonts w:ascii="Times New Roman" w:eastAsia="Times New Roman" w:hAnsi="Times New Roman" w:cs="David" w:hint="cs"/>
          <w:sz w:val="24"/>
          <w:szCs w:val="24"/>
          <w:rtl/>
        </w:rPr>
        <w:fldChar w:fldCharType="separate"/>
      </w:r>
      <w:r w:rsidRPr="00671536">
        <w:rPr>
          <w:rFonts w:ascii="Times New Roman" w:eastAsia="Times New Roman" w:hAnsi="Times New Roman" w:cs="David" w:hint="cs"/>
          <w:sz w:val="24"/>
          <w:szCs w:val="24"/>
          <w:rtl/>
        </w:rPr>
        <w:t>4700-1039-2025-005490</w:t>
      </w:r>
      <w:r w:rsidRPr="00671536">
        <w:rPr>
          <w:rFonts w:ascii="Times New Roman" w:eastAsia="Times New Roman" w:hAnsi="Times New Roman" w:cs="David" w:hint="cs"/>
          <w:sz w:val="24"/>
          <w:szCs w:val="24"/>
          <w:rtl/>
        </w:rPr>
        <w:fldChar w:fldCharType="end"/>
      </w:r>
    </w:p>
    <w:p w:rsidR="00E13F6E" w:rsidRPr="00141720" w:rsidRDefault="00CE3ABA" w:rsidP="00921D84">
      <w:pPr>
        <w:spacing w:before="120" w:after="0" w:line="360" w:lineRule="auto"/>
        <w:jc w:val="center"/>
        <w:outlineLvl w:val="0"/>
        <w:rPr>
          <w:rFonts w:ascii="FrankRuehl" w:hAnsi="FrankRuehl" w:cs="FrankRuehl"/>
          <w:b/>
          <w:bCs/>
          <w:color w:val="002060"/>
          <w:sz w:val="32"/>
          <w:szCs w:val="32"/>
          <w:u w:val="single"/>
          <w:rtl/>
        </w:rPr>
      </w:pPr>
      <w:r w:rsidRPr="000071E5">
        <w:rPr>
          <w:rFonts w:ascii="FrankRuehl" w:hAnsi="FrankRuehl" w:cs="FrankRuehl"/>
          <w:b/>
          <w:bCs/>
          <w:color w:val="002060"/>
          <w:sz w:val="32"/>
          <w:szCs w:val="32"/>
          <w:u w:val="single"/>
          <w:rtl/>
        </w:rPr>
        <w:t xml:space="preserve">תקציר </w:t>
      </w:r>
      <w:r w:rsidRPr="000071E5">
        <w:rPr>
          <w:rFonts w:ascii="FrankRuehl" w:hAnsi="FrankRuehl" w:cs="FrankRuehl" w:hint="cs"/>
          <w:b/>
          <w:bCs/>
          <w:color w:val="002060"/>
          <w:sz w:val="32"/>
          <w:szCs w:val="32"/>
          <w:u w:val="single"/>
          <w:rtl/>
        </w:rPr>
        <w:t>החלטה</w:t>
      </w:r>
      <w:r w:rsidR="00141720">
        <w:rPr>
          <w:rFonts w:ascii="FrankRuehl" w:hAnsi="FrankRuehl" w:cs="FrankRuehl" w:hint="cs"/>
          <w:b/>
          <w:bCs/>
          <w:color w:val="002060"/>
          <w:sz w:val="32"/>
          <w:szCs w:val="32"/>
          <w:u w:val="single"/>
          <w:rtl/>
        </w:rPr>
        <w:t xml:space="preserve"> בתיק אזרחי 13548-01-17 </w:t>
      </w:r>
      <w:r w:rsidRPr="00141720">
        <w:rPr>
          <w:rFonts w:ascii="FrankRuehl" w:hAnsi="FrankRuehl" w:cs="FrankRuehl"/>
          <w:b/>
          <w:bCs/>
          <w:color w:val="002060"/>
          <w:sz w:val="32"/>
          <w:szCs w:val="32"/>
          <w:u w:val="single"/>
          <w:rtl/>
        </w:rPr>
        <w:t>כבוד השופט</w:t>
      </w:r>
      <w:r w:rsidR="00141720" w:rsidRPr="00141720">
        <w:rPr>
          <w:rFonts w:ascii="FrankRuehl" w:hAnsi="FrankRuehl" w:cs="FrankRuehl" w:hint="cs"/>
          <w:b/>
          <w:bCs/>
          <w:color w:val="002060"/>
          <w:sz w:val="32"/>
          <w:szCs w:val="32"/>
          <w:u w:val="single"/>
          <w:rtl/>
        </w:rPr>
        <w:t xml:space="preserve"> טל חבקין</w:t>
      </w:r>
      <w:r w:rsidRPr="00141720">
        <w:rPr>
          <w:rFonts w:ascii="FrankRuehl" w:hAnsi="FrankRuehl" w:cs="FrankRuehl" w:hint="cs"/>
          <w:b/>
          <w:bCs/>
          <w:color w:val="002060"/>
          <w:sz w:val="32"/>
          <w:szCs w:val="32"/>
          <w:u w:val="single"/>
          <w:rtl/>
        </w:rPr>
        <w:t xml:space="preserve"> </w:t>
      </w:r>
    </w:p>
    <w:p w:rsidR="00DF11E7" w:rsidRDefault="00CE3ABA" w:rsidP="00141720">
      <w:pPr>
        <w:pStyle w:val="a9"/>
        <w:spacing w:line="480" w:lineRule="auto"/>
        <w:ind w:left="0" w:hanging="7"/>
        <w:jc w:val="center"/>
        <w:rPr>
          <w:sz w:val="22"/>
          <w:szCs w:val="26"/>
          <w:rtl/>
        </w:rPr>
        <w:sectPr w:rsidR="00DF11E7" w:rsidSect="00921D84">
          <w:footerReference w:type="default" r:id="rId10"/>
          <w:pgSz w:w="11906" w:h="16838"/>
          <w:pgMar w:top="567" w:right="1800" w:bottom="1440" w:left="1800" w:header="708" w:footer="708" w:gutter="0"/>
          <w:cols w:space="708"/>
          <w:bidi/>
          <w:rtlGutter/>
          <w:docGrid w:linePitch="360"/>
        </w:sectPr>
      </w:pPr>
      <w:r w:rsidRPr="004E1154">
        <w:rPr>
          <w:rFonts w:hint="eastAsia"/>
          <w:sz w:val="22"/>
          <w:szCs w:val="26"/>
          <w:rtl/>
        </w:rPr>
        <w:t>ת</w:t>
      </w:r>
      <w:r w:rsidRPr="004E1154">
        <w:rPr>
          <w:sz w:val="22"/>
          <w:szCs w:val="26"/>
          <w:rtl/>
        </w:rPr>
        <w:t>"</w:t>
      </w:r>
      <w:r w:rsidRPr="004E1154">
        <w:rPr>
          <w:rFonts w:hint="eastAsia"/>
          <w:sz w:val="22"/>
          <w:szCs w:val="26"/>
          <w:rtl/>
        </w:rPr>
        <w:t>א</w:t>
      </w:r>
      <w:r w:rsidRPr="004E1154">
        <w:rPr>
          <w:rFonts w:hint="cs"/>
          <w:sz w:val="22"/>
          <w:szCs w:val="26"/>
          <w:rtl/>
        </w:rPr>
        <w:t xml:space="preserve"> (שלום ת"א)</w:t>
      </w:r>
      <w:r w:rsidRPr="004E1154">
        <w:rPr>
          <w:sz w:val="22"/>
          <w:szCs w:val="26"/>
          <w:rtl/>
        </w:rPr>
        <w:t xml:space="preserve"> 13548-01-17 </w:t>
      </w:r>
      <w:r w:rsidRPr="004E1154">
        <w:rPr>
          <w:rFonts w:hint="eastAsia"/>
          <w:b/>
          <w:bCs/>
          <w:sz w:val="22"/>
          <w:szCs w:val="26"/>
          <w:rtl/>
        </w:rPr>
        <w:t>א</w:t>
      </w:r>
      <w:r w:rsidRPr="004E1154">
        <w:rPr>
          <w:b/>
          <w:bCs/>
          <w:sz w:val="22"/>
          <w:szCs w:val="26"/>
          <w:rtl/>
        </w:rPr>
        <w:t xml:space="preserve">' </w:t>
      </w:r>
      <w:r w:rsidRPr="004E1154">
        <w:rPr>
          <w:rFonts w:hint="eastAsia"/>
          <w:b/>
          <w:bCs/>
          <w:sz w:val="22"/>
          <w:szCs w:val="26"/>
          <w:rtl/>
        </w:rPr>
        <w:t>נ</w:t>
      </w:r>
      <w:r w:rsidRPr="004E1154">
        <w:rPr>
          <w:b/>
          <w:bCs/>
          <w:sz w:val="22"/>
          <w:szCs w:val="26"/>
          <w:rtl/>
        </w:rPr>
        <w:t xml:space="preserve">' </w:t>
      </w:r>
      <w:r w:rsidRPr="004E1154">
        <w:rPr>
          <w:rFonts w:hint="eastAsia"/>
          <w:b/>
          <w:bCs/>
          <w:sz w:val="22"/>
          <w:szCs w:val="26"/>
          <w:rtl/>
        </w:rPr>
        <w:t>דוביצקי</w:t>
      </w:r>
      <w:r w:rsidRPr="004E1154">
        <w:rPr>
          <w:sz w:val="22"/>
          <w:szCs w:val="26"/>
          <w:rtl/>
        </w:rPr>
        <w:t xml:space="preserve"> </w:t>
      </w:r>
      <w:r w:rsidRPr="004E1154">
        <w:rPr>
          <w:rFonts w:hint="cs"/>
          <w:sz w:val="22"/>
          <w:szCs w:val="26"/>
          <w:rtl/>
        </w:rPr>
        <w:t>(3.6.2025) (שמונה תיקים מאוחדים)</w:t>
      </w:r>
    </w:p>
    <w:p w:rsidR="00141720" w:rsidRDefault="00CE3ABA" w:rsidP="00141720">
      <w:pPr>
        <w:pStyle w:val="a9"/>
        <w:ind w:left="0" w:firstLine="624"/>
        <w:rPr>
          <w:sz w:val="19"/>
          <w:rtl/>
        </w:rPr>
      </w:pPr>
      <w:r>
        <w:rPr>
          <w:rFonts w:hint="cs"/>
          <w:rtl/>
        </w:rPr>
        <w:t>בית משפט השלום בתל אביב-יפו (סגן הנשיאה טל חבקין) דן ב</w:t>
      </w:r>
      <w:r>
        <w:rPr>
          <w:rFonts w:hint="cs"/>
          <w:rtl/>
        </w:rPr>
        <w:t xml:space="preserve">שמונה בקשות בתיקים שונים לביטול פסקי דין שניתנו מבלי שהמבקש-הנתבע הגיש כתבי הגנה בהם. בית המשפט דחה שבע מהבקשות, וקיבל בקשת ביטול אחת בלבד כפוף להפקדת ערובה בקופת בית המשפט. </w:t>
      </w:r>
    </w:p>
    <w:p w:rsidR="00141720" w:rsidRPr="00141720" w:rsidRDefault="00CE3ABA" w:rsidP="00141720">
      <w:pPr>
        <w:pStyle w:val="a9"/>
        <w:ind w:left="0" w:firstLine="624"/>
        <w:rPr>
          <w:sz w:val="19"/>
          <w:rtl/>
        </w:rPr>
      </w:pPr>
      <w:r>
        <w:rPr>
          <w:rFonts w:hint="cs"/>
          <w:sz w:val="19"/>
          <w:rtl/>
        </w:rPr>
        <w:t>ברקע להחלטה זו תביעות שהוגשו נגד המבקש-הנתבע, ש</w:t>
      </w:r>
      <w:r>
        <w:rPr>
          <w:rFonts w:hint="cs"/>
          <w:rtl/>
        </w:rPr>
        <w:t>שמו במועדים הרלוונטיים היה אבי דוב</w:t>
      </w:r>
      <w:r>
        <w:rPr>
          <w:rFonts w:hint="cs"/>
          <w:rtl/>
        </w:rPr>
        <w:t>יצקי</w:t>
      </w:r>
      <w:r>
        <w:rPr>
          <w:rFonts w:hint="cs"/>
          <w:sz w:val="19"/>
          <w:rtl/>
        </w:rPr>
        <w:t xml:space="preserve">. דוביצקי נהג להתחזות לקטינים, לנהל התכתבויות בעלות אופי מיני עם גברים בגירים, ועם חלקם נקבעה פגישה פיזית. סמוך לפגישות דוביצקי התלונן במשטרה </w:t>
      </w:r>
      <w:r>
        <w:rPr>
          <w:sz w:val="19"/>
          <w:rtl/>
        </w:rPr>
        <w:t>על תוכן ההתכתבויות</w:t>
      </w:r>
      <w:r>
        <w:rPr>
          <w:rFonts w:hint="cs"/>
          <w:sz w:val="19"/>
          <w:rtl/>
        </w:rPr>
        <w:t xml:space="preserve"> בטענה שאותם גברים הם עברייני מין, </w:t>
      </w:r>
      <w:r>
        <w:rPr>
          <w:sz w:val="19"/>
          <w:rtl/>
        </w:rPr>
        <w:t>דיווח על מועד</w:t>
      </w:r>
      <w:r>
        <w:rPr>
          <w:rFonts w:hint="cs"/>
          <w:sz w:val="19"/>
          <w:rtl/>
        </w:rPr>
        <w:t xml:space="preserve">ן, ותיעד בסרטונים את המפגשים עם המשטרה והובלת הגברים לחקירה. דוביצקי פרסם את הסרטונים באתרים שהפעיל ושימשו מעין "מרשמי פדופילים", הציג את הגברים כפדופילים עברייני מין בקטינים, ציין את פרטיהם, פרסם תצלומים אינטימיים של חלקם, וחשף את שמות בני הזוג. </w:t>
      </w:r>
      <w:r>
        <w:rPr>
          <w:sz w:val="19"/>
          <w:rtl/>
        </w:rPr>
        <w:t>פעילותו ש</w:t>
      </w:r>
      <w:r>
        <w:rPr>
          <w:sz w:val="19"/>
          <w:rtl/>
        </w:rPr>
        <w:t>ל דוביצקי, שנעשתה לדבריו לשם הגשמת אינטרס הציבור במיגור התופעה החמורה של עבריינות מין בקטינים ברשת, סוקרה בידי התקשורת הממוסדת והוא זכה לפרסום. ברם בסוף</w:t>
      </w:r>
      <w:r>
        <w:rPr>
          <w:rFonts w:hint="cs"/>
          <w:sz w:val="19"/>
          <w:rtl/>
        </w:rPr>
        <w:t xml:space="preserve"> שנת</w:t>
      </w:r>
      <w:r>
        <w:rPr>
          <w:sz w:val="19"/>
          <w:rtl/>
        </w:rPr>
        <w:t xml:space="preserve"> 2014 דוביצקי עזב את ישראל לפלורידה שבארה"ב, שינה את שמו, וויתר על אזרחותו הישראלית. </w:t>
      </w:r>
    </w:p>
    <w:p w:rsidR="00141720" w:rsidRPr="00141720" w:rsidRDefault="00CE3ABA" w:rsidP="00141720">
      <w:pPr>
        <w:pStyle w:val="a9"/>
        <w:ind w:left="0" w:firstLine="624"/>
        <w:rPr>
          <w:sz w:val="19"/>
          <w:rtl/>
        </w:rPr>
      </w:pPr>
      <w:r>
        <w:rPr>
          <w:sz w:val="19"/>
          <w:rtl/>
        </w:rPr>
        <w:t>המשיבים</w:t>
      </w:r>
      <w:r>
        <w:rPr>
          <w:rFonts w:hint="cs"/>
          <w:sz w:val="19"/>
          <w:rtl/>
        </w:rPr>
        <w:t>-התובעי</w:t>
      </w:r>
      <w:r>
        <w:rPr>
          <w:rFonts w:hint="cs"/>
          <w:sz w:val="19"/>
          <w:rtl/>
        </w:rPr>
        <w:t xml:space="preserve">ם </w:t>
      </w:r>
      <w:r>
        <w:rPr>
          <w:sz w:val="19"/>
          <w:rtl/>
        </w:rPr>
        <w:t xml:space="preserve">הם גברים שדוביצקי פעל בעניינם במתכונת שתוארה לעיל. כולם נחקרו במשטרה על סמך תמלילי הצ'טים שדוביצקי מסר, ושהציגו אותם כמי שהתכתבו עם קטינים בעניינים מיניים. אחד </w:t>
      </w:r>
      <w:r>
        <w:rPr>
          <w:rFonts w:hint="cs"/>
          <w:sz w:val="19"/>
          <w:rtl/>
        </w:rPr>
        <w:t>המשיבים</w:t>
      </w:r>
      <w:r>
        <w:rPr>
          <w:sz w:val="19"/>
          <w:rtl/>
        </w:rPr>
        <w:t xml:space="preserve"> נעצר, מעצרו הוארך, אך לא הוגש נגדו כתב אישום. יתר החקירות הסתיימו אף הן בלא </w:t>
      </w:r>
      <w:r>
        <w:rPr>
          <w:rFonts w:hint="cs"/>
          <w:sz w:val="19"/>
          <w:rtl/>
        </w:rPr>
        <w:t xml:space="preserve">הגשת </w:t>
      </w:r>
      <w:r>
        <w:rPr>
          <w:sz w:val="19"/>
          <w:rtl/>
        </w:rPr>
        <w:t xml:space="preserve">כתבי </w:t>
      </w:r>
      <w:r>
        <w:rPr>
          <w:sz w:val="19"/>
          <w:rtl/>
        </w:rPr>
        <w:t xml:space="preserve">אישום. </w:t>
      </w:r>
    </w:p>
    <w:p w:rsidR="00141720" w:rsidRPr="00141720" w:rsidRDefault="00CE3ABA" w:rsidP="00141720">
      <w:pPr>
        <w:pStyle w:val="a9"/>
        <w:ind w:left="0" w:firstLine="624"/>
        <w:rPr>
          <w:sz w:val="19"/>
          <w:rtl/>
        </w:rPr>
      </w:pPr>
      <w:r>
        <w:rPr>
          <w:sz w:val="19"/>
          <w:rtl/>
        </w:rPr>
        <w:t xml:space="preserve">בשנים 2016 עד 2019 </w:t>
      </w:r>
      <w:r>
        <w:rPr>
          <w:rFonts w:hint="cs"/>
          <w:sz w:val="19"/>
          <w:rtl/>
        </w:rPr>
        <w:t xml:space="preserve">הוגשו </w:t>
      </w:r>
      <w:r>
        <w:rPr>
          <w:sz w:val="19"/>
          <w:rtl/>
        </w:rPr>
        <w:t xml:space="preserve">נגד דוביצקי תביעות </w:t>
      </w:r>
      <w:r w:rsidRPr="002F0CE5">
        <w:rPr>
          <w:rFonts w:hint="eastAsia"/>
          <w:sz w:val="19"/>
          <w:rtl/>
        </w:rPr>
        <w:t>רבות</w:t>
      </w:r>
      <w:r>
        <w:rPr>
          <w:sz w:val="19"/>
          <w:rtl/>
        </w:rPr>
        <w:t xml:space="preserve"> שעילתן לשון הרע ופגיעה בפרטיות בעקבות מעשיו האמורים ועל רקע פרסומים שיוחסו לו</w:t>
      </w:r>
      <w:r>
        <w:rPr>
          <w:rFonts w:hint="cs"/>
          <w:sz w:val="19"/>
          <w:rtl/>
        </w:rPr>
        <w:t xml:space="preserve">. שמונה התביעות שאליהן מתייחסת ההחלטה הן חלק מאותן תביעות. </w:t>
      </w:r>
      <w:r>
        <w:rPr>
          <w:sz w:val="19"/>
          <w:rtl/>
        </w:rPr>
        <w:t>הואיל ודוביצקי עזב את ישראל, שינה את שמו ונעלמו עקבותיו, בשמונה</w:t>
      </w:r>
      <w:r>
        <w:rPr>
          <w:sz w:val="19"/>
          <w:rtl/>
        </w:rPr>
        <w:t xml:space="preserve"> </w:t>
      </w:r>
      <w:r>
        <w:rPr>
          <w:rFonts w:hint="cs"/>
          <w:sz w:val="19"/>
          <w:rtl/>
        </w:rPr>
        <w:t xml:space="preserve">התביעות </w:t>
      </w:r>
      <w:r>
        <w:rPr>
          <w:sz w:val="19"/>
          <w:rtl/>
        </w:rPr>
        <w:t>ניתנו היתרי המצאה מחוץ לתחום השיפוט</w:t>
      </w:r>
      <w:r>
        <w:rPr>
          <w:rFonts w:hint="cs"/>
          <w:sz w:val="19"/>
          <w:rtl/>
        </w:rPr>
        <w:t xml:space="preserve"> והותר תחליף המצאה. </w:t>
      </w:r>
      <w:r>
        <w:rPr>
          <w:sz w:val="19"/>
          <w:rtl/>
        </w:rPr>
        <w:t>תנאי התחליף בוצעו להנחת דעת בית המשפט, וניתנו נגד דוביצקי פסקי דין בהיעדר הגנה בסכומים הנעים בין 100,000 ש"ח ל-750,000 ש"ח</w:t>
      </w:r>
      <w:r>
        <w:rPr>
          <w:rFonts w:hint="cs"/>
          <w:sz w:val="19"/>
          <w:rtl/>
        </w:rPr>
        <w:t xml:space="preserve"> לצד</w:t>
      </w:r>
      <w:r>
        <w:rPr>
          <w:sz w:val="19"/>
          <w:rtl/>
        </w:rPr>
        <w:t xml:space="preserve"> צווי מניעה ועשה המורים לו לחדול מלפרסם פרסומים על </w:t>
      </w:r>
      <w:r>
        <w:rPr>
          <w:rFonts w:hint="cs"/>
          <w:sz w:val="19"/>
          <w:rtl/>
        </w:rPr>
        <w:t>התובעים</w:t>
      </w:r>
      <w:r>
        <w:rPr>
          <w:sz w:val="19"/>
          <w:rtl/>
        </w:rPr>
        <w:t>, ולהסיר</w:t>
      </w:r>
      <w:r>
        <w:rPr>
          <w:sz w:val="19"/>
          <w:rtl/>
        </w:rPr>
        <w:t xml:space="preserve"> לאלתר כל פרסום הנוגע להם. פסק הדין הראשון ניתן ביום 5.1.2017. האחרון ניתן ביום 24.11.2019.</w:t>
      </w:r>
      <w:r>
        <w:rPr>
          <w:rFonts w:hint="cs"/>
          <w:sz w:val="19"/>
          <w:rtl/>
        </w:rPr>
        <w:t xml:space="preserve"> </w:t>
      </w:r>
    </w:p>
    <w:p w:rsidR="00141720" w:rsidRPr="00141720" w:rsidRDefault="00CE3ABA" w:rsidP="00141720">
      <w:pPr>
        <w:pStyle w:val="a9"/>
        <w:ind w:left="0" w:firstLine="624"/>
        <w:rPr>
          <w:sz w:val="19"/>
          <w:rtl/>
        </w:rPr>
      </w:pPr>
      <w:r w:rsidRPr="00370001">
        <w:rPr>
          <w:sz w:val="19"/>
          <w:rtl/>
        </w:rPr>
        <w:t>במרץ 2024 החל דוביצקי להגיש בקשות לביטול פסקי הדין שניתנו נגדו בהיעדר הגנה</w:t>
      </w:r>
      <w:r>
        <w:rPr>
          <w:rFonts w:hint="cs"/>
          <w:sz w:val="19"/>
          <w:rtl/>
        </w:rPr>
        <w:t>. בקשות הביטול</w:t>
      </w:r>
      <w:r w:rsidRPr="00370001">
        <w:rPr>
          <w:sz w:val="19"/>
          <w:rtl/>
        </w:rPr>
        <w:t xml:space="preserve"> </w:t>
      </w:r>
      <w:r>
        <w:rPr>
          <w:rFonts w:hint="cs"/>
          <w:sz w:val="19"/>
          <w:rtl/>
        </w:rPr>
        <w:t>הוגשו בחלוף שנים מספר מעת שנודע לדוביצקי</w:t>
      </w:r>
      <w:r w:rsidRPr="00370001">
        <w:rPr>
          <w:rFonts w:hint="cs"/>
          <w:sz w:val="19"/>
          <w:rtl/>
        </w:rPr>
        <w:t xml:space="preserve"> </w:t>
      </w:r>
      <w:r>
        <w:rPr>
          <w:rFonts w:hint="cs"/>
          <w:sz w:val="19"/>
          <w:rtl/>
        </w:rPr>
        <w:t xml:space="preserve">על </w:t>
      </w:r>
      <w:r w:rsidRPr="00370001">
        <w:rPr>
          <w:rFonts w:hint="cs"/>
          <w:sz w:val="19"/>
          <w:rtl/>
        </w:rPr>
        <w:t xml:space="preserve">פסקי הדין, וזאת בעקבות </w:t>
      </w:r>
      <w:r w:rsidRPr="00370001">
        <w:rPr>
          <w:sz w:val="19"/>
          <w:rtl/>
        </w:rPr>
        <w:t>ניסיונו</w:t>
      </w:r>
      <w:r w:rsidRPr="00370001">
        <w:rPr>
          <w:sz w:val="19"/>
          <w:rtl/>
        </w:rPr>
        <w:t xml:space="preserve">ת לאכוף חלק </w:t>
      </w:r>
      <w:r>
        <w:rPr>
          <w:rFonts w:hint="cs"/>
          <w:sz w:val="19"/>
          <w:rtl/>
        </w:rPr>
        <w:t xml:space="preserve">מהם </w:t>
      </w:r>
      <w:r w:rsidRPr="00370001">
        <w:rPr>
          <w:sz w:val="19"/>
          <w:rtl/>
        </w:rPr>
        <w:t>כפסקי חוץ בארה"ב</w:t>
      </w:r>
      <w:r>
        <w:rPr>
          <w:rFonts w:hint="cs"/>
          <w:sz w:val="19"/>
          <w:rtl/>
        </w:rPr>
        <w:t xml:space="preserve"> (הליכים שעודם מתנהלים). </w:t>
      </w:r>
    </w:p>
    <w:p w:rsidR="00141720" w:rsidRPr="00141720" w:rsidRDefault="00CE3ABA" w:rsidP="00141720">
      <w:pPr>
        <w:pStyle w:val="a9"/>
        <w:ind w:left="0" w:firstLine="624"/>
        <w:rPr>
          <w:sz w:val="19"/>
          <w:rtl/>
        </w:rPr>
      </w:pPr>
      <w:r w:rsidRPr="00370001">
        <w:rPr>
          <w:rFonts w:hint="cs"/>
          <w:sz w:val="19"/>
          <w:rtl/>
        </w:rPr>
        <w:t xml:space="preserve">השאלות המרכזיות </w:t>
      </w:r>
      <w:r>
        <w:rPr>
          <w:rFonts w:hint="cs"/>
          <w:sz w:val="19"/>
          <w:rtl/>
        </w:rPr>
        <w:t xml:space="preserve">שהועמדו </w:t>
      </w:r>
      <w:r w:rsidRPr="00370001">
        <w:rPr>
          <w:rFonts w:hint="cs"/>
          <w:sz w:val="19"/>
          <w:rtl/>
        </w:rPr>
        <w:t xml:space="preserve">להכרעה </w:t>
      </w:r>
      <w:r>
        <w:rPr>
          <w:rFonts w:hint="cs"/>
          <w:sz w:val="19"/>
          <w:rtl/>
        </w:rPr>
        <w:t xml:space="preserve">בבקשות לביטול פסקי הדין </w:t>
      </w:r>
      <w:r w:rsidRPr="00370001">
        <w:rPr>
          <w:rFonts w:hint="cs"/>
          <w:sz w:val="19"/>
          <w:rtl/>
        </w:rPr>
        <w:t xml:space="preserve">הן התקיימות התנאים לביטול פסק דין </w:t>
      </w:r>
      <w:r>
        <w:rPr>
          <w:rFonts w:hint="cs"/>
          <w:sz w:val="19"/>
          <w:rtl/>
        </w:rPr>
        <w:t>שניתן בהיעדר הגנה</w:t>
      </w:r>
      <w:r w:rsidRPr="00370001">
        <w:rPr>
          <w:rFonts w:hint="cs"/>
          <w:sz w:val="19"/>
          <w:rtl/>
        </w:rPr>
        <w:t xml:space="preserve"> ולהארכת מועד לשם כך.</w:t>
      </w:r>
    </w:p>
    <w:p w:rsidR="00141720" w:rsidRDefault="00CE3ABA" w:rsidP="00141720">
      <w:pPr>
        <w:pStyle w:val="a9"/>
        <w:ind w:left="0" w:firstLine="624"/>
        <w:rPr>
          <w:sz w:val="19"/>
          <w:rtl/>
        </w:rPr>
      </w:pPr>
      <w:r>
        <w:rPr>
          <w:rFonts w:hint="cs"/>
          <w:sz w:val="19"/>
          <w:rtl/>
        </w:rPr>
        <w:t>בית המשפט קבע</w:t>
      </w:r>
      <w:r w:rsidRPr="00AD53C1">
        <w:rPr>
          <w:rFonts w:hint="cs"/>
          <w:sz w:val="19"/>
          <w:rtl/>
        </w:rPr>
        <w:t xml:space="preserve"> כי התביעות</w:t>
      </w:r>
      <w:r>
        <w:rPr>
          <w:rFonts w:hint="cs"/>
          <w:sz w:val="19"/>
          <w:rtl/>
        </w:rPr>
        <w:t xml:space="preserve"> ופסקי הדין הומצאו לדוביצקי כדין. הוא ידע על א</w:t>
      </w:r>
      <w:r>
        <w:rPr>
          <w:rFonts w:hint="cs"/>
          <w:sz w:val="19"/>
          <w:rtl/>
        </w:rPr>
        <w:t>ודות ההליכים המתנהלים נגדו,</w:t>
      </w:r>
      <w:r w:rsidRPr="00AD53C1">
        <w:rPr>
          <w:rFonts w:hint="cs"/>
          <w:sz w:val="19"/>
          <w:rtl/>
        </w:rPr>
        <w:t xml:space="preserve"> ואף על פי כן לא התגונן מפני</w:t>
      </w:r>
      <w:r>
        <w:rPr>
          <w:rFonts w:hint="cs"/>
          <w:sz w:val="19"/>
          <w:rtl/>
        </w:rPr>
        <w:t>הם</w:t>
      </w:r>
      <w:r w:rsidRPr="00AD53C1">
        <w:rPr>
          <w:rFonts w:hint="cs"/>
          <w:sz w:val="19"/>
          <w:rtl/>
        </w:rPr>
        <w:t xml:space="preserve">. </w:t>
      </w:r>
      <w:r>
        <w:rPr>
          <w:rFonts w:hint="cs"/>
          <w:sz w:val="19"/>
          <w:rtl/>
        </w:rPr>
        <w:t>בית המשפט תיאר את ה</w:t>
      </w:r>
      <w:r w:rsidRPr="00FE5794">
        <w:rPr>
          <w:rFonts w:hint="cs"/>
          <w:sz w:val="19"/>
          <w:rtl/>
        </w:rPr>
        <w:t>הת</w:t>
      </w:r>
      <w:r>
        <w:rPr>
          <w:rFonts w:hint="cs"/>
          <w:sz w:val="19"/>
          <w:rtl/>
        </w:rPr>
        <w:t>נהלות</w:t>
      </w:r>
      <w:r w:rsidRPr="00AD53C1">
        <w:rPr>
          <w:rFonts w:hint="cs"/>
          <w:sz w:val="19"/>
          <w:rtl/>
        </w:rPr>
        <w:t xml:space="preserve"> </w:t>
      </w:r>
      <w:r>
        <w:rPr>
          <w:rFonts w:hint="cs"/>
          <w:sz w:val="19"/>
          <w:rtl/>
        </w:rPr>
        <w:lastRenderedPageBreak/>
        <w:t xml:space="preserve">הדיונית </w:t>
      </w:r>
      <w:r w:rsidRPr="00AD53C1">
        <w:rPr>
          <w:rFonts w:hint="cs"/>
          <w:sz w:val="19"/>
          <w:rtl/>
        </w:rPr>
        <w:t xml:space="preserve">של דוביצקי </w:t>
      </w:r>
      <w:r>
        <w:rPr>
          <w:rFonts w:hint="cs"/>
          <w:sz w:val="19"/>
          <w:rtl/>
        </w:rPr>
        <w:t xml:space="preserve">וקבע כי עולה ממנה דפוס מיוחד וחריג של חומרה, </w:t>
      </w:r>
      <w:r w:rsidRPr="00AD53C1">
        <w:rPr>
          <w:rFonts w:hint="cs"/>
          <w:sz w:val="19"/>
          <w:rtl/>
        </w:rPr>
        <w:t xml:space="preserve">חוסר תום לב </w:t>
      </w:r>
      <w:r>
        <w:rPr>
          <w:rFonts w:hint="cs"/>
          <w:sz w:val="19"/>
          <w:rtl/>
        </w:rPr>
        <w:t xml:space="preserve">קיצוני </w:t>
      </w:r>
      <w:r w:rsidRPr="00AD53C1">
        <w:rPr>
          <w:rFonts w:hint="cs"/>
          <w:sz w:val="19"/>
          <w:rtl/>
        </w:rPr>
        <w:t>ופגיעה בטוהר ההליך השיפוטי</w:t>
      </w:r>
      <w:r>
        <w:rPr>
          <w:rFonts w:hint="cs"/>
          <w:sz w:val="19"/>
          <w:rtl/>
        </w:rPr>
        <w:t xml:space="preserve">. דוביצקי </w:t>
      </w:r>
      <w:r w:rsidRPr="00AD53C1">
        <w:rPr>
          <w:rFonts w:hint="cs"/>
          <w:sz w:val="19"/>
          <w:rtl/>
        </w:rPr>
        <w:t xml:space="preserve">המשיך </w:t>
      </w:r>
      <w:r>
        <w:rPr>
          <w:rFonts w:hint="cs"/>
          <w:sz w:val="19"/>
          <w:rtl/>
        </w:rPr>
        <w:t>לפרסם פרסומים על התובעים</w:t>
      </w:r>
      <w:r w:rsidRPr="00AD53C1">
        <w:rPr>
          <w:rFonts w:hint="cs"/>
          <w:sz w:val="19"/>
          <w:rtl/>
        </w:rPr>
        <w:t xml:space="preserve"> חרף צווי מניעה ועשה </w:t>
      </w:r>
      <w:r w:rsidRPr="00AD53C1">
        <w:rPr>
          <w:rFonts w:hint="cs"/>
          <w:sz w:val="19"/>
          <w:rtl/>
        </w:rPr>
        <w:t xml:space="preserve">קבועים שהורו לו לחדול </w:t>
      </w:r>
      <w:r>
        <w:rPr>
          <w:rFonts w:hint="cs"/>
          <w:sz w:val="19"/>
          <w:rtl/>
        </w:rPr>
        <w:t>לעשות כן</w:t>
      </w:r>
      <w:r w:rsidRPr="00AD53C1">
        <w:rPr>
          <w:sz w:val="19"/>
          <w:rtl/>
        </w:rPr>
        <w:t>, ו</w:t>
      </w:r>
      <w:r>
        <w:rPr>
          <w:rFonts w:hint="cs"/>
          <w:sz w:val="19"/>
          <w:rtl/>
        </w:rPr>
        <w:t>נמנע מ</w:t>
      </w:r>
      <w:r w:rsidRPr="00AD53C1">
        <w:rPr>
          <w:sz w:val="19"/>
          <w:rtl/>
        </w:rPr>
        <w:t xml:space="preserve">להסיר </w:t>
      </w:r>
      <w:r>
        <w:rPr>
          <w:sz w:val="19"/>
          <w:rtl/>
        </w:rPr>
        <w:t>פרסו</w:t>
      </w:r>
      <w:r>
        <w:rPr>
          <w:rFonts w:hint="cs"/>
          <w:sz w:val="19"/>
          <w:rtl/>
        </w:rPr>
        <w:t>מים</w:t>
      </w:r>
      <w:r w:rsidRPr="00AD53C1">
        <w:rPr>
          <w:sz w:val="19"/>
          <w:rtl/>
        </w:rPr>
        <w:t xml:space="preserve"> הנוגע</w:t>
      </w:r>
      <w:r>
        <w:rPr>
          <w:rFonts w:hint="cs"/>
          <w:sz w:val="19"/>
          <w:rtl/>
        </w:rPr>
        <w:t>ים</w:t>
      </w:r>
      <w:r w:rsidRPr="00AD53C1">
        <w:rPr>
          <w:sz w:val="19"/>
          <w:rtl/>
        </w:rPr>
        <w:t xml:space="preserve"> </w:t>
      </w:r>
      <w:r>
        <w:rPr>
          <w:rFonts w:hint="cs"/>
          <w:sz w:val="19"/>
          <w:rtl/>
        </w:rPr>
        <w:t>לתובעים</w:t>
      </w:r>
      <w:r w:rsidRPr="00AD53C1">
        <w:rPr>
          <w:sz w:val="19"/>
          <w:rtl/>
        </w:rPr>
        <w:t xml:space="preserve">. </w:t>
      </w:r>
      <w:r w:rsidRPr="00AD53C1">
        <w:rPr>
          <w:rFonts w:hint="cs"/>
          <w:sz w:val="19"/>
          <w:rtl/>
        </w:rPr>
        <w:t xml:space="preserve">כמו כן התקבלו טענות </w:t>
      </w:r>
      <w:r>
        <w:rPr>
          <w:rFonts w:hint="cs"/>
          <w:sz w:val="19"/>
          <w:rtl/>
        </w:rPr>
        <w:t>התובעים</w:t>
      </w:r>
      <w:r w:rsidRPr="00AD53C1">
        <w:rPr>
          <w:rFonts w:hint="cs"/>
          <w:sz w:val="19"/>
          <w:rtl/>
        </w:rPr>
        <w:t xml:space="preserve"> לזיוף מסמכים מצד דוביצקי, לרבות תצהירים </w:t>
      </w:r>
      <w:r>
        <w:rPr>
          <w:rFonts w:hint="cs"/>
          <w:sz w:val="19"/>
          <w:rtl/>
        </w:rPr>
        <w:t>ו</w:t>
      </w:r>
      <w:r w:rsidRPr="00AD53C1">
        <w:rPr>
          <w:rFonts w:hint="cs"/>
          <w:sz w:val="19"/>
          <w:rtl/>
        </w:rPr>
        <w:t>חוות דעת רפואיות. לאחר שהוגשו בקשות הביט</w:t>
      </w:r>
      <w:r>
        <w:rPr>
          <w:rFonts w:hint="cs"/>
          <w:sz w:val="19"/>
          <w:rtl/>
        </w:rPr>
        <w:t>ול דוביצקי נמנע מלהתייצב בישראל.</w:t>
      </w:r>
      <w:r w:rsidRPr="00AD53C1">
        <w:rPr>
          <w:rFonts w:hint="cs"/>
          <w:sz w:val="19"/>
          <w:rtl/>
        </w:rPr>
        <w:t xml:space="preserve"> </w:t>
      </w:r>
      <w:r>
        <w:rPr>
          <w:rFonts w:hint="cs"/>
          <w:sz w:val="19"/>
          <w:rtl/>
        </w:rPr>
        <w:t xml:space="preserve">טענתו שלפיה הוא מנוע מלהגיע לישראל עקב לקות </w:t>
      </w:r>
      <w:r>
        <w:rPr>
          <w:rFonts w:hint="cs"/>
          <w:sz w:val="19"/>
          <w:rtl/>
        </w:rPr>
        <w:t>רפואית</w:t>
      </w:r>
      <w:r w:rsidRPr="00AD53C1">
        <w:rPr>
          <w:rFonts w:hint="cs"/>
          <w:sz w:val="19"/>
          <w:rtl/>
        </w:rPr>
        <w:t xml:space="preserve"> </w:t>
      </w:r>
      <w:r>
        <w:rPr>
          <w:rFonts w:hint="cs"/>
          <w:sz w:val="19"/>
          <w:rtl/>
        </w:rPr>
        <w:t>לא הוכחה</w:t>
      </w:r>
      <w:r w:rsidRPr="00AD53C1">
        <w:rPr>
          <w:rFonts w:hint="cs"/>
          <w:sz w:val="19"/>
          <w:rtl/>
        </w:rPr>
        <w:t xml:space="preserve">. </w:t>
      </w:r>
      <w:r>
        <w:rPr>
          <w:rFonts w:hint="cs"/>
          <w:sz w:val="19"/>
          <w:rtl/>
        </w:rPr>
        <w:t xml:space="preserve">נקבע </w:t>
      </w:r>
      <w:r w:rsidRPr="00AD53C1">
        <w:rPr>
          <w:rFonts w:hint="cs"/>
          <w:sz w:val="19"/>
          <w:rtl/>
        </w:rPr>
        <w:t xml:space="preserve">שדוביצקי מסרב להתייצב בישראל </w:t>
      </w:r>
      <w:r>
        <w:rPr>
          <w:rFonts w:hint="cs"/>
          <w:sz w:val="19"/>
          <w:rtl/>
        </w:rPr>
        <w:t>מ</w:t>
      </w:r>
      <w:r w:rsidRPr="00AD53C1">
        <w:rPr>
          <w:rFonts w:hint="cs"/>
          <w:sz w:val="19"/>
          <w:rtl/>
        </w:rPr>
        <w:t>חשש מאימת הדין</w:t>
      </w:r>
      <w:r>
        <w:rPr>
          <w:rFonts w:hint="cs"/>
          <w:sz w:val="19"/>
          <w:rtl/>
        </w:rPr>
        <w:t>.</w:t>
      </w:r>
    </w:p>
    <w:p w:rsidR="00141720" w:rsidRDefault="00CE3ABA" w:rsidP="00AF7B7B">
      <w:pPr>
        <w:pStyle w:val="a9"/>
        <w:spacing w:before="120"/>
        <w:ind w:left="0" w:firstLine="720"/>
        <w:contextualSpacing w:val="0"/>
        <w:rPr>
          <w:sz w:val="19"/>
          <w:rtl/>
        </w:rPr>
      </w:pPr>
      <w:r>
        <w:rPr>
          <w:rFonts w:hint="cs"/>
          <w:sz w:val="19"/>
          <w:rtl/>
        </w:rPr>
        <w:t>אף שמצא ש</w:t>
      </w:r>
      <w:r w:rsidRPr="0093520F">
        <w:rPr>
          <w:rFonts w:hint="cs"/>
          <w:sz w:val="19"/>
          <w:rtl/>
        </w:rPr>
        <w:t xml:space="preserve">השיקולים הדיוניים כולם פועלים </w:t>
      </w:r>
      <w:r>
        <w:rPr>
          <w:rFonts w:hint="cs"/>
          <w:sz w:val="19"/>
          <w:rtl/>
        </w:rPr>
        <w:t xml:space="preserve">לחובתו </w:t>
      </w:r>
      <w:r w:rsidRPr="0093520F">
        <w:rPr>
          <w:rFonts w:hint="cs"/>
          <w:sz w:val="19"/>
          <w:rtl/>
        </w:rPr>
        <w:t xml:space="preserve">של דוביצקי במידה ניכרת וכבדת משקל, </w:t>
      </w:r>
      <w:r>
        <w:rPr>
          <w:rFonts w:hint="cs"/>
          <w:sz w:val="19"/>
          <w:rtl/>
        </w:rPr>
        <w:t xml:space="preserve">הוסיף בית המשפט ובחן גם את </w:t>
      </w:r>
      <w:r w:rsidRPr="0093520F">
        <w:rPr>
          <w:rFonts w:hint="cs"/>
          <w:sz w:val="19"/>
          <w:rtl/>
        </w:rPr>
        <w:t xml:space="preserve">סיכויי הגנתו </w:t>
      </w:r>
      <w:r>
        <w:rPr>
          <w:rFonts w:hint="cs"/>
          <w:sz w:val="19"/>
          <w:rtl/>
        </w:rPr>
        <w:t xml:space="preserve">מפני התביעות שהוגשו נגדו </w:t>
      </w:r>
      <w:r w:rsidRPr="0093520F">
        <w:rPr>
          <w:rFonts w:hint="cs"/>
          <w:sz w:val="19"/>
          <w:rtl/>
        </w:rPr>
        <w:t xml:space="preserve">במישור הדין המהותי. </w:t>
      </w:r>
      <w:r>
        <w:rPr>
          <w:rFonts w:hint="cs"/>
          <w:sz w:val="19"/>
          <w:rtl/>
        </w:rPr>
        <w:t>נקבע כי דוביצקי לא ביס</w:t>
      </w:r>
      <w:r>
        <w:rPr>
          <w:rFonts w:hint="cs"/>
          <w:sz w:val="19"/>
          <w:rtl/>
        </w:rPr>
        <w:t>ס את טענותיו העובדתיות בראיות קבילות, ו</w:t>
      </w:r>
      <w:r w:rsidRPr="0093520F">
        <w:rPr>
          <w:rFonts w:hint="cs"/>
          <w:sz w:val="19"/>
          <w:rtl/>
        </w:rPr>
        <w:t xml:space="preserve">די בכך כדי </w:t>
      </w:r>
      <w:r>
        <w:rPr>
          <w:rFonts w:hint="cs"/>
          <w:sz w:val="19"/>
          <w:rtl/>
        </w:rPr>
        <w:t>לדחות את גרסתו בעניין ההתכתבויות עם התובעים</w:t>
      </w:r>
      <w:r w:rsidRPr="0093520F">
        <w:rPr>
          <w:rFonts w:hint="cs"/>
          <w:sz w:val="19"/>
          <w:rtl/>
        </w:rPr>
        <w:t xml:space="preserve">. </w:t>
      </w:r>
      <w:r>
        <w:rPr>
          <w:rFonts w:hint="cs"/>
          <w:sz w:val="19"/>
          <w:rtl/>
        </w:rPr>
        <w:t>מעל הדרוש דן בית המשפט גם בטענות ההגנה לגופן על סמך ההנחה (לצורך הדיון בלבד) שהטענות העובדתיות לגבי המעשים שייחס לתובעים היו מוכחות. ההגנה העיקרית שנבחנה היא הגנ</w:t>
      </w:r>
      <w:r>
        <w:rPr>
          <w:rFonts w:hint="cs"/>
          <w:sz w:val="19"/>
          <w:rtl/>
        </w:rPr>
        <w:t xml:space="preserve">ת אמת הפרסום, והשאלה העיקרית שהיה צריך להכריע בה היא אם יש אינטרס ציבורי לפרסם את הפרסומים שדוביצקי פרסם על התובעים באופן שפרסם אותם. </w:t>
      </w:r>
    </w:p>
    <w:p w:rsidR="00141720" w:rsidRPr="00141720" w:rsidRDefault="00CE3ABA" w:rsidP="00DA2B14">
      <w:pPr>
        <w:pStyle w:val="a9"/>
        <w:spacing w:before="120"/>
        <w:ind w:left="0" w:firstLine="720"/>
        <w:contextualSpacing w:val="0"/>
        <w:rPr>
          <w:sz w:val="19"/>
          <w:rtl/>
        </w:rPr>
      </w:pPr>
      <w:r>
        <w:rPr>
          <w:rFonts w:hint="cs"/>
          <w:sz w:val="19"/>
          <w:rtl/>
        </w:rPr>
        <w:t xml:space="preserve">בית המשפט עמד על </w:t>
      </w:r>
      <w:r w:rsidRPr="0093520F">
        <w:rPr>
          <w:rFonts w:hint="cs"/>
          <w:sz w:val="19"/>
          <w:rtl/>
        </w:rPr>
        <w:t xml:space="preserve">האינטרס הציבורי </w:t>
      </w:r>
      <w:r>
        <w:rPr>
          <w:rFonts w:hint="cs"/>
          <w:sz w:val="19"/>
          <w:rtl/>
        </w:rPr>
        <w:t xml:space="preserve">החשוב במיגור התופעה החמורה של עבריינות מין ברשת ועל המשקל שיש לייחס לו. במקרה דנן נקבע כי פעולותיו של דוביצקי התאפיינו </w:t>
      </w:r>
      <w:r w:rsidRPr="0093520F">
        <w:rPr>
          <w:rFonts w:hint="cs"/>
          <w:sz w:val="19"/>
          <w:rtl/>
        </w:rPr>
        <w:t xml:space="preserve">בהיעדר </w:t>
      </w:r>
      <w:r>
        <w:rPr>
          <w:rFonts w:hint="cs"/>
          <w:sz w:val="19"/>
          <w:rtl/>
        </w:rPr>
        <w:t xml:space="preserve">כל </w:t>
      </w:r>
      <w:r w:rsidRPr="0093520F">
        <w:rPr>
          <w:rFonts w:hint="cs"/>
          <w:sz w:val="19"/>
          <w:rtl/>
        </w:rPr>
        <w:t>מגבלות ופיקוח</w:t>
      </w:r>
      <w:r>
        <w:rPr>
          <w:rFonts w:hint="cs"/>
          <w:sz w:val="19"/>
          <w:rtl/>
        </w:rPr>
        <w:t>.</w:t>
      </w:r>
      <w:r w:rsidRPr="0093520F">
        <w:rPr>
          <w:rFonts w:hint="cs"/>
          <w:sz w:val="19"/>
          <w:rtl/>
        </w:rPr>
        <w:t xml:space="preserve"> דוביצקי נטל על עצמו את תפקיד החוקר, השופט והתליין</w:t>
      </w:r>
      <w:r>
        <w:rPr>
          <w:rFonts w:hint="cs"/>
          <w:sz w:val="19"/>
          <w:rtl/>
        </w:rPr>
        <w:t>; ביצע לתובעים "שיימינג" (ביוש) שפגע בהם מעבר לנדרש בבחינת עונש</w:t>
      </w:r>
      <w:r>
        <w:rPr>
          <w:rFonts w:hint="cs"/>
          <w:sz w:val="19"/>
          <w:rtl/>
        </w:rPr>
        <w:t>; לא נטל אחריות על מעשיו; והפר ביודעין צווים שיפוטיים. נקבע כי הפרסומים שדוביצקי פרסם על התובעים היו מכפישים, פגעו בשמם הטוב ובפרטיותם יתר על המידה, בכוונה לפגוע ובחוסר תום לב, ולכן אין אינטרס ציבורי בפרסומם כמות שהם. על רקע זה נקבע שהסיכוי שדוביצקי היה מר</w:t>
      </w:r>
      <w:r>
        <w:rPr>
          <w:rFonts w:hint="cs"/>
          <w:sz w:val="19"/>
          <w:rtl/>
        </w:rPr>
        <w:t xml:space="preserve">אה הגנה מפני התביעות נחזה להיות נמוך. </w:t>
      </w:r>
    </w:p>
    <w:p w:rsidR="00141720" w:rsidRPr="00C85F87" w:rsidRDefault="00CE3ABA" w:rsidP="00141720">
      <w:pPr>
        <w:pStyle w:val="a9"/>
        <w:ind w:left="0" w:firstLine="720"/>
        <w:rPr>
          <w:sz w:val="19"/>
        </w:rPr>
      </w:pPr>
      <w:r>
        <w:rPr>
          <w:rFonts w:hint="cs"/>
          <w:sz w:val="19"/>
          <w:rtl/>
        </w:rPr>
        <w:t xml:space="preserve">בית המשפט עמד על החשיבות של תחקירים עיתונאיים בתחום וציין כי </w:t>
      </w:r>
      <w:r w:rsidRPr="00FC5F5A">
        <w:rPr>
          <w:rFonts w:hint="eastAsia"/>
          <w:sz w:val="19"/>
          <w:rtl/>
        </w:rPr>
        <w:t>חקירה</w:t>
      </w:r>
      <w:r w:rsidRPr="00FC5F5A">
        <w:rPr>
          <w:sz w:val="19"/>
          <w:rtl/>
        </w:rPr>
        <w:t xml:space="preserve"> </w:t>
      </w:r>
      <w:r>
        <w:rPr>
          <w:rFonts w:hint="cs"/>
          <w:sz w:val="19"/>
          <w:rtl/>
        </w:rPr>
        <w:t>מסוג זה ראוי</w:t>
      </w:r>
      <w:r w:rsidRPr="00FC5F5A">
        <w:rPr>
          <w:sz w:val="19"/>
          <w:rtl/>
        </w:rPr>
        <w:t xml:space="preserve"> </w:t>
      </w:r>
      <w:r w:rsidRPr="00FC5F5A">
        <w:rPr>
          <w:rFonts w:hint="eastAsia"/>
          <w:sz w:val="19"/>
          <w:rtl/>
        </w:rPr>
        <w:t>שתתבצע</w:t>
      </w:r>
      <w:r w:rsidRPr="00FC5F5A">
        <w:rPr>
          <w:sz w:val="19"/>
          <w:rtl/>
        </w:rPr>
        <w:t xml:space="preserve"> </w:t>
      </w:r>
      <w:r w:rsidRPr="00FC5F5A">
        <w:rPr>
          <w:rFonts w:hint="eastAsia"/>
          <w:sz w:val="19"/>
          <w:rtl/>
        </w:rPr>
        <w:t>על</w:t>
      </w:r>
      <w:r w:rsidRPr="00FC5F5A">
        <w:rPr>
          <w:sz w:val="19"/>
          <w:rtl/>
        </w:rPr>
        <w:t xml:space="preserve"> </w:t>
      </w:r>
      <w:r w:rsidRPr="00FC5F5A">
        <w:rPr>
          <w:rFonts w:hint="eastAsia"/>
          <w:sz w:val="19"/>
          <w:rtl/>
        </w:rPr>
        <w:t>ידי</w:t>
      </w:r>
      <w:r w:rsidRPr="00FC5F5A">
        <w:rPr>
          <w:sz w:val="19"/>
          <w:rtl/>
        </w:rPr>
        <w:t xml:space="preserve"> </w:t>
      </w:r>
      <w:r w:rsidRPr="00FC5F5A">
        <w:rPr>
          <w:rFonts w:hint="eastAsia"/>
          <w:sz w:val="19"/>
          <w:rtl/>
        </w:rPr>
        <w:t>גורם</w:t>
      </w:r>
      <w:r>
        <w:rPr>
          <w:rFonts w:hint="cs"/>
          <w:sz w:val="19"/>
          <w:rtl/>
        </w:rPr>
        <w:t xml:space="preserve"> </w:t>
      </w:r>
      <w:r w:rsidRPr="00C85F87">
        <w:rPr>
          <w:rFonts w:hint="eastAsia"/>
          <w:sz w:val="19"/>
          <w:rtl/>
        </w:rPr>
        <w:t>אחראי</w:t>
      </w:r>
      <w:r>
        <w:rPr>
          <w:rFonts w:hint="cs"/>
          <w:sz w:val="19"/>
          <w:rtl/>
        </w:rPr>
        <w:t xml:space="preserve">, </w:t>
      </w:r>
      <w:r w:rsidRPr="00C85F87">
        <w:rPr>
          <w:rFonts w:hint="eastAsia"/>
          <w:sz w:val="19"/>
          <w:rtl/>
        </w:rPr>
        <w:t>זהיר</w:t>
      </w:r>
      <w:r>
        <w:rPr>
          <w:rFonts w:hint="cs"/>
          <w:sz w:val="19"/>
          <w:rtl/>
        </w:rPr>
        <w:t xml:space="preserve"> ומפוקח</w:t>
      </w:r>
      <w:r w:rsidRPr="00C85F87">
        <w:rPr>
          <w:sz w:val="19"/>
          <w:rtl/>
        </w:rPr>
        <w:t xml:space="preserve">, </w:t>
      </w:r>
      <w:r w:rsidRPr="00C85F87">
        <w:rPr>
          <w:rFonts w:hint="eastAsia"/>
          <w:sz w:val="19"/>
          <w:rtl/>
        </w:rPr>
        <w:t>בהתאם</w:t>
      </w:r>
      <w:r w:rsidRPr="00C85F87">
        <w:rPr>
          <w:sz w:val="19"/>
          <w:rtl/>
        </w:rPr>
        <w:t xml:space="preserve"> </w:t>
      </w:r>
      <w:r w:rsidRPr="00C85F87">
        <w:rPr>
          <w:rFonts w:hint="eastAsia"/>
          <w:sz w:val="19"/>
          <w:rtl/>
        </w:rPr>
        <w:t>לכללי</w:t>
      </w:r>
      <w:r w:rsidRPr="00C85F87">
        <w:rPr>
          <w:sz w:val="19"/>
          <w:rtl/>
        </w:rPr>
        <w:t xml:space="preserve"> </w:t>
      </w:r>
      <w:r w:rsidRPr="00C85F87">
        <w:rPr>
          <w:rFonts w:hint="eastAsia"/>
          <w:sz w:val="19"/>
          <w:rtl/>
        </w:rPr>
        <w:t>האתיקה</w:t>
      </w:r>
      <w:r w:rsidRPr="00C85F87">
        <w:rPr>
          <w:sz w:val="19"/>
          <w:rtl/>
        </w:rPr>
        <w:t xml:space="preserve"> </w:t>
      </w:r>
      <w:r w:rsidRPr="00C85F87">
        <w:rPr>
          <w:rFonts w:hint="eastAsia"/>
          <w:sz w:val="19"/>
          <w:rtl/>
        </w:rPr>
        <w:t>העיתונאית</w:t>
      </w:r>
      <w:r w:rsidRPr="00C85F87">
        <w:rPr>
          <w:sz w:val="19"/>
          <w:rtl/>
        </w:rPr>
        <w:t xml:space="preserve"> </w:t>
      </w:r>
      <w:r w:rsidRPr="00C85F87">
        <w:rPr>
          <w:rFonts w:hint="eastAsia"/>
          <w:sz w:val="19"/>
          <w:rtl/>
        </w:rPr>
        <w:t>ולנורמת</w:t>
      </w:r>
      <w:r w:rsidRPr="00C85F87">
        <w:rPr>
          <w:sz w:val="19"/>
          <w:rtl/>
        </w:rPr>
        <w:t xml:space="preserve"> </w:t>
      </w:r>
      <w:r w:rsidRPr="00C85F87">
        <w:rPr>
          <w:rFonts w:hint="eastAsia"/>
          <w:sz w:val="19"/>
          <w:rtl/>
        </w:rPr>
        <w:t>העיתונאות</w:t>
      </w:r>
      <w:r>
        <w:rPr>
          <w:rFonts w:hint="cs"/>
          <w:sz w:val="19"/>
          <w:rtl/>
        </w:rPr>
        <w:t xml:space="preserve"> </w:t>
      </w:r>
      <w:r w:rsidRPr="00C85F87">
        <w:rPr>
          <w:rFonts w:hint="eastAsia"/>
          <w:sz w:val="19"/>
          <w:rtl/>
        </w:rPr>
        <w:t>האחראית</w:t>
      </w:r>
      <w:r w:rsidRPr="00C85F87">
        <w:rPr>
          <w:sz w:val="19"/>
          <w:rtl/>
        </w:rPr>
        <w:t xml:space="preserve">. </w:t>
      </w:r>
      <w:r w:rsidRPr="00C85F87">
        <w:rPr>
          <w:rFonts w:hint="eastAsia"/>
          <w:sz w:val="19"/>
          <w:rtl/>
        </w:rPr>
        <w:t>התמונה</w:t>
      </w:r>
      <w:r w:rsidRPr="00C85F87">
        <w:rPr>
          <w:sz w:val="19"/>
          <w:rtl/>
        </w:rPr>
        <w:t xml:space="preserve"> </w:t>
      </w:r>
      <w:r w:rsidRPr="00C85F87">
        <w:rPr>
          <w:rFonts w:hint="eastAsia"/>
          <w:sz w:val="19"/>
          <w:rtl/>
        </w:rPr>
        <w:t>לכאורה</w:t>
      </w:r>
      <w:r w:rsidRPr="00C85F87">
        <w:rPr>
          <w:sz w:val="19"/>
          <w:rtl/>
        </w:rPr>
        <w:t xml:space="preserve"> </w:t>
      </w:r>
      <w:r w:rsidRPr="00C85F87">
        <w:rPr>
          <w:rFonts w:hint="eastAsia"/>
          <w:sz w:val="19"/>
          <w:rtl/>
        </w:rPr>
        <w:t>שנחשפה</w:t>
      </w:r>
      <w:r w:rsidRPr="00C85F87">
        <w:rPr>
          <w:sz w:val="19"/>
          <w:rtl/>
        </w:rPr>
        <w:t xml:space="preserve"> </w:t>
      </w:r>
      <w:r w:rsidRPr="00C85F87">
        <w:rPr>
          <w:rFonts w:hint="eastAsia"/>
          <w:sz w:val="19"/>
          <w:rtl/>
        </w:rPr>
        <w:t>בעניינו</w:t>
      </w:r>
      <w:r w:rsidRPr="00C85F87">
        <w:rPr>
          <w:sz w:val="19"/>
          <w:rtl/>
        </w:rPr>
        <w:t xml:space="preserve"> </w:t>
      </w:r>
      <w:r w:rsidRPr="00C85F87">
        <w:rPr>
          <w:rFonts w:hint="eastAsia"/>
          <w:sz w:val="19"/>
          <w:rtl/>
        </w:rPr>
        <w:t>של</w:t>
      </w:r>
      <w:r w:rsidRPr="00C85F87">
        <w:rPr>
          <w:sz w:val="19"/>
          <w:rtl/>
        </w:rPr>
        <w:t xml:space="preserve"> </w:t>
      </w:r>
      <w:r w:rsidRPr="00C85F87">
        <w:rPr>
          <w:rFonts w:hint="eastAsia"/>
          <w:sz w:val="19"/>
          <w:rtl/>
        </w:rPr>
        <w:t>דוביצקי</w:t>
      </w:r>
      <w:r w:rsidRPr="00C85F87">
        <w:rPr>
          <w:sz w:val="19"/>
          <w:rtl/>
        </w:rPr>
        <w:t xml:space="preserve"> </w:t>
      </w:r>
      <w:r w:rsidRPr="00C85F87">
        <w:rPr>
          <w:rFonts w:hint="eastAsia"/>
          <w:sz w:val="19"/>
          <w:rtl/>
        </w:rPr>
        <w:t>רחוקה</w:t>
      </w:r>
      <w:r w:rsidRPr="00C85F87">
        <w:rPr>
          <w:sz w:val="19"/>
          <w:rtl/>
        </w:rPr>
        <w:t xml:space="preserve"> </w:t>
      </w:r>
      <w:r w:rsidRPr="00C85F87">
        <w:rPr>
          <w:rFonts w:hint="eastAsia"/>
          <w:sz w:val="19"/>
          <w:rtl/>
        </w:rPr>
        <w:t>עד</w:t>
      </w:r>
      <w:r w:rsidRPr="00C85F87">
        <w:rPr>
          <w:sz w:val="19"/>
          <w:rtl/>
        </w:rPr>
        <w:t xml:space="preserve"> </w:t>
      </w:r>
      <w:r w:rsidRPr="00C85F87">
        <w:rPr>
          <w:rFonts w:hint="eastAsia"/>
          <w:sz w:val="19"/>
          <w:rtl/>
        </w:rPr>
        <w:t>מאוד</w:t>
      </w:r>
      <w:r w:rsidRPr="00C85F87">
        <w:rPr>
          <w:sz w:val="19"/>
          <w:rtl/>
        </w:rPr>
        <w:t xml:space="preserve"> </w:t>
      </w:r>
      <w:r w:rsidRPr="00C85F87">
        <w:rPr>
          <w:rFonts w:hint="eastAsia"/>
          <w:sz w:val="19"/>
          <w:rtl/>
        </w:rPr>
        <w:t>מלעמוד</w:t>
      </w:r>
      <w:r>
        <w:rPr>
          <w:rFonts w:hint="cs"/>
          <w:sz w:val="19"/>
          <w:rtl/>
        </w:rPr>
        <w:t xml:space="preserve"> </w:t>
      </w:r>
      <w:r w:rsidRPr="00C85F87">
        <w:rPr>
          <w:rFonts w:hint="eastAsia"/>
          <w:sz w:val="19"/>
          <w:rtl/>
        </w:rPr>
        <w:t>בדרישות</w:t>
      </w:r>
      <w:r w:rsidRPr="00C85F87">
        <w:rPr>
          <w:sz w:val="19"/>
          <w:rtl/>
        </w:rPr>
        <w:t xml:space="preserve"> </w:t>
      </w:r>
      <w:r>
        <w:rPr>
          <w:rFonts w:hint="cs"/>
          <w:sz w:val="19"/>
          <w:rtl/>
        </w:rPr>
        <w:t>אלו</w:t>
      </w:r>
      <w:r w:rsidRPr="00C85F87">
        <w:rPr>
          <w:sz w:val="19"/>
          <w:rtl/>
        </w:rPr>
        <w:t>.</w:t>
      </w:r>
    </w:p>
    <w:p w:rsidR="00141720" w:rsidRDefault="00CE3ABA" w:rsidP="00DA2B14">
      <w:pPr>
        <w:pStyle w:val="a9"/>
        <w:spacing w:before="240"/>
        <w:ind w:left="-7" w:firstLine="727"/>
        <w:contextualSpacing w:val="0"/>
        <w:rPr>
          <w:sz w:val="19"/>
          <w:rtl/>
        </w:rPr>
      </w:pPr>
      <w:r>
        <w:rPr>
          <w:rFonts w:hint="cs"/>
          <w:sz w:val="19"/>
          <w:rtl/>
        </w:rPr>
        <w:t>לאחר מכן דן בית המשפט בכל בקשת ביטול בנפרד. בחינת בקשות הביטול בעניינם של שבעה תובעים הביאו למסקנה שאין מקום להכיר בטעם מיוחד להארכת מועד, ופועל יוצא מכך הוא דחייתן. בענייננו של תובע אחד נקבע כי הסעד הכספי שנפסק, בסך של 75</w:t>
      </w:r>
      <w:r>
        <w:rPr>
          <w:rFonts w:hint="cs"/>
          <w:sz w:val="19"/>
          <w:rtl/>
        </w:rPr>
        <w:t>0,000 ש"ח, מעלה קושי לא מבוטל בשל סכומו הגבוה באופן ניכר מהסכומים האחרים שנפסקו ומסכום הפיצוי שנפסק בתביעות דומות. בראי אמות המידה שהותוו בפסיקה הוחלט על הארכת מועד וביטול פסק הדין. נוכח התנהלותו הדיונית החמורה וחוסר תום הלב הניכרים של דוביצקי, הוחלט על הת</w:t>
      </w:r>
      <w:r>
        <w:rPr>
          <w:rFonts w:hint="cs"/>
          <w:sz w:val="19"/>
          <w:rtl/>
        </w:rPr>
        <w:t xml:space="preserve">ניית ביטול פסק הדין בהפקדת תשלום בפועל בקופת בית המשפט בסך של 200,000 ש"ח. דוביצקי חויב בהוצאות משפט בסך כולל של 62,500 ש"ח. </w:t>
      </w:r>
    </w:p>
    <w:p w:rsidR="00E13F6E" w:rsidRPr="00141720" w:rsidRDefault="00CE3ABA" w:rsidP="00FD31A7">
      <w:pPr>
        <w:spacing w:after="80"/>
        <w:ind w:firstLine="720"/>
        <w:jc w:val="center"/>
        <w:rPr>
          <w:rFonts w:ascii="Century" w:hAnsi="Century" w:cs="David"/>
          <w:b/>
          <w:bCs/>
          <w:sz w:val="19"/>
          <w:szCs w:val="24"/>
          <w:rtl/>
        </w:rPr>
      </w:pPr>
      <w:r w:rsidRPr="00141720">
        <w:rPr>
          <w:rFonts w:ascii="Century" w:hAnsi="Century" w:cs="David" w:hint="eastAsia"/>
          <w:b/>
          <w:bCs/>
          <w:sz w:val="19"/>
          <w:szCs w:val="24"/>
          <w:rtl/>
        </w:rPr>
        <w:t>צו</w:t>
      </w:r>
      <w:r w:rsidRPr="00141720">
        <w:rPr>
          <w:rFonts w:ascii="Century" w:hAnsi="Century" w:cs="David"/>
          <w:b/>
          <w:bCs/>
          <w:sz w:val="19"/>
          <w:szCs w:val="24"/>
          <w:rtl/>
        </w:rPr>
        <w:t xml:space="preserve"> </w:t>
      </w:r>
      <w:r w:rsidRPr="00141720">
        <w:rPr>
          <w:rFonts w:ascii="Century" w:hAnsi="Century" w:cs="David" w:hint="eastAsia"/>
          <w:b/>
          <w:bCs/>
          <w:sz w:val="19"/>
          <w:szCs w:val="24"/>
          <w:rtl/>
        </w:rPr>
        <w:t>איסור</w:t>
      </w:r>
      <w:r w:rsidRPr="00141720">
        <w:rPr>
          <w:rFonts w:ascii="Century" w:hAnsi="Century" w:cs="David"/>
          <w:b/>
          <w:bCs/>
          <w:sz w:val="19"/>
          <w:szCs w:val="24"/>
          <w:rtl/>
        </w:rPr>
        <w:t xml:space="preserve"> </w:t>
      </w:r>
      <w:r w:rsidRPr="00141720">
        <w:rPr>
          <w:rFonts w:ascii="Century" w:hAnsi="Century" w:cs="David" w:hint="eastAsia"/>
          <w:b/>
          <w:bCs/>
          <w:sz w:val="19"/>
          <w:szCs w:val="24"/>
          <w:rtl/>
        </w:rPr>
        <w:t>פרסום</w:t>
      </w:r>
      <w:r w:rsidRPr="00141720">
        <w:rPr>
          <w:rFonts w:ascii="Century" w:hAnsi="Century" w:cs="David"/>
          <w:b/>
          <w:bCs/>
          <w:sz w:val="19"/>
          <w:szCs w:val="24"/>
          <w:rtl/>
        </w:rPr>
        <w:t xml:space="preserve"> </w:t>
      </w:r>
      <w:r w:rsidRPr="00141720">
        <w:rPr>
          <w:rFonts w:ascii="Century" w:hAnsi="Century" w:cs="David" w:hint="cs"/>
          <w:b/>
          <w:bCs/>
          <w:sz w:val="19"/>
          <w:szCs w:val="24"/>
          <w:rtl/>
        </w:rPr>
        <w:t xml:space="preserve">הוטל </w:t>
      </w:r>
      <w:r w:rsidRPr="00141720">
        <w:rPr>
          <w:rFonts w:ascii="Century" w:hAnsi="Century" w:cs="David" w:hint="eastAsia"/>
          <w:b/>
          <w:bCs/>
          <w:sz w:val="19"/>
          <w:szCs w:val="24"/>
          <w:rtl/>
        </w:rPr>
        <w:t>על</w:t>
      </w:r>
      <w:r w:rsidRPr="00141720">
        <w:rPr>
          <w:rFonts w:ascii="Century" w:hAnsi="Century" w:cs="David"/>
          <w:b/>
          <w:bCs/>
          <w:sz w:val="19"/>
          <w:szCs w:val="24"/>
          <w:rtl/>
        </w:rPr>
        <w:t xml:space="preserve"> </w:t>
      </w:r>
      <w:r w:rsidRPr="00141720">
        <w:rPr>
          <w:rFonts w:ascii="Century" w:hAnsi="Century" w:cs="David" w:hint="eastAsia"/>
          <w:b/>
          <w:bCs/>
          <w:sz w:val="19"/>
          <w:szCs w:val="24"/>
          <w:rtl/>
        </w:rPr>
        <w:t>שמות</w:t>
      </w:r>
      <w:r w:rsidRPr="00141720">
        <w:rPr>
          <w:rFonts w:ascii="Century" w:hAnsi="Century" w:cs="David"/>
          <w:b/>
          <w:bCs/>
          <w:sz w:val="19"/>
          <w:szCs w:val="24"/>
          <w:rtl/>
        </w:rPr>
        <w:t xml:space="preserve"> </w:t>
      </w:r>
      <w:r w:rsidRPr="00141720">
        <w:rPr>
          <w:rFonts w:ascii="Century" w:hAnsi="Century" w:cs="David" w:hint="eastAsia"/>
          <w:b/>
          <w:bCs/>
          <w:sz w:val="19"/>
          <w:szCs w:val="24"/>
          <w:rtl/>
        </w:rPr>
        <w:t>התובעים</w:t>
      </w:r>
      <w:r w:rsidRPr="00141720">
        <w:rPr>
          <w:rFonts w:ascii="Century" w:hAnsi="Century" w:cs="David"/>
          <w:b/>
          <w:bCs/>
          <w:sz w:val="19"/>
          <w:szCs w:val="24"/>
          <w:rtl/>
        </w:rPr>
        <w:t xml:space="preserve"> </w:t>
      </w:r>
      <w:r w:rsidRPr="00141720">
        <w:rPr>
          <w:rFonts w:ascii="Century" w:hAnsi="Century" w:cs="David" w:hint="eastAsia"/>
          <w:b/>
          <w:bCs/>
          <w:sz w:val="19"/>
          <w:szCs w:val="24"/>
          <w:rtl/>
        </w:rPr>
        <w:t>וכל</w:t>
      </w:r>
      <w:r w:rsidRPr="00141720">
        <w:rPr>
          <w:rFonts w:ascii="Century" w:hAnsi="Century" w:cs="David"/>
          <w:b/>
          <w:bCs/>
          <w:sz w:val="19"/>
          <w:szCs w:val="24"/>
          <w:rtl/>
        </w:rPr>
        <w:t xml:space="preserve"> </w:t>
      </w:r>
      <w:r w:rsidRPr="00141720">
        <w:rPr>
          <w:rFonts w:ascii="Century" w:hAnsi="Century" w:cs="David" w:hint="eastAsia"/>
          <w:b/>
          <w:bCs/>
          <w:sz w:val="19"/>
          <w:szCs w:val="24"/>
          <w:rtl/>
        </w:rPr>
        <w:t>פרט</w:t>
      </w:r>
      <w:r w:rsidRPr="00141720">
        <w:rPr>
          <w:rFonts w:ascii="Century" w:hAnsi="Century" w:cs="David"/>
          <w:b/>
          <w:bCs/>
          <w:sz w:val="19"/>
          <w:szCs w:val="24"/>
          <w:rtl/>
        </w:rPr>
        <w:t xml:space="preserve"> </w:t>
      </w:r>
      <w:r w:rsidRPr="00141720">
        <w:rPr>
          <w:rFonts w:ascii="Century" w:hAnsi="Century" w:cs="David" w:hint="eastAsia"/>
          <w:b/>
          <w:bCs/>
          <w:sz w:val="19"/>
          <w:szCs w:val="24"/>
          <w:rtl/>
        </w:rPr>
        <w:t>מזהה</w:t>
      </w:r>
      <w:r w:rsidRPr="00141720">
        <w:rPr>
          <w:rFonts w:ascii="Century" w:hAnsi="Century" w:cs="David"/>
          <w:b/>
          <w:bCs/>
          <w:sz w:val="19"/>
          <w:szCs w:val="24"/>
          <w:rtl/>
        </w:rPr>
        <w:t xml:space="preserve"> </w:t>
      </w:r>
      <w:r w:rsidRPr="00141720">
        <w:rPr>
          <w:rFonts w:ascii="Century" w:hAnsi="Century" w:cs="David" w:hint="eastAsia"/>
          <w:b/>
          <w:bCs/>
          <w:sz w:val="19"/>
          <w:szCs w:val="24"/>
          <w:rtl/>
        </w:rPr>
        <w:t>מטעמי</w:t>
      </w:r>
      <w:r w:rsidRPr="00141720">
        <w:rPr>
          <w:rFonts w:ascii="Century" w:hAnsi="Century" w:cs="David"/>
          <w:b/>
          <w:bCs/>
          <w:sz w:val="19"/>
          <w:szCs w:val="24"/>
          <w:rtl/>
        </w:rPr>
        <w:t xml:space="preserve"> </w:t>
      </w:r>
      <w:r w:rsidRPr="00141720">
        <w:rPr>
          <w:rFonts w:ascii="Century" w:hAnsi="Century" w:cs="David" w:hint="eastAsia"/>
          <w:b/>
          <w:bCs/>
          <w:sz w:val="19"/>
          <w:szCs w:val="24"/>
          <w:rtl/>
        </w:rPr>
        <w:t>פגיעה</w:t>
      </w:r>
      <w:r w:rsidRPr="00141720">
        <w:rPr>
          <w:rFonts w:ascii="Century" w:hAnsi="Century" w:cs="David"/>
          <w:b/>
          <w:bCs/>
          <w:sz w:val="19"/>
          <w:szCs w:val="24"/>
          <w:rtl/>
        </w:rPr>
        <w:t xml:space="preserve"> </w:t>
      </w:r>
      <w:r w:rsidRPr="00141720">
        <w:rPr>
          <w:rFonts w:ascii="Century" w:hAnsi="Century" w:cs="David" w:hint="eastAsia"/>
          <w:b/>
          <w:bCs/>
          <w:sz w:val="19"/>
          <w:szCs w:val="24"/>
          <w:rtl/>
        </w:rPr>
        <w:t>חמורה</w:t>
      </w:r>
      <w:r w:rsidRPr="00141720">
        <w:rPr>
          <w:rFonts w:ascii="Century" w:hAnsi="Century" w:cs="David"/>
          <w:b/>
          <w:bCs/>
          <w:sz w:val="19"/>
          <w:szCs w:val="24"/>
          <w:rtl/>
        </w:rPr>
        <w:t xml:space="preserve"> </w:t>
      </w:r>
      <w:r w:rsidRPr="00141720">
        <w:rPr>
          <w:rFonts w:ascii="Century" w:hAnsi="Century" w:cs="David" w:hint="eastAsia"/>
          <w:b/>
          <w:bCs/>
          <w:sz w:val="19"/>
          <w:szCs w:val="24"/>
          <w:rtl/>
        </w:rPr>
        <w:t>בפרטיות</w:t>
      </w:r>
      <w:r w:rsidRPr="00141720">
        <w:rPr>
          <w:rFonts w:ascii="Century" w:hAnsi="Century" w:cs="David"/>
          <w:b/>
          <w:bCs/>
          <w:sz w:val="19"/>
          <w:szCs w:val="24"/>
          <w:rtl/>
        </w:rPr>
        <w:t>.</w:t>
      </w:r>
    </w:p>
    <w:p w:rsidR="002453CF" w:rsidRDefault="00CE3ABA" w:rsidP="00DA2B14">
      <w:pPr>
        <w:spacing w:after="0" w:line="360" w:lineRule="auto"/>
        <w:jc w:val="center"/>
        <w:rPr>
          <w:rFonts w:ascii="FrankRuehl" w:hAnsi="FrankRuehl" w:cs="FrankRuehl"/>
          <w:b/>
          <w:bCs/>
          <w:color w:val="002060"/>
          <w:sz w:val="26"/>
          <w:szCs w:val="26"/>
          <w:rtl/>
        </w:rPr>
      </w:pPr>
      <w:r w:rsidRPr="000071E5">
        <w:rPr>
          <w:rFonts w:ascii="FrankRuehl" w:hAnsi="FrankRuehl" w:cs="FrankRuehl" w:hint="cs"/>
          <w:b/>
          <w:bCs/>
          <w:color w:val="002060"/>
          <w:sz w:val="26"/>
          <w:szCs w:val="26"/>
          <w:rtl/>
        </w:rPr>
        <w:t xml:space="preserve">*** </w:t>
      </w:r>
      <w:r>
        <w:rPr>
          <w:rFonts w:ascii="FrankRuehl" w:hAnsi="FrankRuehl" w:cs="FrankRuehl"/>
          <w:b/>
          <w:bCs/>
          <w:color w:val="002060"/>
          <w:sz w:val="26"/>
          <w:szCs w:val="26"/>
          <w:rtl/>
        </w:rPr>
        <w:t xml:space="preserve">הנוסח המחייב הוא </w:t>
      </w:r>
      <w:r w:rsidRPr="000071E5">
        <w:rPr>
          <w:rFonts w:ascii="FrankRuehl" w:hAnsi="FrankRuehl" w:cs="FrankRuehl"/>
          <w:b/>
          <w:bCs/>
          <w:color w:val="002060"/>
          <w:sz w:val="26"/>
          <w:szCs w:val="26"/>
          <w:rtl/>
        </w:rPr>
        <w:t>של פסק</w:t>
      </w:r>
      <w:r>
        <w:rPr>
          <w:rFonts w:ascii="FrankRuehl" w:hAnsi="FrankRuehl" w:cs="FrankRuehl" w:hint="cs"/>
          <w:b/>
          <w:bCs/>
          <w:color w:val="002060"/>
          <w:sz w:val="26"/>
          <w:szCs w:val="26"/>
          <w:rtl/>
        </w:rPr>
        <w:t xml:space="preserve"> </w:t>
      </w:r>
      <w:r w:rsidRPr="000071E5">
        <w:rPr>
          <w:rFonts w:ascii="FrankRuehl" w:hAnsi="FrankRuehl" w:cs="FrankRuehl"/>
          <w:b/>
          <w:bCs/>
          <w:color w:val="002060"/>
          <w:sz w:val="26"/>
          <w:szCs w:val="26"/>
          <w:rtl/>
        </w:rPr>
        <w:t>הדין המלא</w:t>
      </w:r>
      <w:r w:rsidRPr="000071E5">
        <w:rPr>
          <w:rFonts w:ascii="FrankRuehl" w:hAnsi="FrankRuehl" w:cs="FrankRuehl" w:hint="cs"/>
          <w:b/>
          <w:bCs/>
          <w:color w:val="002060"/>
          <w:sz w:val="26"/>
          <w:szCs w:val="26"/>
          <w:rtl/>
        </w:rPr>
        <w:t xml:space="preserve"> ***</w:t>
      </w:r>
    </w:p>
    <w:p w:rsidR="00DA2B14" w:rsidRPr="00AF7B7B" w:rsidRDefault="00CE3ABA" w:rsidP="00DA2B14">
      <w:pPr>
        <w:tabs>
          <w:tab w:val="center" w:pos="4153"/>
          <w:tab w:val="right" w:pos="8306"/>
        </w:tabs>
        <w:spacing w:after="0" w:line="240" w:lineRule="auto"/>
        <w:rPr>
          <w:rFonts w:ascii="Times New Roman" w:eastAsia="Times New Roman" w:hAnsi="Times New Roman" w:cs="FrankRuehl"/>
          <w:color w:val="FFFFFF" w:themeColor="background1"/>
          <w:spacing w:val="6"/>
          <w:sz w:val="12"/>
          <w:szCs w:val="12"/>
          <w:rtl/>
        </w:rPr>
      </w:pPr>
      <w:r w:rsidRPr="00AF7B7B">
        <w:rPr>
          <w:rFonts w:ascii="Times New Roman" w:eastAsia="Times New Roman" w:hAnsi="Times New Roman" w:cs="FrankRuehl" w:hint="cs"/>
          <w:color w:val="FFFFFF" w:themeColor="background1"/>
          <w:spacing w:val="6"/>
          <w:sz w:val="12"/>
          <w:szCs w:val="12"/>
          <w:rtl/>
        </w:rPr>
        <w:t xml:space="preserve">בית משפט </w:t>
      </w:r>
      <w:r w:rsidRPr="00AF7B7B">
        <w:rPr>
          <w:rFonts w:ascii="Times New Roman" w:eastAsia="Times New Roman" w:hAnsi="Times New Roman" w:cs="FrankRuehl" w:hint="cs"/>
          <w:color w:val="FFFFFF" w:themeColor="background1"/>
          <w:spacing w:val="6"/>
          <w:sz w:val="12"/>
          <w:szCs w:val="12"/>
          <w:rtl/>
        </w:rPr>
        <w:t>העליון | דרך השופט מאיר שמגר 1 | קרית בן גוריון | ירושלים</w:t>
      </w:r>
    </w:p>
    <w:p w:rsidR="00DA2B14" w:rsidRPr="00AF7B7B" w:rsidRDefault="00CE3ABA" w:rsidP="00DA2B14">
      <w:pPr>
        <w:tabs>
          <w:tab w:val="center" w:pos="4153"/>
          <w:tab w:val="right" w:pos="8306"/>
        </w:tabs>
        <w:spacing w:after="0" w:line="240" w:lineRule="auto"/>
        <w:rPr>
          <w:rFonts w:ascii="Times New Roman" w:eastAsia="Times New Roman" w:hAnsi="Times New Roman" w:cs="FrankRuehl"/>
          <w:color w:val="FFFFFF" w:themeColor="background1"/>
          <w:spacing w:val="6"/>
          <w:sz w:val="12"/>
          <w:szCs w:val="12"/>
          <w:rtl/>
        </w:rPr>
      </w:pPr>
      <w:r w:rsidRPr="00AF7B7B">
        <w:rPr>
          <w:rFonts w:ascii="Times New Roman" w:eastAsia="Times New Roman" w:hAnsi="Times New Roman" w:cs="FrankRuehl" w:hint="cs"/>
          <w:color w:val="FFFFFF" w:themeColor="background1"/>
          <w:spacing w:val="6"/>
          <w:sz w:val="12"/>
          <w:szCs w:val="12"/>
          <w:rtl/>
        </w:rPr>
        <w:t xml:space="preserve">טל: </w:t>
      </w:r>
      <w:r w:rsidRPr="00AF7B7B">
        <w:rPr>
          <w:rFonts w:ascii="Times New Roman" w:eastAsia="Times New Roman" w:hAnsi="Times New Roman" w:cs="FrankRuehl"/>
          <w:color w:val="FFFFFF" w:themeColor="background1"/>
          <w:spacing w:val="6"/>
          <w:sz w:val="12"/>
          <w:szCs w:val="12"/>
        </w:rPr>
        <w:t>074-7480412</w:t>
      </w:r>
      <w:r w:rsidRPr="00AF7B7B">
        <w:rPr>
          <w:rFonts w:ascii="Times New Roman" w:eastAsia="Times New Roman" w:hAnsi="Times New Roman" w:cs="FrankRuehl" w:hint="cs"/>
          <w:color w:val="FFFFFF" w:themeColor="background1"/>
          <w:spacing w:val="6"/>
          <w:sz w:val="12"/>
          <w:szCs w:val="12"/>
          <w:rtl/>
        </w:rPr>
        <w:t xml:space="preserve">   דוא"ל</w:t>
      </w:r>
      <w:r w:rsidRPr="00AF7B7B">
        <w:rPr>
          <w:rFonts w:ascii="Times New Roman" w:eastAsia="Times New Roman" w:hAnsi="Times New Roman" w:cs="FrankRuehl"/>
          <w:color w:val="FFFFFF" w:themeColor="background1"/>
          <w:spacing w:val="6"/>
          <w:sz w:val="12"/>
          <w:szCs w:val="12"/>
        </w:rPr>
        <w:t>:</w:t>
      </w:r>
      <w:r w:rsidRPr="00AF7B7B">
        <w:rPr>
          <w:rFonts w:ascii="Times New Roman" w:eastAsia="Times New Roman" w:hAnsi="Times New Roman" w:cs="FrankRuehl" w:hint="cs"/>
          <w:color w:val="FFFFFF" w:themeColor="background1"/>
          <w:spacing w:val="6"/>
          <w:sz w:val="12"/>
          <w:szCs w:val="12"/>
          <w:rtl/>
        </w:rPr>
        <w:t xml:space="preserve">  </w:t>
      </w:r>
      <w:hyperlink r:id="rId11" w:tooltip="כתובת דוא" w:history="1">
        <w:r w:rsidRPr="00AF7B7B">
          <w:rPr>
            <w:rFonts w:ascii="Times New Roman" w:eastAsia="Times New Roman" w:hAnsi="Times New Roman" w:cs="FrankRuehl"/>
            <w:color w:val="FFFFFF" w:themeColor="background1"/>
            <w:spacing w:val="6"/>
            <w:sz w:val="12"/>
            <w:szCs w:val="12"/>
          </w:rPr>
          <w:t>Dover@court.gov.il</w:t>
        </w:r>
      </w:hyperlink>
    </w:p>
    <w:sectPr w:rsidR="00DA2B14" w:rsidRPr="00AF7B7B" w:rsidSect="00DF11E7">
      <w:headerReference w:type="default" r:id="rId12"/>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E3ABA">
      <w:pPr>
        <w:spacing w:after="0" w:line="240" w:lineRule="auto"/>
      </w:pPr>
      <w:r>
        <w:separator/>
      </w:r>
    </w:p>
  </w:endnote>
  <w:endnote w:type="continuationSeparator" w:id="0">
    <w:p w:rsidR="00000000" w:rsidRDefault="00CE3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David,Bold">
    <w:altName w:val="David"/>
    <w:panose1 w:val="00000000000000000000"/>
    <w:charset w:val="B1"/>
    <w:family w:val="auto"/>
    <w:notTrueType/>
    <w:pitch w:val="default"/>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39C" w:rsidRPr="003A639C" w:rsidRDefault="00CE3ABA" w:rsidP="003A639C">
    <w:pPr>
      <w:tabs>
        <w:tab w:val="center" w:pos="4153"/>
        <w:tab w:val="right" w:pos="8306"/>
      </w:tabs>
      <w:spacing w:after="0" w:line="240" w:lineRule="auto"/>
      <w:rPr>
        <w:rFonts w:ascii="Times New Roman" w:eastAsia="Times New Roman" w:hAnsi="Times New Roman" w:cs="FrankRuehl"/>
        <w:b/>
        <w:bCs/>
        <w:color w:val="000080"/>
        <w:spacing w:val="6"/>
        <w:sz w:val="24"/>
        <w:szCs w:val="24"/>
        <w:rtl/>
      </w:rPr>
    </w:pPr>
    <w:r w:rsidRPr="003A639C">
      <w:rPr>
        <w:rFonts w:ascii="Times New Roman" w:eastAsia="Times New Roman" w:hAnsi="Times New Roman" w:cs="FrankRuehl"/>
        <w:b/>
        <w:bCs/>
        <w:color w:val="000080"/>
        <w:spacing w:val="6"/>
        <w:sz w:val="24"/>
        <w:szCs w:val="24"/>
        <w:rtl/>
      </w:rPr>
      <w:t>________________________________________________________________</w:t>
    </w:r>
  </w:p>
  <w:p w:rsidR="003A639C" w:rsidRPr="003A639C" w:rsidRDefault="00CE3ABA" w:rsidP="003A639C">
    <w:pPr>
      <w:tabs>
        <w:tab w:val="center" w:pos="4153"/>
        <w:tab w:val="right" w:pos="8306"/>
      </w:tabs>
      <w:spacing w:after="0" w:line="240" w:lineRule="auto"/>
      <w:jc w:val="center"/>
      <w:rPr>
        <w:rFonts w:ascii="Times New Roman" w:eastAsia="Times New Roman" w:hAnsi="Times New Roman" w:cs="FrankRuehl"/>
        <w:b/>
        <w:bCs/>
        <w:color w:val="000080"/>
        <w:spacing w:val="6"/>
        <w:sz w:val="24"/>
        <w:szCs w:val="24"/>
        <w:rtl/>
      </w:rPr>
    </w:pPr>
    <w:r w:rsidRPr="003A639C">
      <w:rPr>
        <w:rFonts w:ascii="Times New Roman" w:eastAsia="Times New Roman" w:hAnsi="Times New Roman" w:cs="FrankRuehl" w:hint="cs"/>
        <w:b/>
        <w:bCs/>
        <w:color w:val="000080"/>
        <w:spacing w:val="6"/>
        <w:sz w:val="24"/>
        <w:szCs w:val="24"/>
        <w:rtl/>
      </w:rPr>
      <w:t>בית משפט העליון | דרך השופט מאיר שמגר 1 | קרית בן גוריון | ירושלים</w:t>
    </w:r>
  </w:p>
  <w:p w:rsidR="003C61AF" w:rsidRPr="003A639C" w:rsidRDefault="00CE3ABA" w:rsidP="003A639C">
    <w:pPr>
      <w:tabs>
        <w:tab w:val="center" w:pos="4153"/>
        <w:tab w:val="right" w:pos="8306"/>
      </w:tabs>
      <w:spacing w:after="0" w:line="240" w:lineRule="auto"/>
      <w:jc w:val="center"/>
      <w:rPr>
        <w:rFonts w:ascii="Times New Roman" w:eastAsia="Times New Roman" w:hAnsi="Times New Roman" w:cs="FrankRuehl"/>
        <w:b/>
        <w:bCs/>
        <w:color w:val="000080"/>
        <w:spacing w:val="6"/>
        <w:sz w:val="24"/>
        <w:szCs w:val="24"/>
        <w:rtl/>
      </w:rPr>
    </w:pPr>
    <w:r w:rsidRPr="003A639C">
      <w:rPr>
        <w:rFonts w:ascii="Times New Roman" w:eastAsia="Times New Roman" w:hAnsi="Times New Roman" w:cs="FrankRuehl" w:hint="cs"/>
        <w:b/>
        <w:bCs/>
        <w:color w:val="000080"/>
        <w:spacing w:val="6"/>
        <w:sz w:val="24"/>
        <w:szCs w:val="24"/>
        <w:rtl/>
      </w:rPr>
      <w:t xml:space="preserve">טל: </w:t>
    </w:r>
    <w:r w:rsidRPr="003A639C">
      <w:rPr>
        <w:rFonts w:ascii="Times New Roman" w:eastAsia="Times New Roman" w:hAnsi="Times New Roman" w:cs="FrankRuehl"/>
        <w:b/>
        <w:bCs/>
        <w:color w:val="000080"/>
        <w:spacing w:val="6"/>
        <w:sz w:val="24"/>
        <w:szCs w:val="24"/>
      </w:rPr>
      <w:t>074-7480412</w:t>
    </w:r>
    <w:r w:rsidRPr="003A639C">
      <w:rPr>
        <w:rFonts w:ascii="Times New Roman" w:eastAsia="Times New Roman" w:hAnsi="Times New Roman" w:cs="FrankRuehl" w:hint="cs"/>
        <w:b/>
        <w:bCs/>
        <w:color w:val="000080"/>
        <w:spacing w:val="6"/>
        <w:sz w:val="24"/>
        <w:szCs w:val="24"/>
        <w:rtl/>
      </w:rPr>
      <w:t xml:space="preserve">                       דוא"ל</w:t>
    </w:r>
    <w:r w:rsidRPr="003A639C">
      <w:rPr>
        <w:rFonts w:ascii="Times New Roman" w:eastAsia="Times New Roman" w:hAnsi="Times New Roman" w:cs="FrankRuehl"/>
        <w:b/>
        <w:bCs/>
        <w:color w:val="000080"/>
        <w:spacing w:val="6"/>
        <w:sz w:val="24"/>
        <w:szCs w:val="24"/>
      </w:rPr>
      <w:t>:</w:t>
    </w:r>
    <w:r w:rsidRPr="003A639C">
      <w:rPr>
        <w:rFonts w:ascii="Times New Roman" w:eastAsia="Times New Roman" w:hAnsi="Times New Roman" w:cs="FrankRuehl" w:hint="cs"/>
        <w:b/>
        <w:bCs/>
        <w:color w:val="000080"/>
        <w:spacing w:val="6"/>
        <w:sz w:val="24"/>
        <w:szCs w:val="24"/>
        <w:rtl/>
      </w:rPr>
      <w:t xml:space="preserve">  </w:t>
    </w:r>
    <w:hyperlink r:id="rId1" w:tooltip="כתובת דוא" w:history="1">
      <w:r w:rsidRPr="003A639C">
        <w:rPr>
          <w:rFonts w:ascii="Times New Roman" w:eastAsia="Times New Roman" w:hAnsi="Times New Roman" w:cs="FrankRuehl"/>
          <w:b/>
          <w:bCs/>
          <w:color w:val="0000FF"/>
          <w:spacing w:val="6"/>
          <w:sz w:val="24"/>
          <w:szCs w:val="24"/>
          <w:u w:val="single"/>
        </w:rPr>
        <w:t>Dover@court.gov.il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E3ABA">
      <w:pPr>
        <w:spacing w:after="0" w:line="240" w:lineRule="auto"/>
      </w:pPr>
      <w:r>
        <w:separator/>
      </w:r>
    </w:p>
  </w:footnote>
  <w:footnote w:type="continuationSeparator" w:id="0">
    <w:p w:rsidR="00000000" w:rsidRDefault="00CE3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1E7" w:rsidRPr="005253B2" w:rsidRDefault="00CE3ABA"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David"/>
        <w:sz w:val="20"/>
        <w:szCs w:val="24"/>
        <w:lang w:eastAsia="he-IL"/>
      </w:rPr>
    </w:pPr>
    <w:r w:rsidRPr="005253B2">
      <w:rPr>
        <w:rFonts w:ascii="Times New Roman" w:eastAsia="Times New Roman" w:hAnsi="Times New Roman" w:cs="David"/>
        <w:noProof/>
        <w:sz w:val="20"/>
        <w:szCs w:val="24"/>
      </w:rPr>
      <w:drawing>
        <wp:inline distT="0" distB="0" distL="0" distR="0">
          <wp:extent cx="337020" cy="398296"/>
          <wp:effectExtent l="0" t="0" r="6350" b="1905"/>
          <wp:docPr id="1574946739" name="תמונה 2" descr="תיאור: 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946739" name="תמונה 2" descr="תיאור: semel"/>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1568" cy="403671"/>
                  </a:xfrm>
                  <a:prstGeom prst="rect">
                    <a:avLst/>
                  </a:prstGeom>
                  <a:noFill/>
                  <a:ln>
                    <a:noFill/>
                  </a:ln>
                </pic:spPr>
              </pic:pic>
            </a:graphicData>
          </a:graphic>
        </wp:inline>
      </w:drawing>
    </w:r>
    <w:r w:rsidRPr="005253B2">
      <w:rPr>
        <w:rFonts w:ascii="Century" w:eastAsia="Times New Roman" w:hAnsi="Century" w:cs="FrankRuehl" w:hint="cs"/>
        <w:noProof/>
        <w:spacing w:val="10"/>
        <w:sz w:val="20"/>
        <w:szCs w:val="28"/>
        <w:rtl/>
        <w:lang w:eastAsia="he-IL"/>
      </w:rPr>
      <w:t xml:space="preserve">                                            </w:t>
    </w:r>
  </w:p>
  <w:p w:rsidR="00DF11E7" w:rsidRPr="00141720" w:rsidRDefault="00CE3ABA"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0"/>
        <w:szCs w:val="20"/>
        <w:rtl/>
        <w:lang w:eastAsia="he-IL"/>
      </w:rPr>
    </w:pPr>
    <w:r w:rsidRPr="00141720">
      <w:rPr>
        <w:rFonts w:ascii="Times New Roman" w:eastAsia="Times New Roman" w:hAnsi="Times New Roman" w:cs="FrankRuehl" w:hint="cs"/>
        <w:b/>
        <w:bCs/>
        <w:color w:val="000080"/>
        <w:spacing w:val="6"/>
        <w:sz w:val="20"/>
        <w:szCs w:val="20"/>
        <w:rtl/>
        <w:lang w:eastAsia="he-IL"/>
      </w:rPr>
      <w:t>מערכת בתי המשפט</w:t>
    </w:r>
  </w:p>
  <w:p w:rsidR="00DF11E7" w:rsidRPr="00141720" w:rsidRDefault="00CE3ABA"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0"/>
        <w:szCs w:val="20"/>
        <w:lang w:eastAsia="he-IL"/>
      </w:rPr>
    </w:pPr>
    <w:r w:rsidRPr="00141720">
      <w:rPr>
        <w:rFonts w:ascii="Times New Roman" w:eastAsia="Times New Roman" w:hAnsi="Times New Roman" w:cs="FrankRuehl" w:hint="cs"/>
        <w:b/>
        <w:bCs/>
        <w:color w:val="000080"/>
        <w:spacing w:val="6"/>
        <w:sz w:val="20"/>
        <w:szCs w:val="20"/>
        <w:rtl/>
        <w:lang w:eastAsia="he-IL"/>
      </w:rPr>
      <w:t>דוברות והסברה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B27"/>
    <w:multiLevelType w:val="multilevel"/>
    <w:tmpl w:val="2EA02F4A"/>
    <w:lvl w:ilvl="0">
      <w:start w:val="1"/>
      <w:numFmt w:val="decimal"/>
      <w:lvlText w:val="%1."/>
      <w:lvlJc w:val="left"/>
      <w:pPr>
        <w:tabs>
          <w:tab w:val="num" w:pos="454"/>
        </w:tabs>
        <w:ind w:left="454" w:hanging="454"/>
      </w:pPr>
      <w:rPr>
        <w:rFonts w:hint="default"/>
        <w:bCs w:val="0"/>
        <w:iCs w:val="0"/>
        <w:szCs w:val="24"/>
      </w:rPr>
    </w:lvl>
    <w:lvl w:ilvl="1">
      <w:start w:val="1"/>
      <w:numFmt w:val="hebrew1"/>
      <w:lvlText w:val="%2."/>
      <w:lvlJc w:val="left"/>
      <w:pPr>
        <w:tabs>
          <w:tab w:val="num" w:pos="907"/>
        </w:tabs>
        <w:ind w:left="908" w:hanging="454"/>
      </w:pPr>
      <w:rPr>
        <w:rFonts w:cs="David" w:hint="cs"/>
        <w:bCs w:val="0"/>
        <w:iCs w:val="0"/>
        <w:szCs w:val="26"/>
      </w:rPr>
    </w:lvl>
    <w:lvl w:ilvl="2">
      <w:start w:val="1"/>
      <w:numFmt w:val="decimal"/>
      <w:lvlText w:val="(%3)"/>
      <w:lvlJc w:val="left"/>
      <w:pPr>
        <w:tabs>
          <w:tab w:val="num" w:pos="1361"/>
        </w:tabs>
        <w:ind w:left="1362" w:hanging="454"/>
      </w:pPr>
      <w:rPr>
        <w:rFonts w:ascii="Times New Roman" w:hAnsi="Times New Roman" w:cs="David" w:hint="default"/>
        <w:b w:val="0"/>
        <w:bCs w:val="0"/>
        <w:i w:val="0"/>
        <w:iCs w:val="0"/>
        <w:sz w:val="24"/>
        <w:szCs w:val="24"/>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CF"/>
    <w:rsid w:val="000011AE"/>
    <w:rsid w:val="000071E5"/>
    <w:rsid w:val="00025761"/>
    <w:rsid w:val="000869F5"/>
    <w:rsid w:val="000C4D75"/>
    <w:rsid w:val="00141720"/>
    <w:rsid w:val="00181AC7"/>
    <w:rsid w:val="001D42A7"/>
    <w:rsid w:val="002453CF"/>
    <w:rsid w:val="002C0E83"/>
    <w:rsid w:val="002F0CE5"/>
    <w:rsid w:val="00370001"/>
    <w:rsid w:val="003921C3"/>
    <w:rsid w:val="003A639C"/>
    <w:rsid w:val="003C61AF"/>
    <w:rsid w:val="003E146A"/>
    <w:rsid w:val="003E6E39"/>
    <w:rsid w:val="003E7EB7"/>
    <w:rsid w:val="00426AA7"/>
    <w:rsid w:val="004310B6"/>
    <w:rsid w:val="004E1154"/>
    <w:rsid w:val="00515986"/>
    <w:rsid w:val="005253B2"/>
    <w:rsid w:val="00541C9E"/>
    <w:rsid w:val="00631744"/>
    <w:rsid w:val="0065484F"/>
    <w:rsid w:val="00671536"/>
    <w:rsid w:val="00690B6F"/>
    <w:rsid w:val="006B7B96"/>
    <w:rsid w:val="006C3989"/>
    <w:rsid w:val="006C3B1F"/>
    <w:rsid w:val="006D1316"/>
    <w:rsid w:val="006F1E1F"/>
    <w:rsid w:val="007007D7"/>
    <w:rsid w:val="00711675"/>
    <w:rsid w:val="00730CA1"/>
    <w:rsid w:val="00734337"/>
    <w:rsid w:val="00736E8C"/>
    <w:rsid w:val="007875CE"/>
    <w:rsid w:val="007B7899"/>
    <w:rsid w:val="00832AD7"/>
    <w:rsid w:val="008C02E0"/>
    <w:rsid w:val="009155D3"/>
    <w:rsid w:val="00921D84"/>
    <w:rsid w:val="0093520F"/>
    <w:rsid w:val="00983123"/>
    <w:rsid w:val="009E5C0E"/>
    <w:rsid w:val="009F35AC"/>
    <w:rsid w:val="00A46FED"/>
    <w:rsid w:val="00AD53C1"/>
    <w:rsid w:val="00AD7644"/>
    <w:rsid w:val="00AF7B7B"/>
    <w:rsid w:val="00B16422"/>
    <w:rsid w:val="00B22AFC"/>
    <w:rsid w:val="00BA3143"/>
    <w:rsid w:val="00C13FBD"/>
    <w:rsid w:val="00C22217"/>
    <w:rsid w:val="00C22E08"/>
    <w:rsid w:val="00C37F37"/>
    <w:rsid w:val="00C50C55"/>
    <w:rsid w:val="00C529CC"/>
    <w:rsid w:val="00C842A7"/>
    <w:rsid w:val="00C85A27"/>
    <w:rsid w:val="00C85F87"/>
    <w:rsid w:val="00CA2D6A"/>
    <w:rsid w:val="00CB4940"/>
    <w:rsid w:val="00CD280B"/>
    <w:rsid w:val="00CE3ABA"/>
    <w:rsid w:val="00D11F77"/>
    <w:rsid w:val="00D205AB"/>
    <w:rsid w:val="00D43C0E"/>
    <w:rsid w:val="00D5319F"/>
    <w:rsid w:val="00DA2B14"/>
    <w:rsid w:val="00DF11E7"/>
    <w:rsid w:val="00E13F6E"/>
    <w:rsid w:val="00E35DF3"/>
    <w:rsid w:val="00EA6DF3"/>
    <w:rsid w:val="00EB6609"/>
    <w:rsid w:val="00EE659E"/>
    <w:rsid w:val="00F46250"/>
    <w:rsid w:val="00FC5F5A"/>
    <w:rsid w:val="00FD31A7"/>
    <w:rsid w:val="00FE5794"/>
    <w:rsid w:val="00FF55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43B57-6867-4F06-9DF1-55588D3D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6AA7"/>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426AA7"/>
    <w:rPr>
      <w:rFonts w:ascii="Tahoma" w:hAnsi="Tahoma" w:cs="Tahoma"/>
      <w:sz w:val="18"/>
      <w:szCs w:val="18"/>
    </w:rPr>
  </w:style>
  <w:style w:type="character" w:styleId="Hyperlink">
    <w:name w:val="Hyperlink"/>
    <w:basedOn w:val="a0"/>
    <w:uiPriority w:val="99"/>
    <w:unhideWhenUsed/>
    <w:rsid w:val="00E35DF3"/>
    <w:rPr>
      <w:color w:val="0563C1" w:themeColor="hyperlink"/>
      <w:u w:val="single"/>
    </w:rPr>
  </w:style>
  <w:style w:type="paragraph" w:styleId="a5">
    <w:name w:val="header"/>
    <w:basedOn w:val="a"/>
    <w:link w:val="a6"/>
    <w:uiPriority w:val="99"/>
    <w:unhideWhenUsed/>
    <w:rsid w:val="00730CA1"/>
    <w:pPr>
      <w:tabs>
        <w:tab w:val="center" w:pos="4153"/>
        <w:tab w:val="right" w:pos="8306"/>
      </w:tabs>
      <w:spacing w:after="0" w:line="240" w:lineRule="auto"/>
    </w:pPr>
  </w:style>
  <w:style w:type="character" w:customStyle="1" w:styleId="a6">
    <w:name w:val="כותרת עליונה תו"/>
    <w:basedOn w:val="a0"/>
    <w:link w:val="a5"/>
    <w:uiPriority w:val="99"/>
    <w:rsid w:val="00730CA1"/>
  </w:style>
  <w:style w:type="paragraph" w:styleId="a7">
    <w:name w:val="footer"/>
    <w:basedOn w:val="a"/>
    <w:link w:val="a8"/>
    <w:uiPriority w:val="99"/>
    <w:unhideWhenUsed/>
    <w:rsid w:val="00730CA1"/>
    <w:pPr>
      <w:tabs>
        <w:tab w:val="center" w:pos="4153"/>
        <w:tab w:val="right" w:pos="8306"/>
      </w:tabs>
      <w:spacing w:after="0" w:line="240" w:lineRule="auto"/>
    </w:pPr>
  </w:style>
  <w:style w:type="character" w:customStyle="1" w:styleId="a8">
    <w:name w:val="כותרת תחתונה תו"/>
    <w:basedOn w:val="a0"/>
    <w:link w:val="a7"/>
    <w:uiPriority w:val="99"/>
    <w:rsid w:val="00730CA1"/>
  </w:style>
  <w:style w:type="paragraph" w:styleId="a9">
    <w:name w:val="List Paragraph"/>
    <w:basedOn w:val="a"/>
    <w:link w:val="aa"/>
    <w:uiPriority w:val="34"/>
    <w:qFormat/>
    <w:rsid w:val="00141720"/>
    <w:pPr>
      <w:spacing w:after="0" w:line="360" w:lineRule="auto"/>
      <w:ind w:left="720"/>
      <w:contextualSpacing/>
      <w:jc w:val="both"/>
    </w:pPr>
    <w:rPr>
      <w:rFonts w:ascii="Century" w:hAnsi="Century" w:cs="David"/>
      <w:sz w:val="20"/>
      <w:szCs w:val="24"/>
    </w:rPr>
  </w:style>
  <w:style w:type="character" w:customStyle="1" w:styleId="aa">
    <w:name w:val="פיסקת רשימה תו"/>
    <w:basedOn w:val="a0"/>
    <w:link w:val="a9"/>
    <w:uiPriority w:val="34"/>
    <w:locked/>
    <w:rsid w:val="00141720"/>
    <w:rPr>
      <w:rFonts w:ascii="Century" w:hAnsi="Century"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ver@court.gov.i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Dover@cour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SixthEditionOfficeOnline.xsl"/>
</file>

<file path=customXml/itemProps1.xml><?xml version="1.0" encoding="utf-8"?>
<ds:datastoreItem xmlns:ds="http://schemas.openxmlformats.org/officeDocument/2006/customXml" ds:itemID="{3B2665AD-759B-4ED6-9601-394AF33C5771}">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924</Words>
  <Characters>4620</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איסרא אקעיק</dc:creator>
  <cp:lastModifiedBy>איסרא אקעיק</cp:lastModifiedBy>
  <cp:revision>2</cp:revision>
  <dcterms:created xsi:type="dcterms:W3CDTF">2026-06-21T07:35:00Z</dcterms:created>
  <dcterms:modified xsi:type="dcterms:W3CDTF">2026-06-21T07:35:00Z</dcterms:modified>
</cp:coreProperties>
</file>