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3"/>
        <w:gridCol w:w="2506"/>
        <w:gridCol w:w="5571"/>
      </w:tblGrid>
      <w:tr w:rsidR="002914D6" w:rsidRPr="00000900">
        <w:trPr>
          <w:jc w:val="center"/>
        </w:trPr>
        <w:tc>
          <w:tcPr>
            <w:tcW w:w="743" w:type="dxa"/>
          </w:tcPr>
          <w:p w:rsidR="002914D6" w:rsidRPr="00000900" w:rsidRDefault="00011212" w:rsidP="000D7F45">
            <w:pPr>
              <w:jc w:val="both"/>
              <w:rPr>
                <w:rFonts w:ascii="David" w:hAnsi="David"/>
                <w:b/>
                <w:bCs/>
              </w:rPr>
            </w:pPr>
            <w:r w:rsidRPr="00000900">
              <w:rPr>
                <w:rFonts w:ascii="David" w:hAnsi="David"/>
                <w:b/>
                <w:bCs/>
                <w:rtl/>
              </w:rPr>
              <w:t xml:space="preserve">בפני </w:t>
            </w:r>
          </w:p>
        </w:tc>
        <w:tc>
          <w:tcPr>
            <w:tcW w:w="8077" w:type="dxa"/>
            <w:gridSpan w:val="2"/>
          </w:tcPr>
          <w:p w:rsidR="002914D6" w:rsidRPr="00000900" w:rsidRDefault="00011212" w:rsidP="000D7F45">
            <w:pPr>
              <w:rPr>
                <w:rFonts w:ascii="David" w:hAnsi="David"/>
                <w:b/>
                <w:bCs/>
                <w:rtl/>
              </w:rPr>
            </w:pPr>
            <w:r w:rsidRPr="00000900">
              <w:rPr>
                <w:rFonts w:ascii="David" w:hAnsi="David"/>
                <w:b/>
                <w:bCs/>
                <w:rtl/>
              </w:rPr>
              <w:t>כב' ה</w:t>
            </w:r>
            <w:sdt>
              <w:sdtPr>
                <w:rPr>
                  <w:rFonts w:ascii="David" w:hAnsi="David"/>
                  <w:rtl/>
                </w:rPr>
                <w:alias w:val="1574"/>
                <w:tag w:val="1574"/>
                <w:id w:val="1747146877"/>
                <w:text w:multiLine="1"/>
              </w:sdtPr>
              <w:sdtEndPr/>
              <w:sdtContent>
                <w:r w:rsidRPr="00000900">
                  <w:rPr>
                    <w:rFonts w:ascii="David" w:hAnsi="David"/>
                    <w:b/>
                    <w:bCs/>
                    <w:rtl/>
                  </w:rPr>
                  <w:t>שופטת</w:t>
                </w:r>
              </w:sdtContent>
            </w:sdt>
            <w:r w:rsidRPr="00000900">
              <w:rPr>
                <w:rFonts w:ascii="David" w:hAnsi="David"/>
                <w:b/>
                <w:bCs/>
                <w:rtl/>
              </w:rPr>
              <w:t xml:space="preserve">  </w:t>
            </w:r>
            <w:sdt>
              <w:sdtPr>
                <w:rPr>
                  <w:rFonts w:ascii="David" w:hAnsi="David"/>
                  <w:rtl/>
                </w:rPr>
                <w:alias w:val="1573"/>
                <w:tag w:val="1573"/>
                <w:id w:val="320551012"/>
                <w:text w:multiLine="1"/>
              </w:sdtPr>
              <w:sdtEndPr/>
              <w:sdtContent>
                <w:r w:rsidRPr="00000900">
                  <w:rPr>
                    <w:rFonts w:ascii="David" w:hAnsi="David"/>
                    <w:b/>
                    <w:bCs/>
                    <w:rtl/>
                  </w:rPr>
                  <w:t>ריבי לב אוחיון</w:t>
                </w:r>
              </w:sdtContent>
            </w:sdt>
          </w:p>
          <w:p w:rsidR="002914D6" w:rsidRPr="00000900" w:rsidRDefault="002914D6" w:rsidP="000D7F45">
            <w:pPr>
              <w:rPr>
                <w:rFonts w:ascii="David" w:hAnsi="David"/>
                <w:highlight w:val="yellow"/>
              </w:rPr>
            </w:pPr>
          </w:p>
        </w:tc>
      </w:tr>
      <w:tr w:rsidR="002914D6" w:rsidRPr="00000900">
        <w:trPr>
          <w:jc w:val="center"/>
        </w:trPr>
        <w:tc>
          <w:tcPr>
            <w:tcW w:w="3249" w:type="dxa"/>
            <w:gridSpan w:val="2"/>
          </w:tcPr>
          <w:sdt>
            <w:sdtPr>
              <w:rPr>
                <w:rFonts w:ascii="David" w:hAnsi="David"/>
              </w:rPr>
              <w:alias w:val="1180"/>
              <w:tag w:val="1180"/>
              <w:id w:val="-1016538661"/>
              <w:text w:multiLine="1"/>
            </w:sdtPr>
            <w:sdtEndPr/>
            <w:sdtContent>
              <w:p w:rsidR="00DD0E5E" w:rsidRPr="00000900" w:rsidRDefault="001741B5" w:rsidP="000D7F45">
                <w:pPr>
                  <w:bidi w:val="0"/>
                  <w:jc w:val="right"/>
                  <w:rPr>
                    <w:rFonts w:ascii="David" w:hAnsi="David"/>
                    <w:b/>
                    <w:bCs/>
                    <w:noProof w:val="0"/>
                    <w:rtl/>
                  </w:rPr>
                </w:pPr>
                <w:r w:rsidRPr="00000900">
                  <w:rPr>
                    <w:rFonts w:ascii="David" w:hAnsi="David"/>
                    <w:b/>
                    <w:bCs/>
                    <w:noProof w:val="0"/>
                    <w:rtl/>
                  </w:rPr>
                  <w:t>תובע</w:t>
                </w:r>
              </w:p>
            </w:sdtContent>
          </w:sdt>
        </w:tc>
        <w:tc>
          <w:tcPr>
            <w:tcW w:w="5571" w:type="dxa"/>
          </w:tcPr>
          <w:p w:rsidR="002914D6" w:rsidRDefault="000D4A4C" w:rsidP="000D7F45">
            <w:pPr>
              <w:rPr>
                <w:rFonts w:ascii="David" w:hAnsi="David"/>
                <w:b/>
                <w:bCs/>
                <w:noProof w:val="0"/>
                <w:rtl/>
              </w:rPr>
            </w:pPr>
            <w:sdt>
              <w:sdtPr>
                <w:rPr>
                  <w:rFonts w:ascii="David" w:hAnsi="David"/>
                  <w:rtl/>
                </w:rPr>
                <w:alias w:val="1478"/>
                <w:tag w:val="1478"/>
                <w:id w:val="-893967435"/>
                <w:text w:multiLine="1"/>
              </w:sdtPr>
              <w:sdtEndPr/>
              <w:sdtContent>
                <w:r w:rsidR="00267D00">
                  <w:rPr>
                    <w:rFonts w:ascii="David" w:hAnsi="David" w:hint="cs"/>
                    <w:b/>
                    <w:bCs/>
                    <w:noProof w:val="0"/>
                    <w:rtl/>
                  </w:rPr>
                  <w:t xml:space="preserve">פלוני, ת"ז ..... </w:t>
                </w:r>
              </w:sdtContent>
            </w:sdt>
            <w:r w:rsidR="00011212" w:rsidRPr="00000900">
              <w:rPr>
                <w:rFonts w:ascii="David" w:hAnsi="David"/>
                <w:b/>
                <w:bCs/>
                <w:noProof w:val="0"/>
                <w:rtl/>
              </w:rPr>
              <w:t xml:space="preserve"> </w:t>
            </w:r>
          </w:p>
          <w:p w:rsidR="00267D00" w:rsidRPr="00000900" w:rsidRDefault="00267D00" w:rsidP="000D7F45">
            <w:pPr>
              <w:rPr>
                <w:rFonts w:ascii="David" w:hAnsi="David"/>
                <w:b/>
                <w:bCs/>
                <w:noProof w:val="0"/>
              </w:rPr>
            </w:pPr>
            <w:r>
              <w:rPr>
                <w:rFonts w:ascii="David" w:hAnsi="David" w:hint="cs"/>
                <w:b/>
                <w:bCs/>
                <w:noProof w:val="0"/>
                <w:rtl/>
              </w:rPr>
              <w:t>ע"י ב"כ עוה"ד עינת סיני</w:t>
            </w:r>
          </w:p>
        </w:tc>
      </w:tr>
      <w:tr w:rsidR="002914D6" w:rsidRPr="00000900">
        <w:trPr>
          <w:jc w:val="center"/>
        </w:trPr>
        <w:tc>
          <w:tcPr>
            <w:tcW w:w="8820" w:type="dxa"/>
            <w:gridSpan w:val="3"/>
          </w:tcPr>
          <w:p w:rsidR="002914D6" w:rsidRPr="00000900" w:rsidRDefault="002914D6" w:rsidP="000D7F45">
            <w:pPr>
              <w:rPr>
                <w:rFonts w:ascii="David" w:hAnsi="David"/>
                <w:b/>
                <w:bCs/>
                <w:noProof w:val="0"/>
                <w:rtl/>
              </w:rPr>
            </w:pPr>
          </w:p>
          <w:p w:rsidR="002914D6" w:rsidRPr="00000900" w:rsidRDefault="00011212" w:rsidP="000D7F45">
            <w:pPr>
              <w:jc w:val="center"/>
              <w:rPr>
                <w:rFonts w:ascii="David" w:hAnsi="David"/>
                <w:b/>
                <w:bCs/>
                <w:noProof w:val="0"/>
                <w:rtl/>
              </w:rPr>
            </w:pPr>
            <w:r w:rsidRPr="00000900">
              <w:rPr>
                <w:rFonts w:ascii="David" w:hAnsi="David"/>
                <w:b/>
                <w:bCs/>
                <w:noProof w:val="0"/>
                <w:rtl/>
              </w:rPr>
              <w:t>נגד</w:t>
            </w:r>
          </w:p>
          <w:p w:rsidR="002914D6" w:rsidRPr="00000900" w:rsidRDefault="002914D6" w:rsidP="000D7F45">
            <w:pPr>
              <w:rPr>
                <w:rFonts w:ascii="David" w:hAnsi="David"/>
                <w:b/>
                <w:bCs/>
                <w:noProof w:val="0"/>
              </w:rPr>
            </w:pPr>
          </w:p>
        </w:tc>
      </w:tr>
      <w:tr w:rsidR="002914D6" w:rsidRPr="00000900">
        <w:trPr>
          <w:jc w:val="center"/>
        </w:trPr>
        <w:tc>
          <w:tcPr>
            <w:tcW w:w="3249" w:type="dxa"/>
            <w:gridSpan w:val="2"/>
          </w:tcPr>
          <w:p w:rsidR="002914D6" w:rsidRPr="00000900" w:rsidRDefault="000D4A4C" w:rsidP="000D7F45">
            <w:pPr>
              <w:rPr>
                <w:rFonts w:ascii="David" w:hAnsi="David"/>
                <w:b/>
                <w:bCs/>
                <w:noProof w:val="0"/>
              </w:rPr>
            </w:pPr>
            <w:sdt>
              <w:sdtPr>
                <w:rPr>
                  <w:rFonts w:ascii="David" w:hAnsi="David"/>
                  <w:rtl/>
                </w:rPr>
                <w:alias w:val="1184"/>
                <w:tag w:val="1184"/>
                <w:id w:val="-35981914"/>
                <w:text w:multiLine="1"/>
              </w:sdtPr>
              <w:sdtEndPr/>
              <w:sdtContent>
                <w:r w:rsidR="001741B5" w:rsidRPr="00000900">
                  <w:rPr>
                    <w:rFonts w:ascii="David" w:hAnsi="David"/>
                    <w:b/>
                    <w:bCs/>
                    <w:noProof w:val="0"/>
                    <w:rtl/>
                  </w:rPr>
                  <w:t>נתבע</w:t>
                </w:r>
              </w:sdtContent>
            </w:sdt>
          </w:p>
        </w:tc>
        <w:tc>
          <w:tcPr>
            <w:tcW w:w="5571" w:type="dxa"/>
          </w:tcPr>
          <w:p w:rsidR="002914D6" w:rsidRPr="00000900" w:rsidRDefault="000D4A4C" w:rsidP="000D7F45">
            <w:pPr>
              <w:rPr>
                <w:rFonts w:ascii="David" w:hAnsi="David"/>
                <w:b/>
                <w:bCs/>
                <w:noProof w:val="0"/>
                <w:rtl/>
              </w:rPr>
            </w:pPr>
            <w:sdt>
              <w:sdtPr>
                <w:rPr>
                  <w:rFonts w:ascii="David" w:hAnsi="David"/>
                  <w:rtl/>
                </w:rPr>
                <w:alias w:val="1486"/>
                <w:tag w:val="1486"/>
                <w:id w:val="-734459171"/>
                <w:text w:multiLine="1"/>
              </w:sdtPr>
              <w:sdtEndPr/>
              <w:sdtContent>
                <w:r w:rsidR="00267D00">
                  <w:rPr>
                    <w:rFonts w:ascii="David" w:hAnsi="David" w:hint="cs"/>
                    <w:b/>
                    <w:bCs/>
                    <w:noProof w:val="0"/>
                    <w:rtl/>
                  </w:rPr>
                  <w:t xml:space="preserve">פלוני, ת"ז..... </w:t>
                </w:r>
              </w:sdtContent>
            </w:sdt>
            <w:r w:rsidR="00011212" w:rsidRPr="00000900">
              <w:rPr>
                <w:rFonts w:ascii="David" w:hAnsi="David"/>
                <w:b/>
                <w:bCs/>
                <w:noProof w:val="0"/>
                <w:rtl/>
              </w:rPr>
              <w:t xml:space="preserve"> </w:t>
            </w:r>
            <w:sdt>
              <w:sdtPr>
                <w:rPr>
                  <w:rFonts w:ascii="David" w:hAnsi="David"/>
                  <w:b/>
                  <w:bCs/>
                  <w:rtl/>
                </w:rPr>
                <w:alias w:val="2317"/>
                <w:tag w:val="2317"/>
                <w:id w:val="71320899"/>
                <w:text w:multiLine="1"/>
              </w:sdtPr>
              <w:sdtEndPr/>
              <w:sdtContent>
                <w:r w:rsidR="00267D00" w:rsidRPr="00267D00">
                  <w:rPr>
                    <w:rFonts w:ascii="David" w:hAnsi="David"/>
                    <w:b/>
                    <w:bCs/>
                    <w:rtl/>
                  </w:rPr>
                  <w:br/>
                </w:r>
                <w:r w:rsidR="00267D00" w:rsidRPr="00267D00">
                  <w:rPr>
                    <w:rFonts w:ascii="David" w:hAnsi="David" w:hint="cs"/>
                    <w:b/>
                    <w:bCs/>
                    <w:rtl/>
                  </w:rPr>
                  <w:t>ע"י ב"כ עוה"ד</w:t>
                </w:r>
              </w:sdtContent>
            </w:sdt>
            <w:r w:rsidR="00267D00" w:rsidRPr="00267D00">
              <w:rPr>
                <w:rFonts w:ascii="David" w:hAnsi="David" w:hint="cs"/>
                <w:b/>
                <w:bCs/>
                <w:rtl/>
              </w:rPr>
              <w:t xml:space="preserve"> טלי כהן פולק</w:t>
            </w:r>
          </w:p>
        </w:tc>
      </w:tr>
      <w:tr w:rsidR="00F03998" w:rsidRPr="00000900" w:rsidTr="00260701">
        <w:trPr>
          <w:jc w:val="center"/>
        </w:trPr>
        <w:tc>
          <w:tcPr>
            <w:tcW w:w="8820" w:type="dxa"/>
            <w:gridSpan w:val="3"/>
          </w:tcPr>
          <w:p w:rsidR="00F03998" w:rsidRPr="00000900" w:rsidRDefault="00F03998" w:rsidP="000D7F45">
            <w:pPr>
              <w:rPr>
                <w:rFonts w:ascii="David" w:hAnsi="David"/>
                <w:b/>
                <w:bCs/>
                <w:noProof w:val="0"/>
                <w:rtl/>
              </w:rPr>
            </w:pPr>
          </w:p>
        </w:tc>
      </w:tr>
      <w:tr w:rsidR="00F03998" w:rsidRPr="00000900">
        <w:trPr>
          <w:jc w:val="center"/>
        </w:trPr>
        <w:tc>
          <w:tcPr>
            <w:tcW w:w="8820" w:type="dxa"/>
            <w:gridSpan w:val="3"/>
          </w:tcPr>
          <w:p w:rsidR="00F03998" w:rsidRPr="00000900" w:rsidRDefault="00F03998" w:rsidP="000D7F45">
            <w:pPr>
              <w:bidi w:val="0"/>
              <w:jc w:val="center"/>
              <w:rPr>
                <w:rFonts w:ascii="David" w:hAnsi="David"/>
                <w:b/>
                <w:bCs/>
                <w:noProof w:val="0"/>
                <w:u w:val="single"/>
              </w:rPr>
            </w:pPr>
            <w:r w:rsidRPr="00000900">
              <w:rPr>
                <w:rFonts w:ascii="David" w:hAnsi="David"/>
                <w:b/>
                <w:bCs/>
                <w:noProof w:val="0"/>
                <w:u w:val="single"/>
                <w:rtl/>
              </w:rPr>
              <w:t>פסק דין</w:t>
            </w:r>
          </w:p>
        </w:tc>
      </w:tr>
    </w:tbl>
    <w:p w:rsidR="002914D6" w:rsidRPr="00000900" w:rsidRDefault="002914D6" w:rsidP="000D7F45">
      <w:pPr>
        <w:jc w:val="both"/>
        <w:rPr>
          <w:rFonts w:ascii="David" w:hAnsi="David"/>
          <w:noProof w:val="0"/>
          <w:rtl/>
        </w:rPr>
      </w:pPr>
    </w:p>
    <w:p w:rsidR="001741B5" w:rsidRPr="00F404D8" w:rsidRDefault="001741B5" w:rsidP="000D7F45">
      <w:pPr>
        <w:jc w:val="both"/>
        <w:rPr>
          <w:rFonts w:ascii="David" w:eastAsia="Calibri" w:hAnsi="David"/>
          <w:b/>
          <w:bCs/>
          <w:noProof w:val="0"/>
        </w:rPr>
      </w:pPr>
      <w:r w:rsidRPr="00F404D8">
        <w:rPr>
          <w:rFonts w:ascii="David" w:eastAsia="Calibri" w:hAnsi="David"/>
          <w:b/>
          <w:bCs/>
          <w:noProof w:val="0"/>
          <w:rtl/>
        </w:rPr>
        <w:t>מונחת לפנ</w:t>
      </w:r>
      <w:r w:rsidR="00F404D8">
        <w:rPr>
          <w:rFonts w:ascii="David" w:eastAsia="Calibri" w:hAnsi="David" w:hint="cs"/>
          <w:b/>
          <w:bCs/>
          <w:noProof w:val="0"/>
          <w:rtl/>
        </w:rPr>
        <w:t>י</w:t>
      </w:r>
      <w:r w:rsidRPr="00F404D8">
        <w:rPr>
          <w:rFonts w:ascii="David" w:eastAsia="Calibri" w:hAnsi="David"/>
          <w:b/>
          <w:bCs/>
          <w:noProof w:val="0"/>
          <w:rtl/>
        </w:rPr>
        <w:t>י תובענה רכושית בין אב ובנו</w:t>
      </w:r>
      <w:r w:rsidR="00267D00">
        <w:rPr>
          <w:rFonts w:ascii="David" w:eastAsia="Calibri" w:hAnsi="David" w:hint="cs"/>
          <w:b/>
          <w:bCs/>
          <w:noProof w:val="0"/>
          <w:rtl/>
        </w:rPr>
        <w:t>,</w:t>
      </w:r>
      <w:r w:rsidR="00F404D8" w:rsidRPr="00F404D8">
        <w:rPr>
          <w:rFonts w:ascii="David" w:eastAsia="Calibri" w:hAnsi="David"/>
          <w:b/>
          <w:bCs/>
          <w:noProof w:val="0"/>
          <w:rtl/>
        </w:rPr>
        <w:t xml:space="preserve"> וסעדיה ה</w:t>
      </w:r>
      <w:r w:rsidR="00DC4EED" w:rsidRPr="00F404D8">
        <w:rPr>
          <w:rFonts w:ascii="David" w:eastAsia="Calibri" w:hAnsi="David"/>
          <w:b/>
          <w:bCs/>
          <w:noProof w:val="0"/>
          <w:rtl/>
        </w:rPr>
        <w:t xml:space="preserve">ם להסדרת מחיקת הערת אזהרה, פינוי נכס ושיפוי בגין נזקים. </w:t>
      </w:r>
    </w:p>
    <w:p w:rsidR="001741B5" w:rsidRPr="00000900" w:rsidRDefault="001741B5" w:rsidP="000D7F45">
      <w:pPr>
        <w:jc w:val="both"/>
        <w:rPr>
          <w:rFonts w:ascii="David" w:eastAsia="Calibri" w:hAnsi="David"/>
          <w:noProof w:val="0"/>
          <w:rtl/>
        </w:rPr>
      </w:pPr>
    </w:p>
    <w:p w:rsidR="001741B5" w:rsidRPr="00000900" w:rsidRDefault="001741B5" w:rsidP="000D7F45">
      <w:pPr>
        <w:jc w:val="both"/>
        <w:rPr>
          <w:rFonts w:ascii="David" w:eastAsia="Calibri" w:hAnsi="David"/>
          <w:b/>
          <w:bCs/>
          <w:noProof w:val="0"/>
          <w:u w:val="single"/>
          <w:rtl/>
        </w:rPr>
      </w:pPr>
      <w:r w:rsidRPr="00000900">
        <w:rPr>
          <w:rFonts w:ascii="David" w:eastAsia="Calibri" w:hAnsi="David"/>
          <w:b/>
          <w:bCs/>
          <w:noProof w:val="0"/>
          <w:u w:val="single"/>
          <w:rtl/>
        </w:rPr>
        <w:t>כללי</w:t>
      </w:r>
      <w:r w:rsidR="00000900" w:rsidRPr="00000900">
        <w:rPr>
          <w:rFonts w:ascii="David" w:eastAsia="Calibri" w:hAnsi="David"/>
          <w:b/>
          <w:bCs/>
          <w:noProof w:val="0"/>
          <w:u w:val="single"/>
          <w:rtl/>
        </w:rPr>
        <w:t xml:space="preserve"> – נתונים עובדתיים שאינם שנויים במחלוקת</w:t>
      </w:r>
    </w:p>
    <w:p w:rsidR="00DC4EED" w:rsidRPr="00000900" w:rsidRDefault="00DC4EED" w:rsidP="000D7F45">
      <w:pPr>
        <w:jc w:val="both"/>
        <w:rPr>
          <w:rFonts w:ascii="David" w:eastAsia="Calibri" w:hAnsi="David"/>
          <w:b/>
          <w:bCs/>
          <w:noProof w:val="0"/>
          <w:u w:val="single"/>
          <w:rtl/>
        </w:rPr>
      </w:pPr>
    </w:p>
    <w:p w:rsidR="000D7F45" w:rsidRDefault="000D7F45" w:rsidP="000D7F45">
      <w:pPr>
        <w:spacing w:after="160"/>
        <w:ind w:left="-58"/>
        <w:contextualSpacing/>
        <w:jc w:val="both"/>
        <w:rPr>
          <w:rFonts w:ascii="David" w:eastAsia="Calibri" w:hAnsi="David"/>
          <w:noProof w:val="0"/>
        </w:rPr>
      </w:pPr>
    </w:p>
    <w:p w:rsidR="001741B5" w:rsidRPr="00000900"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התובע הוא אביו של הנתבע (להלן: "</w:t>
      </w:r>
      <w:r w:rsidRPr="00000900">
        <w:rPr>
          <w:rFonts w:ascii="David" w:eastAsia="Calibri" w:hAnsi="David"/>
          <w:b/>
          <w:bCs/>
          <w:noProof w:val="0"/>
          <w:rtl/>
        </w:rPr>
        <w:t>הצדדים</w:t>
      </w:r>
      <w:r w:rsidRPr="00000900">
        <w:rPr>
          <w:rFonts w:ascii="David" w:eastAsia="Calibri" w:hAnsi="David"/>
          <w:noProof w:val="0"/>
          <w:rtl/>
        </w:rPr>
        <w:t xml:space="preserve">"). </w:t>
      </w:r>
    </w:p>
    <w:p w:rsidR="00DC4EED" w:rsidRPr="00000900" w:rsidRDefault="00DC4EED" w:rsidP="000D7F45">
      <w:pPr>
        <w:spacing w:after="160"/>
        <w:ind w:left="-58"/>
        <w:contextualSpacing/>
        <w:jc w:val="both"/>
        <w:rPr>
          <w:rFonts w:ascii="David" w:eastAsia="Calibri" w:hAnsi="David"/>
          <w:noProof w:val="0"/>
          <w:rtl/>
        </w:rPr>
      </w:pPr>
    </w:p>
    <w:p w:rsidR="001741B5" w:rsidRPr="00000900"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גב' </w:t>
      </w:r>
      <w:r w:rsidR="00267D00">
        <w:rPr>
          <w:rFonts w:ascii="David" w:eastAsia="Calibri" w:hAnsi="David" w:hint="cs"/>
          <w:noProof w:val="0"/>
          <w:rtl/>
        </w:rPr>
        <w:t>*****</w:t>
      </w:r>
      <w:r w:rsidRPr="00000900">
        <w:rPr>
          <w:rFonts w:ascii="David" w:eastAsia="Calibri" w:hAnsi="David"/>
          <w:noProof w:val="0"/>
          <w:rtl/>
        </w:rPr>
        <w:t xml:space="preserve"> ז"ל (להלן: "</w:t>
      </w:r>
      <w:r w:rsidRPr="00000900">
        <w:rPr>
          <w:rFonts w:ascii="David" w:eastAsia="Calibri" w:hAnsi="David"/>
          <w:b/>
          <w:bCs/>
          <w:noProof w:val="0"/>
          <w:rtl/>
        </w:rPr>
        <w:t>המנוחה</w:t>
      </w:r>
      <w:r w:rsidRPr="00000900">
        <w:rPr>
          <w:rFonts w:ascii="David" w:eastAsia="Calibri" w:hAnsi="David"/>
          <w:noProof w:val="0"/>
          <w:rtl/>
        </w:rPr>
        <w:t>") והתובע (להלן: "</w:t>
      </w:r>
      <w:r w:rsidRPr="00000900">
        <w:rPr>
          <w:rFonts w:ascii="David" w:eastAsia="Calibri" w:hAnsi="David"/>
          <w:b/>
          <w:bCs/>
          <w:noProof w:val="0"/>
          <w:rtl/>
        </w:rPr>
        <w:t>בני</w:t>
      </w:r>
      <w:r w:rsidRPr="00000900">
        <w:rPr>
          <w:rFonts w:ascii="David" w:eastAsia="Calibri" w:hAnsi="David"/>
          <w:noProof w:val="0"/>
          <w:rtl/>
        </w:rPr>
        <w:t xml:space="preserve"> </w:t>
      </w:r>
      <w:r w:rsidRPr="00000900">
        <w:rPr>
          <w:rFonts w:ascii="David" w:eastAsia="Calibri" w:hAnsi="David"/>
          <w:b/>
          <w:bCs/>
          <w:noProof w:val="0"/>
          <w:rtl/>
        </w:rPr>
        <w:t>הזוג</w:t>
      </w:r>
      <w:r w:rsidRPr="00000900">
        <w:rPr>
          <w:rFonts w:ascii="David" w:eastAsia="Calibri" w:hAnsi="David"/>
          <w:noProof w:val="0"/>
          <w:rtl/>
        </w:rPr>
        <w:t xml:space="preserve">") היו נשואים זל"ז. למנוחה ולתובע נולדו שלושה ילדים, כאשר הנתבע הוא בנם הבכור. </w:t>
      </w:r>
    </w:p>
    <w:p w:rsidR="00DC4EED" w:rsidRPr="00000900" w:rsidRDefault="00DC4EED" w:rsidP="000D7F45">
      <w:pPr>
        <w:spacing w:after="160"/>
        <w:ind w:left="-58"/>
        <w:contextualSpacing/>
        <w:jc w:val="both"/>
        <w:rPr>
          <w:rFonts w:ascii="David" w:eastAsia="Calibri" w:hAnsi="David"/>
          <w:noProof w:val="0"/>
        </w:rPr>
      </w:pPr>
    </w:p>
    <w:p w:rsidR="001741B5" w:rsidRPr="00000900"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התובע והמנוחה הם בעלי מלוא הזכויות בנכס מקרקעין ברח' </w:t>
      </w:r>
      <w:r w:rsidR="00267D00">
        <w:rPr>
          <w:rFonts w:ascii="David" w:eastAsia="Calibri" w:hAnsi="David" w:hint="cs"/>
          <w:noProof w:val="0"/>
          <w:rtl/>
        </w:rPr>
        <w:t>*****</w:t>
      </w:r>
      <w:r w:rsidRPr="00000900">
        <w:rPr>
          <w:rFonts w:ascii="David" w:eastAsia="Calibri" w:hAnsi="David"/>
          <w:noProof w:val="0"/>
          <w:rtl/>
        </w:rPr>
        <w:t xml:space="preserve"> ב</w:t>
      </w:r>
      <w:r w:rsidR="00267D00">
        <w:rPr>
          <w:rFonts w:ascii="David" w:eastAsia="Calibri" w:hAnsi="David" w:hint="cs"/>
          <w:noProof w:val="0"/>
          <w:rtl/>
        </w:rPr>
        <w:t>*****</w:t>
      </w:r>
      <w:r w:rsidRPr="00000900">
        <w:rPr>
          <w:rFonts w:ascii="David" w:eastAsia="Calibri" w:hAnsi="David"/>
          <w:noProof w:val="0"/>
          <w:rtl/>
        </w:rPr>
        <w:t xml:space="preserve">, הידוע כגוש </w:t>
      </w:r>
      <w:r w:rsidR="00267D00">
        <w:rPr>
          <w:rFonts w:ascii="David" w:eastAsia="Calibri" w:hAnsi="David" w:hint="cs"/>
          <w:noProof w:val="0"/>
          <w:rtl/>
        </w:rPr>
        <w:t>*****</w:t>
      </w:r>
      <w:r w:rsidRPr="00000900">
        <w:rPr>
          <w:rFonts w:ascii="David" w:eastAsia="Calibri" w:hAnsi="David"/>
          <w:noProof w:val="0"/>
          <w:rtl/>
        </w:rPr>
        <w:t xml:space="preserve"> חלקה </w:t>
      </w:r>
      <w:r w:rsidR="00267D00">
        <w:rPr>
          <w:rFonts w:ascii="David" w:eastAsia="Calibri" w:hAnsi="David" w:hint="cs"/>
          <w:noProof w:val="0"/>
          <w:rtl/>
        </w:rPr>
        <w:t>*****</w:t>
      </w:r>
      <w:r w:rsidRPr="00000900">
        <w:rPr>
          <w:rFonts w:ascii="David" w:eastAsia="Calibri" w:hAnsi="David"/>
          <w:noProof w:val="0"/>
          <w:rtl/>
        </w:rPr>
        <w:t xml:space="preserve"> תת חלקה </w:t>
      </w:r>
      <w:r w:rsidR="00267D00">
        <w:rPr>
          <w:rFonts w:ascii="David" w:eastAsia="Calibri" w:hAnsi="David" w:hint="cs"/>
          <w:noProof w:val="0"/>
          <w:rtl/>
        </w:rPr>
        <w:t>****</w:t>
      </w:r>
      <w:r w:rsidRPr="00000900">
        <w:rPr>
          <w:rFonts w:ascii="David" w:eastAsia="Calibri" w:hAnsi="David"/>
          <w:noProof w:val="0"/>
          <w:rtl/>
        </w:rPr>
        <w:t xml:space="preserve"> (להלן: "</w:t>
      </w:r>
      <w:r w:rsidRPr="00000900">
        <w:rPr>
          <w:rFonts w:ascii="David" w:eastAsia="Calibri" w:hAnsi="David"/>
          <w:b/>
          <w:bCs/>
          <w:noProof w:val="0"/>
          <w:rtl/>
        </w:rPr>
        <w:t>הנכס</w:t>
      </w:r>
      <w:r w:rsidRPr="00000900">
        <w:rPr>
          <w:rFonts w:ascii="David" w:eastAsia="Calibri" w:hAnsi="David"/>
          <w:noProof w:val="0"/>
          <w:rtl/>
        </w:rPr>
        <w:t xml:space="preserve">"). הנכס נרשם ע"ש המנוחה והתובע בחלקים שווים (מחצית כ"א). </w:t>
      </w:r>
    </w:p>
    <w:p w:rsidR="00DC4EED" w:rsidRPr="00000900" w:rsidRDefault="00DC4EED" w:rsidP="000D7F45">
      <w:pPr>
        <w:spacing w:after="160"/>
        <w:ind w:left="-58"/>
        <w:contextualSpacing/>
        <w:jc w:val="both"/>
        <w:rPr>
          <w:rFonts w:ascii="David" w:eastAsia="Calibri" w:hAnsi="David"/>
          <w:noProof w:val="0"/>
        </w:rPr>
      </w:pPr>
    </w:p>
    <w:p w:rsidR="001741B5" w:rsidRPr="00000900"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הנכס שימש למגורי התובע והמנוחה.  </w:t>
      </w:r>
    </w:p>
    <w:p w:rsidR="00DC4EED" w:rsidRPr="00000900" w:rsidRDefault="00DC4EED" w:rsidP="000D7F45">
      <w:pPr>
        <w:spacing w:after="160"/>
        <w:ind w:left="-58"/>
        <w:contextualSpacing/>
        <w:jc w:val="both"/>
        <w:rPr>
          <w:rFonts w:ascii="David" w:eastAsia="Calibri" w:hAnsi="David"/>
          <w:noProof w:val="0"/>
        </w:rPr>
      </w:pPr>
    </w:p>
    <w:p w:rsidR="001741B5" w:rsidRPr="00000900"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לאחר גירושיו של הנתבע לפני כחמש עשרה שנה (יוער כי, לנתבע ארבעה ילדים), עבר להתגורר בנכס עם הוריו. הצדדים חלוקים על אופן התנהלותו של הנתבע לאחר שעבר להתגורר בנכס. </w:t>
      </w:r>
    </w:p>
    <w:p w:rsidR="00DC4EED" w:rsidRPr="00000900" w:rsidRDefault="00DC4EED" w:rsidP="000D7F45">
      <w:pPr>
        <w:spacing w:after="160"/>
        <w:ind w:left="-58"/>
        <w:contextualSpacing/>
        <w:jc w:val="both"/>
        <w:rPr>
          <w:rFonts w:ascii="David" w:eastAsia="Calibri" w:hAnsi="David"/>
          <w:noProof w:val="0"/>
        </w:rPr>
      </w:pPr>
    </w:p>
    <w:p w:rsidR="001741B5" w:rsidRPr="00000900"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ביום 10.9.21 נפטרה המנוחה. </w:t>
      </w:r>
    </w:p>
    <w:p w:rsidR="00DC4EED" w:rsidRPr="00000900" w:rsidRDefault="00DC4EED" w:rsidP="000D7F45">
      <w:pPr>
        <w:spacing w:after="160"/>
        <w:ind w:left="-58"/>
        <w:contextualSpacing/>
        <w:jc w:val="both"/>
        <w:rPr>
          <w:rFonts w:ascii="David" w:eastAsia="Calibri" w:hAnsi="David"/>
          <w:noProof w:val="0"/>
        </w:rPr>
      </w:pPr>
    </w:p>
    <w:p w:rsidR="001741B5" w:rsidRPr="00000900"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כיום מתגורר התובע בדיור מוגן. </w:t>
      </w:r>
    </w:p>
    <w:p w:rsidR="00DC4EED" w:rsidRPr="00000900" w:rsidRDefault="00DC4EED" w:rsidP="000D7F45">
      <w:pPr>
        <w:spacing w:after="160"/>
        <w:ind w:left="-58"/>
        <w:contextualSpacing/>
        <w:jc w:val="both"/>
        <w:rPr>
          <w:rFonts w:ascii="David" w:eastAsia="Calibri" w:hAnsi="David"/>
          <w:noProof w:val="0"/>
        </w:rPr>
      </w:pPr>
    </w:p>
    <w:p w:rsidR="00A218D0" w:rsidRPr="00000900" w:rsidRDefault="00A218D0"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הנתבע מתגורר בנכס. </w:t>
      </w:r>
    </w:p>
    <w:p w:rsidR="001741B5" w:rsidRPr="00000900"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ביום 25.11.24 התקיים דיון קדם משפט. ביום 19.2.25 התקיים דיון הוכחות שבסיומו סיכמו הצדדים טענותיהם בעל פה</w:t>
      </w:r>
      <w:r w:rsidR="00DC4EED" w:rsidRPr="00000900">
        <w:rPr>
          <w:rFonts w:ascii="David" w:eastAsia="Calibri" w:hAnsi="David"/>
          <w:noProof w:val="0"/>
          <w:rtl/>
        </w:rPr>
        <w:t xml:space="preserve"> (להלן: "</w:t>
      </w:r>
      <w:r w:rsidR="00DC4EED" w:rsidRPr="00000900">
        <w:rPr>
          <w:rFonts w:ascii="David" w:eastAsia="Calibri" w:hAnsi="David"/>
          <w:b/>
          <w:bCs/>
          <w:noProof w:val="0"/>
          <w:rtl/>
        </w:rPr>
        <w:t>הדיון</w:t>
      </w:r>
      <w:r w:rsidR="00DC4EED" w:rsidRPr="00000900">
        <w:rPr>
          <w:rFonts w:ascii="David" w:eastAsia="Calibri" w:hAnsi="David"/>
          <w:noProof w:val="0"/>
          <w:rtl/>
        </w:rPr>
        <w:t>" או "</w:t>
      </w:r>
      <w:r w:rsidR="00DC4EED" w:rsidRPr="00000900">
        <w:rPr>
          <w:rFonts w:ascii="David" w:eastAsia="Calibri" w:hAnsi="David"/>
          <w:b/>
          <w:bCs/>
          <w:noProof w:val="0"/>
          <w:rtl/>
        </w:rPr>
        <w:t>דיון ההוכחות</w:t>
      </w:r>
      <w:r w:rsidR="00DC4EED" w:rsidRPr="00000900">
        <w:rPr>
          <w:rFonts w:ascii="David" w:eastAsia="Calibri" w:hAnsi="David"/>
          <w:noProof w:val="0"/>
          <w:rtl/>
        </w:rPr>
        <w:t>")</w:t>
      </w:r>
      <w:r w:rsidRPr="00000900">
        <w:rPr>
          <w:rFonts w:ascii="David" w:eastAsia="Calibri" w:hAnsi="David"/>
          <w:noProof w:val="0"/>
          <w:rtl/>
        </w:rPr>
        <w:t xml:space="preserve">. </w:t>
      </w:r>
    </w:p>
    <w:p w:rsidR="001741B5" w:rsidRPr="00000900" w:rsidRDefault="001741B5" w:rsidP="000D7F45">
      <w:pPr>
        <w:ind w:left="-58"/>
        <w:contextualSpacing/>
        <w:jc w:val="both"/>
        <w:rPr>
          <w:rFonts w:ascii="David" w:eastAsia="Calibri" w:hAnsi="David"/>
          <w:noProof w:val="0"/>
        </w:rPr>
      </w:pPr>
    </w:p>
    <w:p w:rsidR="001741B5" w:rsidRPr="00000900" w:rsidRDefault="001741B5" w:rsidP="000D7F45">
      <w:pPr>
        <w:ind w:left="-58"/>
        <w:contextualSpacing/>
        <w:jc w:val="both"/>
        <w:rPr>
          <w:rFonts w:ascii="David" w:eastAsia="Calibri" w:hAnsi="David"/>
          <w:b/>
          <w:bCs/>
          <w:noProof w:val="0"/>
          <w:u w:val="single"/>
          <w:rtl/>
        </w:rPr>
      </w:pPr>
      <w:r w:rsidRPr="00000900">
        <w:rPr>
          <w:rFonts w:ascii="David" w:eastAsia="Calibri" w:hAnsi="David"/>
          <w:b/>
          <w:bCs/>
          <w:noProof w:val="0"/>
          <w:u w:val="single"/>
          <w:rtl/>
        </w:rPr>
        <w:t>צוואת המנוחה</w:t>
      </w:r>
    </w:p>
    <w:p w:rsidR="00DC4EED" w:rsidRPr="00000900" w:rsidRDefault="00DC4EED" w:rsidP="000D7F45">
      <w:pPr>
        <w:ind w:left="-58"/>
        <w:contextualSpacing/>
        <w:jc w:val="both"/>
        <w:rPr>
          <w:rFonts w:ascii="David" w:eastAsia="Calibri" w:hAnsi="David"/>
          <w:b/>
          <w:bCs/>
          <w:noProof w:val="0"/>
          <w:u w:val="single"/>
          <w:rtl/>
        </w:rPr>
      </w:pPr>
    </w:p>
    <w:p w:rsidR="001741B5" w:rsidRPr="00000900"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ביום 14.12.17 ערכו המנוחה והתובע "צוואות בעדים" בשני מסמכים שונים</w:t>
      </w:r>
      <w:r w:rsidR="00267D00">
        <w:rPr>
          <w:rFonts w:ascii="David" w:eastAsia="Calibri" w:hAnsi="David"/>
          <w:noProof w:val="0"/>
          <w:rtl/>
        </w:rPr>
        <w:t xml:space="preserve">. העדים לצוואות היו: עוה"ד </w:t>
      </w:r>
      <w:r w:rsidR="00267D00">
        <w:rPr>
          <w:rFonts w:ascii="David" w:eastAsia="Calibri" w:hAnsi="David" w:hint="cs"/>
          <w:noProof w:val="0"/>
          <w:rtl/>
        </w:rPr>
        <w:t xml:space="preserve">***** </w:t>
      </w:r>
      <w:r w:rsidRPr="00000900">
        <w:rPr>
          <w:rFonts w:ascii="David" w:eastAsia="Calibri" w:hAnsi="David"/>
          <w:noProof w:val="0"/>
          <w:rtl/>
        </w:rPr>
        <w:t xml:space="preserve">ועוה"ד </w:t>
      </w:r>
      <w:r w:rsidR="00267D00">
        <w:rPr>
          <w:rFonts w:ascii="David" w:eastAsia="Calibri" w:hAnsi="David" w:hint="cs"/>
          <w:noProof w:val="0"/>
          <w:rtl/>
        </w:rPr>
        <w:t>*****</w:t>
      </w:r>
      <w:r w:rsidRPr="00000900">
        <w:rPr>
          <w:rFonts w:ascii="David" w:eastAsia="Calibri" w:hAnsi="David"/>
          <w:noProof w:val="0"/>
          <w:rtl/>
        </w:rPr>
        <w:t xml:space="preserve">. עוה"ד </w:t>
      </w:r>
      <w:r w:rsidR="00267D00">
        <w:rPr>
          <w:rFonts w:ascii="David" w:eastAsia="Calibri" w:hAnsi="David" w:hint="cs"/>
          <w:noProof w:val="0"/>
          <w:rtl/>
        </w:rPr>
        <w:t xml:space="preserve">***** </w:t>
      </w:r>
      <w:r w:rsidRPr="00000900">
        <w:rPr>
          <w:rFonts w:ascii="David" w:eastAsia="Calibri" w:hAnsi="David"/>
          <w:noProof w:val="0"/>
          <w:rtl/>
        </w:rPr>
        <w:t xml:space="preserve">היא אחייניתו של התובע. </w:t>
      </w:r>
    </w:p>
    <w:p w:rsidR="00531149" w:rsidRDefault="00531149" w:rsidP="000D7F45">
      <w:pPr>
        <w:spacing w:after="160"/>
        <w:ind w:left="-58"/>
        <w:contextualSpacing/>
        <w:jc w:val="both"/>
        <w:rPr>
          <w:rFonts w:ascii="David" w:eastAsia="Calibri" w:hAnsi="David"/>
          <w:noProof w:val="0"/>
        </w:rPr>
      </w:pPr>
    </w:p>
    <w:p w:rsidR="001741B5"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בצוואת המנוחה (להלן: "</w:t>
      </w:r>
      <w:r w:rsidRPr="00000900">
        <w:rPr>
          <w:rFonts w:ascii="David" w:eastAsia="Calibri" w:hAnsi="David"/>
          <w:b/>
          <w:bCs/>
          <w:noProof w:val="0"/>
          <w:rtl/>
        </w:rPr>
        <w:t>צוואת המנוחה</w:t>
      </w:r>
      <w:r w:rsidRPr="00000900">
        <w:rPr>
          <w:rFonts w:ascii="David" w:eastAsia="Calibri" w:hAnsi="David"/>
          <w:noProof w:val="0"/>
          <w:rtl/>
        </w:rPr>
        <w:t>" או "</w:t>
      </w:r>
      <w:r w:rsidRPr="00000900">
        <w:rPr>
          <w:rFonts w:ascii="David" w:eastAsia="Calibri" w:hAnsi="David"/>
          <w:b/>
          <w:bCs/>
          <w:noProof w:val="0"/>
          <w:rtl/>
        </w:rPr>
        <w:t>הצוואה</w:t>
      </w:r>
      <w:r w:rsidRPr="00000900">
        <w:rPr>
          <w:rFonts w:ascii="David" w:eastAsia="Calibri" w:hAnsi="David"/>
          <w:noProof w:val="0"/>
          <w:rtl/>
        </w:rPr>
        <w:t>"), נקבעו הוראות שונות, כאשר ההוראות הרלוונטיות לענייננו,</w:t>
      </w:r>
      <w:r w:rsidR="00000900" w:rsidRPr="00000900">
        <w:rPr>
          <w:rFonts w:ascii="David" w:eastAsia="Calibri" w:hAnsi="David"/>
          <w:noProof w:val="0"/>
          <w:rtl/>
        </w:rPr>
        <w:t xml:space="preserve"> </w:t>
      </w:r>
      <w:r w:rsidRPr="00000900">
        <w:rPr>
          <w:rFonts w:ascii="David" w:eastAsia="Calibri" w:hAnsi="David"/>
          <w:noProof w:val="0"/>
          <w:rtl/>
        </w:rPr>
        <w:t>הן ההוראות הקשורות לנכס</w:t>
      </w:r>
      <w:r w:rsidR="00000900" w:rsidRPr="00000900">
        <w:rPr>
          <w:rFonts w:ascii="David" w:eastAsia="Calibri" w:hAnsi="David"/>
          <w:noProof w:val="0"/>
          <w:rtl/>
        </w:rPr>
        <w:t>, והן מושא המחלוקת</w:t>
      </w:r>
      <w:r w:rsidRPr="00000900">
        <w:rPr>
          <w:rFonts w:ascii="David" w:eastAsia="Calibri" w:hAnsi="David"/>
          <w:noProof w:val="0"/>
          <w:rtl/>
        </w:rPr>
        <w:t>. הוראות אלו נקבעו ב</w:t>
      </w:r>
      <w:r w:rsidR="00000900" w:rsidRPr="00000900">
        <w:rPr>
          <w:rFonts w:ascii="David" w:eastAsia="Calibri" w:hAnsi="David"/>
          <w:noProof w:val="0"/>
          <w:rtl/>
        </w:rPr>
        <w:t>סעיפים 4 ו</w:t>
      </w:r>
      <w:r w:rsidR="00267D00">
        <w:rPr>
          <w:rFonts w:ascii="David" w:eastAsia="Calibri" w:hAnsi="David" w:hint="cs"/>
          <w:noProof w:val="0"/>
          <w:rtl/>
        </w:rPr>
        <w:t>-</w:t>
      </w:r>
      <w:r w:rsidR="00000900" w:rsidRPr="00000900">
        <w:rPr>
          <w:rFonts w:ascii="David" w:eastAsia="Calibri" w:hAnsi="David"/>
          <w:noProof w:val="0"/>
          <w:rtl/>
        </w:rPr>
        <w:t xml:space="preserve"> 10 לצוואת המנוחה כדלקמן:</w:t>
      </w:r>
    </w:p>
    <w:p w:rsidR="00267D00" w:rsidRDefault="00267D00" w:rsidP="000D7F45">
      <w:pPr>
        <w:pStyle w:val="ad"/>
        <w:rPr>
          <w:rFonts w:ascii="David" w:eastAsia="Calibri" w:hAnsi="David"/>
          <w:noProof w:val="0"/>
          <w:rtl/>
        </w:rPr>
      </w:pPr>
    </w:p>
    <w:p w:rsidR="00267D00" w:rsidRPr="00267D00" w:rsidRDefault="00267D00" w:rsidP="000D7F45">
      <w:pPr>
        <w:spacing w:after="160"/>
        <w:ind w:left="720" w:hanging="437"/>
        <w:contextualSpacing/>
        <w:jc w:val="both"/>
        <w:rPr>
          <w:rFonts w:ascii="David" w:eastAsia="Calibri" w:hAnsi="David"/>
          <w:b/>
          <w:bCs/>
          <w:i/>
          <w:iCs/>
          <w:noProof w:val="0"/>
          <w:rtl/>
        </w:rPr>
      </w:pPr>
      <w:r>
        <w:rPr>
          <w:rFonts w:ascii="David" w:eastAsia="Calibri" w:hAnsi="David" w:hint="cs"/>
          <w:noProof w:val="0"/>
          <w:rtl/>
        </w:rPr>
        <w:t>4.</w:t>
      </w:r>
      <w:r>
        <w:rPr>
          <w:rFonts w:ascii="David" w:eastAsia="Calibri" w:hAnsi="David"/>
          <w:noProof w:val="0"/>
          <w:rtl/>
        </w:rPr>
        <w:tab/>
      </w:r>
      <w:r w:rsidRPr="00267D00">
        <w:rPr>
          <w:rFonts w:ascii="David" w:eastAsia="Calibri" w:hAnsi="David" w:hint="cs"/>
          <w:b/>
          <w:bCs/>
          <w:i/>
          <w:iCs/>
          <w:noProof w:val="0"/>
          <w:rtl/>
        </w:rPr>
        <w:t>הנני מצווה בזה את נכס המקרקעין, הכולל דירה ברח' ******, ב*****, והידועה גן כגוש ***** חלקה **** תת חלקה ****, והרשומה בלשכת רישום מקרקעים ב****, (להלן: "נכס המקרקעין"), זכויות, מיטלטלים, חשבונות בנק והכס</w:t>
      </w:r>
      <w:r>
        <w:rPr>
          <w:rFonts w:ascii="David" w:eastAsia="Calibri" w:hAnsi="David" w:hint="cs"/>
          <w:b/>
          <w:bCs/>
          <w:i/>
          <w:iCs/>
          <w:noProof w:val="0"/>
          <w:rtl/>
        </w:rPr>
        <w:t>פ</w:t>
      </w:r>
      <w:r w:rsidRPr="00267D00">
        <w:rPr>
          <w:rFonts w:ascii="David" w:eastAsia="Calibri" w:hAnsi="David" w:hint="cs"/>
          <w:b/>
          <w:bCs/>
          <w:i/>
          <w:iCs/>
          <w:noProof w:val="0"/>
          <w:rtl/>
        </w:rPr>
        <w:t xml:space="preserve">ים שבהם, וכן הכספים שימצאו </w:t>
      </w:r>
      <w:r w:rsidRPr="00267D00">
        <w:rPr>
          <w:rFonts w:ascii="David" w:eastAsia="Calibri" w:hAnsi="David" w:hint="cs"/>
          <w:b/>
          <w:bCs/>
          <w:i/>
          <w:iCs/>
          <w:noProof w:val="0"/>
          <w:rtl/>
        </w:rPr>
        <w:lastRenderedPageBreak/>
        <w:t>בקופות גמל, ניירות ערך, ותכניות חסכון הרשומים על שמי, זכויות קיימות וכן כל זכות אחרת שמגיעה לי ו/או אשר תגיע לי או לזכות עזבוני לאחר מותי. כמו כ</w:t>
      </w:r>
      <w:r>
        <w:rPr>
          <w:rFonts w:ascii="David" w:eastAsia="Calibri" w:hAnsi="David" w:hint="cs"/>
          <w:b/>
          <w:bCs/>
          <w:i/>
          <w:iCs/>
          <w:noProof w:val="0"/>
          <w:rtl/>
        </w:rPr>
        <w:t>ן</w:t>
      </w:r>
      <w:r w:rsidRPr="00267D00">
        <w:rPr>
          <w:rFonts w:ascii="David" w:eastAsia="Calibri" w:hAnsi="David" w:hint="cs"/>
          <w:b/>
          <w:bCs/>
          <w:i/>
          <w:iCs/>
          <w:noProof w:val="0"/>
          <w:rtl/>
        </w:rPr>
        <w:t xml:space="preserve">, רכוש מכל מין וסוג, בין הקיימים היום ובין שיתווספו בעתיד (להלן: "העיזבון") לבעלי לבדו, </w:t>
      </w:r>
      <w:r>
        <w:rPr>
          <w:rFonts w:ascii="David" w:eastAsia="Calibri" w:hAnsi="David" w:hint="cs"/>
          <w:b/>
          <w:bCs/>
          <w:i/>
          <w:iCs/>
          <w:noProof w:val="0"/>
          <w:rtl/>
        </w:rPr>
        <w:t>****</w:t>
      </w:r>
      <w:r w:rsidRPr="00267D00">
        <w:rPr>
          <w:rFonts w:ascii="David" w:eastAsia="Calibri" w:hAnsi="David" w:hint="cs"/>
          <w:b/>
          <w:bCs/>
          <w:i/>
          <w:iCs/>
          <w:noProof w:val="0"/>
          <w:rtl/>
        </w:rPr>
        <w:t xml:space="preserve"> ת.ז. ***** (להלן: "בעלי"). </w:t>
      </w:r>
    </w:p>
    <w:p w:rsidR="00267D00" w:rsidRPr="00267D00" w:rsidRDefault="00267D00" w:rsidP="000D7F45">
      <w:pPr>
        <w:spacing w:after="160"/>
        <w:ind w:left="-58" w:firstLine="778"/>
        <w:contextualSpacing/>
        <w:jc w:val="both"/>
        <w:rPr>
          <w:rFonts w:ascii="David" w:eastAsia="Calibri" w:hAnsi="David"/>
          <w:b/>
          <w:bCs/>
          <w:i/>
          <w:iCs/>
          <w:noProof w:val="0"/>
          <w:rtl/>
        </w:rPr>
      </w:pPr>
      <w:r w:rsidRPr="00267D00">
        <w:rPr>
          <w:rFonts w:ascii="David" w:eastAsia="Calibri" w:hAnsi="David" w:hint="cs"/>
          <w:b/>
          <w:bCs/>
          <w:i/>
          <w:iCs/>
          <w:noProof w:val="0"/>
          <w:rtl/>
        </w:rPr>
        <w:t xml:space="preserve">על אף האמור לעיל, אם חלילה בעלי ילך לעולמו לפניי אזי ינהגו כך: </w:t>
      </w:r>
    </w:p>
    <w:p w:rsidR="00267D00" w:rsidRDefault="00267D00" w:rsidP="000D7F45">
      <w:pPr>
        <w:spacing w:after="160"/>
        <w:ind w:left="-58" w:firstLine="778"/>
        <w:contextualSpacing/>
        <w:jc w:val="both"/>
        <w:rPr>
          <w:rFonts w:ascii="David" w:eastAsia="Calibri" w:hAnsi="David"/>
          <w:b/>
          <w:bCs/>
          <w:i/>
          <w:iCs/>
          <w:noProof w:val="0"/>
          <w:rtl/>
        </w:rPr>
      </w:pPr>
      <w:r w:rsidRPr="00267D00">
        <w:rPr>
          <w:rFonts w:ascii="David" w:eastAsia="Calibri" w:hAnsi="David" w:hint="cs"/>
          <w:b/>
          <w:bCs/>
          <w:i/>
          <w:iCs/>
          <w:noProof w:val="0"/>
          <w:rtl/>
        </w:rPr>
        <w:t>העיזבון הנ"ל יחולק בין כל ילדיי המפורטים להלן בחלקים שווים: (להלן: "ילדיי")</w:t>
      </w:r>
    </w:p>
    <w:p w:rsidR="000D7F45" w:rsidRPr="00267D00" w:rsidRDefault="000D7F45" w:rsidP="000D7F45">
      <w:pPr>
        <w:spacing w:after="160"/>
        <w:ind w:left="-58" w:firstLine="778"/>
        <w:contextualSpacing/>
        <w:jc w:val="both"/>
        <w:rPr>
          <w:rFonts w:ascii="David" w:eastAsia="Calibri" w:hAnsi="David"/>
          <w:b/>
          <w:bCs/>
          <w:i/>
          <w:iCs/>
          <w:noProof w:val="0"/>
          <w:rtl/>
        </w:rPr>
      </w:pPr>
    </w:p>
    <w:p w:rsidR="00267D00" w:rsidRPr="00267D00" w:rsidRDefault="00267D00" w:rsidP="000D7F45">
      <w:pPr>
        <w:pStyle w:val="ad"/>
        <w:numPr>
          <w:ilvl w:val="0"/>
          <w:numId w:val="6"/>
        </w:numPr>
        <w:spacing w:after="160"/>
        <w:ind w:left="992"/>
        <w:jc w:val="both"/>
        <w:rPr>
          <w:rFonts w:ascii="David" w:eastAsia="Calibri" w:hAnsi="David"/>
          <w:b/>
          <w:bCs/>
          <w:i/>
          <w:iCs/>
          <w:noProof w:val="0"/>
        </w:rPr>
      </w:pPr>
      <w:r>
        <w:rPr>
          <w:rFonts w:ascii="David" w:eastAsia="Calibri" w:hAnsi="David" w:hint="cs"/>
          <w:b/>
          <w:bCs/>
          <w:i/>
          <w:iCs/>
          <w:noProof w:val="0"/>
          <w:rtl/>
        </w:rPr>
        <w:t>*****</w:t>
      </w:r>
      <w:r w:rsidRPr="00267D00">
        <w:rPr>
          <w:rFonts w:ascii="David" w:eastAsia="Calibri" w:hAnsi="David" w:hint="cs"/>
          <w:b/>
          <w:bCs/>
          <w:i/>
          <w:iCs/>
          <w:noProof w:val="0"/>
          <w:rtl/>
        </w:rPr>
        <w:t xml:space="preserve"> ת.ז. *****</w:t>
      </w:r>
    </w:p>
    <w:p w:rsidR="00267D00" w:rsidRPr="00267D00" w:rsidRDefault="00267D00" w:rsidP="000D7F45">
      <w:pPr>
        <w:pStyle w:val="ad"/>
        <w:numPr>
          <w:ilvl w:val="0"/>
          <w:numId w:val="6"/>
        </w:numPr>
        <w:spacing w:after="160"/>
        <w:ind w:left="992"/>
        <w:jc w:val="both"/>
        <w:rPr>
          <w:rFonts w:ascii="David" w:eastAsia="Calibri" w:hAnsi="David"/>
          <w:b/>
          <w:bCs/>
          <w:i/>
          <w:iCs/>
          <w:noProof w:val="0"/>
        </w:rPr>
      </w:pPr>
      <w:r w:rsidRPr="00267D00">
        <w:rPr>
          <w:rFonts w:ascii="David" w:eastAsia="Calibri" w:hAnsi="David" w:hint="cs"/>
          <w:b/>
          <w:bCs/>
          <w:i/>
          <w:iCs/>
          <w:noProof w:val="0"/>
          <w:rtl/>
        </w:rPr>
        <w:t>*****, ת.ז. *****</w:t>
      </w:r>
    </w:p>
    <w:p w:rsidR="00267D00" w:rsidRPr="00267D00" w:rsidRDefault="00267D00" w:rsidP="000D7F45">
      <w:pPr>
        <w:pStyle w:val="ad"/>
        <w:numPr>
          <w:ilvl w:val="0"/>
          <w:numId w:val="6"/>
        </w:numPr>
        <w:spacing w:after="160"/>
        <w:ind w:left="992"/>
        <w:jc w:val="both"/>
        <w:rPr>
          <w:rFonts w:ascii="David" w:eastAsia="Calibri" w:hAnsi="David"/>
          <w:b/>
          <w:bCs/>
          <w:i/>
          <w:iCs/>
          <w:noProof w:val="0"/>
        </w:rPr>
      </w:pPr>
      <w:r w:rsidRPr="00267D00">
        <w:rPr>
          <w:rFonts w:ascii="David" w:eastAsia="Calibri" w:hAnsi="David" w:hint="cs"/>
          <w:b/>
          <w:bCs/>
          <w:i/>
          <w:iCs/>
          <w:noProof w:val="0"/>
          <w:rtl/>
        </w:rPr>
        <w:t>*****, ת.ז. *****</w:t>
      </w:r>
    </w:p>
    <w:p w:rsidR="00531149" w:rsidRDefault="00531149" w:rsidP="000D7F45">
      <w:pPr>
        <w:pStyle w:val="ad"/>
        <w:rPr>
          <w:rFonts w:ascii="David" w:eastAsia="Calibri" w:hAnsi="David"/>
          <w:noProof w:val="0"/>
          <w:rtl/>
        </w:rPr>
      </w:pPr>
    </w:p>
    <w:p w:rsidR="00267D00" w:rsidRPr="00267D00" w:rsidRDefault="00267D00" w:rsidP="000D7F45">
      <w:pPr>
        <w:ind w:left="632" w:hanging="632"/>
        <w:contextualSpacing/>
        <w:jc w:val="both"/>
        <w:rPr>
          <w:rFonts w:ascii="David" w:eastAsia="Calibri" w:hAnsi="David"/>
          <w:i/>
          <w:iCs/>
          <w:noProof w:val="0"/>
        </w:rPr>
      </w:pPr>
      <w:r>
        <w:rPr>
          <w:rFonts w:ascii="David" w:eastAsia="Calibri" w:hAnsi="David" w:hint="cs"/>
          <w:noProof w:val="0"/>
          <w:rtl/>
        </w:rPr>
        <w:t>10.</w:t>
      </w:r>
      <w:r>
        <w:rPr>
          <w:rFonts w:ascii="David" w:eastAsia="Calibri" w:hAnsi="David"/>
          <w:noProof w:val="0"/>
          <w:rtl/>
        </w:rPr>
        <w:tab/>
      </w:r>
      <w:r w:rsidRPr="00267D00">
        <w:rPr>
          <w:rFonts w:ascii="David" w:eastAsia="Calibri" w:hAnsi="David" w:hint="cs"/>
          <w:b/>
          <w:bCs/>
          <w:i/>
          <w:iCs/>
          <w:noProof w:val="0"/>
          <w:rtl/>
        </w:rPr>
        <w:t>הנני מורה בזאת כי בני *****, ת.ז. **** יוכל להמשיך להתגורר בנכס ברח' *****. עד 6 חודשים מיום פטירת האחרון מביננו: בעלי *****, ת.ז. ***** ו/או אנכי ******, ת.ז. ****, כשלאחר מכן יפונה הבית ויימכר. כל חוב שיצטבר בתקופה זו ישולם ע"י בני *****.</w:t>
      </w:r>
      <w:r w:rsidRPr="00267D00">
        <w:rPr>
          <w:rFonts w:ascii="David" w:eastAsia="Calibri" w:hAnsi="David" w:hint="cs"/>
          <w:i/>
          <w:iCs/>
          <w:noProof w:val="0"/>
          <w:rtl/>
        </w:rPr>
        <w:t xml:space="preserve"> </w:t>
      </w:r>
    </w:p>
    <w:p w:rsidR="001741B5" w:rsidRPr="00000900" w:rsidRDefault="001741B5" w:rsidP="000D7F45">
      <w:pPr>
        <w:ind w:left="-58"/>
        <w:contextualSpacing/>
        <w:jc w:val="both"/>
        <w:rPr>
          <w:rFonts w:ascii="David" w:eastAsia="Calibri" w:hAnsi="David"/>
          <w:noProof w:val="0"/>
        </w:rPr>
      </w:pPr>
    </w:p>
    <w:p w:rsidR="00F404D8" w:rsidRDefault="00F404D8" w:rsidP="000D7F45">
      <w:pPr>
        <w:spacing w:after="160"/>
        <w:ind w:left="-58"/>
        <w:contextualSpacing/>
        <w:jc w:val="both"/>
        <w:rPr>
          <w:rFonts w:ascii="David" w:eastAsia="Calibri" w:hAnsi="David"/>
          <w:noProof w:val="0"/>
        </w:rPr>
      </w:pPr>
    </w:p>
    <w:p w:rsidR="001741B5" w:rsidRPr="00000900" w:rsidRDefault="00000900"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t>מה</w:t>
      </w:r>
      <w:r w:rsidR="001741B5" w:rsidRPr="00000900">
        <w:rPr>
          <w:rFonts w:ascii="David" w:eastAsia="Calibri" w:hAnsi="David"/>
          <w:noProof w:val="0"/>
          <w:rtl/>
        </w:rPr>
        <w:t>אמור</w:t>
      </w:r>
      <w:r>
        <w:rPr>
          <w:rFonts w:ascii="David" w:eastAsia="Calibri" w:hAnsi="David" w:hint="cs"/>
          <w:noProof w:val="0"/>
          <w:rtl/>
        </w:rPr>
        <w:t xml:space="preserve"> בצוואה</w:t>
      </w:r>
      <w:r w:rsidR="001741B5" w:rsidRPr="00000900">
        <w:rPr>
          <w:rFonts w:ascii="David" w:eastAsia="Calibri" w:hAnsi="David"/>
          <w:noProof w:val="0"/>
          <w:rtl/>
        </w:rPr>
        <w:t xml:space="preserve"> ניתן לראות</w:t>
      </w:r>
      <w:r>
        <w:rPr>
          <w:rFonts w:ascii="David" w:eastAsia="Calibri" w:hAnsi="David" w:hint="cs"/>
          <w:noProof w:val="0"/>
          <w:rtl/>
        </w:rPr>
        <w:t>,</w:t>
      </w:r>
      <w:r w:rsidR="001741B5" w:rsidRPr="00000900">
        <w:rPr>
          <w:rFonts w:ascii="David" w:eastAsia="Calibri" w:hAnsi="David"/>
          <w:noProof w:val="0"/>
          <w:rtl/>
        </w:rPr>
        <w:t xml:space="preserve"> כי המנוחה קבעה הוראות "</w:t>
      </w:r>
      <w:r w:rsidR="001741B5" w:rsidRPr="00000900">
        <w:rPr>
          <w:rFonts w:ascii="David" w:eastAsia="Calibri" w:hAnsi="David"/>
          <w:noProof w:val="0"/>
          <w:u w:val="single"/>
          <w:rtl/>
        </w:rPr>
        <w:t>יורש במקום יורש</w:t>
      </w:r>
      <w:r w:rsidR="001741B5" w:rsidRPr="00000900">
        <w:rPr>
          <w:rFonts w:ascii="David" w:eastAsia="Calibri" w:hAnsi="David"/>
          <w:noProof w:val="0"/>
          <w:rtl/>
        </w:rPr>
        <w:t>" ביחס לנכס. התובע הוא הזוכה בחלקה של המנוחה בנכס, וככל שייפטר מן העולם טרם המנוחה, יירשו ילדיהם</w:t>
      </w:r>
      <w:r w:rsidR="0055669D">
        <w:rPr>
          <w:rFonts w:ascii="David" w:eastAsia="Calibri" w:hAnsi="David" w:hint="cs"/>
          <w:noProof w:val="0"/>
          <w:rtl/>
        </w:rPr>
        <w:t xml:space="preserve"> של בניה"ז</w:t>
      </w:r>
      <w:r w:rsidR="001741B5" w:rsidRPr="00000900">
        <w:rPr>
          <w:rFonts w:ascii="David" w:eastAsia="Calibri" w:hAnsi="David"/>
          <w:noProof w:val="0"/>
          <w:rtl/>
        </w:rPr>
        <w:t xml:space="preserve"> את זכויות המנוחה בנכס. </w:t>
      </w:r>
    </w:p>
    <w:p w:rsidR="00000900" w:rsidRPr="00000900" w:rsidRDefault="00000900" w:rsidP="000D7F45">
      <w:pPr>
        <w:spacing w:after="160"/>
        <w:ind w:left="-58"/>
        <w:contextualSpacing/>
        <w:jc w:val="both"/>
        <w:rPr>
          <w:rFonts w:ascii="David" w:eastAsia="Calibri" w:hAnsi="David"/>
          <w:noProof w:val="0"/>
        </w:rPr>
      </w:pPr>
    </w:p>
    <w:p w:rsidR="001741B5"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כמו כן, </w:t>
      </w:r>
      <w:r w:rsidR="0056086F">
        <w:rPr>
          <w:rFonts w:ascii="David" w:eastAsia="Calibri" w:hAnsi="David" w:hint="cs"/>
          <w:noProof w:val="0"/>
          <w:rtl/>
        </w:rPr>
        <w:t xml:space="preserve">המנוחה </w:t>
      </w:r>
      <w:r w:rsidRPr="00000900">
        <w:rPr>
          <w:rFonts w:ascii="David" w:eastAsia="Calibri" w:hAnsi="David"/>
          <w:noProof w:val="0"/>
          <w:rtl/>
        </w:rPr>
        <w:t xml:space="preserve">קבעה </w:t>
      </w:r>
      <w:r w:rsidR="0056086F">
        <w:rPr>
          <w:rFonts w:ascii="David" w:eastAsia="Calibri" w:hAnsi="David" w:hint="cs"/>
          <w:noProof w:val="0"/>
          <w:rtl/>
        </w:rPr>
        <w:t>ה</w:t>
      </w:r>
      <w:r w:rsidRPr="00000900">
        <w:rPr>
          <w:rFonts w:ascii="David" w:eastAsia="Calibri" w:hAnsi="David"/>
          <w:noProof w:val="0"/>
          <w:rtl/>
        </w:rPr>
        <w:t>וראה</w:t>
      </w:r>
      <w:r w:rsidR="0056086F">
        <w:rPr>
          <w:rFonts w:ascii="David" w:eastAsia="Calibri" w:hAnsi="David" w:hint="cs"/>
          <w:noProof w:val="0"/>
          <w:rtl/>
        </w:rPr>
        <w:t>,</w:t>
      </w:r>
      <w:r w:rsidRPr="00000900">
        <w:rPr>
          <w:rFonts w:ascii="David" w:eastAsia="Calibri" w:hAnsi="David"/>
          <w:noProof w:val="0"/>
          <w:rtl/>
        </w:rPr>
        <w:t xml:space="preserve"> כי הנתבע יוכל להמשיך ולהתגורר בנכס עד שישה חודשים מיום פטירת האחרון מבין בני הזוג (המנוחה או התובע). </w:t>
      </w:r>
    </w:p>
    <w:p w:rsidR="0056086F" w:rsidRPr="0056086F" w:rsidRDefault="0056086F" w:rsidP="000D7F45">
      <w:pPr>
        <w:spacing w:after="160"/>
        <w:ind w:left="-58"/>
        <w:contextualSpacing/>
        <w:jc w:val="both"/>
        <w:rPr>
          <w:rFonts w:ascii="David" w:eastAsia="Calibri" w:hAnsi="David"/>
          <w:noProof w:val="0"/>
        </w:rPr>
      </w:pPr>
    </w:p>
    <w:p w:rsidR="001741B5"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כאמור לעיל, ביום 10.9.21 נפטרה המנוחה, וביום 27.12.21 ניתן צו קיום לצוואת המנוחה ע"י כב' הרשמת לענייני ירושה</w:t>
      </w:r>
      <w:r w:rsidR="0055669D">
        <w:rPr>
          <w:rFonts w:ascii="David" w:eastAsia="Calibri" w:hAnsi="David" w:hint="cs"/>
          <w:noProof w:val="0"/>
          <w:rtl/>
        </w:rPr>
        <w:t>,</w:t>
      </w:r>
      <w:r w:rsidRPr="00000900">
        <w:rPr>
          <w:rFonts w:ascii="David" w:eastAsia="Calibri" w:hAnsi="David"/>
          <w:noProof w:val="0"/>
          <w:rtl/>
        </w:rPr>
        <w:t xml:space="preserve"> גב' בת שבע אברך בר טוב. </w:t>
      </w:r>
    </w:p>
    <w:p w:rsidR="0056086F" w:rsidRPr="00000900" w:rsidRDefault="0056086F" w:rsidP="000D7F45">
      <w:pPr>
        <w:spacing w:after="160"/>
        <w:ind w:left="-58"/>
        <w:contextualSpacing/>
        <w:jc w:val="both"/>
        <w:rPr>
          <w:rFonts w:ascii="David" w:eastAsia="Calibri" w:hAnsi="David"/>
          <w:noProof w:val="0"/>
        </w:rPr>
      </w:pPr>
    </w:p>
    <w:p w:rsidR="001741B5" w:rsidRPr="00000900"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ביום 30.4.23 נרשמו זכויות המנוחה בנכס ע"ש התובע תחת הערה "בכפוף לתנאים בצוואה".  </w:t>
      </w:r>
    </w:p>
    <w:p w:rsidR="001741B5" w:rsidRPr="00000900" w:rsidRDefault="001741B5" w:rsidP="000D7F45">
      <w:pPr>
        <w:ind w:left="-58"/>
        <w:contextualSpacing/>
        <w:jc w:val="both"/>
        <w:rPr>
          <w:rFonts w:ascii="David" w:eastAsia="Calibri" w:hAnsi="David"/>
          <w:noProof w:val="0"/>
        </w:rPr>
      </w:pPr>
    </w:p>
    <w:p w:rsidR="001741B5" w:rsidRDefault="001741B5" w:rsidP="000D7F45">
      <w:pPr>
        <w:ind w:left="-58"/>
        <w:contextualSpacing/>
        <w:jc w:val="both"/>
        <w:rPr>
          <w:rFonts w:ascii="David" w:eastAsia="Calibri" w:hAnsi="David"/>
          <w:b/>
          <w:bCs/>
          <w:noProof w:val="0"/>
          <w:u w:val="single"/>
          <w:rtl/>
        </w:rPr>
      </w:pPr>
      <w:r w:rsidRPr="00000900">
        <w:rPr>
          <w:rFonts w:ascii="David" w:eastAsia="Calibri" w:hAnsi="David"/>
          <w:b/>
          <w:bCs/>
          <w:noProof w:val="0"/>
          <w:u w:val="single"/>
          <w:rtl/>
        </w:rPr>
        <w:t>הסעדים המבוקשים</w:t>
      </w:r>
    </w:p>
    <w:p w:rsidR="0056086F" w:rsidRPr="00000900" w:rsidRDefault="0056086F" w:rsidP="000D7F45">
      <w:pPr>
        <w:ind w:left="-58"/>
        <w:contextualSpacing/>
        <w:jc w:val="both"/>
        <w:rPr>
          <w:rFonts w:ascii="David" w:eastAsia="Calibri" w:hAnsi="David"/>
          <w:b/>
          <w:bCs/>
          <w:noProof w:val="0"/>
          <w:u w:val="single"/>
          <w:rtl/>
        </w:rPr>
      </w:pPr>
    </w:p>
    <w:p w:rsidR="001741B5" w:rsidRPr="00000900"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התובע עותר לסעדים הבאים: סילוק ידו של הנתבע מהנכס; הסרת "הערת האזהרה" לגבי הזכויות אותן ירש התובע</w:t>
      </w:r>
      <w:r w:rsidR="0056086F">
        <w:rPr>
          <w:rFonts w:ascii="David" w:eastAsia="Calibri" w:hAnsi="David"/>
          <w:noProof w:val="0"/>
          <w:rtl/>
        </w:rPr>
        <w:t xml:space="preserve"> מהמנוחה בנכס, לצורך מכירת הנכס</w:t>
      </w:r>
      <w:r w:rsidRPr="00000900">
        <w:rPr>
          <w:rFonts w:ascii="David" w:eastAsia="Calibri" w:hAnsi="David"/>
          <w:noProof w:val="0"/>
          <w:rtl/>
        </w:rPr>
        <w:t xml:space="preserve">; חיוב הנתבע בפיצויים בגין "הנזק שנגרם". </w:t>
      </w:r>
    </w:p>
    <w:p w:rsidR="001741B5" w:rsidRPr="0056086F" w:rsidRDefault="001741B5" w:rsidP="000D7F45">
      <w:pPr>
        <w:ind w:left="-58"/>
        <w:contextualSpacing/>
        <w:jc w:val="both"/>
        <w:rPr>
          <w:rFonts w:ascii="David" w:eastAsia="Calibri" w:hAnsi="David"/>
          <w:noProof w:val="0"/>
        </w:rPr>
      </w:pPr>
    </w:p>
    <w:p w:rsidR="001741B5" w:rsidRPr="00000900" w:rsidRDefault="001741B5" w:rsidP="000D7F45">
      <w:pPr>
        <w:ind w:left="-58"/>
        <w:contextualSpacing/>
        <w:jc w:val="both"/>
        <w:rPr>
          <w:rFonts w:ascii="David" w:eastAsia="Calibri" w:hAnsi="David"/>
          <w:b/>
          <w:bCs/>
          <w:noProof w:val="0"/>
          <w:u w:val="single"/>
          <w:rtl/>
        </w:rPr>
      </w:pPr>
      <w:r w:rsidRPr="00000900">
        <w:rPr>
          <w:rFonts w:ascii="David" w:eastAsia="Calibri" w:hAnsi="David"/>
          <w:b/>
          <w:bCs/>
          <w:noProof w:val="0"/>
          <w:u w:val="single"/>
          <w:rtl/>
        </w:rPr>
        <w:t>טענות התובע</w:t>
      </w:r>
      <w:r w:rsidR="00182796">
        <w:rPr>
          <w:rFonts w:ascii="David" w:eastAsia="Calibri" w:hAnsi="David" w:hint="cs"/>
          <w:b/>
          <w:bCs/>
          <w:noProof w:val="0"/>
          <w:u w:val="single"/>
          <w:rtl/>
        </w:rPr>
        <w:t xml:space="preserve"> הצריכות לעניין</w:t>
      </w:r>
    </w:p>
    <w:p w:rsidR="0056086F" w:rsidRDefault="0056086F" w:rsidP="000D7F45">
      <w:pPr>
        <w:spacing w:after="160"/>
        <w:ind w:left="-58"/>
        <w:contextualSpacing/>
        <w:jc w:val="both"/>
        <w:rPr>
          <w:rFonts w:ascii="David" w:eastAsia="Calibri" w:hAnsi="David"/>
          <w:noProof w:val="0"/>
        </w:rPr>
      </w:pPr>
    </w:p>
    <w:p w:rsidR="001741B5"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לאחר שעבר הנתבע להתגורר עם </w:t>
      </w:r>
      <w:r w:rsidR="0056086F">
        <w:rPr>
          <w:rFonts w:ascii="David" w:eastAsia="Calibri" w:hAnsi="David" w:hint="cs"/>
          <w:noProof w:val="0"/>
          <w:rtl/>
        </w:rPr>
        <w:t>בני הזוג</w:t>
      </w:r>
      <w:r w:rsidRPr="00000900">
        <w:rPr>
          <w:rFonts w:ascii="David" w:eastAsia="Calibri" w:hAnsi="David"/>
          <w:noProof w:val="0"/>
          <w:rtl/>
        </w:rPr>
        <w:t>, הפכה האווירה בבית לקשה מאוד</w:t>
      </w:r>
      <w:r w:rsidR="00182796">
        <w:rPr>
          <w:rFonts w:ascii="David" w:eastAsia="Calibri" w:hAnsi="David" w:hint="cs"/>
          <w:noProof w:val="0"/>
          <w:rtl/>
        </w:rPr>
        <w:t xml:space="preserve"> (התובע תיאר מס' אירועים שלטענתו התרחשו והנתבע התנהג באלימות)</w:t>
      </w:r>
      <w:r w:rsidRPr="00000900">
        <w:rPr>
          <w:rFonts w:ascii="David" w:eastAsia="Calibri" w:hAnsi="David"/>
          <w:noProof w:val="0"/>
          <w:rtl/>
        </w:rPr>
        <w:t xml:space="preserve">. כמו כן, </w:t>
      </w:r>
      <w:r w:rsidR="0056086F">
        <w:rPr>
          <w:rFonts w:ascii="David" w:eastAsia="Calibri" w:hAnsi="David" w:hint="cs"/>
          <w:noProof w:val="0"/>
          <w:rtl/>
        </w:rPr>
        <w:t xml:space="preserve">בני הזוג </w:t>
      </w:r>
      <w:r w:rsidRPr="00000900">
        <w:rPr>
          <w:rFonts w:ascii="David" w:eastAsia="Calibri" w:hAnsi="David"/>
          <w:noProof w:val="0"/>
          <w:rtl/>
        </w:rPr>
        <w:t xml:space="preserve">הם שפרנסו את התובע ושילמו עבורו את כלל חשבונותיו. </w:t>
      </w:r>
    </w:p>
    <w:p w:rsidR="0056086F" w:rsidRPr="00000900" w:rsidRDefault="0056086F" w:rsidP="000D7F45">
      <w:pPr>
        <w:spacing w:after="160"/>
        <w:ind w:left="-58"/>
        <w:contextualSpacing/>
        <w:jc w:val="both"/>
        <w:rPr>
          <w:rFonts w:ascii="David" w:eastAsia="Calibri" w:hAnsi="David"/>
          <w:noProof w:val="0"/>
        </w:rPr>
      </w:pPr>
    </w:p>
    <w:p w:rsidR="001741B5" w:rsidRPr="00000900"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בשל המציאות הקשה בבית חלתה המנוחה. </w:t>
      </w:r>
    </w:p>
    <w:p w:rsidR="00F404D8" w:rsidRDefault="00F404D8" w:rsidP="000D7F45">
      <w:pPr>
        <w:spacing w:after="160"/>
        <w:ind w:left="-58"/>
        <w:contextualSpacing/>
        <w:jc w:val="both"/>
        <w:rPr>
          <w:rFonts w:ascii="David" w:eastAsia="Calibri" w:hAnsi="David"/>
          <w:noProof w:val="0"/>
        </w:rPr>
      </w:pPr>
    </w:p>
    <w:p w:rsidR="001741B5"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ביום 14.12.17 ערכו המנוחה והתובע את הצוואות.</w:t>
      </w:r>
      <w:r w:rsidR="00D51145">
        <w:rPr>
          <w:rFonts w:ascii="David" w:eastAsia="Calibri" w:hAnsi="David" w:hint="cs"/>
          <w:noProof w:val="0"/>
          <w:rtl/>
        </w:rPr>
        <w:t xml:space="preserve"> לטענת התובע, בניה"ז הורישו, כ"א מהם, בדרך של יורש אחר יורש את כל רכושו למשנהו ואז לילדים. כ"א הוריש לילדים בחלקים שונים.</w:t>
      </w:r>
      <w:r w:rsidRPr="00000900">
        <w:rPr>
          <w:rFonts w:ascii="David" w:eastAsia="Calibri" w:hAnsi="David"/>
          <w:noProof w:val="0"/>
          <w:rtl/>
        </w:rPr>
        <w:t xml:space="preserve"> התובע לא רצה להעניק לנתבע את זכות המגורים בנכס, אולם המנוחה הייתה חולה ורצונו של התובע היה שלא לצער אותה.  </w:t>
      </w:r>
    </w:p>
    <w:p w:rsidR="00D51145" w:rsidRPr="00000900" w:rsidRDefault="00D51145" w:rsidP="000D7F45">
      <w:pPr>
        <w:spacing w:after="160"/>
        <w:ind w:left="-58"/>
        <w:contextualSpacing/>
        <w:jc w:val="both"/>
        <w:rPr>
          <w:rFonts w:ascii="David" w:eastAsia="Calibri" w:hAnsi="David"/>
          <w:noProof w:val="0"/>
        </w:rPr>
      </w:pPr>
    </w:p>
    <w:p w:rsidR="001741B5" w:rsidRPr="00000900"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נאמר לתובע ע"י עורכת הצווא</w:t>
      </w:r>
      <w:r w:rsidR="0056086F">
        <w:rPr>
          <w:rFonts w:ascii="David" w:eastAsia="Calibri" w:hAnsi="David"/>
          <w:noProof w:val="0"/>
          <w:rtl/>
        </w:rPr>
        <w:t xml:space="preserve">ה, כי יוכל לשנות מן הצוואה ככל </w:t>
      </w:r>
      <w:r w:rsidR="0056086F">
        <w:rPr>
          <w:rFonts w:ascii="David" w:eastAsia="Calibri" w:hAnsi="David" w:hint="cs"/>
          <w:noProof w:val="0"/>
          <w:rtl/>
        </w:rPr>
        <w:t>ש</w:t>
      </w:r>
      <w:r w:rsidRPr="00000900">
        <w:rPr>
          <w:rFonts w:ascii="David" w:eastAsia="Calibri" w:hAnsi="David"/>
          <w:noProof w:val="0"/>
          <w:rtl/>
        </w:rPr>
        <w:t>בעתיד המנוחה תלך לעולמה לפניו</w:t>
      </w:r>
      <w:r w:rsidR="0056086F">
        <w:rPr>
          <w:rFonts w:ascii="David" w:eastAsia="Calibri" w:hAnsi="David" w:hint="cs"/>
          <w:noProof w:val="0"/>
          <w:rtl/>
        </w:rPr>
        <w:t>,</w:t>
      </w:r>
      <w:r w:rsidRPr="00000900">
        <w:rPr>
          <w:rFonts w:ascii="David" w:eastAsia="Calibri" w:hAnsi="David"/>
          <w:noProof w:val="0"/>
          <w:rtl/>
        </w:rPr>
        <w:t xml:space="preserve"> ועל פי עצתה נהג בפועל. </w:t>
      </w:r>
    </w:p>
    <w:p w:rsidR="0056086F" w:rsidRDefault="0056086F" w:rsidP="000D7F45">
      <w:pPr>
        <w:spacing w:after="160"/>
        <w:ind w:left="-58"/>
        <w:contextualSpacing/>
        <w:jc w:val="both"/>
        <w:rPr>
          <w:rFonts w:ascii="David" w:eastAsia="Calibri" w:hAnsi="David"/>
          <w:noProof w:val="0"/>
        </w:rPr>
      </w:pPr>
    </w:p>
    <w:p w:rsidR="00D51145" w:rsidRDefault="00D51145"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t xml:space="preserve">ביום 10.9.21 הלכה המנוחה לבית עולמה. </w:t>
      </w:r>
    </w:p>
    <w:p w:rsidR="00D51145" w:rsidRDefault="00D51145"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lastRenderedPageBreak/>
        <w:t xml:space="preserve">כן טען התובע כי </w:t>
      </w:r>
      <w:r w:rsidR="0093345F">
        <w:rPr>
          <w:rFonts w:ascii="David" w:eastAsia="Calibri" w:hAnsi="David" w:hint="cs"/>
          <w:noProof w:val="0"/>
          <w:rtl/>
        </w:rPr>
        <w:t>בסע' 6 לצוואתה ציוותה המנוחה כי הנתבע יוסיף לה</w:t>
      </w:r>
      <w:r w:rsidR="001D22D6">
        <w:rPr>
          <w:rFonts w:ascii="David" w:eastAsia="Calibri" w:hAnsi="David" w:hint="cs"/>
          <w:noProof w:val="0"/>
          <w:rtl/>
        </w:rPr>
        <w:t>ת</w:t>
      </w:r>
      <w:r w:rsidR="0093345F">
        <w:rPr>
          <w:rFonts w:ascii="David" w:eastAsia="Calibri" w:hAnsi="David" w:hint="cs"/>
          <w:noProof w:val="0"/>
          <w:rtl/>
        </w:rPr>
        <w:t xml:space="preserve">גורר תקופה של 6 חודשים בדירת בני הזוג מיום פטירת האחרון מבין בניה"ז. נשאלת השאלה אפוא לגבי חוקיותו של סע' זה להסכם והגבלת חופש הקניין של התובע ע"י המנוחה. </w:t>
      </w:r>
    </w:p>
    <w:p w:rsidR="000D7F45" w:rsidRDefault="000D7F45" w:rsidP="000D7F45">
      <w:pPr>
        <w:spacing w:after="160"/>
        <w:ind w:left="-58"/>
        <w:contextualSpacing/>
        <w:jc w:val="both"/>
        <w:rPr>
          <w:rFonts w:ascii="David" w:eastAsia="Calibri" w:hAnsi="David"/>
          <w:noProof w:val="0"/>
        </w:rPr>
      </w:pPr>
    </w:p>
    <w:p w:rsidR="001D22D6" w:rsidRDefault="001D22D6"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t xml:space="preserve">כפי שצוין לעיל, טוען התובע כי לא רצה להעניק זכות כזו לנתבע, ברם ע"מ שלא לצער את המנוחה שהיתה אז חולה, ומתוך ידיעה כי ניתן לשנות את ההוראה, הסכים לכך. </w:t>
      </w:r>
    </w:p>
    <w:p w:rsidR="00D51145" w:rsidRDefault="00D51145" w:rsidP="000D7F45">
      <w:pPr>
        <w:pStyle w:val="ad"/>
        <w:rPr>
          <w:rFonts w:ascii="David" w:eastAsia="Calibri" w:hAnsi="David"/>
          <w:noProof w:val="0"/>
          <w:rtl/>
        </w:rPr>
      </w:pPr>
    </w:p>
    <w:p w:rsidR="001741B5"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לאחר פטירת המנוחה, נותרו הצדדים לגור בנכס, וחייו של התובע במחיצת הנתבע הפכו בלתי סבירים. כתוצאה מהלחץ והקושי עבר התובע אירועים מוחיים. </w:t>
      </w:r>
    </w:p>
    <w:p w:rsidR="0056086F" w:rsidRPr="00000900" w:rsidRDefault="0056086F" w:rsidP="000D7F45">
      <w:pPr>
        <w:spacing w:after="160"/>
        <w:ind w:left="-58"/>
        <w:contextualSpacing/>
        <w:jc w:val="both"/>
        <w:rPr>
          <w:rFonts w:ascii="David" w:eastAsia="Calibri" w:hAnsi="David"/>
          <w:noProof w:val="0"/>
        </w:rPr>
      </w:pPr>
    </w:p>
    <w:p w:rsidR="001741B5" w:rsidRPr="00000900"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לבסוף, ע</w:t>
      </w:r>
      <w:r w:rsidR="0056086F">
        <w:rPr>
          <w:rFonts w:ascii="David" w:eastAsia="Calibri" w:hAnsi="David" w:hint="cs"/>
          <w:noProof w:val="0"/>
          <w:rtl/>
        </w:rPr>
        <w:t xml:space="preserve">זב </w:t>
      </w:r>
      <w:r w:rsidRPr="00000900">
        <w:rPr>
          <w:rFonts w:ascii="David" w:eastAsia="Calibri" w:hAnsi="David"/>
          <w:noProof w:val="0"/>
          <w:rtl/>
        </w:rPr>
        <w:t>התובע</w:t>
      </w:r>
      <w:r w:rsidR="0056086F">
        <w:rPr>
          <w:rFonts w:ascii="David" w:eastAsia="Calibri" w:hAnsi="David" w:hint="cs"/>
          <w:noProof w:val="0"/>
          <w:rtl/>
        </w:rPr>
        <w:t xml:space="preserve"> את הנכס ועבר</w:t>
      </w:r>
      <w:r w:rsidRPr="00000900">
        <w:rPr>
          <w:rFonts w:ascii="David" w:eastAsia="Calibri" w:hAnsi="David"/>
          <w:noProof w:val="0"/>
          <w:rtl/>
        </w:rPr>
        <w:t xml:space="preserve"> להתגורר בדיור מוגן, שם הוא מקבל השגחה צמודה ומעקב רפואי.</w:t>
      </w:r>
    </w:p>
    <w:p w:rsidR="0056086F" w:rsidRDefault="0056086F" w:rsidP="000D7F45">
      <w:pPr>
        <w:spacing w:after="160"/>
        <w:ind w:left="-58"/>
        <w:contextualSpacing/>
        <w:jc w:val="both"/>
        <w:rPr>
          <w:rFonts w:ascii="David" w:eastAsia="Calibri" w:hAnsi="David"/>
          <w:noProof w:val="0"/>
        </w:rPr>
      </w:pPr>
    </w:p>
    <w:p w:rsidR="000608DA"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התובע מעוניין למכור את הנכס, בכדי לממן את שהותו בדיור המוגן. </w:t>
      </w:r>
      <w:r w:rsidR="001D22D6">
        <w:rPr>
          <w:rFonts w:ascii="David" w:eastAsia="Calibri" w:hAnsi="David" w:hint="cs"/>
          <w:noProof w:val="0"/>
          <w:rtl/>
        </w:rPr>
        <w:t>במשך כל הזמן נשא התובע לבדו בהוצאות אחזקת הנכס, גם לאחר שעזב.</w:t>
      </w:r>
    </w:p>
    <w:p w:rsidR="000608DA" w:rsidRDefault="000608DA" w:rsidP="000D7F45">
      <w:pPr>
        <w:pStyle w:val="ad"/>
        <w:rPr>
          <w:rFonts w:ascii="David" w:eastAsia="Calibri" w:hAnsi="David"/>
          <w:noProof w:val="0"/>
          <w:rtl/>
        </w:rPr>
      </w:pPr>
    </w:p>
    <w:p w:rsidR="001741B5" w:rsidRDefault="000608DA"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t>התובע ניסה להביא לפתרון המחלוקת והציע הצעה בה הסכים לשלם לילדיו את כספם בחלקה ש</w:t>
      </w:r>
      <w:r w:rsidR="00950964">
        <w:rPr>
          <w:rFonts w:ascii="David" w:eastAsia="Calibri" w:hAnsi="David" w:hint="cs"/>
          <w:noProof w:val="0"/>
          <w:rtl/>
        </w:rPr>
        <w:t>ל</w:t>
      </w:r>
      <w:r>
        <w:rPr>
          <w:rFonts w:ascii="David" w:eastAsia="Calibri" w:hAnsi="David" w:hint="cs"/>
          <w:noProof w:val="0"/>
          <w:rtl/>
        </w:rPr>
        <w:t xml:space="preserve"> המנוחה בירושה, אך ללא הועיל.</w:t>
      </w:r>
      <w:r w:rsidR="001D22D6">
        <w:rPr>
          <w:rFonts w:ascii="David" w:eastAsia="Calibri" w:hAnsi="David" w:hint="cs"/>
          <w:noProof w:val="0"/>
          <w:rtl/>
        </w:rPr>
        <w:t xml:space="preserve"> </w:t>
      </w:r>
    </w:p>
    <w:p w:rsidR="000608DA" w:rsidRDefault="000608DA" w:rsidP="000D7F45">
      <w:pPr>
        <w:pStyle w:val="ad"/>
        <w:rPr>
          <w:rFonts w:ascii="David" w:eastAsia="Calibri" w:hAnsi="David"/>
          <w:noProof w:val="0"/>
          <w:rtl/>
        </w:rPr>
      </w:pPr>
    </w:p>
    <w:p w:rsidR="000608DA" w:rsidRDefault="000608DA"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t>בפן המשפטי טען התובע כי הנתבע הינו בבחינת יורש אחר יורש בכל הנוגע ל-30% ממחצית הזכויות בנכס. עפ"י הוראות סעיף 42 לחוק הירושה, תשכ"ה- 1965 (להלן: "</w:t>
      </w:r>
      <w:r w:rsidRPr="000608DA">
        <w:rPr>
          <w:rFonts w:ascii="David" w:eastAsia="Calibri" w:hAnsi="David" w:hint="cs"/>
          <w:b/>
          <w:bCs/>
          <w:noProof w:val="0"/>
          <w:rtl/>
        </w:rPr>
        <w:t>החוק</w:t>
      </w:r>
      <w:r>
        <w:rPr>
          <w:rFonts w:ascii="David" w:eastAsia="Calibri" w:hAnsi="David" w:hint="cs"/>
          <w:noProof w:val="0"/>
          <w:rtl/>
        </w:rPr>
        <w:t>" או "</w:t>
      </w:r>
      <w:r w:rsidRPr="000608DA">
        <w:rPr>
          <w:rFonts w:ascii="David" w:eastAsia="Calibri" w:hAnsi="David" w:hint="cs"/>
          <w:b/>
          <w:bCs/>
          <w:noProof w:val="0"/>
          <w:rtl/>
        </w:rPr>
        <w:t>חוק הירושה</w:t>
      </w:r>
      <w:r>
        <w:rPr>
          <w:rFonts w:ascii="David" w:eastAsia="Calibri" w:hAnsi="David" w:hint="cs"/>
          <w:noProof w:val="0"/>
          <w:rtl/>
        </w:rPr>
        <w:t xml:space="preserve">"), היורש הראשון רשאי לעשות ברכוש שירש כרצונו, בעוד היורש השני יורש רק את מה שיוותר לאחר מות היורש הראשון. </w:t>
      </w:r>
    </w:p>
    <w:p w:rsidR="00950964" w:rsidRDefault="00950964" w:rsidP="000D7F45">
      <w:pPr>
        <w:spacing w:after="160"/>
        <w:ind w:left="-58"/>
        <w:contextualSpacing/>
        <w:jc w:val="both"/>
        <w:rPr>
          <w:rFonts w:ascii="David" w:eastAsia="Calibri" w:hAnsi="David"/>
          <w:noProof w:val="0"/>
        </w:rPr>
      </w:pPr>
    </w:p>
    <w:p w:rsidR="000608DA" w:rsidRPr="00000900" w:rsidRDefault="000608DA"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t xml:space="preserve">כן טען התובע כי בהתאם להוראות סע' 42 לחוק הוא רשאי למכור את הנכס משאין הגבלה לכך בצוואה. </w:t>
      </w:r>
      <w:r w:rsidR="00950964">
        <w:rPr>
          <w:rFonts w:ascii="David" w:eastAsia="Calibri" w:hAnsi="David" w:hint="cs"/>
          <w:noProof w:val="0"/>
          <w:rtl/>
        </w:rPr>
        <w:t xml:space="preserve">התובע טען כי זולת נושא זכות המגורים, אין בצוואה כל תנאי או הגבלה. </w:t>
      </w:r>
    </w:p>
    <w:p w:rsidR="0056086F" w:rsidRDefault="0056086F" w:rsidP="000D7F45">
      <w:pPr>
        <w:spacing w:after="160"/>
        <w:ind w:left="-58"/>
        <w:contextualSpacing/>
        <w:jc w:val="both"/>
        <w:rPr>
          <w:rFonts w:ascii="David" w:eastAsia="Calibri" w:hAnsi="David"/>
          <w:noProof w:val="0"/>
        </w:rPr>
      </w:pPr>
    </w:p>
    <w:p w:rsidR="001741B5" w:rsidRPr="00000900"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המנוחה לא הייתה יכולה לצוות מה יעשה בחלקו של התובע בנכס, ורישום הערת האזהרה גם על חלקו היא טעות.   </w:t>
      </w:r>
    </w:p>
    <w:p w:rsidR="001741B5" w:rsidRDefault="001741B5" w:rsidP="000D7F45">
      <w:pPr>
        <w:ind w:left="-58"/>
        <w:contextualSpacing/>
        <w:jc w:val="both"/>
        <w:rPr>
          <w:rFonts w:ascii="David" w:eastAsia="Calibri" w:hAnsi="David"/>
          <w:noProof w:val="0"/>
          <w:rtl/>
        </w:rPr>
      </w:pPr>
    </w:p>
    <w:p w:rsidR="001741B5" w:rsidRDefault="001741B5" w:rsidP="000D7F45">
      <w:pPr>
        <w:ind w:left="-58"/>
        <w:contextualSpacing/>
        <w:jc w:val="both"/>
        <w:rPr>
          <w:rFonts w:ascii="David" w:eastAsia="Calibri" w:hAnsi="David"/>
          <w:b/>
          <w:bCs/>
          <w:noProof w:val="0"/>
          <w:u w:val="single"/>
          <w:rtl/>
        </w:rPr>
      </w:pPr>
      <w:r w:rsidRPr="00000900">
        <w:rPr>
          <w:rFonts w:ascii="David" w:eastAsia="Calibri" w:hAnsi="David"/>
          <w:b/>
          <w:bCs/>
          <w:noProof w:val="0"/>
          <w:u w:val="single"/>
          <w:rtl/>
        </w:rPr>
        <w:t>טענות הנתבע</w:t>
      </w:r>
      <w:r w:rsidR="00950964">
        <w:rPr>
          <w:rFonts w:ascii="David" w:eastAsia="Calibri" w:hAnsi="David" w:hint="cs"/>
          <w:b/>
          <w:bCs/>
          <w:noProof w:val="0"/>
          <w:u w:val="single"/>
          <w:rtl/>
        </w:rPr>
        <w:t xml:space="preserve"> הצריכות לעניין</w:t>
      </w:r>
    </w:p>
    <w:p w:rsidR="00950964" w:rsidRPr="00000900" w:rsidRDefault="00950964" w:rsidP="000D7F45">
      <w:pPr>
        <w:ind w:left="-58"/>
        <w:contextualSpacing/>
        <w:jc w:val="both"/>
        <w:rPr>
          <w:rFonts w:ascii="David" w:eastAsia="Calibri" w:hAnsi="David"/>
          <w:b/>
          <w:bCs/>
          <w:noProof w:val="0"/>
          <w:u w:val="single"/>
          <w:rtl/>
        </w:rPr>
      </w:pPr>
    </w:p>
    <w:p w:rsidR="003F4B84" w:rsidRDefault="00950964"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t xml:space="preserve">הנתבע טען כי מדובר במקרה חריג בחומרתו וכי מדובר באירועים מזעזעים וחמורים בהיקפם ובחומרתם, שביצע התובע נגד הנתבע. מדובר במעשים שבוצעו תקופה ממושכת, בזדון ובמטרה לפגוע בו. </w:t>
      </w:r>
    </w:p>
    <w:p w:rsidR="003F4B84" w:rsidRDefault="003F4B84" w:rsidP="000D7F45">
      <w:pPr>
        <w:spacing w:after="160"/>
        <w:ind w:left="-58"/>
        <w:contextualSpacing/>
        <w:jc w:val="both"/>
        <w:rPr>
          <w:rFonts w:ascii="David" w:eastAsia="Calibri" w:hAnsi="David"/>
          <w:noProof w:val="0"/>
        </w:rPr>
      </w:pPr>
    </w:p>
    <w:p w:rsidR="003F4B84" w:rsidRDefault="00950964" w:rsidP="000D7F45">
      <w:pPr>
        <w:numPr>
          <w:ilvl w:val="0"/>
          <w:numId w:val="1"/>
        </w:numPr>
        <w:spacing w:after="160"/>
        <w:ind w:left="-58" w:hanging="567"/>
        <w:contextualSpacing/>
        <w:jc w:val="both"/>
        <w:rPr>
          <w:rFonts w:ascii="David" w:eastAsia="Calibri" w:hAnsi="David"/>
          <w:noProof w:val="0"/>
        </w:rPr>
      </w:pPr>
      <w:r w:rsidRPr="003F4B84">
        <w:rPr>
          <w:rFonts w:ascii="David" w:eastAsia="Calibri" w:hAnsi="David" w:hint="cs"/>
          <w:noProof w:val="0"/>
          <w:rtl/>
        </w:rPr>
        <w:t>התובע מעוניין להשפיל את הנתבע, להביא אותו</w:t>
      </w:r>
      <w:r w:rsidR="003F4B84" w:rsidRPr="003F4B84">
        <w:rPr>
          <w:rFonts w:ascii="David" w:eastAsia="Calibri" w:hAnsi="David" w:hint="cs"/>
          <w:noProof w:val="0"/>
          <w:rtl/>
        </w:rPr>
        <w:t xml:space="preserve"> לכדי ביזוי ולזרוק אותו לרחוב, ללא קורת גג.</w:t>
      </w:r>
    </w:p>
    <w:p w:rsidR="003F4B84" w:rsidRDefault="003F4B84" w:rsidP="000D7F45">
      <w:pPr>
        <w:pStyle w:val="ad"/>
        <w:rPr>
          <w:rFonts w:ascii="David" w:eastAsia="Calibri" w:hAnsi="David"/>
          <w:noProof w:val="0"/>
          <w:rtl/>
        </w:rPr>
      </w:pPr>
    </w:p>
    <w:p w:rsidR="003F4B84" w:rsidRDefault="003F4B84"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t>כתב התביעה מפר את חובת תום הלב כאשר התובע מנצל באופן ציני את מותה של המנוחה, כקרדום לחפור בו ולהביא לשינוי זכויות הנתבע, בניגוד להוראות צוואתה המפור</w:t>
      </w:r>
      <w:r w:rsidR="007D0C68">
        <w:rPr>
          <w:rFonts w:ascii="David" w:eastAsia="Calibri" w:hAnsi="David" w:hint="cs"/>
          <w:noProof w:val="0"/>
          <w:rtl/>
        </w:rPr>
        <w:t>ש</w:t>
      </w:r>
      <w:r>
        <w:rPr>
          <w:rFonts w:ascii="David" w:eastAsia="Calibri" w:hAnsi="David" w:hint="cs"/>
          <w:noProof w:val="0"/>
          <w:rtl/>
        </w:rPr>
        <w:t xml:space="preserve">ת של המנוחה. כתב התביעה מבוסס על גרסה בלתי אמינה ושקרית. </w:t>
      </w:r>
    </w:p>
    <w:p w:rsidR="003F4B84" w:rsidRDefault="003F4B84" w:rsidP="000D7F45">
      <w:pPr>
        <w:pStyle w:val="ad"/>
        <w:rPr>
          <w:rFonts w:ascii="David" w:eastAsia="Calibri" w:hAnsi="David"/>
          <w:noProof w:val="0"/>
          <w:rtl/>
        </w:rPr>
      </w:pPr>
    </w:p>
    <w:p w:rsidR="00950964" w:rsidRPr="003F4B84" w:rsidRDefault="003F4B84"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t xml:space="preserve">התובע פועל בניגוד להוראות מפורשות של הצוואה ובניגוד לתכליתה, כשרצונה של המנוחה להגן על הנתבע מפני רצון התובע, אביו, לגרשו מן הנכס. </w:t>
      </w:r>
      <w:r w:rsidRPr="003F4B84">
        <w:rPr>
          <w:rFonts w:ascii="David" w:eastAsia="Calibri" w:hAnsi="David" w:hint="cs"/>
          <w:noProof w:val="0"/>
          <w:rtl/>
        </w:rPr>
        <w:t xml:space="preserve"> </w:t>
      </w:r>
    </w:p>
    <w:p w:rsidR="00950964" w:rsidRPr="003F4B84" w:rsidRDefault="00950964" w:rsidP="000D7F45">
      <w:pPr>
        <w:pStyle w:val="ad"/>
        <w:rPr>
          <w:rFonts w:ascii="David" w:eastAsia="Calibri" w:hAnsi="David"/>
          <w:noProof w:val="0"/>
          <w:rtl/>
        </w:rPr>
      </w:pPr>
    </w:p>
    <w:p w:rsidR="001741B5"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רצונה של המנוחה בצוואתה היה לאפשר לנתבע זכות מגורים בנכס, והדבר השתקף בהתניות שהטילה על התובע ביחס לנכס. יש לקיים את רצון המנוחה הברור. </w:t>
      </w:r>
    </w:p>
    <w:p w:rsidR="003F4B84" w:rsidRDefault="003F4B84" w:rsidP="000D7F45">
      <w:pPr>
        <w:pStyle w:val="ad"/>
        <w:rPr>
          <w:rFonts w:ascii="David" w:eastAsia="Calibri" w:hAnsi="David"/>
          <w:noProof w:val="0"/>
          <w:rtl/>
        </w:rPr>
      </w:pPr>
    </w:p>
    <w:p w:rsidR="008A01A8" w:rsidRDefault="003F4B84"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lastRenderedPageBreak/>
        <w:t>בלב המחלוקת מצוי</w:t>
      </w:r>
      <w:r w:rsidR="00DC64D0">
        <w:rPr>
          <w:rFonts w:ascii="David" w:eastAsia="Calibri" w:hAnsi="David" w:hint="cs"/>
          <w:noProof w:val="0"/>
          <w:rtl/>
        </w:rPr>
        <w:t>ו</w:t>
      </w:r>
      <w:r>
        <w:rPr>
          <w:rFonts w:ascii="David" w:eastAsia="Calibri" w:hAnsi="David" w:hint="cs"/>
          <w:noProof w:val="0"/>
          <w:rtl/>
        </w:rPr>
        <w:t>ת זכות מגורים וזכות שימוש אשר הקנתה המנוחה לנתבע ב</w:t>
      </w:r>
      <w:r w:rsidR="007D0C68">
        <w:rPr>
          <w:rFonts w:ascii="David" w:eastAsia="Calibri" w:hAnsi="David" w:hint="cs"/>
          <w:noProof w:val="0"/>
          <w:rtl/>
        </w:rPr>
        <w:t>ד</w:t>
      </w:r>
      <w:r>
        <w:rPr>
          <w:rFonts w:ascii="David" w:eastAsia="Calibri" w:hAnsi="David" w:hint="cs"/>
          <w:noProof w:val="0"/>
          <w:rtl/>
        </w:rPr>
        <w:t xml:space="preserve">ירת מגורים שבבעלותה. </w:t>
      </w:r>
      <w:r w:rsidR="00DC64D0">
        <w:rPr>
          <w:rFonts w:ascii="David" w:eastAsia="Calibri" w:hAnsi="David" w:hint="cs"/>
          <w:noProof w:val="0"/>
          <w:rtl/>
        </w:rPr>
        <w:t>זכויותיו הקנייניות של התובע בנכס תלויות באופן מוחלט ברצונה של המנוחה, לפי האמור בסע' 10 לצוואה</w:t>
      </w:r>
      <w:r w:rsidR="00072A81">
        <w:rPr>
          <w:rFonts w:ascii="David" w:eastAsia="Calibri" w:hAnsi="David" w:hint="cs"/>
          <w:noProof w:val="0"/>
          <w:rtl/>
        </w:rPr>
        <w:t>, המצוין לעיל</w:t>
      </w:r>
      <w:r w:rsidR="00DC64D0">
        <w:rPr>
          <w:rFonts w:ascii="David" w:eastAsia="Calibri" w:hAnsi="David" w:hint="cs"/>
          <w:noProof w:val="0"/>
          <w:rtl/>
        </w:rPr>
        <w:t xml:space="preserve">. </w:t>
      </w:r>
    </w:p>
    <w:p w:rsidR="008A01A8" w:rsidRDefault="008A01A8" w:rsidP="000D7F45">
      <w:pPr>
        <w:pStyle w:val="ad"/>
        <w:rPr>
          <w:rFonts w:ascii="David" w:eastAsia="Calibri" w:hAnsi="David"/>
          <w:noProof w:val="0"/>
          <w:rtl/>
        </w:rPr>
      </w:pPr>
    </w:p>
    <w:p w:rsidR="008A01A8" w:rsidRDefault="008A01A8" w:rsidP="000D7F45">
      <w:pPr>
        <w:numPr>
          <w:ilvl w:val="0"/>
          <w:numId w:val="1"/>
        </w:numPr>
        <w:spacing w:after="160"/>
        <w:ind w:left="-58" w:hanging="567"/>
        <w:contextualSpacing/>
        <w:jc w:val="both"/>
        <w:rPr>
          <w:rFonts w:ascii="David" w:eastAsia="Calibri" w:hAnsi="David"/>
          <w:noProof w:val="0"/>
        </w:rPr>
      </w:pPr>
      <w:r w:rsidRPr="008A01A8">
        <w:rPr>
          <w:rFonts w:ascii="David" w:eastAsia="Calibri" w:hAnsi="David" w:hint="cs"/>
          <w:noProof w:val="0"/>
          <w:rtl/>
        </w:rPr>
        <w:t xml:space="preserve">הוראת סעיף 10 בצוואה דנה בתנאי שהוא במהותו תנאי מתלה כמקובל בדיני החוזים, </w:t>
      </w:r>
      <w:r>
        <w:rPr>
          <w:rFonts w:ascii="David" w:eastAsia="Calibri" w:hAnsi="David" w:hint="cs"/>
          <w:noProof w:val="0"/>
          <w:rtl/>
        </w:rPr>
        <w:t>רצונה של המנוחה משתקף בתנ</w:t>
      </w:r>
      <w:r w:rsidR="007D0C68">
        <w:rPr>
          <w:rFonts w:ascii="David" w:eastAsia="Calibri" w:hAnsi="David" w:hint="cs"/>
          <w:noProof w:val="0"/>
          <w:rtl/>
        </w:rPr>
        <w:t>א</w:t>
      </w:r>
      <w:r>
        <w:rPr>
          <w:rFonts w:ascii="David" w:eastAsia="Calibri" w:hAnsi="David" w:hint="cs"/>
          <w:noProof w:val="0"/>
          <w:rtl/>
        </w:rPr>
        <w:t xml:space="preserve">י שהיא קבעה בצוואתה, אשר רק בהתקיימו תקום זכייתו של התובע. תנאי כזה מותר לפי סע' 43 לחוק הירושה.  כן טען הנתבע כי לפי סע' 44 לחוק רשאי המצווה לצוות שיורש יחדל מלזכות בהתקיים תנאי או בהגיע מועד. </w:t>
      </w:r>
    </w:p>
    <w:p w:rsidR="008A01A8" w:rsidRPr="008A01A8" w:rsidRDefault="008A01A8" w:rsidP="000D7F45">
      <w:pPr>
        <w:spacing w:after="160"/>
        <w:ind w:left="-58"/>
        <w:contextualSpacing/>
        <w:jc w:val="both"/>
        <w:rPr>
          <w:rFonts w:ascii="David" w:eastAsia="Calibri" w:hAnsi="David"/>
          <w:noProof w:val="0"/>
        </w:rPr>
      </w:pPr>
    </w:p>
    <w:p w:rsidR="008A01A8" w:rsidRDefault="008A01A8"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t xml:space="preserve">כן טען הנתבע כי נראה שהתובע מנסה להפוך את הצוואה </w:t>
      </w:r>
      <w:r w:rsidR="00F069E4">
        <w:rPr>
          <w:rFonts w:ascii="David" w:eastAsia="Calibri" w:hAnsi="David" w:hint="cs"/>
          <w:noProof w:val="0"/>
          <w:rtl/>
        </w:rPr>
        <w:t>ל</w:t>
      </w:r>
      <w:r>
        <w:rPr>
          <w:rFonts w:ascii="David" w:eastAsia="Calibri" w:hAnsi="David" w:hint="cs"/>
          <w:noProof w:val="0"/>
          <w:rtl/>
        </w:rPr>
        <w:t>פיסת נייר בעוד הצוואה היא מסמך מיוחד במינו, בעל נפקות משפטית, ה</w:t>
      </w:r>
      <w:r w:rsidR="00F069E4">
        <w:rPr>
          <w:rFonts w:ascii="David" w:eastAsia="Calibri" w:hAnsi="David" w:hint="cs"/>
          <w:noProof w:val="0"/>
          <w:rtl/>
        </w:rPr>
        <w:t>י</w:t>
      </w:r>
      <w:r>
        <w:rPr>
          <w:rFonts w:ascii="David" w:eastAsia="Calibri" w:hAnsi="David" w:hint="cs"/>
          <w:noProof w:val="0"/>
          <w:rtl/>
        </w:rPr>
        <w:t>א הדרך שבה מגדיר אדם מה יעשה בר</w:t>
      </w:r>
      <w:r w:rsidR="007D0C68">
        <w:rPr>
          <w:rFonts w:ascii="David" w:eastAsia="Calibri" w:hAnsi="David" w:hint="cs"/>
          <w:noProof w:val="0"/>
          <w:rtl/>
        </w:rPr>
        <w:t>כושו ובנכסיו לאחר מותו. זכותו ש</w:t>
      </w:r>
      <w:r>
        <w:rPr>
          <w:rFonts w:ascii="David" w:eastAsia="Calibri" w:hAnsi="David" w:hint="cs"/>
          <w:noProof w:val="0"/>
          <w:rtl/>
        </w:rPr>
        <w:t>ל אדם לצוות, לערוך צוואה כפי</w:t>
      </w:r>
      <w:r w:rsidR="00F069E4">
        <w:rPr>
          <w:rFonts w:ascii="David" w:eastAsia="Calibri" w:hAnsi="David" w:hint="cs"/>
          <w:noProof w:val="0"/>
          <w:rtl/>
        </w:rPr>
        <w:t xml:space="preserve"> </w:t>
      </w:r>
      <w:r>
        <w:rPr>
          <w:rFonts w:ascii="David" w:eastAsia="Calibri" w:hAnsi="David" w:hint="cs"/>
          <w:noProof w:val="0"/>
          <w:rtl/>
        </w:rPr>
        <w:t>ש</w:t>
      </w:r>
      <w:r w:rsidR="003B54B8">
        <w:rPr>
          <w:rFonts w:ascii="David" w:eastAsia="Calibri" w:hAnsi="David" w:hint="cs"/>
          <w:noProof w:val="0"/>
          <w:rtl/>
        </w:rPr>
        <w:t>י</w:t>
      </w:r>
      <w:r>
        <w:rPr>
          <w:rFonts w:ascii="David" w:eastAsia="Calibri" w:hAnsi="David" w:hint="cs"/>
          <w:noProof w:val="0"/>
          <w:rtl/>
        </w:rPr>
        <w:t>חפ</w:t>
      </w:r>
      <w:r w:rsidR="003B54B8">
        <w:rPr>
          <w:rFonts w:ascii="David" w:eastAsia="Calibri" w:hAnsi="David" w:hint="cs"/>
          <w:noProof w:val="0"/>
          <w:rtl/>
        </w:rPr>
        <w:t>ו</w:t>
      </w:r>
      <w:r>
        <w:rPr>
          <w:rFonts w:ascii="David" w:eastAsia="Calibri" w:hAnsi="David" w:hint="cs"/>
          <w:noProof w:val="0"/>
          <w:rtl/>
        </w:rPr>
        <w:t xml:space="preserve">ץ, ולכלול בשטר </w:t>
      </w:r>
      <w:r w:rsidR="007D0C68">
        <w:rPr>
          <w:rFonts w:ascii="David" w:eastAsia="Calibri" w:hAnsi="David" w:hint="cs"/>
          <w:noProof w:val="0"/>
          <w:rtl/>
        </w:rPr>
        <w:t>הצוואה הוראות לגבי אופן חלוקת עי</w:t>
      </w:r>
      <w:r>
        <w:rPr>
          <w:rFonts w:ascii="David" w:eastAsia="Calibri" w:hAnsi="David" w:hint="cs"/>
          <w:noProof w:val="0"/>
          <w:rtl/>
        </w:rPr>
        <w:t>ז</w:t>
      </w:r>
      <w:r w:rsidR="008D73B5">
        <w:rPr>
          <w:rFonts w:ascii="David" w:eastAsia="Calibri" w:hAnsi="David" w:hint="cs"/>
          <w:noProof w:val="0"/>
          <w:rtl/>
        </w:rPr>
        <w:t>ב</w:t>
      </w:r>
      <w:r>
        <w:rPr>
          <w:rFonts w:ascii="David" w:eastAsia="Calibri" w:hAnsi="David" w:hint="cs"/>
          <w:noProof w:val="0"/>
          <w:rtl/>
        </w:rPr>
        <w:t>ונו.</w:t>
      </w:r>
      <w:r w:rsidR="003B54B8">
        <w:rPr>
          <w:rFonts w:ascii="David" w:eastAsia="Calibri" w:hAnsi="David" w:hint="cs"/>
          <w:noProof w:val="0"/>
          <w:rtl/>
        </w:rPr>
        <w:t xml:space="preserve"> הצוואה היא הדרך ליתן ביטוי אחרון לרצון המת והצוואה היא מעיין חוזה בין המוריש ליורש. הנסיבות במקרה דנן מעידות על לשונה הברורה של הצוואה שמשקפת את רצונה החופשי והאמיתי של המצווה. </w:t>
      </w:r>
      <w:r>
        <w:rPr>
          <w:rFonts w:ascii="David" w:eastAsia="Calibri" w:hAnsi="David" w:hint="cs"/>
          <w:noProof w:val="0"/>
          <w:rtl/>
        </w:rPr>
        <w:t xml:space="preserve"> </w:t>
      </w:r>
    </w:p>
    <w:p w:rsidR="003B54B8" w:rsidRDefault="003B54B8" w:rsidP="000D7F45">
      <w:pPr>
        <w:pStyle w:val="ad"/>
        <w:rPr>
          <w:rFonts w:ascii="David" w:eastAsia="Calibri" w:hAnsi="David"/>
          <w:noProof w:val="0"/>
          <w:rtl/>
        </w:rPr>
      </w:pPr>
    </w:p>
    <w:p w:rsidR="003B54B8" w:rsidRDefault="003B54B8"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t>חזקה על הצוואה שצוואת אמת היא ועל התובע מוטל נטל השכנוע בהתקיימותו של פגם מהותי.</w:t>
      </w:r>
    </w:p>
    <w:p w:rsidR="003B54B8" w:rsidRDefault="003B54B8" w:rsidP="000D7F45">
      <w:pPr>
        <w:pStyle w:val="ad"/>
        <w:rPr>
          <w:rFonts w:ascii="David" w:eastAsia="Calibri" w:hAnsi="David"/>
          <w:noProof w:val="0"/>
          <w:rtl/>
        </w:rPr>
      </w:pPr>
    </w:p>
    <w:p w:rsidR="003B54B8" w:rsidRDefault="003B54B8"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t>בהתייחסותו לכתב התביעה טען הנתבע כי ביום 14.12.17 ערכה המנוחה צוואה בפני עדים בהתאם להוראות סע' 20 לחוק הירושה, כשהיא מצהירה בפני העדים שהיא צלולה בדעתה ועושה הצוואה מרצונה החופשי, האחרון.</w:t>
      </w:r>
    </w:p>
    <w:p w:rsidR="001741B5" w:rsidRDefault="003B54B8"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t xml:space="preserve">לא נראה בצוואה פגם צורני אולם העניין מעורר תמיהות שכן </w:t>
      </w:r>
      <w:r w:rsidR="001741B5" w:rsidRPr="003B54B8">
        <w:rPr>
          <w:rFonts w:ascii="David" w:eastAsia="Calibri" w:hAnsi="David"/>
          <w:noProof w:val="0"/>
          <w:rtl/>
        </w:rPr>
        <w:t xml:space="preserve">לצוואת המנוחה ניתן צו קיום, </w:t>
      </w:r>
      <w:r>
        <w:rPr>
          <w:rFonts w:ascii="David" w:eastAsia="Calibri" w:hAnsi="David" w:hint="cs"/>
          <w:noProof w:val="0"/>
          <w:rtl/>
        </w:rPr>
        <w:t>מ</w:t>
      </w:r>
      <w:r w:rsidR="001741B5" w:rsidRPr="003B54B8">
        <w:rPr>
          <w:rFonts w:ascii="David" w:eastAsia="Calibri" w:hAnsi="David"/>
          <w:noProof w:val="0"/>
          <w:rtl/>
        </w:rPr>
        <w:t xml:space="preserve">שלא הוגשה כנגדה כל התנגדות. </w:t>
      </w:r>
    </w:p>
    <w:p w:rsidR="003B54B8" w:rsidRDefault="003B54B8" w:rsidP="000D7F45">
      <w:pPr>
        <w:pStyle w:val="ad"/>
        <w:rPr>
          <w:rFonts w:ascii="David" w:eastAsia="Calibri" w:hAnsi="David"/>
          <w:noProof w:val="0"/>
          <w:rtl/>
        </w:rPr>
      </w:pPr>
    </w:p>
    <w:p w:rsidR="003B54B8" w:rsidRDefault="00D22F8C"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t xml:space="preserve">התובע הודה בסע' 20 לכתב התביעה כי קיבל הוראות מפורשות מעוה"ד להתעלם מהוראות הצוואה ולא להתייחס אליהן. </w:t>
      </w:r>
    </w:p>
    <w:p w:rsidR="00D22F8C" w:rsidRDefault="00D22F8C" w:rsidP="000D7F45">
      <w:pPr>
        <w:spacing w:after="160"/>
        <w:ind w:left="-58"/>
        <w:contextualSpacing/>
        <w:jc w:val="both"/>
        <w:rPr>
          <w:rFonts w:ascii="David" w:eastAsia="Calibri" w:hAnsi="David"/>
          <w:noProof w:val="0"/>
        </w:rPr>
      </w:pPr>
      <w:r>
        <w:rPr>
          <w:rFonts w:ascii="David" w:eastAsia="Calibri" w:hAnsi="David" w:hint="cs"/>
          <w:noProof w:val="0"/>
          <w:rtl/>
        </w:rPr>
        <w:t xml:space="preserve"> </w:t>
      </w:r>
    </w:p>
    <w:p w:rsidR="00D22F8C" w:rsidRDefault="007D0C68"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t xml:space="preserve">בניגוד לטענת התובע כי המנוחה </w:t>
      </w:r>
      <w:r w:rsidR="00D22F8C">
        <w:rPr>
          <w:rFonts w:ascii="David" w:eastAsia="Calibri" w:hAnsi="David" w:hint="cs"/>
          <w:noProof w:val="0"/>
          <w:rtl/>
        </w:rPr>
        <w:t>היתה חולה ולכן לא רצה לצערה (בעניין ה</w:t>
      </w:r>
      <w:r w:rsidR="00D22F8C" w:rsidRPr="00D22F8C">
        <w:rPr>
          <w:rFonts w:ascii="David" w:eastAsia="Calibri" w:hAnsi="David" w:hint="cs"/>
          <w:noProof w:val="0"/>
          <w:rtl/>
        </w:rPr>
        <w:t>וראה שקבעה בצוואתה בדבר מגורי הנתבע בנכס)</w:t>
      </w:r>
      <w:r w:rsidR="00D22F8C">
        <w:rPr>
          <w:rFonts w:ascii="David" w:eastAsia="Calibri" w:hAnsi="David" w:hint="cs"/>
          <w:noProof w:val="0"/>
          <w:rtl/>
        </w:rPr>
        <w:t xml:space="preserve">, המנוחה אישרה כי היא בריאה. </w:t>
      </w:r>
    </w:p>
    <w:p w:rsidR="00D22F8C" w:rsidRDefault="00D22F8C" w:rsidP="000D7F45">
      <w:pPr>
        <w:pStyle w:val="ad"/>
        <w:rPr>
          <w:rFonts w:ascii="David" w:eastAsia="Calibri" w:hAnsi="David"/>
          <w:noProof w:val="0"/>
          <w:rtl/>
        </w:rPr>
      </w:pPr>
    </w:p>
    <w:p w:rsidR="00D22F8C" w:rsidRDefault="00D22F8C"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t xml:space="preserve">עולה כי התובע היה מעורב בעריכת הצוואה ולכן היה מצופה כי יבחר נוסח אחר, כזה הכובל את הנתבע, אחת כמה וכמה שמעת עריכת הצוואה בשנת 2017 ועד לפטירת המנוחה בשנת 2021 היו הזדמנויות רבות לשנות/לבטל/לתקן הצוואה, ומשהמנוחה לא עשתה כן, יש לכבד צוואתה האחרונה ולקיימה ככזו המשקפת את רצונה החופשי. </w:t>
      </w:r>
      <w:r w:rsidRPr="00D22F8C">
        <w:rPr>
          <w:rFonts w:ascii="David" w:eastAsia="Calibri" w:hAnsi="David" w:hint="cs"/>
          <w:noProof w:val="0"/>
          <w:rtl/>
        </w:rPr>
        <w:t xml:space="preserve"> </w:t>
      </w:r>
    </w:p>
    <w:p w:rsidR="00D22F8C" w:rsidRDefault="00D22F8C" w:rsidP="000D7F45">
      <w:pPr>
        <w:spacing w:after="160"/>
        <w:ind w:left="-58"/>
        <w:contextualSpacing/>
        <w:jc w:val="both"/>
        <w:rPr>
          <w:rFonts w:ascii="David" w:eastAsia="Calibri" w:hAnsi="David"/>
          <w:noProof w:val="0"/>
        </w:rPr>
      </w:pPr>
      <w:r>
        <w:rPr>
          <w:rFonts w:ascii="David" w:eastAsia="Calibri" w:hAnsi="David" w:hint="cs"/>
          <w:noProof w:val="0"/>
          <w:rtl/>
        </w:rPr>
        <w:t xml:space="preserve"> </w:t>
      </w:r>
    </w:p>
    <w:p w:rsidR="00D22F8C" w:rsidRDefault="00973D9D"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t xml:space="preserve">רצונה של המנוחה משקף את משאלת ליבה האחרונה והיא ביטוי לרגשות האם כלפי בנה. </w:t>
      </w:r>
    </w:p>
    <w:p w:rsidR="000D7F45" w:rsidRDefault="000D7F45" w:rsidP="000D7F45">
      <w:pPr>
        <w:spacing w:after="160"/>
        <w:ind w:left="-58"/>
        <w:contextualSpacing/>
        <w:jc w:val="both"/>
        <w:rPr>
          <w:rFonts w:ascii="David" w:eastAsia="Calibri" w:hAnsi="David"/>
          <w:noProof w:val="0"/>
        </w:rPr>
      </w:pPr>
    </w:p>
    <w:p w:rsidR="00973D9D" w:rsidRDefault="00973D9D"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t xml:space="preserve">הצוואה מתפרשת הן מלשונה והן מהמשתמע ממנה, שמביא לידי ביטוי פתרון ליחסים העכורים שבין הצדדים. </w:t>
      </w:r>
    </w:p>
    <w:p w:rsidR="00973D9D" w:rsidRDefault="00973D9D" w:rsidP="000D7F45">
      <w:pPr>
        <w:pStyle w:val="ad"/>
        <w:rPr>
          <w:rFonts w:ascii="David" w:eastAsia="Calibri" w:hAnsi="David"/>
          <w:noProof w:val="0"/>
          <w:rtl/>
        </w:rPr>
      </w:pPr>
    </w:p>
    <w:p w:rsidR="00973D9D" w:rsidRDefault="00973D9D"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t>הנתבע טען כי פנה אל התובע מס' פעמים בבקשה לסייע בתשלומים אך לא זכה למענה מהתובע</w:t>
      </w:r>
      <w:r w:rsidR="003869C4">
        <w:rPr>
          <w:rFonts w:ascii="David" w:eastAsia="Calibri" w:hAnsi="David" w:hint="cs"/>
          <w:noProof w:val="0"/>
          <w:rtl/>
        </w:rPr>
        <w:t>, וכן טען כי מצבו הכלכלי טוב מאוד ולכן אין נחיצות למכירת הנכס לשם מימון השהות בדיור המוגן</w:t>
      </w:r>
      <w:r>
        <w:rPr>
          <w:rFonts w:ascii="David" w:eastAsia="Calibri" w:hAnsi="David" w:hint="cs"/>
          <w:noProof w:val="0"/>
          <w:rtl/>
        </w:rPr>
        <w:t xml:space="preserve">. </w:t>
      </w:r>
    </w:p>
    <w:p w:rsidR="00973D9D" w:rsidRDefault="00973D9D" w:rsidP="000D7F45">
      <w:pPr>
        <w:pStyle w:val="ad"/>
        <w:rPr>
          <w:rFonts w:ascii="David" w:eastAsia="Calibri" w:hAnsi="David"/>
          <w:noProof w:val="0"/>
          <w:rtl/>
        </w:rPr>
      </w:pPr>
    </w:p>
    <w:p w:rsidR="00973D9D" w:rsidRDefault="003869C4"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t xml:space="preserve">בפן המשפטי טען הנתבע כי הוענקה לו זכות המגורים בנכס ולא ניתן להורות על מכירתו, מכוח מגוריו שם בפועל. כן טען הנתבע כי רואה עצמו כנאמן לשימוש ושמירה על כספי עיזבון המנוחה ולכן חובה עליו למנוע פינוי הנכס. </w:t>
      </w:r>
    </w:p>
    <w:p w:rsidR="003869C4" w:rsidRDefault="003869C4" w:rsidP="000D7F45">
      <w:pPr>
        <w:spacing w:after="160"/>
        <w:ind w:left="-58"/>
        <w:contextualSpacing/>
        <w:jc w:val="both"/>
        <w:rPr>
          <w:rFonts w:ascii="David" w:eastAsia="Calibri" w:hAnsi="David"/>
          <w:noProof w:val="0"/>
        </w:rPr>
      </w:pPr>
    </w:p>
    <w:p w:rsidR="001741B5" w:rsidRPr="00000900"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lastRenderedPageBreak/>
        <w:t xml:space="preserve">הערת אזהרה ביחס לזכויות שירש התובע ע"פ הצוואה נרשמו במרשם המקרקעין. </w:t>
      </w:r>
    </w:p>
    <w:p w:rsidR="003869C4" w:rsidRDefault="003869C4" w:rsidP="000D7F45">
      <w:pPr>
        <w:spacing w:after="160"/>
        <w:ind w:left="-58"/>
        <w:contextualSpacing/>
        <w:jc w:val="both"/>
        <w:rPr>
          <w:rFonts w:ascii="David" w:eastAsia="Calibri" w:hAnsi="David"/>
          <w:noProof w:val="0"/>
        </w:rPr>
      </w:pPr>
    </w:p>
    <w:p w:rsidR="001741B5"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הנתבע הוא דייר מוגן בנכס. </w:t>
      </w:r>
    </w:p>
    <w:p w:rsidR="000D7F45" w:rsidRDefault="000D7F45" w:rsidP="000D7F45">
      <w:pPr>
        <w:spacing w:after="160"/>
        <w:ind w:left="-58"/>
        <w:contextualSpacing/>
        <w:jc w:val="both"/>
        <w:rPr>
          <w:rFonts w:ascii="David" w:eastAsia="Calibri" w:hAnsi="David"/>
          <w:noProof w:val="0"/>
        </w:rPr>
      </w:pPr>
    </w:p>
    <w:p w:rsidR="008D73B5" w:rsidRPr="00000900" w:rsidRDefault="008D73B5"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t>בתצהיר עדות ראשית שהגיש מטעמו טען הנתבע לראשונה כי הצוואה היא חלק מצוואה הדדית</w:t>
      </w:r>
      <w:r w:rsidR="004175E2">
        <w:rPr>
          <w:rFonts w:ascii="David" w:eastAsia="Calibri" w:hAnsi="David" w:hint="cs"/>
          <w:noProof w:val="0"/>
          <w:rtl/>
        </w:rPr>
        <w:t>, שבמהותה עקרון ההסתמכות</w:t>
      </w:r>
      <w:r w:rsidRPr="006B27C6">
        <w:rPr>
          <w:rFonts w:ascii="David" w:eastAsia="Calibri" w:hAnsi="David" w:hint="cs"/>
          <w:noProof w:val="0"/>
          <w:rtl/>
        </w:rPr>
        <w:t>. משמעות הדברים לטענתו כי</w:t>
      </w:r>
      <w:r w:rsidR="004175E2" w:rsidRPr="006B27C6">
        <w:rPr>
          <w:rFonts w:ascii="David" w:eastAsia="Calibri" w:hAnsi="David" w:hint="cs"/>
          <w:noProof w:val="0"/>
          <w:rtl/>
        </w:rPr>
        <w:t xml:space="preserve"> המנוחה</w:t>
      </w:r>
      <w:r w:rsidR="004175E2">
        <w:rPr>
          <w:rFonts w:ascii="David" w:eastAsia="Calibri" w:hAnsi="David" w:hint="cs"/>
          <w:noProof w:val="0"/>
          <w:rtl/>
        </w:rPr>
        <w:t xml:space="preserve"> הסתמכה על התובע כי יאפשר </w:t>
      </w:r>
      <w:r w:rsidR="007D0C68">
        <w:rPr>
          <w:rFonts w:ascii="David" w:eastAsia="Calibri" w:hAnsi="David" w:hint="cs"/>
          <w:noProof w:val="0"/>
          <w:rtl/>
        </w:rPr>
        <w:t>לנתבע זכות מגורים, מתוך ידיעה ש</w:t>
      </w:r>
      <w:r w:rsidR="006B27C6">
        <w:rPr>
          <w:rFonts w:ascii="David" w:eastAsia="Calibri" w:hAnsi="David" w:hint="cs"/>
          <w:noProof w:val="0"/>
          <w:rtl/>
        </w:rPr>
        <w:t xml:space="preserve">הוא לא ישנה או לא יפעל בניגוד להוראות צוואתה. </w:t>
      </w:r>
    </w:p>
    <w:p w:rsidR="001741B5" w:rsidRPr="00000900" w:rsidRDefault="003869C4"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t xml:space="preserve">לאחר הגשת כתב הגנה הוגש כתב תשובה אולם לא הובאו בו ביאורים המצריכים התעכבות בפסק הדין. </w:t>
      </w:r>
    </w:p>
    <w:p w:rsidR="001741B5" w:rsidRPr="00000900" w:rsidRDefault="001741B5" w:rsidP="000D7F45">
      <w:pPr>
        <w:ind w:left="-58"/>
        <w:contextualSpacing/>
        <w:jc w:val="both"/>
        <w:rPr>
          <w:rFonts w:ascii="David" w:eastAsia="Calibri" w:hAnsi="David"/>
          <w:noProof w:val="0"/>
        </w:rPr>
      </w:pPr>
    </w:p>
    <w:p w:rsidR="001741B5" w:rsidRPr="00000900" w:rsidRDefault="001741B5" w:rsidP="000D7F45">
      <w:pPr>
        <w:ind w:left="-58"/>
        <w:contextualSpacing/>
        <w:jc w:val="both"/>
        <w:rPr>
          <w:rFonts w:ascii="David" w:eastAsia="Calibri" w:hAnsi="David"/>
          <w:b/>
          <w:bCs/>
          <w:noProof w:val="0"/>
          <w:u w:val="single"/>
          <w:rtl/>
        </w:rPr>
      </w:pPr>
      <w:r w:rsidRPr="00000900">
        <w:rPr>
          <w:rFonts w:ascii="David" w:eastAsia="Calibri" w:hAnsi="David"/>
          <w:b/>
          <w:bCs/>
          <w:noProof w:val="0"/>
          <w:u w:val="single"/>
          <w:rtl/>
        </w:rPr>
        <w:t>דיון והכרעה</w:t>
      </w:r>
    </w:p>
    <w:p w:rsidR="003869C4" w:rsidRDefault="003869C4" w:rsidP="000D7F45">
      <w:pPr>
        <w:spacing w:after="160"/>
        <w:ind w:left="-58"/>
        <w:contextualSpacing/>
        <w:jc w:val="both"/>
        <w:rPr>
          <w:rFonts w:ascii="David" w:eastAsia="Calibri" w:hAnsi="David"/>
          <w:noProof w:val="0"/>
        </w:rPr>
      </w:pPr>
    </w:p>
    <w:p w:rsidR="001741B5" w:rsidRPr="00D14C50" w:rsidRDefault="001741B5" w:rsidP="000D7F45">
      <w:pPr>
        <w:numPr>
          <w:ilvl w:val="0"/>
          <w:numId w:val="1"/>
        </w:numPr>
        <w:spacing w:after="160"/>
        <w:ind w:left="-58" w:hanging="567"/>
        <w:contextualSpacing/>
        <w:jc w:val="both"/>
        <w:rPr>
          <w:rFonts w:ascii="David" w:eastAsia="Calibri" w:hAnsi="David"/>
          <w:b/>
          <w:bCs/>
          <w:noProof w:val="0"/>
        </w:rPr>
      </w:pPr>
      <w:r w:rsidRPr="00D14C50">
        <w:rPr>
          <w:rFonts w:ascii="David" w:eastAsia="Calibri" w:hAnsi="David"/>
          <w:b/>
          <w:bCs/>
          <w:noProof w:val="0"/>
          <w:rtl/>
        </w:rPr>
        <w:t>לאחר קיום דיון, עיון בטענות הצדדים והכתובים המונחים לפני ביהמ"ש, הגעתי לכלל מסקנה כי דין התביעה להתקבל. עם זאת, לאור צוואת המנוחה, מצאתי לקבוע כיצד תתחלק תמורת הנכס ככל שי</w:t>
      </w:r>
      <w:r w:rsidR="003869C4" w:rsidRPr="00D14C50">
        <w:rPr>
          <w:rFonts w:ascii="David" w:eastAsia="Calibri" w:hAnsi="David" w:hint="cs"/>
          <w:b/>
          <w:bCs/>
          <w:noProof w:val="0"/>
          <w:rtl/>
        </w:rPr>
        <w:t>י</w:t>
      </w:r>
      <w:r w:rsidRPr="00D14C50">
        <w:rPr>
          <w:rFonts w:ascii="David" w:eastAsia="Calibri" w:hAnsi="David"/>
          <w:b/>
          <w:bCs/>
          <w:noProof w:val="0"/>
          <w:rtl/>
        </w:rPr>
        <w:t>מכר</w:t>
      </w:r>
      <w:r w:rsidR="003869C4" w:rsidRPr="00D14C50">
        <w:rPr>
          <w:rFonts w:ascii="David" w:eastAsia="Calibri" w:hAnsi="David" w:hint="cs"/>
          <w:b/>
          <w:bCs/>
          <w:noProof w:val="0"/>
          <w:rtl/>
        </w:rPr>
        <w:t>,</w:t>
      </w:r>
      <w:r w:rsidRPr="00D14C50">
        <w:rPr>
          <w:rFonts w:ascii="David" w:eastAsia="Calibri" w:hAnsi="David"/>
          <w:b/>
          <w:bCs/>
          <w:noProof w:val="0"/>
          <w:rtl/>
        </w:rPr>
        <w:t xml:space="preserve"> </w:t>
      </w:r>
      <w:r w:rsidR="003869C4" w:rsidRPr="00D14C50">
        <w:rPr>
          <w:rFonts w:ascii="David" w:eastAsia="Calibri" w:hAnsi="David" w:hint="cs"/>
          <w:b/>
          <w:bCs/>
          <w:noProof w:val="0"/>
          <w:rtl/>
        </w:rPr>
        <w:t xml:space="preserve">ואלו נימוקיי: </w:t>
      </w:r>
    </w:p>
    <w:p w:rsidR="001741B5" w:rsidRPr="00000900" w:rsidRDefault="001741B5" w:rsidP="000D7F45">
      <w:pPr>
        <w:ind w:left="-58"/>
        <w:contextualSpacing/>
        <w:jc w:val="both"/>
        <w:rPr>
          <w:rFonts w:ascii="David" w:eastAsia="Calibri" w:hAnsi="David"/>
          <w:b/>
          <w:bCs/>
          <w:noProof w:val="0"/>
          <w:u w:val="single"/>
          <w:rtl/>
        </w:rPr>
      </w:pPr>
      <w:r w:rsidRPr="00000900">
        <w:rPr>
          <w:rFonts w:ascii="David" w:eastAsia="Calibri" w:hAnsi="David"/>
          <w:b/>
          <w:bCs/>
          <w:noProof w:val="0"/>
          <w:u w:val="single"/>
          <w:rtl/>
        </w:rPr>
        <w:t>עקרון העל בדיני הירושה – מצווה לקיים את רצון המצווה</w:t>
      </w:r>
    </w:p>
    <w:p w:rsidR="003869C4" w:rsidRDefault="003869C4" w:rsidP="000D7F45">
      <w:pPr>
        <w:spacing w:after="160"/>
        <w:ind w:left="-58"/>
        <w:contextualSpacing/>
        <w:jc w:val="both"/>
        <w:rPr>
          <w:rFonts w:ascii="David" w:eastAsia="Calibri" w:hAnsi="David"/>
          <w:noProof w:val="0"/>
        </w:rPr>
      </w:pPr>
    </w:p>
    <w:p w:rsidR="001741B5"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עיקרון העל בדיני הירושה הוא כיבוד רצון המצווה. עיקרון זה עובר כחוט השני בדיני הירושה ומשמש את ביהמ"ש בדונו בהוראות החוק. </w:t>
      </w:r>
    </w:p>
    <w:p w:rsidR="00D14C50" w:rsidRPr="00000900" w:rsidRDefault="00D14C50" w:rsidP="000D7F45">
      <w:pPr>
        <w:spacing w:after="160"/>
        <w:ind w:left="-58"/>
        <w:contextualSpacing/>
        <w:jc w:val="both"/>
        <w:rPr>
          <w:rFonts w:ascii="David" w:eastAsia="Calibri" w:hAnsi="David"/>
          <w:noProof w:val="0"/>
        </w:rPr>
      </w:pPr>
    </w:p>
    <w:p w:rsidR="001741B5" w:rsidRPr="00000900"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לעניין זה יפים הדברים שנאמרו ב דנ"א 7818/00 </w:t>
      </w:r>
      <w:r w:rsidRPr="00000900">
        <w:rPr>
          <w:rFonts w:ascii="David" w:eastAsia="Calibri" w:hAnsi="David"/>
          <w:b/>
          <w:bCs/>
          <w:noProof w:val="0"/>
          <w:rtl/>
        </w:rPr>
        <w:t>יוסף אהרן נ' אמנון אהרוני</w:t>
      </w:r>
      <w:r w:rsidRPr="00000900">
        <w:rPr>
          <w:rFonts w:ascii="David" w:eastAsia="Calibri" w:hAnsi="David"/>
          <w:noProof w:val="0"/>
          <w:rtl/>
        </w:rPr>
        <w:t>, נט(6) 653 (2005):</w:t>
      </w:r>
    </w:p>
    <w:p w:rsidR="000D7F45" w:rsidRPr="000D7F45" w:rsidRDefault="000D7F45" w:rsidP="000D7F45">
      <w:pPr>
        <w:spacing w:before="200" w:after="160"/>
        <w:ind w:left="720" w:right="864"/>
        <w:jc w:val="both"/>
        <w:rPr>
          <w:rFonts w:ascii="David" w:eastAsia="Calibri" w:hAnsi="David"/>
          <w:b/>
          <w:bCs/>
          <w:noProof w:val="0"/>
          <w:color w:val="404040"/>
          <w:sz w:val="8"/>
          <w:szCs w:val="8"/>
          <w:rtl/>
        </w:rPr>
      </w:pPr>
    </w:p>
    <w:p w:rsidR="001741B5" w:rsidRPr="00000900" w:rsidRDefault="001741B5" w:rsidP="000D7F45">
      <w:pPr>
        <w:spacing w:before="200" w:after="160"/>
        <w:ind w:left="720" w:right="864"/>
        <w:jc w:val="both"/>
        <w:rPr>
          <w:rFonts w:ascii="David" w:eastAsia="Calibri" w:hAnsi="David"/>
          <w:b/>
          <w:bCs/>
          <w:noProof w:val="0"/>
          <w:color w:val="404040"/>
        </w:rPr>
      </w:pPr>
      <w:r w:rsidRPr="00000900">
        <w:rPr>
          <w:rFonts w:ascii="David" w:eastAsia="Calibri" w:hAnsi="David"/>
          <w:b/>
          <w:bCs/>
          <w:noProof w:val="0"/>
          <w:color w:val="404040"/>
          <w:rtl/>
        </w:rPr>
        <w:t xml:space="preserve">"מלאכתו של המבקש להתחקות אחר התכלית העומדת בבסיס דיני הירושה אינה מלאכה קשה במיוחד. לאן שיפנה ולאן שיביט, יבחין הפרשן בנקל בעקרון העל הניצב בבסיס דיני הירושה – קיום רצונו של המצווה... </w:t>
      </w:r>
    </w:p>
    <w:p w:rsidR="001741B5" w:rsidRPr="00000900" w:rsidRDefault="001741B5" w:rsidP="000D7F45">
      <w:pPr>
        <w:spacing w:before="200" w:after="160"/>
        <w:ind w:left="720" w:right="864"/>
        <w:jc w:val="both"/>
        <w:rPr>
          <w:rFonts w:ascii="David" w:eastAsia="Calibri" w:hAnsi="David"/>
          <w:b/>
          <w:bCs/>
          <w:noProof w:val="0"/>
          <w:color w:val="404040"/>
          <w:rtl/>
        </w:rPr>
      </w:pPr>
      <w:r w:rsidRPr="00000900">
        <w:rPr>
          <w:rFonts w:ascii="David" w:eastAsia="Calibri" w:hAnsi="David"/>
          <w:b/>
          <w:bCs/>
          <w:noProof w:val="0"/>
          <w:color w:val="404040"/>
          <w:rtl/>
        </w:rPr>
        <w:t xml:space="preserve">הצוואה הינה מצוותו האחרונה של המת וההנחה הגלומה בה הינה כי היא מבטאת את רצונו האמיתי והמלא לאשר ייעשה בנכסיו לאחר מותו. הצוואה משקפת איפוא את האוטונומיה שלו כפרט ואת זכותו החוקתית בקניינו (ע"א 724/87 כלפה (גולד) נ' גולד פ"ד מח(1) 22, 29-28). </w:t>
      </w:r>
    </w:p>
    <w:p w:rsidR="001741B5" w:rsidRPr="00000900" w:rsidRDefault="001741B5" w:rsidP="000D7F45">
      <w:pPr>
        <w:spacing w:before="200" w:after="160"/>
        <w:ind w:left="720" w:right="864"/>
        <w:jc w:val="both"/>
        <w:rPr>
          <w:rFonts w:ascii="David" w:eastAsia="Calibri" w:hAnsi="David"/>
          <w:b/>
          <w:bCs/>
          <w:noProof w:val="0"/>
          <w:color w:val="404040"/>
          <w:rtl/>
        </w:rPr>
      </w:pPr>
      <w:r w:rsidRPr="00000900">
        <w:rPr>
          <w:rFonts w:ascii="David" w:eastAsia="Calibri" w:hAnsi="David"/>
          <w:b/>
          <w:bCs/>
          <w:noProof w:val="0"/>
          <w:color w:val="404040"/>
          <w:rtl/>
        </w:rPr>
        <w:t xml:space="preserve">כיבוד רצונו של המת להורות מה ייעשה ברכושו הינו חלק מכבוד האדם שלו (א' ברק, פרשנות במשפט – פרשנות הצוואה כרך ה' (2001) 59, 146)... תפישה זו מצאה ביטויה פעם אחר פעם בפסיקת בית משפט זה (ע"א 724/87, שם, בעמ' 28; ע"א 245/85 אנגלמן נ' קליין פ"ד מג(1) 772, 781; ע"א 1900/96, שם, בעמ' 817). </w:t>
      </w:r>
    </w:p>
    <w:p w:rsidR="001741B5" w:rsidRPr="00000900" w:rsidRDefault="001741B5" w:rsidP="000D7F45">
      <w:pPr>
        <w:spacing w:before="200" w:after="160"/>
        <w:ind w:left="720" w:right="864"/>
        <w:jc w:val="both"/>
        <w:rPr>
          <w:rFonts w:ascii="David" w:eastAsia="Calibri" w:hAnsi="David"/>
          <w:b/>
          <w:bCs/>
          <w:noProof w:val="0"/>
          <w:color w:val="404040"/>
          <w:rtl/>
        </w:rPr>
      </w:pPr>
      <w:r w:rsidRPr="00000900">
        <w:rPr>
          <w:rFonts w:ascii="David" w:eastAsia="Calibri" w:hAnsi="David"/>
          <w:b/>
          <w:bCs/>
          <w:noProof w:val="0"/>
          <w:color w:val="404040"/>
          <w:rtl/>
        </w:rPr>
        <w:t xml:space="preserve">מטרתם של הכללים שבדין לבחינת תוקפה של צוואה הינה לקבוע האם, ובאיזו מידה, משקפת הצוואה את רצונו האמיתי של המצווה, שהובע בדעה צלולה ומבלי שהיה נתון להשפעה בלתי הוגנת" </w:t>
      </w:r>
    </w:p>
    <w:p w:rsidR="001741B5" w:rsidRPr="00000900" w:rsidRDefault="001741B5" w:rsidP="000D7F45">
      <w:pPr>
        <w:ind w:left="-58"/>
        <w:contextualSpacing/>
        <w:jc w:val="both"/>
        <w:rPr>
          <w:rFonts w:ascii="David" w:eastAsia="Calibri" w:hAnsi="David"/>
          <w:noProof w:val="0"/>
          <w:rtl/>
        </w:rPr>
      </w:pPr>
    </w:p>
    <w:p w:rsidR="001741B5" w:rsidRPr="00000900"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מהותה של תובענה זו, היא עתירת התובע לאפשר לו למכור את הנכס</w:t>
      </w:r>
      <w:r w:rsidR="003644DD">
        <w:rPr>
          <w:rFonts w:ascii="David" w:eastAsia="Calibri" w:hAnsi="David" w:hint="cs"/>
          <w:noProof w:val="0"/>
          <w:rtl/>
        </w:rPr>
        <w:t>, אגב פינוי של הנתבע אשר מתגורר בו שנים ארוכות. במאמר מוס</w:t>
      </w:r>
      <w:r w:rsidR="007D0C68">
        <w:rPr>
          <w:rFonts w:ascii="David" w:eastAsia="Calibri" w:hAnsi="David" w:hint="cs"/>
          <w:noProof w:val="0"/>
          <w:rtl/>
        </w:rPr>
        <w:t>ג</w:t>
      </w:r>
      <w:r w:rsidR="003644DD">
        <w:rPr>
          <w:rFonts w:ascii="David" w:eastAsia="Calibri" w:hAnsi="David" w:hint="cs"/>
          <w:noProof w:val="0"/>
          <w:rtl/>
        </w:rPr>
        <w:t xml:space="preserve">ר יוזכר כי התובע טען כי נדרש למכור הנכס </w:t>
      </w:r>
      <w:r w:rsidRPr="00000900">
        <w:rPr>
          <w:rFonts w:ascii="David" w:eastAsia="Calibri" w:hAnsi="David"/>
          <w:noProof w:val="0"/>
          <w:rtl/>
        </w:rPr>
        <w:t xml:space="preserve">לצורך מימון שהייתו בדיור מוגן. </w:t>
      </w:r>
    </w:p>
    <w:p w:rsidR="00D14C50" w:rsidRPr="003644DD" w:rsidRDefault="00D14C50" w:rsidP="000D7F45">
      <w:pPr>
        <w:spacing w:after="160"/>
        <w:ind w:left="-58"/>
        <w:contextualSpacing/>
        <w:jc w:val="both"/>
        <w:rPr>
          <w:rFonts w:ascii="David" w:eastAsia="Calibri" w:hAnsi="David"/>
          <w:noProof w:val="0"/>
        </w:rPr>
      </w:pPr>
    </w:p>
    <w:p w:rsidR="001741B5" w:rsidRPr="006B27C6" w:rsidRDefault="001741B5" w:rsidP="000D7F45">
      <w:pPr>
        <w:numPr>
          <w:ilvl w:val="0"/>
          <w:numId w:val="1"/>
        </w:numPr>
        <w:spacing w:after="160"/>
        <w:ind w:left="-58" w:hanging="567"/>
        <w:contextualSpacing/>
        <w:jc w:val="both"/>
        <w:rPr>
          <w:rFonts w:ascii="David" w:eastAsia="Calibri" w:hAnsi="David"/>
          <w:noProof w:val="0"/>
        </w:rPr>
      </w:pPr>
      <w:r w:rsidRPr="006B27C6">
        <w:rPr>
          <w:rFonts w:ascii="David" w:eastAsia="Calibri" w:hAnsi="David"/>
          <w:noProof w:val="0"/>
          <w:rtl/>
        </w:rPr>
        <w:t xml:space="preserve">עם זאת, מכיוון שמחצית הזכויות בנכס הוענקו לתובע מכוח צוואת המנוחה, </w:t>
      </w:r>
      <w:r w:rsidR="003644DD" w:rsidRPr="006B27C6">
        <w:rPr>
          <w:rFonts w:ascii="David" w:eastAsia="Calibri" w:hAnsi="David" w:hint="cs"/>
          <w:noProof w:val="0"/>
          <w:rtl/>
        </w:rPr>
        <w:t>ומאחר שבצוואה הו</w:t>
      </w:r>
      <w:r w:rsidR="001E6E32" w:rsidRPr="006B27C6">
        <w:rPr>
          <w:rFonts w:ascii="David" w:eastAsia="Calibri" w:hAnsi="David" w:hint="cs"/>
          <w:noProof w:val="0"/>
          <w:rtl/>
        </w:rPr>
        <w:t>ר</w:t>
      </w:r>
      <w:r w:rsidR="003644DD" w:rsidRPr="006B27C6">
        <w:rPr>
          <w:rFonts w:ascii="David" w:eastAsia="Calibri" w:hAnsi="David" w:hint="cs"/>
          <w:noProof w:val="0"/>
          <w:rtl/>
        </w:rPr>
        <w:t xml:space="preserve">אה לפיה הנתבע יוסיף להתגורר בנכס עד 6 חודשים </w:t>
      </w:r>
      <w:r w:rsidR="001E6E32" w:rsidRPr="006B27C6">
        <w:rPr>
          <w:rFonts w:ascii="David" w:eastAsia="Calibri" w:hAnsi="David" w:hint="cs"/>
          <w:noProof w:val="0"/>
          <w:rtl/>
        </w:rPr>
        <w:t>מפטירת האחרון מבניה"ז</w:t>
      </w:r>
      <w:r w:rsidR="003644DD" w:rsidRPr="006B27C6">
        <w:rPr>
          <w:rFonts w:ascii="David" w:eastAsia="Calibri" w:hAnsi="David" w:hint="cs"/>
          <w:noProof w:val="0"/>
          <w:rtl/>
        </w:rPr>
        <w:t>,</w:t>
      </w:r>
      <w:r w:rsidR="001E6E32" w:rsidRPr="006B27C6">
        <w:rPr>
          <w:rFonts w:ascii="David" w:eastAsia="Calibri" w:hAnsi="David" w:hint="cs"/>
          <w:noProof w:val="0"/>
          <w:rtl/>
        </w:rPr>
        <w:t xml:space="preserve"> ראשית יש </w:t>
      </w:r>
      <w:r w:rsidRPr="006B27C6">
        <w:rPr>
          <w:rFonts w:ascii="David" w:eastAsia="Calibri" w:hAnsi="David"/>
          <w:noProof w:val="0"/>
          <w:rtl/>
        </w:rPr>
        <w:t>להתחקות אחר רצונה של המנוחה</w:t>
      </w:r>
      <w:r w:rsidR="001E6E32" w:rsidRPr="006B27C6">
        <w:rPr>
          <w:rFonts w:ascii="David" w:eastAsia="Calibri" w:hAnsi="David" w:hint="cs"/>
          <w:noProof w:val="0"/>
          <w:rtl/>
        </w:rPr>
        <w:t xml:space="preserve">, ואח"כ יש לבחון האם המנוחה יכולה היתה ליתן הוראות בדבר רכוש שאינו שלה (חלקו של התובע </w:t>
      </w:r>
      <w:r w:rsidR="006B27C6" w:rsidRPr="006B27C6">
        <w:rPr>
          <w:rFonts w:ascii="David" w:eastAsia="Calibri" w:hAnsi="David" w:hint="cs"/>
          <w:noProof w:val="0"/>
          <w:rtl/>
        </w:rPr>
        <w:t>ב</w:t>
      </w:r>
      <w:r w:rsidR="001E6E32" w:rsidRPr="006B27C6">
        <w:rPr>
          <w:rFonts w:ascii="David" w:eastAsia="Calibri" w:hAnsi="David" w:hint="cs"/>
          <w:noProof w:val="0"/>
          <w:rtl/>
        </w:rPr>
        <w:t>נכס המשותף לבניה"ז)</w:t>
      </w:r>
      <w:r w:rsidRPr="006B27C6">
        <w:rPr>
          <w:rFonts w:ascii="David" w:eastAsia="Calibri" w:hAnsi="David"/>
          <w:noProof w:val="0"/>
          <w:rtl/>
        </w:rPr>
        <w:t xml:space="preserve">. </w:t>
      </w:r>
    </w:p>
    <w:p w:rsidR="001741B5" w:rsidRPr="00000900" w:rsidRDefault="001741B5" w:rsidP="000D7F45">
      <w:pPr>
        <w:ind w:left="-58"/>
        <w:contextualSpacing/>
        <w:jc w:val="both"/>
        <w:rPr>
          <w:rFonts w:ascii="David" w:eastAsia="Calibri" w:hAnsi="David"/>
          <w:noProof w:val="0"/>
        </w:rPr>
      </w:pPr>
    </w:p>
    <w:p w:rsidR="000D7F45" w:rsidRDefault="000D7F45" w:rsidP="000D7F45">
      <w:pPr>
        <w:ind w:left="-58"/>
        <w:contextualSpacing/>
        <w:jc w:val="both"/>
        <w:rPr>
          <w:rFonts w:ascii="David" w:eastAsia="Calibri" w:hAnsi="David"/>
          <w:b/>
          <w:bCs/>
          <w:noProof w:val="0"/>
          <w:u w:val="single"/>
          <w:rtl/>
        </w:rPr>
      </w:pPr>
    </w:p>
    <w:p w:rsidR="001741B5" w:rsidRPr="00000900" w:rsidRDefault="001E6E32" w:rsidP="000D7F45">
      <w:pPr>
        <w:ind w:left="-58"/>
        <w:contextualSpacing/>
        <w:jc w:val="both"/>
        <w:rPr>
          <w:rFonts w:ascii="David" w:eastAsia="Calibri" w:hAnsi="David"/>
          <w:b/>
          <w:bCs/>
          <w:noProof w:val="0"/>
          <w:u w:val="single"/>
          <w:rtl/>
        </w:rPr>
      </w:pPr>
      <w:r>
        <w:rPr>
          <w:rFonts w:ascii="David" w:eastAsia="Calibri" w:hAnsi="David" w:hint="cs"/>
          <w:b/>
          <w:bCs/>
          <w:noProof w:val="0"/>
          <w:u w:val="single"/>
          <w:rtl/>
        </w:rPr>
        <w:lastRenderedPageBreak/>
        <w:t xml:space="preserve">סוג הצוואה - </w:t>
      </w:r>
      <w:r w:rsidR="001741B5" w:rsidRPr="00000900">
        <w:rPr>
          <w:rFonts w:ascii="David" w:eastAsia="Calibri" w:hAnsi="David"/>
          <w:b/>
          <w:bCs/>
          <w:noProof w:val="0"/>
          <w:u w:val="single"/>
          <w:rtl/>
        </w:rPr>
        <w:t>האם צוואת המנוחה היא חלק מצוואה הדדית?</w:t>
      </w:r>
    </w:p>
    <w:p w:rsidR="00D14C50" w:rsidRDefault="00D14C50" w:rsidP="000D7F45">
      <w:pPr>
        <w:spacing w:after="160"/>
        <w:ind w:left="-58"/>
        <w:contextualSpacing/>
        <w:jc w:val="both"/>
        <w:rPr>
          <w:rFonts w:ascii="David" w:eastAsia="Calibri" w:hAnsi="David"/>
          <w:noProof w:val="0"/>
        </w:rPr>
      </w:pPr>
    </w:p>
    <w:p w:rsidR="001741B5" w:rsidRPr="00000900"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לטענת הנתבע</w:t>
      </w:r>
      <w:r w:rsidR="00D14C50">
        <w:rPr>
          <w:rFonts w:ascii="David" w:eastAsia="Calibri" w:hAnsi="David" w:hint="cs"/>
          <w:noProof w:val="0"/>
          <w:rtl/>
        </w:rPr>
        <w:t xml:space="preserve"> </w:t>
      </w:r>
      <w:r w:rsidR="001E6E32">
        <w:rPr>
          <w:rFonts w:ascii="David" w:eastAsia="Calibri" w:hAnsi="David" w:hint="cs"/>
          <w:noProof w:val="0"/>
          <w:rtl/>
        </w:rPr>
        <w:t xml:space="preserve">כפי שעלתה </w:t>
      </w:r>
      <w:r w:rsidR="00F81E32">
        <w:rPr>
          <w:rFonts w:ascii="David" w:eastAsia="Calibri" w:hAnsi="David" w:hint="cs"/>
          <w:noProof w:val="0"/>
          <w:rtl/>
        </w:rPr>
        <w:t>לראשונה בתצע"ר שהגיש</w:t>
      </w:r>
      <w:r w:rsidRPr="00000900">
        <w:rPr>
          <w:rFonts w:ascii="David" w:eastAsia="Calibri" w:hAnsi="David"/>
          <w:noProof w:val="0"/>
          <w:rtl/>
        </w:rPr>
        <w:t xml:space="preserve">, צוואת המנוחה היא בגדר "צוואה הדדית" שנערכה יחד עם התובע. </w:t>
      </w:r>
      <w:r w:rsidR="001E6E32" w:rsidRPr="006B27C6">
        <w:rPr>
          <w:rFonts w:ascii="David" w:eastAsia="Calibri" w:hAnsi="David" w:hint="cs"/>
          <w:noProof w:val="0"/>
          <w:rtl/>
        </w:rPr>
        <w:t xml:space="preserve">לפיכך לשיטתו, </w:t>
      </w:r>
      <w:r w:rsidR="006B27C6" w:rsidRPr="006B27C6">
        <w:rPr>
          <w:rFonts w:ascii="David" w:eastAsia="Calibri" w:hAnsi="David" w:hint="cs"/>
          <w:noProof w:val="0"/>
          <w:rtl/>
        </w:rPr>
        <w:t>המנוחה</w:t>
      </w:r>
      <w:r w:rsidR="006B27C6">
        <w:rPr>
          <w:rFonts w:ascii="David" w:eastAsia="Calibri" w:hAnsi="David" w:hint="cs"/>
          <w:noProof w:val="0"/>
          <w:rtl/>
        </w:rPr>
        <w:t xml:space="preserve"> כאמור הסתמכה על התובע כי יאפשר לנתבע זכות מגורים, מתוך ידיעה כי הוא לא ישנה או לא יפעל בניגוד להוראות צוואתה. לפיכך, לטענת הנתבע, התובע כבול להוראות סע' 10 בצוואה ואינו יכול לעתור לפינויו מן הנכס. </w:t>
      </w:r>
    </w:p>
    <w:p w:rsidR="00D14C50" w:rsidRDefault="00D14C50" w:rsidP="000D7F45">
      <w:pPr>
        <w:spacing w:after="160"/>
        <w:ind w:left="-58"/>
        <w:contextualSpacing/>
        <w:jc w:val="both"/>
        <w:rPr>
          <w:rFonts w:ascii="David" w:eastAsia="Calibri" w:hAnsi="David"/>
          <w:noProof w:val="0"/>
        </w:rPr>
      </w:pPr>
    </w:p>
    <w:p w:rsidR="001741B5" w:rsidRPr="00000900" w:rsidRDefault="00D14C50"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t xml:space="preserve">לאחר בחינת הדברים </w:t>
      </w:r>
      <w:r w:rsidR="001741B5" w:rsidRPr="00000900">
        <w:rPr>
          <w:rFonts w:ascii="David" w:eastAsia="Calibri" w:hAnsi="David"/>
          <w:noProof w:val="0"/>
          <w:rtl/>
        </w:rPr>
        <w:t xml:space="preserve">מצאתי לדחות טענה זו. </w:t>
      </w:r>
    </w:p>
    <w:p w:rsidR="00D14C50" w:rsidRPr="00D14C50" w:rsidRDefault="00D14C50" w:rsidP="000D7F45">
      <w:pPr>
        <w:spacing w:after="160"/>
        <w:ind w:left="-58"/>
        <w:contextualSpacing/>
        <w:jc w:val="both"/>
        <w:rPr>
          <w:rFonts w:ascii="David" w:eastAsia="Calibri" w:hAnsi="David"/>
          <w:b/>
          <w:bCs/>
          <w:i/>
          <w:iCs/>
          <w:noProof w:val="0"/>
        </w:rPr>
      </w:pPr>
    </w:p>
    <w:p w:rsidR="001741B5" w:rsidRPr="00000900" w:rsidRDefault="001741B5" w:rsidP="000D7F45">
      <w:pPr>
        <w:numPr>
          <w:ilvl w:val="0"/>
          <w:numId w:val="1"/>
        </w:numPr>
        <w:spacing w:after="160"/>
        <w:ind w:left="-58" w:hanging="567"/>
        <w:contextualSpacing/>
        <w:jc w:val="both"/>
        <w:rPr>
          <w:rFonts w:ascii="David" w:eastAsia="Calibri" w:hAnsi="David"/>
          <w:b/>
          <w:bCs/>
          <w:i/>
          <w:iCs/>
          <w:noProof w:val="0"/>
        </w:rPr>
      </w:pPr>
      <w:r w:rsidRPr="00000900">
        <w:rPr>
          <w:rFonts w:ascii="David" w:eastAsia="Calibri" w:hAnsi="David"/>
          <w:noProof w:val="0"/>
          <w:rtl/>
        </w:rPr>
        <w:t>סעיף 8א לחוק הירושה, תשכ"ה-1965 (להלן:</w:t>
      </w:r>
      <w:r w:rsidRPr="00000900">
        <w:rPr>
          <w:rFonts w:ascii="David" w:eastAsia="Calibri" w:hAnsi="David"/>
          <w:noProof w:val="0"/>
        </w:rPr>
        <w:t xml:space="preserve"> </w:t>
      </w:r>
      <w:r w:rsidRPr="00000900">
        <w:rPr>
          <w:rFonts w:ascii="David" w:eastAsia="Calibri" w:hAnsi="David"/>
          <w:noProof w:val="0"/>
          <w:rtl/>
        </w:rPr>
        <w:t>"</w:t>
      </w:r>
      <w:r w:rsidRPr="00000900">
        <w:rPr>
          <w:rFonts w:ascii="David" w:eastAsia="Calibri" w:hAnsi="David"/>
          <w:b/>
          <w:bCs/>
          <w:noProof w:val="0"/>
          <w:rtl/>
        </w:rPr>
        <w:t>החוק</w:t>
      </w:r>
      <w:r w:rsidRPr="00000900">
        <w:rPr>
          <w:rFonts w:ascii="David" w:eastAsia="Calibri" w:hAnsi="David"/>
          <w:noProof w:val="0"/>
          <w:rtl/>
        </w:rPr>
        <w:t>"), עוסק בצוואות הדדיות של בני זוג. ס' 8א(א) לחוק קובע כי, צוואות אלו יכולות להיערך במסמך אחד או בשני מסמכים שנערכו באותה עת: "</w:t>
      </w:r>
      <w:r w:rsidRPr="00000900">
        <w:rPr>
          <w:rFonts w:ascii="David" w:eastAsia="Calibri" w:hAnsi="David"/>
          <w:b/>
          <w:bCs/>
          <w:i/>
          <w:iCs/>
          <w:noProof w:val="0"/>
          <w:rtl/>
        </w:rPr>
        <w:t xml:space="preserve"> בני זוג רשאים לערוך צוואות מתוך הסתמכות של בן הזוג האחד על צוואת בן הזוג האחר; צוואות כאמור יכולות להיעשות בין אם הזוכה על פי כל אחת מהצוואות הוא בן הזוג ובין אם הוא גורם שלישי, בין בשני מסמכים שנערכו באותה עת ובין במסמך אחד".  </w:t>
      </w:r>
    </w:p>
    <w:p w:rsidR="00D14C50" w:rsidRDefault="00D14C50" w:rsidP="000D7F45">
      <w:pPr>
        <w:spacing w:after="160"/>
        <w:ind w:left="-58"/>
        <w:contextualSpacing/>
        <w:jc w:val="both"/>
        <w:rPr>
          <w:rFonts w:ascii="David" w:eastAsia="Calibri" w:hAnsi="David"/>
          <w:noProof w:val="0"/>
        </w:rPr>
      </w:pPr>
    </w:p>
    <w:p w:rsidR="001741B5"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בענייננו, הצוואה ההדדית הנטענת </w:t>
      </w:r>
      <w:r w:rsidRPr="00000900">
        <w:rPr>
          <w:rFonts w:ascii="David" w:eastAsia="Calibri" w:hAnsi="David"/>
          <w:noProof w:val="0"/>
          <w:u w:val="single"/>
          <w:rtl/>
        </w:rPr>
        <w:t>לא</w:t>
      </w:r>
      <w:r w:rsidRPr="00000900">
        <w:rPr>
          <w:rFonts w:ascii="David" w:eastAsia="Calibri" w:hAnsi="David"/>
          <w:noProof w:val="0"/>
          <w:rtl/>
        </w:rPr>
        <w:t xml:space="preserve"> נערכה במסמך אחד. </w:t>
      </w:r>
      <w:r w:rsidR="001E6E32">
        <w:rPr>
          <w:rFonts w:ascii="David" w:eastAsia="Calibri" w:hAnsi="David" w:hint="cs"/>
          <w:noProof w:val="0"/>
          <w:rtl/>
        </w:rPr>
        <w:t>משכך יש</w:t>
      </w:r>
      <w:r w:rsidRPr="00000900">
        <w:rPr>
          <w:rFonts w:ascii="David" w:eastAsia="Calibri" w:hAnsi="David"/>
          <w:noProof w:val="0"/>
          <w:rtl/>
        </w:rPr>
        <w:t xml:space="preserve"> לבחון</w:t>
      </w:r>
      <w:r w:rsidR="001E6E32">
        <w:rPr>
          <w:rFonts w:ascii="David" w:eastAsia="Calibri" w:hAnsi="David" w:hint="cs"/>
          <w:noProof w:val="0"/>
          <w:rtl/>
        </w:rPr>
        <w:t>,</w:t>
      </w:r>
      <w:r w:rsidRPr="00000900">
        <w:rPr>
          <w:rFonts w:ascii="David" w:eastAsia="Calibri" w:hAnsi="David"/>
          <w:noProof w:val="0"/>
          <w:rtl/>
        </w:rPr>
        <w:t xml:space="preserve"> האם נערכה</w:t>
      </w:r>
      <w:r w:rsidR="001E6E32">
        <w:rPr>
          <w:rFonts w:ascii="David" w:eastAsia="Calibri" w:hAnsi="David" w:hint="cs"/>
          <w:noProof w:val="0"/>
          <w:rtl/>
        </w:rPr>
        <w:t xml:space="preserve"> צוואה הדדית </w:t>
      </w:r>
      <w:r w:rsidRPr="00000900">
        <w:rPr>
          <w:rFonts w:ascii="David" w:eastAsia="Calibri" w:hAnsi="David"/>
          <w:noProof w:val="0"/>
          <w:rtl/>
        </w:rPr>
        <w:t>בשני מסמכים נפרדים</w:t>
      </w:r>
      <w:r w:rsidR="001E6E32">
        <w:rPr>
          <w:rFonts w:ascii="David" w:eastAsia="Calibri" w:hAnsi="David" w:hint="cs"/>
          <w:noProof w:val="0"/>
          <w:rtl/>
        </w:rPr>
        <w:t>,</w:t>
      </w:r>
      <w:r w:rsidRPr="00000900">
        <w:rPr>
          <w:rFonts w:ascii="David" w:eastAsia="Calibri" w:hAnsi="David"/>
          <w:noProof w:val="0"/>
          <w:rtl/>
        </w:rPr>
        <w:t xml:space="preserve"> </w:t>
      </w:r>
      <w:r w:rsidR="001E6E32">
        <w:rPr>
          <w:rFonts w:ascii="David" w:eastAsia="Calibri" w:hAnsi="David" w:hint="cs"/>
          <w:noProof w:val="0"/>
          <w:rtl/>
        </w:rPr>
        <w:t>ו</w:t>
      </w:r>
      <w:r w:rsidRPr="00000900">
        <w:rPr>
          <w:rFonts w:ascii="David" w:eastAsia="Calibri" w:hAnsi="David"/>
          <w:noProof w:val="0"/>
          <w:rtl/>
        </w:rPr>
        <w:t xml:space="preserve">באותה עת. </w:t>
      </w:r>
    </w:p>
    <w:p w:rsidR="001E6E32" w:rsidRPr="00000900" w:rsidRDefault="001E6E32" w:rsidP="000D7F45">
      <w:pPr>
        <w:spacing w:after="160"/>
        <w:ind w:left="-58"/>
        <w:contextualSpacing/>
        <w:jc w:val="both"/>
        <w:rPr>
          <w:rFonts w:ascii="David" w:eastAsia="Calibri" w:hAnsi="David"/>
          <w:noProof w:val="0"/>
        </w:rPr>
      </w:pPr>
    </w:p>
    <w:p w:rsidR="001741B5"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ראשית, יצוין כי הטענה שצוואת המנוחה היא חלק מצוואה הדדית, עלתה לראשונה רק בתצע"ר שהגיש הנתבע. הטענה כלל לא עלתה בכתב ההגנה שהגיש הנתבע. </w:t>
      </w:r>
    </w:p>
    <w:p w:rsidR="001E6E32" w:rsidRPr="00000900" w:rsidRDefault="001E6E32" w:rsidP="000D7F45">
      <w:pPr>
        <w:spacing w:after="160"/>
        <w:ind w:left="-58"/>
        <w:contextualSpacing/>
        <w:jc w:val="both"/>
        <w:rPr>
          <w:rFonts w:ascii="David" w:eastAsia="Calibri" w:hAnsi="David"/>
          <w:noProof w:val="0"/>
        </w:rPr>
      </w:pPr>
    </w:p>
    <w:p w:rsidR="001741B5" w:rsidRDefault="001741B5" w:rsidP="000622D8">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התובע הודה כי, ערך צוואה מטעמו באותו היום בו נערכה צוואת המנוחה (14.12.17), כאשר הצוואות נערכו אצל אחייניתו עוה"ד </w:t>
      </w:r>
      <w:r w:rsidR="000622D8">
        <w:rPr>
          <w:rFonts w:ascii="David" w:eastAsia="Calibri" w:hAnsi="David" w:hint="cs"/>
          <w:noProof w:val="0"/>
          <w:rtl/>
        </w:rPr>
        <w:t>*****</w:t>
      </w:r>
      <w:r w:rsidRPr="00000900">
        <w:rPr>
          <w:rFonts w:ascii="David" w:eastAsia="Calibri" w:hAnsi="David"/>
          <w:noProof w:val="0"/>
          <w:rtl/>
        </w:rPr>
        <w:t xml:space="preserve"> (ר' ס' 17 לכתב התביעה). עם זאת, התובע כופר בטענה כי מדובר בצוואה הדדית. </w:t>
      </w:r>
    </w:p>
    <w:p w:rsidR="008D73B5" w:rsidRPr="00000900" w:rsidRDefault="008D73B5" w:rsidP="000D7F45">
      <w:pPr>
        <w:spacing w:after="160"/>
        <w:ind w:left="-58"/>
        <w:contextualSpacing/>
        <w:jc w:val="both"/>
        <w:rPr>
          <w:rFonts w:ascii="David" w:eastAsia="Calibri" w:hAnsi="David"/>
          <w:noProof w:val="0"/>
        </w:rPr>
      </w:pPr>
    </w:p>
    <w:p w:rsidR="001741B5" w:rsidRPr="00000900"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על אף טענת הנתבע, בשום שלב לא הוגשה בקשה מצדו לגילוי צוואת התובע מאותו מועד בו נערכה צוואת המנוחה. </w:t>
      </w:r>
    </w:p>
    <w:p w:rsidR="008D73B5" w:rsidRDefault="008D73B5" w:rsidP="000D7F45">
      <w:pPr>
        <w:spacing w:after="160"/>
        <w:ind w:left="-58"/>
        <w:contextualSpacing/>
        <w:jc w:val="both"/>
        <w:rPr>
          <w:rFonts w:ascii="David" w:eastAsia="Calibri" w:hAnsi="David"/>
          <w:noProof w:val="0"/>
        </w:rPr>
      </w:pPr>
    </w:p>
    <w:p w:rsidR="001741B5" w:rsidRDefault="001741B5" w:rsidP="000D7F45">
      <w:pPr>
        <w:numPr>
          <w:ilvl w:val="0"/>
          <w:numId w:val="1"/>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כמו כן, הנתבע לא ביקש לזמן לעדות את עוה"ד </w:t>
      </w:r>
      <w:r w:rsidR="007D0C68">
        <w:rPr>
          <w:rFonts w:ascii="David" w:eastAsia="Calibri" w:hAnsi="David" w:hint="cs"/>
          <w:noProof w:val="0"/>
          <w:rtl/>
        </w:rPr>
        <w:t>*****</w:t>
      </w:r>
      <w:r w:rsidRPr="00000900">
        <w:rPr>
          <w:rFonts w:ascii="David" w:eastAsia="Calibri" w:hAnsi="David"/>
          <w:noProof w:val="0"/>
          <w:rtl/>
        </w:rPr>
        <w:t xml:space="preserve"> שערכה את הצוואות, בכדי לעמוד על טיבן. כאשר הנתבע נשאל מדוע לא זימן את עוה"ד </w:t>
      </w:r>
      <w:r w:rsidR="007D0C68">
        <w:rPr>
          <w:rFonts w:ascii="David" w:eastAsia="Calibri" w:hAnsi="David" w:hint="cs"/>
          <w:noProof w:val="0"/>
          <w:rtl/>
        </w:rPr>
        <w:t>*****</w:t>
      </w:r>
      <w:r w:rsidR="007D0C68">
        <w:rPr>
          <w:rFonts w:ascii="David" w:eastAsia="Calibri" w:hAnsi="David" w:hint="cs"/>
          <w:noProof w:val="0"/>
        </w:rPr>
        <w:t xml:space="preserve"> </w:t>
      </w:r>
      <w:r w:rsidRPr="00000900">
        <w:rPr>
          <w:rFonts w:ascii="David" w:eastAsia="Calibri" w:hAnsi="David"/>
          <w:noProof w:val="0"/>
          <w:rtl/>
        </w:rPr>
        <w:t xml:space="preserve">לעדות, ענה כי היא לא עונה לטלפון בשל איומי התובע (ר' עמ' 43 ש' 13-27 לפרו' הדיון מיום 19.2.25 (להלן: " </w:t>
      </w:r>
      <w:r w:rsidRPr="00000900">
        <w:rPr>
          <w:rFonts w:ascii="David" w:eastAsia="Calibri" w:hAnsi="David"/>
          <w:b/>
          <w:bCs/>
          <w:noProof w:val="0"/>
          <w:rtl/>
        </w:rPr>
        <w:t>הפרו'</w:t>
      </w:r>
      <w:r w:rsidRPr="00000900">
        <w:rPr>
          <w:rFonts w:ascii="David" w:eastAsia="Calibri" w:hAnsi="David"/>
          <w:noProof w:val="0"/>
          <w:rtl/>
        </w:rPr>
        <w:t xml:space="preserve"> "). </w:t>
      </w:r>
    </w:p>
    <w:p w:rsidR="008D73B5" w:rsidRPr="00000900" w:rsidRDefault="008D73B5" w:rsidP="000D7F45">
      <w:pPr>
        <w:spacing w:after="160"/>
        <w:ind w:left="-58"/>
        <w:contextualSpacing/>
        <w:jc w:val="both"/>
        <w:rPr>
          <w:rFonts w:ascii="David" w:eastAsia="Calibri" w:hAnsi="David"/>
          <w:noProof w:val="0"/>
        </w:rPr>
      </w:pPr>
    </w:p>
    <w:p w:rsidR="008D73B5" w:rsidRDefault="008D73B5" w:rsidP="000D7F45">
      <w:pPr>
        <w:numPr>
          <w:ilvl w:val="0"/>
          <w:numId w:val="1"/>
        </w:numPr>
        <w:spacing w:after="160"/>
        <w:ind w:left="-58" w:hanging="567"/>
        <w:contextualSpacing/>
        <w:jc w:val="both"/>
        <w:rPr>
          <w:rFonts w:ascii="David" w:eastAsia="Calibri" w:hAnsi="David"/>
          <w:noProof w:val="0"/>
        </w:rPr>
      </w:pPr>
      <w:r>
        <w:rPr>
          <w:rFonts w:ascii="David" w:eastAsia="Calibri" w:hAnsi="David" w:hint="cs"/>
          <w:noProof w:val="0"/>
          <w:rtl/>
        </w:rPr>
        <w:t xml:space="preserve">יוצא אפוא, כי בפני </w:t>
      </w:r>
      <w:r w:rsidR="001741B5" w:rsidRPr="00000900">
        <w:rPr>
          <w:rFonts w:ascii="David" w:eastAsia="Calibri" w:hAnsi="David"/>
          <w:noProof w:val="0"/>
          <w:rtl/>
        </w:rPr>
        <w:t xml:space="preserve">ביהמ"ש מונחת צוואת המנוחה בלבד, ללא צוואת התובע מאותו מועד. </w:t>
      </w:r>
    </w:p>
    <w:p w:rsidR="008D73B5" w:rsidRPr="008D73B5" w:rsidRDefault="008D73B5" w:rsidP="000D7F45">
      <w:pPr>
        <w:pStyle w:val="ad"/>
        <w:rPr>
          <w:rFonts w:ascii="David" w:eastAsia="Calibri" w:hAnsi="David"/>
          <w:b/>
          <w:bCs/>
          <w:noProof w:val="0"/>
          <w:rtl/>
        </w:rPr>
      </w:pPr>
    </w:p>
    <w:p w:rsidR="001741B5" w:rsidRPr="008D73B5" w:rsidRDefault="001741B5" w:rsidP="000D7F45">
      <w:pPr>
        <w:numPr>
          <w:ilvl w:val="0"/>
          <w:numId w:val="1"/>
        </w:numPr>
        <w:spacing w:after="160"/>
        <w:ind w:left="-58" w:hanging="567"/>
        <w:contextualSpacing/>
        <w:jc w:val="both"/>
        <w:rPr>
          <w:rFonts w:ascii="David" w:eastAsia="Calibri" w:hAnsi="David"/>
          <w:b/>
          <w:bCs/>
          <w:noProof w:val="0"/>
        </w:rPr>
      </w:pPr>
      <w:r w:rsidRPr="008D73B5">
        <w:rPr>
          <w:rFonts w:ascii="David" w:eastAsia="Calibri" w:hAnsi="David"/>
          <w:b/>
          <w:bCs/>
          <w:noProof w:val="0"/>
          <w:rtl/>
        </w:rPr>
        <w:t xml:space="preserve">הנתבע לא זימן לעדות את עורכת הצוואה עוה"ד </w:t>
      </w:r>
      <w:r w:rsidR="007D0C68">
        <w:rPr>
          <w:rFonts w:ascii="David" w:eastAsia="Calibri" w:hAnsi="David" w:hint="cs"/>
          <w:b/>
          <w:bCs/>
          <w:noProof w:val="0"/>
          <w:rtl/>
        </w:rPr>
        <w:t>*****</w:t>
      </w:r>
      <w:r w:rsidRPr="008D73B5">
        <w:rPr>
          <w:rFonts w:ascii="David" w:eastAsia="Calibri" w:hAnsi="David"/>
          <w:b/>
          <w:bCs/>
          <w:noProof w:val="0"/>
          <w:rtl/>
        </w:rPr>
        <w:t>, ולא צירף כל ראיה ממנה ניתן ללמוד כי צוואת המנוחה היא חלק מצוואות הדדית שלה ושל התובע.</w:t>
      </w:r>
    </w:p>
    <w:p w:rsidR="008D73B5" w:rsidRDefault="001741B5" w:rsidP="000D7F45">
      <w:pPr>
        <w:ind w:left="-58"/>
        <w:contextualSpacing/>
        <w:jc w:val="both"/>
        <w:rPr>
          <w:rFonts w:ascii="David" w:eastAsia="Calibri" w:hAnsi="David"/>
          <w:b/>
          <w:bCs/>
          <w:noProof w:val="0"/>
          <w:rtl/>
        </w:rPr>
      </w:pPr>
      <w:r w:rsidRPr="008D73B5">
        <w:rPr>
          <w:rFonts w:ascii="David" w:eastAsia="Calibri" w:hAnsi="David"/>
          <w:b/>
          <w:bCs/>
          <w:noProof w:val="0"/>
          <w:rtl/>
        </w:rPr>
        <w:t xml:space="preserve">על כן, מצאתי כי יש לראות בצוואת המנוחה כצוואה נפרדת ועצמאית העומדת בפני עצמה במנותק מצוואת התובע (מאותו מועד) על כל המשתמע מכך (בחינתה, פרשנותה וכו'). </w:t>
      </w:r>
    </w:p>
    <w:p w:rsidR="008D73B5" w:rsidRDefault="008D73B5" w:rsidP="000D7F45">
      <w:pPr>
        <w:pStyle w:val="ad"/>
        <w:ind w:left="0"/>
        <w:jc w:val="both"/>
        <w:rPr>
          <w:rFonts w:ascii="David" w:eastAsia="Calibri" w:hAnsi="David"/>
          <w:b/>
          <w:bCs/>
          <w:noProof w:val="0"/>
        </w:rPr>
      </w:pPr>
      <w:r>
        <w:rPr>
          <w:rFonts w:ascii="David" w:eastAsia="Calibri" w:hAnsi="David" w:hint="cs"/>
          <w:b/>
          <w:bCs/>
          <w:noProof w:val="0"/>
          <w:rtl/>
        </w:rPr>
        <w:t xml:space="preserve"> </w:t>
      </w:r>
    </w:p>
    <w:p w:rsidR="008D73B5" w:rsidRPr="006B27C6" w:rsidRDefault="008D73B5" w:rsidP="000D7F45">
      <w:pPr>
        <w:pStyle w:val="ad"/>
        <w:numPr>
          <w:ilvl w:val="0"/>
          <w:numId w:val="1"/>
        </w:numPr>
        <w:ind w:left="0" w:hanging="709"/>
        <w:jc w:val="both"/>
        <w:rPr>
          <w:rFonts w:ascii="David" w:eastAsia="Calibri" w:hAnsi="David"/>
          <w:b/>
          <w:bCs/>
          <w:noProof w:val="0"/>
          <w:rtl/>
        </w:rPr>
      </w:pPr>
      <w:r w:rsidRPr="006B27C6">
        <w:rPr>
          <w:rFonts w:ascii="David" w:eastAsia="Calibri" w:hAnsi="David" w:hint="cs"/>
          <w:b/>
          <w:bCs/>
          <w:noProof w:val="0"/>
          <w:rtl/>
        </w:rPr>
        <w:t>משמעות הדברים כי דינה ש</w:t>
      </w:r>
      <w:r w:rsidR="00A9481B" w:rsidRPr="006B27C6">
        <w:rPr>
          <w:rFonts w:ascii="David" w:eastAsia="Calibri" w:hAnsi="David" w:hint="cs"/>
          <w:b/>
          <w:bCs/>
          <w:noProof w:val="0"/>
          <w:rtl/>
        </w:rPr>
        <w:t>ל טענת הנתבע ל</w:t>
      </w:r>
      <w:r w:rsidR="006B27C6">
        <w:rPr>
          <w:rFonts w:ascii="David" w:eastAsia="Calibri" w:hAnsi="David" w:hint="cs"/>
          <w:b/>
          <w:bCs/>
          <w:noProof w:val="0"/>
          <w:rtl/>
        </w:rPr>
        <w:t>היות הצוואה חלק מצוואה הדדית,</w:t>
      </w:r>
      <w:r w:rsidR="00A9481B" w:rsidRPr="006B27C6">
        <w:rPr>
          <w:rFonts w:ascii="David" w:eastAsia="Calibri" w:hAnsi="David" w:hint="cs"/>
          <w:b/>
          <w:bCs/>
          <w:noProof w:val="0"/>
          <w:rtl/>
        </w:rPr>
        <w:t xml:space="preserve"> להידחות. </w:t>
      </w:r>
    </w:p>
    <w:p w:rsidR="001741B5" w:rsidRPr="00000900" w:rsidRDefault="001741B5" w:rsidP="000D7F45">
      <w:pPr>
        <w:ind w:left="-58"/>
        <w:contextualSpacing/>
        <w:jc w:val="both"/>
        <w:rPr>
          <w:rFonts w:ascii="David" w:eastAsia="Calibri" w:hAnsi="David"/>
          <w:noProof w:val="0"/>
          <w:rtl/>
        </w:rPr>
      </w:pPr>
    </w:p>
    <w:p w:rsidR="001741B5" w:rsidRPr="00000900" w:rsidRDefault="001741B5" w:rsidP="000D7F45">
      <w:pPr>
        <w:ind w:left="-58"/>
        <w:contextualSpacing/>
        <w:jc w:val="both"/>
        <w:rPr>
          <w:rFonts w:ascii="David" w:eastAsia="Calibri" w:hAnsi="David"/>
          <w:b/>
          <w:bCs/>
          <w:noProof w:val="0"/>
          <w:u w:val="single"/>
          <w:rtl/>
        </w:rPr>
      </w:pPr>
      <w:r w:rsidRPr="00000900">
        <w:rPr>
          <w:rFonts w:ascii="David" w:eastAsia="Calibri" w:hAnsi="David"/>
          <w:b/>
          <w:bCs/>
          <w:noProof w:val="0"/>
          <w:u w:val="single"/>
          <w:rtl/>
        </w:rPr>
        <w:t>אומד דעת המנוחה בצוואתה</w:t>
      </w:r>
    </w:p>
    <w:p w:rsidR="00A9481B" w:rsidRDefault="00A9481B" w:rsidP="000D7F45">
      <w:pPr>
        <w:spacing w:after="160"/>
        <w:ind w:left="-58"/>
        <w:contextualSpacing/>
        <w:jc w:val="both"/>
        <w:rPr>
          <w:rFonts w:ascii="David" w:eastAsia="Calibri" w:hAnsi="David"/>
          <w:noProof w:val="0"/>
        </w:rPr>
      </w:pPr>
    </w:p>
    <w:p w:rsidR="001741B5" w:rsidRPr="00000900" w:rsidRDefault="001741B5" w:rsidP="000D7F45">
      <w:pPr>
        <w:numPr>
          <w:ilvl w:val="0"/>
          <w:numId w:val="2"/>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בטרם נדון בהוראות הצוואה עצמן, עלינו </w:t>
      </w:r>
      <w:r w:rsidR="00A9481B" w:rsidRPr="003B5612">
        <w:rPr>
          <w:rFonts w:ascii="David" w:eastAsia="Calibri" w:hAnsi="David" w:hint="cs"/>
          <w:noProof w:val="0"/>
          <w:rtl/>
        </w:rPr>
        <w:t>לנסות</w:t>
      </w:r>
      <w:r w:rsidR="00A9481B">
        <w:rPr>
          <w:rFonts w:ascii="David" w:eastAsia="Calibri" w:hAnsi="David" w:hint="cs"/>
          <w:noProof w:val="0"/>
          <w:rtl/>
        </w:rPr>
        <w:t xml:space="preserve"> </w:t>
      </w:r>
      <w:r w:rsidRPr="00000900">
        <w:rPr>
          <w:rFonts w:ascii="David" w:eastAsia="Calibri" w:hAnsi="David"/>
          <w:noProof w:val="0"/>
          <w:rtl/>
        </w:rPr>
        <w:t xml:space="preserve">לברר מה היה רצונה של המנוחה, ולפי רצון זה לפרש את הוראות הצוואה. </w:t>
      </w:r>
    </w:p>
    <w:p w:rsidR="001741B5" w:rsidRPr="00000900" w:rsidRDefault="001741B5" w:rsidP="000D7F45">
      <w:pPr>
        <w:ind w:left="-58"/>
        <w:contextualSpacing/>
        <w:jc w:val="both"/>
        <w:rPr>
          <w:rFonts w:ascii="David" w:eastAsia="Calibri" w:hAnsi="David"/>
          <w:noProof w:val="0"/>
        </w:rPr>
      </w:pPr>
    </w:p>
    <w:p w:rsidR="001741B5" w:rsidRDefault="001741B5" w:rsidP="000D7F45">
      <w:pPr>
        <w:ind w:left="-58"/>
        <w:contextualSpacing/>
        <w:jc w:val="both"/>
        <w:rPr>
          <w:rFonts w:ascii="David" w:eastAsia="Calibri" w:hAnsi="David"/>
          <w:noProof w:val="0"/>
          <w:u w:val="single"/>
          <w:rtl/>
        </w:rPr>
      </w:pPr>
      <w:r w:rsidRPr="00000900">
        <w:rPr>
          <w:rFonts w:ascii="David" w:eastAsia="Calibri" w:hAnsi="David"/>
          <w:noProof w:val="0"/>
          <w:u w:val="single"/>
          <w:rtl/>
        </w:rPr>
        <w:t>פרשנות צוואה – מתווה נורמטיבי</w:t>
      </w:r>
    </w:p>
    <w:p w:rsidR="00A9481B" w:rsidRPr="00000900" w:rsidRDefault="00A9481B" w:rsidP="000D7F45">
      <w:pPr>
        <w:ind w:left="-58"/>
        <w:contextualSpacing/>
        <w:jc w:val="both"/>
        <w:rPr>
          <w:rFonts w:ascii="David" w:eastAsia="Calibri" w:hAnsi="David"/>
          <w:noProof w:val="0"/>
          <w:u w:val="single"/>
          <w:rtl/>
        </w:rPr>
      </w:pPr>
    </w:p>
    <w:p w:rsidR="001741B5" w:rsidRPr="00000900" w:rsidRDefault="001741B5" w:rsidP="000D7F45">
      <w:pPr>
        <w:numPr>
          <w:ilvl w:val="0"/>
          <w:numId w:val="2"/>
        </w:numPr>
        <w:spacing w:after="160"/>
        <w:ind w:left="-58" w:hanging="567"/>
        <w:contextualSpacing/>
        <w:jc w:val="both"/>
        <w:rPr>
          <w:rFonts w:ascii="David" w:eastAsia="Calibri" w:hAnsi="David"/>
          <w:noProof w:val="0"/>
        </w:rPr>
      </w:pPr>
      <w:r w:rsidRPr="00000900">
        <w:rPr>
          <w:rFonts w:ascii="David" w:eastAsia="Calibri" w:hAnsi="David"/>
          <w:noProof w:val="0"/>
          <w:rtl/>
        </w:rPr>
        <w:t>ס' 54 לחוק, עוסק בפרשנות הצוואה:</w:t>
      </w:r>
    </w:p>
    <w:p w:rsidR="001741B5" w:rsidRPr="00000900" w:rsidRDefault="001741B5" w:rsidP="000D7F45">
      <w:pPr>
        <w:spacing w:before="200" w:after="160"/>
        <w:ind w:left="864" w:right="864"/>
        <w:jc w:val="both"/>
        <w:rPr>
          <w:rFonts w:ascii="David" w:eastAsia="Calibri" w:hAnsi="David"/>
          <w:b/>
          <w:bCs/>
          <w:i/>
          <w:iCs/>
          <w:noProof w:val="0"/>
          <w:color w:val="404040"/>
        </w:rPr>
      </w:pPr>
      <w:r w:rsidRPr="00000900">
        <w:rPr>
          <w:rFonts w:ascii="David" w:eastAsia="Calibri" w:hAnsi="David"/>
          <w:b/>
          <w:bCs/>
          <w:i/>
          <w:iCs/>
          <w:noProof w:val="0"/>
          <w:color w:val="404040"/>
          <w:rtl/>
        </w:rPr>
        <w:lastRenderedPageBreak/>
        <w:t>(א) מפרשים צוואה לפי אומד דעתו של המצווה כפי שהיא משתמעת מתוך הצוואה, ובמידה שאינה משתמעת מתוכה – כפי שהיא משתמעת מתוך הנסיבות.</w:t>
      </w:r>
    </w:p>
    <w:p w:rsidR="001741B5" w:rsidRPr="00000900" w:rsidRDefault="001741B5" w:rsidP="000D7F45">
      <w:pPr>
        <w:spacing w:before="200" w:after="160"/>
        <w:ind w:left="864" w:right="864"/>
        <w:jc w:val="both"/>
        <w:rPr>
          <w:rFonts w:ascii="David" w:eastAsia="Calibri" w:hAnsi="David"/>
          <w:b/>
          <w:bCs/>
          <w:i/>
          <w:iCs/>
          <w:noProof w:val="0"/>
          <w:color w:val="404040"/>
          <w:rtl/>
        </w:rPr>
      </w:pPr>
      <w:r w:rsidRPr="00000900">
        <w:rPr>
          <w:rFonts w:ascii="David" w:eastAsia="Calibri" w:hAnsi="David"/>
          <w:b/>
          <w:bCs/>
          <w:i/>
          <w:iCs/>
          <w:noProof w:val="0"/>
          <w:color w:val="404040"/>
          <w:rtl/>
        </w:rPr>
        <w:t>(ב) צוואה הניתנת לפירושים שונים, הפירוש המקיים אותה עדיף על פירוש שלפיו היא בטלה.</w:t>
      </w:r>
    </w:p>
    <w:p w:rsidR="001741B5" w:rsidRPr="00000900" w:rsidRDefault="001741B5" w:rsidP="000D7F45">
      <w:pPr>
        <w:spacing w:before="200" w:after="160"/>
        <w:ind w:left="864" w:right="864"/>
        <w:jc w:val="both"/>
        <w:rPr>
          <w:rFonts w:ascii="David" w:eastAsia="Calibri" w:hAnsi="David"/>
          <w:b/>
          <w:bCs/>
          <w:i/>
          <w:iCs/>
          <w:noProof w:val="0"/>
          <w:color w:val="404040"/>
          <w:rtl/>
        </w:rPr>
      </w:pPr>
      <w:r w:rsidRPr="00000900">
        <w:rPr>
          <w:rFonts w:ascii="David" w:eastAsia="Calibri" w:hAnsi="David"/>
          <w:b/>
          <w:bCs/>
          <w:i/>
          <w:iCs/>
          <w:noProof w:val="0"/>
          <w:color w:val="404040"/>
          <w:rtl/>
        </w:rPr>
        <w:t>(ג) צוואה יכול שתהיה בלשון מתנה, מחילה או הודאה או בכל לשון אחרת.</w:t>
      </w:r>
    </w:p>
    <w:p w:rsidR="00F404D8" w:rsidRDefault="00F404D8" w:rsidP="000D7F45">
      <w:pPr>
        <w:spacing w:after="160"/>
        <w:ind w:left="-58"/>
        <w:contextualSpacing/>
        <w:jc w:val="both"/>
        <w:rPr>
          <w:rFonts w:ascii="David" w:eastAsia="Calibri" w:hAnsi="David"/>
          <w:noProof w:val="0"/>
        </w:rPr>
      </w:pPr>
    </w:p>
    <w:p w:rsidR="001741B5" w:rsidRDefault="001741B5" w:rsidP="000D7F45">
      <w:pPr>
        <w:numPr>
          <w:ilvl w:val="0"/>
          <w:numId w:val="2"/>
        </w:numPr>
        <w:spacing w:after="160"/>
        <w:ind w:left="-58" w:hanging="567"/>
        <w:contextualSpacing/>
        <w:jc w:val="both"/>
        <w:rPr>
          <w:rFonts w:ascii="David" w:eastAsia="Calibri" w:hAnsi="David"/>
          <w:noProof w:val="0"/>
        </w:rPr>
      </w:pPr>
      <w:r w:rsidRPr="00000900">
        <w:rPr>
          <w:rFonts w:ascii="David" w:eastAsia="Calibri" w:hAnsi="David"/>
          <w:noProof w:val="0"/>
          <w:rtl/>
        </w:rPr>
        <w:t>בפסיקה הותוו שתי גישות לצורך פ</w:t>
      </w:r>
      <w:r w:rsidR="00A9481B">
        <w:rPr>
          <w:rFonts w:ascii="David" w:eastAsia="Calibri" w:hAnsi="David"/>
          <w:noProof w:val="0"/>
          <w:rtl/>
        </w:rPr>
        <w:t>רשנות הצוואה: תורת שני השלבים (</w:t>
      </w:r>
      <w:r w:rsidRPr="00000900">
        <w:rPr>
          <w:rFonts w:ascii="David" w:eastAsia="Calibri" w:hAnsi="David"/>
          <w:noProof w:val="0"/>
          <w:rtl/>
        </w:rPr>
        <w:t xml:space="preserve">ע"א 239/89 </w:t>
      </w:r>
      <w:r w:rsidRPr="00000900">
        <w:rPr>
          <w:rFonts w:ascii="David" w:eastAsia="Calibri" w:hAnsi="David"/>
          <w:b/>
          <w:bCs/>
          <w:noProof w:val="0"/>
          <w:rtl/>
        </w:rPr>
        <w:t>רוזה שרש נ' גלילי</w:t>
      </w:r>
      <w:r w:rsidRPr="00000900">
        <w:rPr>
          <w:rFonts w:ascii="David" w:eastAsia="Calibri" w:hAnsi="David"/>
          <w:noProof w:val="0"/>
          <w:rtl/>
        </w:rPr>
        <w:t xml:space="preserve">, פ"ד מו (1) 861) והתורה החד שלבית ( ע"א 1900/96 </w:t>
      </w:r>
      <w:r w:rsidRPr="00000900">
        <w:rPr>
          <w:rFonts w:ascii="David" w:eastAsia="Calibri" w:hAnsi="David"/>
          <w:b/>
          <w:bCs/>
          <w:noProof w:val="0"/>
          <w:rtl/>
        </w:rPr>
        <w:t>איזבל טלמצ'יו נ' האפוטרופוס הכללי</w:t>
      </w:r>
      <w:r w:rsidRPr="00000900">
        <w:rPr>
          <w:rFonts w:ascii="David" w:eastAsia="Calibri" w:hAnsi="David"/>
          <w:noProof w:val="0"/>
          <w:rtl/>
        </w:rPr>
        <w:t>, נג (2) 817 להלן: "</w:t>
      </w:r>
      <w:r w:rsidRPr="00000900">
        <w:rPr>
          <w:rFonts w:ascii="David" w:eastAsia="Calibri" w:hAnsi="David"/>
          <w:b/>
          <w:bCs/>
          <w:noProof w:val="0"/>
          <w:rtl/>
        </w:rPr>
        <w:t>פרשת טלמצ'יו</w:t>
      </w:r>
      <w:r w:rsidRPr="00000900">
        <w:rPr>
          <w:rFonts w:ascii="David" w:eastAsia="Calibri" w:hAnsi="David"/>
          <w:noProof w:val="0"/>
          <w:rtl/>
        </w:rPr>
        <w:t xml:space="preserve">"). </w:t>
      </w:r>
    </w:p>
    <w:p w:rsidR="00A9481B" w:rsidRPr="00000900" w:rsidRDefault="00A9481B" w:rsidP="000D7F45">
      <w:pPr>
        <w:spacing w:after="160"/>
        <w:ind w:left="-58"/>
        <w:contextualSpacing/>
        <w:jc w:val="both"/>
        <w:rPr>
          <w:rFonts w:ascii="David" w:eastAsia="Calibri" w:hAnsi="David"/>
          <w:noProof w:val="0"/>
        </w:rPr>
      </w:pPr>
    </w:p>
    <w:p w:rsidR="001741B5" w:rsidRPr="00000900" w:rsidRDefault="001741B5" w:rsidP="000D7F45">
      <w:pPr>
        <w:numPr>
          <w:ilvl w:val="0"/>
          <w:numId w:val="2"/>
        </w:numPr>
        <w:spacing w:after="160"/>
        <w:ind w:left="-58" w:hanging="567"/>
        <w:contextualSpacing/>
        <w:jc w:val="both"/>
        <w:rPr>
          <w:rFonts w:ascii="David" w:eastAsia="Calibri" w:hAnsi="David"/>
          <w:noProof w:val="0"/>
        </w:rPr>
      </w:pPr>
      <w:r w:rsidRPr="00000900">
        <w:rPr>
          <w:rFonts w:ascii="David" w:eastAsia="Calibri" w:hAnsi="David"/>
          <w:noProof w:val="0"/>
          <w:rtl/>
        </w:rPr>
        <w:t>לצורך תמצות שתי הג</w:t>
      </w:r>
      <w:r w:rsidR="00A9481B">
        <w:rPr>
          <w:rFonts w:ascii="David" w:eastAsia="Calibri" w:hAnsi="David"/>
          <w:noProof w:val="0"/>
          <w:rtl/>
        </w:rPr>
        <w:t xml:space="preserve">ישות, אפנה לדברים שנאמרו </w:t>
      </w:r>
      <w:r w:rsidR="00A9481B">
        <w:rPr>
          <w:rFonts w:ascii="David" w:eastAsia="Calibri" w:hAnsi="David" w:hint="cs"/>
          <w:noProof w:val="0"/>
          <w:rtl/>
        </w:rPr>
        <w:t>ב</w:t>
      </w:r>
      <w:r w:rsidRPr="00000900">
        <w:rPr>
          <w:rFonts w:ascii="David" w:eastAsia="Calibri" w:hAnsi="David"/>
          <w:noProof w:val="0"/>
          <w:rtl/>
        </w:rPr>
        <w:t xml:space="preserve">תמ"ש (משפחה חיפה) 2132-06-20 </w:t>
      </w:r>
      <w:r w:rsidRPr="00000900">
        <w:rPr>
          <w:rFonts w:ascii="David" w:eastAsia="Calibri" w:hAnsi="David"/>
          <w:b/>
          <w:bCs/>
          <w:noProof w:val="0"/>
          <w:rtl/>
        </w:rPr>
        <w:t>פלוני נ' אלמונית ואח'</w:t>
      </w:r>
      <w:r w:rsidRPr="00000900">
        <w:rPr>
          <w:rFonts w:ascii="David" w:eastAsia="Calibri" w:hAnsi="David"/>
          <w:noProof w:val="0"/>
          <w:rtl/>
        </w:rPr>
        <w:t xml:space="preserve"> (נבו 9.1.2023):</w:t>
      </w:r>
    </w:p>
    <w:p w:rsidR="001741B5" w:rsidRPr="00A9481B" w:rsidRDefault="001741B5" w:rsidP="000D7F45">
      <w:pPr>
        <w:ind w:left="-58"/>
        <w:contextualSpacing/>
        <w:jc w:val="both"/>
        <w:rPr>
          <w:rFonts w:ascii="David" w:eastAsia="Calibri" w:hAnsi="David"/>
          <w:noProof w:val="0"/>
        </w:rPr>
      </w:pPr>
    </w:p>
    <w:p w:rsidR="001741B5" w:rsidRPr="00000900" w:rsidRDefault="001741B5" w:rsidP="000D7F45">
      <w:pPr>
        <w:ind w:left="862" w:right="862"/>
        <w:jc w:val="both"/>
        <w:rPr>
          <w:rFonts w:ascii="David" w:eastAsia="Calibri" w:hAnsi="David"/>
          <w:b/>
          <w:bCs/>
          <w:i/>
          <w:iCs/>
          <w:noProof w:val="0"/>
          <w:color w:val="404040"/>
        </w:rPr>
      </w:pPr>
      <w:r w:rsidRPr="00000900">
        <w:rPr>
          <w:rFonts w:ascii="David" w:eastAsia="Calibri" w:hAnsi="David"/>
          <w:b/>
          <w:bCs/>
          <w:i/>
          <w:iCs/>
          <w:noProof w:val="0"/>
          <w:color w:val="404040"/>
          <w:rtl/>
        </w:rPr>
        <w:t>בע"א 239/89 רוזה שרש נ' גלילי, פ"ד מו (1) 861, נקבעה ההלכה לפיה יש לפרש צוואות בגישת הפרשנות הדו-שלבית: "הסעיף מבחין בין שתי בחינות פרשניות ואף מדרג ביניהן: הבחינה הראשונית היא "פנימית", באשר מטרתה לאמוד את דעתו של המצווה "כפי שהיא משתמעת מתוך הצוואה". הבחינה השנייה היא "חיצונית", בהיותה נזקקת לנסיבות שאין לעמוד עליהן מתוך הצוואה. היזקקות לנסיבות חיצוניות כמקור אפשרי לאומד דעתו של המצווה איננה מותרת אלא במקרים בהם אין לאמוד את דעת המצווה מתוך הצוואה".</w:t>
      </w:r>
    </w:p>
    <w:p w:rsidR="001741B5" w:rsidRPr="00000900" w:rsidRDefault="001741B5" w:rsidP="000D7F45">
      <w:pPr>
        <w:ind w:left="-58"/>
        <w:contextualSpacing/>
        <w:jc w:val="both"/>
        <w:rPr>
          <w:rFonts w:ascii="David" w:eastAsia="Calibri" w:hAnsi="David"/>
          <w:noProof w:val="0"/>
        </w:rPr>
      </w:pPr>
    </w:p>
    <w:p w:rsidR="001741B5" w:rsidRPr="00000900" w:rsidRDefault="001741B5" w:rsidP="000D7F45">
      <w:pPr>
        <w:ind w:left="862" w:right="862"/>
        <w:jc w:val="both"/>
        <w:rPr>
          <w:rFonts w:ascii="David" w:eastAsia="Calibri" w:hAnsi="David"/>
          <w:b/>
          <w:bCs/>
          <w:i/>
          <w:iCs/>
          <w:noProof w:val="0"/>
          <w:color w:val="404040"/>
          <w:rtl/>
        </w:rPr>
      </w:pPr>
      <w:r w:rsidRPr="00000900">
        <w:rPr>
          <w:rFonts w:ascii="David" w:eastAsia="Calibri" w:hAnsi="David"/>
          <w:b/>
          <w:bCs/>
          <w:i/>
          <w:iCs/>
          <w:noProof w:val="0"/>
          <w:color w:val="404040"/>
          <w:rtl/>
        </w:rPr>
        <w:t>בע"א 1900/96 איזבל טלמצ'יו נ'  האפוטרופוס הכללי, נג (2) 817, הציג כב' הנשיא (בדימוס) ברק דרך פרשנות אחרת, הממזגת את שלב הפרשנות הפנימית והחיצונית יחדיו, ולפיה  התהליך הפרשני אינו צריך להתחלק לשני שלבים. הפרשן רשאי לפנות לנסיבות חיצוניות באופן חופשי, ללא מגבלות פורמאליות, גם כאשר לשון הטקסט המשפטי ברורה. עוד הוסף שם, שבמתח הפנימי שבין "הגוף" (טקסט הצוואה), לבין "הנשמה" (אומד דעת המצווה), יש ליתן בפרשנות הצוואה, משקל מיוחד ל"נשמה", שכן אינטרס היחידי הראוי להגנה בצוואה הוא רצון המצווה לעומת אינטרס הסתמכות של היורשים עפ"י הצוואה, או של כל אדם אחר.</w:t>
      </w:r>
      <w:r w:rsidR="00A9481B">
        <w:rPr>
          <w:rFonts w:ascii="David" w:eastAsia="Calibri" w:hAnsi="David" w:hint="cs"/>
          <w:b/>
          <w:bCs/>
          <w:i/>
          <w:iCs/>
          <w:noProof w:val="0"/>
          <w:color w:val="404040"/>
          <w:rtl/>
        </w:rPr>
        <w:t>"</w:t>
      </w:r>
    </w:p>
    <w:p w:rsidR="001741B5" w:rsidRPr="00000900" w:rsidRDefault="001741B5" w:rsidP="000D7F45">
      <w:pPr>
        <w:jc w:val="both"/>
        <w:rPr>
          <w:rFonts w:ascii="David" w:eastAsia="Calibri" w:hAnsi="David"/>
          <w:noProof w:val="0"/>
        </w:rPr>
      </w:pPr>
    </w:p>
    <w:p w:rsidR="001741B5" w:rsidRPr="00000900" w:rsidRDefault="001741B5" w:rsidP="000D7F45">
      <w:pPr>
        <w:numPr>
          <w:ilvl w:val="0"/>
          <w:numId w:val="2"/>
        </w:numPr>
        <w:spacing w:after="160"/>
        <w:ind w:left="-58" w:hanging="567"/>
        <w:contextualSpacing/>
        <w:jc w:val="both"/>
        <w:rPr>
          <w:rFonts w:ascii="David" w:eastAsia="Calibri" w:hAnsi="David"/>
          <w:noProof w:val="0"/>
          <w:rtl/>
        </w:rPr>
      </w:pPr>
      <w:r w:rsidRPr="00000900">
        <w:rPr>
          <w:rFonts w:ascii="David" w:eastAsia="Calibri" w:hAnsi="David"/>
          <w:noProof w:val="0"/>
          <w:rtl/>
        </w:rPr>
        <w:t xml:space="preserve">טרם הוכרעה השאלה איזו מן הגישות הפרשניות היא השולטת בכיפה ובעלת היתרונות לעומת רעותה (להרחבה בעניין ר' עמ"ש (מחוזי חיפה) 56280-02-20 </w:t>
      </w:r>
      <w:r w:rsidRPr="00000900">
        <w:rPr>
          <w:rFonts w:ascii="David" w:eastAsia="Calibri" w:hAnsi="David"/>
          <w:b/>
          <w:bCs/>
          <w:noProof w:val="0"/>
          <w:rtl/>
        </w:rPr>
        <w:t>פלוני נ' פלונים</w:t>
      </w:r>
      <w:r w:rsidRPr="00000900">
        <w:rPr>
          <w:rFonts w:ascii="David" w:eastAsia="Calibri" w:hAnsi="David"/>
          <w:noProof w:val="0"/>
          <w:rtl/>
        </w:rPr>
        <w:t xml:space="preserve"> (נבו 12.8.2021)). </w:t>
      </w:r>
    </w:p>
    <w:p w:rsidR="001741B5" w:rsidRPr="00000900" w:rsidRDefault="001741B5" w:rsidP="000D7F45">
      <w:pPr>
        <w:ind w:left="-58"/>
        <w:contextualSpacing/>
        <w:jc w:val="both"/>
        <w:rPr>
          <w:rFonts w:ascii="David" w:eastAsia="Calibri" w:hAnsi="David"/>
          <w:noProof w:val="0"/>
        </w:rPr>
      </w:pPr>
    </w:p>
    <w:p w:rsidR="001741B5" w:rsidRDefault="001741B5" w:rsidP="000D7F45">
      <w:pPr>
        <w:ind w:left="-58"/>
        <w:contextualSpacing/>
        <w:jc w:val="both"/>
        <w:rPr>
          <w:rFonts w:ascii="David" w:eastAsia="Calibri" w:hAnsi="David"/>
          <w:noProof w:val="0"/>
          <w:u w:val="single"/>
          <w:rtl/>
        </w:rPr>
      </w:pPr>
      <w:r w:rsidRPr="00000900">
        <w:rPr>
          <w:rFonts w:ascii="David" w:eastAsia="Calibri" w:hAnsi="David"/>
          <w:noProof w:val="0"/>
          <w:u w:val="single"/>
          <w:rtl/>
        </w:rPr>
        <w:t>מן הכלל אל הפרט</w:t>
      </w:r>
    </w:p>
    <w:p w:rsidR="00A9481B" w:rsidRPr="00000900" w:rsidRDefault="00A9481B" w:rsidP="000D7F45">
      <w:pPr>
        <w:ind w:left="-58"/>
        <w:contextualSpacing/>
        <w:jc w:val="both"/>
        <w:rPr>
          <w:rFonts w:ascii="David" w:eastAsia="Calibri" w:hAnsi="David"/>
          <w:noProof w:val="0"/>
          <w:u w:val="single"/>
          <w:rtl/>
        </w:rPr>
      </w:pPr>
    </w:p>
    <w:p w:rsidR="001741B5" w:rsidRDefault="001741B5" w:rsidP="000D7F45">
      <w:pPr>
        <w:numPr>
          <w:ilvl w:val="0"/>
          <w:numId w:val="2"/>
        </w:numPr>
        <w:spacing w:after="160"/>
        <w:ind w:left="-58" w:hanging="567"/>
        <w:contextualSpacing/>
        <w:jc w:val="both"/>
        <w:rPr>
          <w:rFonts w:ascii="David" w:eastAsia="Calibri" w:hAnsi="David"/>
          <w:noProof w:val="0"/>
        </w:rPr>
      </w:pPr>
      <w:r w:rsidRPr="00000900">
        <w:rPr>
          <w:rFonts w:ascii="David" w:eastAsia="Calibri" w:hAnsi="David"/>
          <w:noProof w:val="0"/>
          <w:u w:val="single"/>
          <w:rtl/>
        </w:rPr>
        <w:t>לשון הצוואה</w:t>
      </w:r>
      <w:r w:rsidRPr="00000900">
        <w:rPr>
          <w:rFonts w:ascii="David" w:eastAsia="Calibri" w:hAnsi="David"/>
          <w:noProof w:val="0"/>
          <w:rtl/>
        </w:rPr>
        <w:t xml:space="preserve"> - עיון הצוואה מעלה כי, המנוחה ביקשה להעניק לנתבע קורת גג עד לאחר פטירת בני הזוג. המנוחה הקדישה לכך סעיף נפרד (ס' 10 לצוואה) מהסעיף בו הורישה את זכויותיה בנכס למנוח (ס' 4 לצוואה). </w:t>
      </w:r>
      <w:r w:rsidR="00A9481B" w:rsidRPr="00D71DC8">
        <w:rPr>
          <w:rFonts w:ascii="David" w:eastAsia="Calibri" w:hAnsi="David" w:hint="cs"/>
          <w:noProof w:val="0"/>
          <w:rtl/>
        </w:rPr>
        <w:t>הדברים הללו הכתובים בצוואה נות</w:t>
      </w:r>
      <w:r w:rsidR="003B5612" w:rsidRPr="00D71DC8">
        <w:rPr>
          <w:rFonts w:ascii="David" w:eastAsia="Calibri" w:hAnsi="David" w:hint="cs"/>
          <w:noProof w:val="0"/>
          <w:rtl/>
        </w:rPr>
        <w:t>נים</w:t>
      </w:r>
      <w:r w:rsidR="00A9481B" w:rsidRPr="00D71DC8">
        <w:rPr>
          <w:rFonts w:ascii="David" w:eastAsia="Calibri" w:hAnsi="David" w:hint="cs"/>
          <w:noProof w:val="0"/>
          <w:rtl/>
        </w:rPr>
        <w:t xml:space="preserve"> מענה לפרשנות הפנימית.</w:t>
      </w:r>
      <w:r w:rsidR="00A9481B">
        <w:rPr>
          <w:rFonts w:ascii="David" w:eastAsia="Calibri" w:hAnsi="David" w:hint="cs"/>
          <w:noProof w:val="0"/>
          <w:rtl/>
        </w:rPr>
        <w:t xml:space="preserve">  </w:t>
      </w:r>
    </w:p>
    <w:p w:rsidR="00A9481B" w:rsidRPr="00000900" w:rsidRDefault="00A9481B" w:rsidP="000D7F45">
      <w:pPr>
        <w:spacing w:after="160"/>
        <w:ind w:left="-58"/>
        <w:contextualSpacing/>
        <w:jc w:val="both"/>
        <w:rPr>
          <w:rFonts w:ascii="David" w:eastAsia="Calibri" w:hAnsi="David"/>
          <w:noProof w:val="0"/>
        </w:rPr>
      </w:pPr>
    </w:p>
    <w:p w:rsidR="001741B5" w:rsidRDefault="001741B5" w:rsidP="000D7F45">
      <w:pPr>
        <w:numPr>
          <w:ilvl w:val="0"/>
          <w:numId w:val="2"/>
        </w:numPr>
        <w:spacing w:after="160"/>
        <w:ind w:left="-58" w:hanging="567"/>
        <w:contextualSpacing/>
        <w:jc w:val="both"/>
        <w:rPr>
          <w:rFonts w:ascii="David" w:eastAsia="Calibri" w:hAnsi="David"/>
          <w:noProof w:val="0"/>
        </w:rPr>
      </w:pPr>
      <w:r w:rsidRPr="00000900">
        <w:rPr>
          <w:rFonts w:ascii="David" w:eastAsia="Calibri" w:hAnsi="David"/>
          <w:noProof w:val="0"/>
          <w:u w:val="single"/>
          <w:rtl/>
        </w:rPr>
        <w:t>נסיבות חיצוניות</w:t>
      </w:r>
      <w:r w:rsidRPr="00000900">
        <w:rPr>
          <w:rFonts w:ascii="David" w:eastAsia="Calibri" w:hAnsi="David"/>
          <w:noProof w:val="0"/>
          <w:rtl/>
        </w:rPr>
        <w:t xml:space="preserve"> </w:t>
      </w:r>
      <w:r w:rsidR="00A9481B">
        <w:rPr>
          <w:rFonts w:ascii="David" w:eastAsia="Calibri" w:hAnsi="David"/>
          <w:noProof w:val="0"/>
          <w:rtl/>
        </w:rPr>
        <w:t>–</w:t>
      </w:r>
      <w:r w:rsidRPr="00000900">
        <w:rPr>
          <w:rFonts w:ascii="David" w:eastAsia="Calibri" w:hAnsi="David"/>
          <w:noProof w:val="0"/>
          <w:rtl/>
        </w:rPr>
        <w:t xml:space="preserve"> </w:t>
      </w:r>
      <w:r w:rsidR="00A9481B">
        <w:rPr>
          <w:rFonts w:ascii="David" w:eastAsia="Calibri" w:hAnsi="David" w:hint="cs"/>
          <w:noProof w:val="0"/>
          <w:rtl/>
        </w:rPr>
        <w:t xml:space="preserve">בנידוננו </w:t>
      </w:r>
      <w:r w:rsidRPr="00000900">
        <w:rPr>
          <w:rFonts w:ascii="David" w:eastAsia="Calibri" w:hAnsi="David"/>
          <w:noProof w:val="0"/>
          <w:rtl/>
        </w:rPr>
        <w:t xml:space="preserve">אף הנסיבות החיצוניות לצוואה, מעידות על רצונה זה של המנוחה. </w:t>
      </w:r>
    </w:p>
    <w:p w:rsidR="001741B5" w:rsidRDefault="001741B5" w:rsidP="000D7F45">
      <w:pPr>
        <w:numPr>
          <w:ilvl w:val="0"/>
          <w:numId w:val="2"/>
        </w:numPr>
        <w:spacing w:after="160"/>
        <w:ind w:left="-58" w:hanging="567"/>
        <w:contextualSpacing/>
        <w:jc w:val="both"/>
        <w:rPr>
          <w:rFonts w:ascii="David" w:eastAsia="Calibri" w:hAnsi="David"/>
          <w:noProof w:val="0"/>
        </w:rPr>
      </w:pPr>
      <w:r w:rsidRPr="00000900">
        <w:rPr>
          <w:rFonts w:ascii="David" w:eastAsia="Calibri" w:hAnsi="David"/>
          <w:noProof w:val="0"/>
          <w:rtl/>
        </w:rPr>
        <w:t>אף מבלי להיכנס לעובי הקרוב באשר להתנהלותו של הנתבע החל מהמועד בו עבר להתגורר בנכס יחד עם הוריו (</w:t>
      </w:r>
      <w:r w:rsidR="00A9481B">
        <w:rPr>
          <w:rFonts w:ascii="David" w:eastAsia="Calibri" w:hAnsi="David" w:hint="cs"/>
          <w:noProof w:val="0"/>
          <w:rtl/>
        </w:rPr>
        <w:t>בני</w:t>
      </w:r>
      <w:r w:rsidR="00760083">
        <w:rPr>
          <w:rFonts w:ascii="David" w:eastAsia="Calibri" w:hAnsi="David" w:hint="cs"/>
          <w:noProof w:val="0"/>
          <w:rtl/>
        </w:rPr>
        <w:t>ה"ז)</w:t>
      </w:r>
      <w:r w:rsidRPr="00000900">
        <w:rPr>
          <w:rFonts w:ascii="David" w:eastAsia="Calibri" w:hAnsi="David"/>
          <w:noProof w:val="0"/>
          <w:rtl/>
        </w:rPr>
        <w:t xml:space="preserve">, עולה כי אין חולק </w:t>
      </w:r>
      <w:r w:rsidR="00760083">
        <w:rPr>
          <w:rFonts w:ascii="David" w:eastAsia="Calibri" w:hAnsi="David" w:hint="cs"/>
          <w:noProof w:val="0"/>
          <w:rtl/>
        </w:rPr>
        <w:t>ש</w:t>
      </w:r>
      <w:r w:rsidRPr="00000900">
        <w:rPr>
          <w:rFonts w:ascii="David" w:eastAsia="Calibri" w:hAnsi="David"/>
          <w:noProof w:val="0"/>
          <w:rtl/>
        </w:rPr>
        <w:t>הנתבע סובל מקשיים שונים בחייו ובין היתר קושי כלכלי ונפשי (ר' ס' 7-15 לכתב התביעה; ס' 31 לכתב ההגנה; ס' 2-3 לתצע"ר הנתבע)</w:t>
      </w:r>
      <w:r w:rsidR="00760083">
        <w:rPr>
          <w:rFonts w:ascii="David" w:eastAsia="Calibri" w:hAnsi="David" w:hint="cs"/>
          <w:noProof w:val="0"/>
          <w:rtl/>
        </w:rPr>
        <w:t xml:space="preserve">. </w:t>
      </w:r>
    </w:p>
    <w:p w:rsidR="00760083" w:rsidRPr="00000900" w:rsidRDefault="00760083" w:rsidP="000D7F45">
      <w:pPr>
        <w:spacing w:after="160"/>
        <w:ind w:left="-58"/>
        <w:contextualSpacing/>
        <w:jc w:val="both"/>
        <w:rPr>
          <w:rFonts w:ascii="David" w:eastAsia="Calibri" w:hAnsi="David"/>
          <w:noProof w:val="0"/>
        </w:rPr>
      </w:pPr>
    </w:p>
    <w:p w:rsidR="001741B5" w:rsidRPr="00000900" w:rsidRDefault="001741B5" w:rsidP="000D7F45">
      <w:pPr>
        <w:numPr>
          <w:ilvl w:val="0"/>
          <w:numId w:val="2"/>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התובע עצמו טען כי הוא לא היה מעוניין להעניק זכות מגורים לנתבע בנכס, אולם המנוחה הייתה בזמנו חולה והוא לא רצה לצערה (ר' ס' 20 לכתב התביעה). </w:t>
      </w:r>
    </w:p>
    <w:p w:rsidR="00760083" w:rsidRDefault="00760083" w:rsidP="000D7F45">
      <w:pPr>
        <w:spacing w:after="160"/>
        <w:ind w:left="-58"/>
        <w:contextualSpacing/>
        <w:jc w:val="both"/>
        <w:rPr>
          <w:rFonts w:ascii="David" w:eastAsia="Calibri" w:hAnsi="David"/>
          <w:noProof w:val="0"/>
        </w:rPr>
      </w:pPr>
    </w:p>
    <w:p w:rsidR="001741B5" w:rsidRDefault="001741B5" w:rsidP="000D7F45">
      <w:pPr>
        <w:numPr>
          <w:ilvl w:val="0"/>
          <w:numId w:val="2"/>
        </w:numPr>
        <w:spacing w:after="160"/>
        <w:ind w:left="-58" w:hanging="567"/>
        <w:contextualSpacing/>
        <w:jc w:val="both"/>
        <w:rPr>
          <w:rFonts w:ascii="David" w:eastAsia="Calibri" w:hAnsi="David"/>
          <w:noProof w:val="0"/>
        </w:rPr>
      </w:pPr>
      <w:r w:rsidRPr="00000900">
        <w:rPr>
          <w:rFonts w:ascii="David" w:eastAsia="Calibri" w:hAnsi="David"/>
          <w:noProof w:val="0"/>
          <w:rtl/>
        </w:rPr>
        <w:lastRenderedPageBreak/>
        <w:t xml:space="preserve">כאשר נחקר התובע על אותה זכות מגורים לנתבע העיד כי " </w:t>
      </w:r>
      <w:r w:rsidRPr="00000900">
        <w:rPr>
          <w:rFonts w:ascii="David" w:eastAsia="Calibri" w:hAnsi="David"/>
          <w:b/>
          <w:bCs/>
          <w:i/>
          <w:iCs/>
          <w:noProof w:val="0"/>
          <w:rtl/>
        </w:rPr>
        <w:t>התחשבנו</w:t>
      </w:r>
      <w:r w:rsidRPr="00000900">
        <w:rPr>
          <w:rFonts w:ascii="David" w:eastAsia="Calibri" w:hAnsi="David"/>
          <w:b/>
          <w:bCs/>
          <w:i/>
          <w:iCs/>
          <w:noProof w:val="0"/>
        </w:rPr>
        <w:t xml:space="preserve"> </w:t>
      </w:r>
      <w:r w:rsidRPr="00000900">
        <w:rPr>
          <w:rFonts w:ascii="David" w:eastAsia="Calibri" w:hAnsi="David"/>
          <w:b/>
          <w:bCs/>
          <w:i/>
          <w:iCs/>
          <w:noProof w:val="0"/>
          <w:rtl/>
        </w:rPr>
        <w:t>במצבו</w:t>
      </w:r>
      <w:r w:rsidR="00760083">
        <w:rPr>
          <w:rFonts w:ascii="David" w:eastAsia="Calibri" w:hAnsi="David" w:hint="cs"/>
          <w:b/>
          <w:bCs/>
          <w:i/>
          <w:iCs/>
          <w:noProof w:val="0"/>
          <w:rtl/>
        </w:rPr>
        <w:t xml:space="preserve">, </w:t>
      </w:r>
      <w:r w:rsidRPr="00000900">
        <w:rPr>
          <w:rFonts w:ascii="David" w:eastAsia="Calibri" w:hAnsi="David"/>
          <w:b/>
          <w:bCs/>
          <w:i/>
          <w:iCs/>
          <w:noProof w:val="0"/>
          <w:rtl/>
        </w:rPr>
        <w:t>בגלל</w:t>
      </w:r>
      <w:r w:rsidRPr="00000900">
        <w:rPr>
          <w:rFonts w:ascii="David" w:eastAsia="Calibri" w:hAnsi="David"/>
          <w:b/>
          <w:bCs/>
          <w:i/>
          <w:iCs/>
          <w:noProof w:val="0"/>
        </w:rPr>
        <w:t xml:space="preserve"> </w:t>
      </w:r>
      <w:r w:rsidRPr="00000900">
        <w:rPr>
          <w:rFonts w:ascii="David" w:eastAsia="Calibri" w:hAnsi="David"/>
          <w:b/>
          <w:bCs/>
          <w:i/>
          <w:iCs/>
          <w:noProof w:val="0"/>
          <w:rtl/>
        </w:rPr>
        <w:t>זה</w:t>
      </w:r>
      <w:r w:rsidR="00760083">
        <w:rPr>
          <w:rFonts w:ascii="David" w:eastAsia="Calibri" w:hAnsi="David" w:hint="cs"/>
          <w:b/>
          <w:bCs/>
          <w:i/>
          <w:iCs/>
          <w:noProof w:val="0"/>
          <w:rtl/>
        </w:rPr>
        <w:t xml:space="preserve">, </w:t>
      </w:r>
      <w:r w:rsidRPr="00000900">
        <w:rPr>
          <w:rFonts w:ascii="David" w:eastAsia="Calibri" w:hAnsi="David"/>
          <w:b/>
          <w:bCs/>
          <w:i/>
          <w:iCs/>
          <w:noProof w:val="0"/>
          <w:rtl/>
        </w:rPr>
        <w:t>למה</w:t>
      </w:r>
      <w:r w:rsidRPr="00000900">
        <w:rPr>
          <w:rFonts w:ascii="David" w:eastAsia="Calibri" w:hAnsi="David"/>
          <w:b/>
          <w:bCs/>
          <w:i/>
          <w:iCs/>
          <w:noProof w:val="0"/>
        </w:rPr>
        <w:t xml:space="preserve"> </w:t>
      </w:r>
      <w:r w:rsidRPr="00000900">
        <w:rPr>
          <w:rFonts w:ascii="David" w:eastAsia="Calibri" w:hAnsi="David"/>
          <w:b/>
          <w:bCs/>
          <w:i/>
          <w:iCs/>
          <w:noProof w:val="0"/>
          <w:rtl/>
        </w:rPr>
        <w:t>לילדים</w:t>
      </w:r>
      <w:r w:rsidRPr="00000900">
        <w:rPr>
          <w:rFonts w:ascii="David" w:eastAsia="Calibri" w:hAnsi="David"/>
          <w:b/>
          <w:bCs/>
          <w:i/>
          <w:iCs/>
          <w:noProof w:val="0"/>
        </w:rPr>
        <w:t xml:space="preserve"> </w:t>
      </w:r>
      <w:r w:rsidRPr="00000900">
        <w:rPr>
          <w:rFonts w:ascii="David" w:eastAsia="Calibri" w:hAnsi="David"/>
          <w:b/>
          <w:bCs/>
          <w:i/>
          <w:iCs/>
          <w:noProof w:val="0"/>
          <w:rtl/>
        </w:rPr>
        <w:t>האחרים</w:t>
      </w:r>
      <w:r w:rsidRPr="00000900">
        <w:rPr>
          <w:rFonts w:ascii="David" w:eastAsia="Calibri" w:hAnsi="David"/>
          <w:b/>
          <w:bCs/>
          <w:i/>
          <w:iCs/>
          <w:noProof w:val="0"/>
        </w:rPr>
        <w:t xml:space="preserve"> </w:t>
      </w:r>
      <w:r w:rsidRPr="00000900">
        <w:rPr>
          <w:rFonts w:ascii="David" w:eastAsia="Calibri" w:hAnsi="David"/>
          <w:b/>
          <w:bCs/>
          <w:i/>
          <w:iCs/>
          <w:noProof w:val="0"/>
          <w:rtl/>
        </w:rPr>
        <w:t>לא</w:t>
      </w:r>
      <w:r w:rsidRPr="00000900">
        <w:rPr>
          <w:rFonts w:ascii="David" w:eastAsia="Calibri" w:hAnsi="David"/>
          <w:b/>
          <w:bCs/>
          <w:i/>
          <w:iCs/>
          <w:noProof w:val="0"/>
        </w:rPr>
        <w:t xml:space="preserve"> </w:t>
      </w:r>
      <w:r w:rsidRPr="00000900">
        <w:rPr>
          <w:rFonts w:ascii="David" w:eastAsia="Calibri" w:hAnsi="David"/>
          <w:b/>
          <w:bCs/>
          <w:i/>
          <w:iCs/>
          <w:noProof w:val="0"/>
          <w:rtl/>
        </w:rPr>
        <w:t>קבענו</w:t>
      </w:r>
      <w:r w:rsidRPr="00000900">
        <w:rPr>
          <w:rFonts w:ascii="David" w:eastAsia="Calibri" w:hAnsi="David"/>
          <w:b/>
          <w:bCs/>
          <w:i/>
          <w:iCs/>
          <w:noProof w:val="0"/>
        </w:rPr>
        <w:t xml:space="preserve"> </w:t>
      </w:r>
      <w:r w:rsidRPr="00000900">
        <w:rPr>
          <w:rFonts w:ascii="David" w:eastAsia="Calibri" w:hAnsi="David"/>
          <w:b/>
          <w:bCs/>
          <w:i/>
          <w:iCs/>
          <w:noProof w:val="0"/>
          <w:rtl/>
        </w:rPr>
        <w:t>את</w:t>
      </w:r>
      <w:r w:rsidRPr="00000900">
        <w:rPr>
          <w:rFonts w:ascii="David" w:eastAsia="Calibri" w:hAnsi="David"/>
          <w:b/>
          <w:bCs/>
          <w:i/>
          <w:iCs/>
          <w:noProof w:val="0"/>
        </w:rPr>
        <w:t xml:space="preserve"> </w:t>
      </w:r>
      <w:r w:rsidRPr="00000900">
        <w:rPr>
          <w:rFonts w:ascii="David" w:eastAsia="Calibri" w:hAnsi="David"/>
          <w:b/>
          <w:bCs/>
          <w:i/>
          <w:iCs/>
          <w:noProof w:val="0"/>
          <w:rtl/>
        </w:rPr>
        <w:t>זה</w:t>
      </w:r>
      <w:r w:rsidR="00760083">
        <w:rPr>
          <w:rFonts w:ascii="David" w:eastAsia="Calibri" w:hAnsi="David" w:hint="cs"/>
          <w:b/>
          <w:bCs/>
          <w:i/>
          <w:iCs/>
          <w:noProof w:val="0"/>
          <w:rtl/>
        </w:rPr>
        <w:t>?</w:t>
      </w:r>
      <w:r w:rsidRPr="00000900">
        <w:rPr>
          <w:rFonts w:ascii="David" w:eastAsia="Calibri" w:hAnsi="David"/>
          <w:noProof w:val="0"/>
          <w:rtl/>
        </w:rPr>
        <w:t xml:space="preserve"> </w:t>
      </w:r>
      <w:r w:rsidR="00760083" w:rsidRPr="00760083">
        <w:rPr>
          <w:rFonts w:ascii="David" w:eastAsia="Calibri" w:hAnsi="David" w:hint="cs"/>
          <w:b/>
          <w:bCs/>
          <w:i/>
          <w:iCs/>
          <w:noProof w:val="0"/>
          <w:rtl/>
        </w:rPr>
        <w:t>למה? הוא צריך להסתדר, אז נתנו לו את הזמן הזה"</w:t>
      </w:r>
      <w:r w:rsidR="00760083">
        <w:rPr>
          <w:rFonts w:ascii="David" w:eastAsia="Calibri" w:hAnsi="David" w:hint="cs"/>
          <w:noProof w:val="0"/>
          <w:rtl/>
        </w:rPr>
        <w:t xml:space="preserve"> </w:t>
      </w:r>
      <w:r w:rsidR="00760083" w:rsidRPr="00000900">
        <w:rPr>
          <w:rFonts w:ascii="David" w:eastAsia="Calibri" w:hAnsi="David"/>
          <w:noProof w:val="0"/>
          <w:rtl/>
        </w:rPr>
        <w:t xml:space="preserve">(ר' עמ' 19 ש' 30-31 לפרו'). </w:t>
      </w:r>
      <w:r w:rsidR="00760083">
        <w:rPr>
          <w:rFonts w:ascii="David" w:eastAsia="Calibri" w:hAnsi="David" w:hint="cs"/>
          <w:noProof w:val="0"/>
          <w:rtl/>
        </w:rPr>
        <w:t xml:space="preserve"> </w:t>
      </w:r>
    </w:p>
    <w:p w:rsidR="00760083" w:rsidRPr="00000900" w:rsidRDefault="00760083" w:rsidP="000D7F45">
      <w:pPr>
        <w:spacing w:after="160"/>
        <w:ind w:left="-58"/>
        <w:contextualSpacing/>
        <w:jc w:val="both"/>
        <w:rPr>
          <w:rFonts w:ascii="David" w:eastAsia="Calibri" w:hAnsi="David"/>
          <w:noProof w:val="0"/>
        </w:rPr>
      </w:pPr>
    </w:p>
    <w:p w:rsidR="001741B5" w:rsidRDefault="001741B5" w:rsidP="000D7F45">
      <w:pPr>
        <w:numPr>
          <w:ilvl w:val="0"/>
          <w:numId w:val="2"/>
        </w:numPr>
        <w:spacing w:after="160"/>
        <w:ind w:left="-58" w:hanging="567"/>
        <w:contextualSpacing/>
        <w:jc w:val="both"/>
        <w:rPr>
          <w:rFonts w:ascii="David" w:eastAsia="Calibri" w:hAnsi="David"/>
          <w:noProof w:val="0"/>
        </w:rPr>
      </w:pPr>
      <w:r w:rsidRPr="00000900">
        <w:rPr>
          <w:rFonts w:ascii="David" w:eastAsia="Calibri" w:hAnsi="David"/>
          <w:noProof w:val="0"/>
          <w:rtl/>
        </w:rPr>
        <w:t>בהמשך חקירתו</w:t>
      </w:r>
      <w:r w:rsidR="00760083">
        <w:rPr>
          <w:rFonts w:ascii="David" w:eastAsia="Calibri" w:hAnsi="David" w:hint="cs"/>
          <w:noProof w:val="0"/>
          <w:rtl/>
        </w:rPr>
        <w:t xml:space="preserve"> נוצר הרושם כי </w:t>
      </w:r>
      <w:r w:rsidRPr="00000900">
        <w:rPr>
          <w:rFonts w:ascii="David" w:eastAsia="Calibri" w:hAnsi="David"/>
          <w:noProof w:val="0"/>
          <w:rtl/>
        </w:rPr>
        <w:t>התובע</w:t>
      </w:r>
      <w:r w:rsidR="00760083">
        <w:rPr>
          <w:rFonts w:ascii="David" w:eastAsia="Calibri" w:hAnsi="David" w:hint="cs"/>
          <w:noProof w:val="0"/>
          <w:rtl/>
        </w:rPr>
        <w:t xml:space="preserve"> ניסה</w:t>
      </w:r>
      <w:r w:rsidRPr="00000900">
        <w:rPr>
          <w:rFonts w:ascii="David" w:eastAsia="Calibri" w:hAnsi="David"/>
          <w:noProof w:val="0"/>
          <w:rtl/>
        </w:rPr>
        <w:t xml:space="preserve"> להתחמק מלענות על טיבו של סעיף 10 לצוואה, אך הודה כי אכן כוונת המנוחה הייתה ליתן זכות מגורים לנתבע בנכס עד פטירת שני בני הזוג (ר' עמ' 21-23 לפרו'): </w:t>
      </w:r>
    </w:p>
    <w:p w:rsidR="00760083" w:rsidRPr="00000900" w:rsidRDefault="00760083" w:rsidP="000D7F45">
      <w:pPr>
        <w:spacing w:after="160"/>
        <w:ind w:left="-58"/>
        <w:contextualSpacing/>
        <w:jc w:val="both"/>
        <w:rPr>
          <w:rFonts w:ascii="David" w:eastAsia="Calibri" w:hAnsi="David"/>
          <w:noProof w:val="0"/>
        </w:rPr>
      </w:pPr>
    </w:p>
    <w:p w:rsidR="007D0C68" w:rsidRPr="007D0C68" w:rsidRDefault="007D0C68" w:rsidP="000D7F45">
      <w:pPr>
        <w:ind w:left="1134" w:hanging="1134"/>
        <w:rPr>
          <w:b/>
          <w:bCs/>
          <w:i/>
          <w:iCs/>
          <w:noProof w:val="0"/>
        </w:rPr>
      </w:pPr>
      <w:r w:rsidRPr="007D0C68">
        <w:rPr>
          <w:rFonts w:hint="cs"/>
          <w:b/>
          <w:bCs/>
          <w:i/>
          <w:iCs/>
          <w:rtl/>
        </w:rPr>
        <w:t>ש. מבחינת הצוואה היא נתנה לו אישור להישאר בדירה, אתה מודע לזה?</w:t>
      </w:r>
    </w:p>
    <w:p w:rsidR="007D0C68" w:rsidRPr="007D0C68" w:rsidRDefault="007D0C68" w:rsidP="000D7F45">
      <w:pPr>
        <w:ind w:left="1134" w:hanging="1134"/>
        <w:rPr>
          <w:b/>
          <w:bCs/>
          <w:i/>
          <w:iCs/>
          <w:rtl/>
        </w:rPr>
      </w:pPr>
      <w:r w:rsidRPr="007D0C68">
        <w:rPr>
          <w:rFonts w:hint="cs"/>
          <w:b/>
          <w:bCs/>
          <w:i/>
          <w:iCs/>
          <w:rtl/>
        </w:rPr>
        <w:t>ת. זה אחרי מותי.</w:t>
      </w:r>
    </w:p>
    <w:p w:rsidR="007D0C68" w:rsidRPr="007D0C68" w:rsidRDefault="007D0C68" w:rsidP="000D7F45">
      <w:pPr>
        <w:ind w:left="1134" w:hanging="1134"/>
        <w:rPr>
          <w:b/>
          <w:bCs/>
          <w:i/>
          <w:iCs/>
          <w:rtl/>
        </w:rPr>
      </w:pPr>
      <w:r w:rsidRPr="007D0C68">
        <w:rPr>
          <w:rFonts w:hint="cs"/>
          <w:b/>
          <w:bCs/>
          <w:i/>
          <w:iCs/>
          <w:rtl/>
        </w:rPr>
        <w:t>ש. נכון.</w:t>
      </w:r>
    </w:p>
    <w:p w:rsidR="007D0C68" w:rsidRPr="007D0C68" w:rsidRDefault="007D0C68" w:rsidP="000D7F45">
      <w:pPr>
        <w:ind w:left="1134" w:hanging="1134"/>
        <w:rPr>
          <w:b/>
          <w:bCs/>
          <w:i/>
          <w:iCs/>
          <w:rtl/>
        </w:rPr>
      </w:pPr>
      <w:r w:rsidRPr="007D0C68">
        <w:rPr>
          <w:rFonts w:hint="cs"/>
          <w:b/>
          <w:bCs/>
          <w:i/>
          <w:iCs/>
          <w:rtl/>
        </w:rPr>
        <w:t>ת. מי שימות אחרון, אז נו, עכשיו אני לא מת, נו, אז אני רוצה את הבית שלי.</w:t>
      </w:r>
    </w:p>
    <w:p w:rsidR="007D0C68" w:rsidRPr="007D0C68" w:rsidRDefault="007D0C68" w:rsidP="000D7F45">
      <w:pPr>
        <w:ind w:left="1134" w:hanging="1134"/>
        <w:rPr>
          <w:b/>
          <w:bCs/>
          <w:i/>
          <w:iCs/>
          <w:rtl/>
        </w:rPr>
      </w:pPr>
      <w:r w:rsidRPr="007D0C68">
        <w:rPr>
          <w:rFonts w:hint="cs"/>
          <w:b/>
          <w:bCs/>
          <w:i/>
          <w:iCs/>
          <w:rtl/>
        </w:rPr>
        <w:t xml:space="preserve">ש. אבל היא אמרה עד האחרון מבניכם הוא צריך להישאר. </w:t>
      </w:r>
    </w:p>
    <w:p w:rsidR="007D0C68" w:rsidRPr="007D0C68" w:rsidRDefault="007D0C68" w:rsidP="000D7F45">
      <w:pPr>
        <w:ind w:left="1134" w:hanging="1134"/>
        <w:rPr>
          <w:b/>
          <w:bCs/>
          <w:i/>
          <w:iCs/>
          <w:rtl/>
        </w:rPr>
      </w:pPr>
      <w:r w:rsidRPr="007D0C68">
        <w:rPr>
          <w:rFonts w:hint="cs"/>
          <w:b/>
          <w:bCs/>
          <w:i/>
          <w:iCs/>
          <w:rtl/>
        </w:rPr>
        <w:t>ת. לא, שישה חודשים מאחרי, אחרי שאני אמות.</w:t>
      </w:r>
    </w:p>
    <w:p w:rsidR="007D0C68" w:rsidRPr="007D0C68" w:rsidRDefault="007D0C68" w:rsidP="000D7F45">
      <w:pPr>
        <w:ind w:left="1134" w:hanging="1134"/>
        <w:rPr>
          <w:b/>
          <w:bCs/>
          <w:i/>
          <w:iCs/>
          <w:rtl/>
        </w:rPr>
      </w:pPr>
      <w:r w:rsidRPr="007D0C68">
        <w:rPr>
          <w:rFonts w:hint="cs"/>
          <w:b/>
          <w:bCs/>
          <w:i/>
          <w:iCs/>
          <w:rtl/>
        </w:rPr>
        <w:t>ש. יפה, כבוד השופטת, הוא הודה.</w:t>
      </w:r>
    </w:p>
    <w:p w:rsidR="007D0C68" w:rsidRPr="007D0C68" w:rsidRDefault="007D0C68" w:rsidP="000D7F45">
      <w:pPr>
        <w:ind w:left="1134" w:hanging="1134"/>
        <w:rPr>
          <w:b/>
          <w:bCs/>
          <w:i/>
          <w:iCs/>
          <w:rtl/>
        </w:rPr>
      </w:pPr>
      <w:r w:rsidRPr="007D0C68">
        <w:rPr>
          <w:rFonts w:hint="cs"/>
          <w:b/>
          <w:bCs/>
          <w:i/>
          <w:iCs/>
          <w:rtl/>
        </w:rPr>
        <w:t>ת. נו, אז למה כל החיים? למה את מכניסה כל החיים? זה בלוף משלך.</w:t>
      </w:r>
    </w:p>
    <w:p w:rsidR="007D0C68" w:rsidRPr="007D0C68" w:rsidRDefault="007D0C68" w:rsidP="000D7F45">
      <w:pPr>
        <w:ind w:left="1134" w:hanging="1134"/>
        <w:rPr>
          <w:b/>
          <w:bCs/>
          <w:i/>
          <w:iCs/>
          <w:rtl/>
        </w:rPr>
      </w:pPr>
      <w:r w:rsidRPr="007D0C68">
        <w:rPr>
          <w:rFonts w:hint="cs"/>
          <w:b/>
          <w:bCs/>
          <w:i/>
          <w:iCs/>
          <w:rtl/>
        </w:rPr>
        <w:t>ש. אני לא מכניסה, אני לא מכניסה כל החיים.</w:t>
      </w:r>
    </w:p>
    <w:p w:rsidR="007D0C68" w:rsidRPr="007D0C68" w:rsidRDefault="007D0C68" w:rsidP="000D7F45">
      <w:pPr>
        <w:ind w:left="1134" w:hanging="1134"/>
        <w:rPr>
          <w:b/>
          <w:bCs/>
          <w:i/>
          <w:iCs/>
          <w:rtl/>
        </w:rPr>
      </w:pPr>
      <w:r w:rsidRPr="007D0C68">
        <w:rPr>
          <w:rFonts w:hint="cs"/>
          <w:b/>
          <w:bCs/>
          <w:i/>
          <w:iCs/>
          <w:rtl/>
        </w:rPr>
        <w:t>ת. כן, את אומרת.</w:t>
      </w:r>
    </w:p>
    <w:p w:rsidR="001741B5" w:rsidRPr="007D0C68" w:rsidRDefault="001741B5" w:rsidP="000D7F45">
      <w:pPr>
        <w:ind w:left="-58"/>
        <w:contextualSpacing/>
        <w:jc w:val="both"/>
        <w:rPr>
          <w:rFonts w:ascii="David" w:eastAsia="Calibri" w:hAnsi="David"/>
          <w:b/>
          <w:bCs/>
          <w:i/>
          <w:iCs/>
          <w:noProof w:val="0"/>
        </w:rPr>
      </w:pPr>
    </w:p>
    <w:p w:rsidR="001741B5" w:rsidRPr="007D0C68" w:rsidRDefault="001741B5" w:rsidP="000D7F45">
      <w:pPr>
        <w:ind w:left="-58"/>
        <w:contextualSpacing/>
        <w:jc w:val="both"/>
        <w:rPr>
          <w:rFonts w:ascii="David" w:eastAsia="Calibri" w:hAnsi="David"/>
          <w:b/>
          <w:bCs/>
          <w:i/>
          <w:iCs/>
          <w:noProof w:val="0"/>
        </w:rPr>
      </w:pPr>
      <w:r w:rsidRPr="007D0C68">
        <w:rPr>
          <w:rFonts w:ascii="David" w:eastAsia="Calibri" w:hAnsi="David"/>
          <w:b/>
          <w:bCs/>
          <w:i/>
          <w:iCs/>
          <w:noProof w:val="0"/>
          <w:rtl/>
        </w:rPr>
        <w:t>...</w:t>
      </w:r>
    </w:p>
    <w:p w:rsidR="007D0C68" w:rsidRPr="007D0C68" w:rsidRDefault="007D0C68" w:rsidP="000D7F45">
      <w:pPr>
        <w:ind w:left="1134" w:hanging="1134"/>
        <w:rPr>
          <w:b/>
          <w:bCs/>
          <w:i/>
          <w:iCs/>
          <w:rtl/>
        </w:rPr>
      </w:pPr>
      <w:r w:rsidRPr="007D0C68">
        <w:rPr>
          <w:rFonts w:hint="cs"/>
          <w:b/>
          <w:bCs/>
          <w:i/>
          <w:iCs/>
          <w:u w:val="single"/>
          <w:rtl/>
        </w:rPr>
        <w:t>כב' השופטת ריבי לב אוחיון:</w:t>
      </w:r>
      <w:r w:rsidRPr="007D0C68">
        <w:rPr>
          <w:rFonts w:asciiTheme="minorBidi" w:hAnsiTheme="minorBidi" w:cstheme="minorBidi"/>
          <w:b/>
          <w:bCs/>
          <w:i/>
          <w:iCs/>
          <w:rtl/>
        </w:rPr>
        <w:t xml:space="preserve"> </w:t>
      </w:r>
    </w:p>
    <w:p w:rsidR="007D0C68" w:rsidRPr="007D0C68" w:rsidRDefault="007D0C68" w:rsidP="000D7F45">
      <w:pPr>
        <w:rPr>
          <w:b/>
          <w:bCs/>
          <w:i/>
          <w:iCs/>
          <w:noProof w:val="0"/>
        </w:rPr>
      </w:pPr>
      <w:r w:rsidRPr="007D0C68">
        <w:rPr>
          <w:rFonts w:hint="cs"/>
          <w:b/>
          <w:bCs/>
          <w:i/>
          <w:iCs/>
          <w:rtl/>
        </w:rPr>
        <w:t>אל תתווכחו ביניכם, באמת. גברתי, אני אמרתי שאני לא, שאני שמעתי את ההתנגדות, אבל אני מתירה את השאלה, אדוני, השאלה היא פשוטה, אני חוזרת, האם אתה מבין שסעיף 10 לצוואה אומר ש</w:t>
      </w:r>
      <w:r>
        <w:rPr>
          <w:rFonts w:hint="cs"/>
          <w:b/>
          <w:bCs/>
          <w:i/>
          <w:iCs/>
          <w:rtl/>
        </w:rPr>
        <w:t>*****</w:t>
      </w:r>
      <w:r w:rsidRPr="007D0C68">
        <w:rPr>
          <w:rFonts w:hint="cs"/>
          <w:b/>
          <w:bCs/>
          <w:i/>
          <w:iCs/>
          <w:rtl/>
        </w:rPr>
        <w:t xml:space="preserve"> יוכל להמשיך להוסיף לגור בדירה, להוסיף לגור בדירה עד חצי שנה לאחר ששני ההורים ילכו לעולמם.</w:t>
      </w:r>
    </w:p>
    <w:p w:rsidR="007D0C68" w:rsidRPr="007D0C68" w:rsidRDefault="007D0C68" w:rsidP="000D7F45">
      <w:pPr>
        <w:rPr>
          <w:b/>
          <w:bCs/>
          <w:i/>
          <w:iCs/>
          <w:rtl/>
        </w:rPr>
      </w:pPr>
      <w:r w:rsidRPr="007D0C68">
        <w:rPr>
          <w:rFonts w:hint="cs"/>
          <w:b/>
          <w:bCs/>
          <w:i/>
          <w:iCs/>
          <w:rtl/>
        </w:rPr>
        <w:t xml:space="preserve">ת. אחרי שימותו, למה, שהוא יסתדר, שהוא יסתדר, זה הייתה הכוונה, הלא אני אמות, מי ישאר? שלושה אחים, הם? מישהו מהם, הם צריכים לטפל בבעיה שהשארנו אנחנו בחיים, נכון? הוא אין לו שום זכות, השני אין לו, אני העברתי את כל הזכויות לילדה שלי, שהיא תטפל והיא תיתן לכל אחד מה שמגיע, שתדאג להכל. </w:t>
      </w:r>
    </w:p>
    <w:p w:rsidR="007D0C68" w:rsidRPr="007D0C68" w:rsidRDefault="007D0C68" w:rsidP="000D7F45">
      <w:pPr>
        <w:ind w:left="1134" w:hanging="1134"/>
        <w:rPr>
          <w:b/>
          <w:bCs/>
          <w:i/>
          <w:iCs/>
          <w:rtl/>
        </w:rPr>
      </w:pPr>
      <w:r w:rsidRPr="007D0C68">
        <w:rPr>
          <w:rFonts w:hint="cs"/>
          <w:b/>
          <w:bCs/>
          <w:i/>
          <w:iCs/>
          <w:u w:val="single"/>
          <w:rtl/>
        </w:rPr>
        <w:t>כב' השופטת ריבי לב אוחיון:</w:t>
      </w:r>
      <w:r w:rsidRPr="007D0C68">
        <w:rPr>
          <w:rFonts w:asciiTheme="minorBidi" w:hAnsiTheme="minorBidi" w:cstheme="minorBidi"/>
          <w:b/>
          <w:bCs/>
          <w:i/>
          <w:iCs/>
          <w:rtl/>
        </w:rPr>
        <w:t xml:space="preserve"> </w:t>
      </w:r>
      <w:r w:rsidRPr="007D0C68">
        <w:rPr>
          <w:rFonts w:hint="cs"/>
          <w:b/>
          <w:bCs/>
          <w:i/>
          <w:iCs/>
          <w:rtl/>
        </w:rPr>
        <w:t>טוב.</w:t>
      </w:r>
    </w:p>
    <w:p w:rsidR="001741B5" w:rsidRPr="007D0C68" w:rsidRDefault="001741B5" w:rsidP="000D7F45">
      <w:pPr>
        <w:ind w:left="-58"/>
        <w:contextualSpacing/>
        <w:jc w:val="both"/>
        <w:rPr>
          <w:rFonts w:ascii="David" w:eastAsia="Calibri" w:hAnsi="David"/>
          <w:b/>
          <w:bCs/>
          <w:i/>
          <w:iCs/>
          <w:noProof w:val="0"/>
          <w:rtl/>
        </w:rPr>
      </w:pPr>
    </w:p>
    <w:p w:rsidR="001741B5" w:rsidRPr="007D0C68" w:rsidRDefault="001741B5" w:rsidP="000D7F45">
      <w:pPr>
        <w:ind w:left="-58"/>
        <w:contextualSpacing/>
        <w:jc w:val="both"/>
        <w:rPr>
          <w:rFonts w:ascii="David" w:eastAsia="Calibri" w:hAnsi="David"/>
          <w:b/>
          <w:bCs/>
          <w:i/>
          <w:iCs/>
          <w:noProof w:val="0"/>
        </w:rPr>
      </w:pPr>
      <w:r w:rsidRPr="007D0C68">
        <w:rPr>
          <w:rFonts w:ascii="David" w:eastAsia="Calibri" w:hAnsi="David"/>
          <w:b/>
          <w:bCs/>
          <w:i/>
          <w:iCs/>
          <w:noProof w:val="0"/>
          <w:rtl/>
        </w:rPr>
        <w:t>...</w:t>
      </w:r>
    </w:p>
    <w:p w:rsidR="007D0C68" w:rsidRPr="007D0C68" w:rsidRDefault="007D0C68" w:rsidP="000D7F45">
      <w:pPr>
        <w:ind w:left="1134" w:hanging="1134"/>
        <w:rPr>
          <w:b/>
          <w:bCs/>
          <w:i/>
          <w:iCs/>
          <w:rtl/>
        </w:rPr>
      </w:pPr>
      <w:r w:rsidRPr="007D0C68">
        <w:rPr>
          <w:rFonts w:hint="cs"/>
          <w:b/>
          <w:bCs/>
          <w:i/>
          <w:iCs/>
          <w:u w:val="single"/>
          <w:rtl/>
        </w:rPr>
        <w:t>כב' השופטת ריבי לב אוחיון:</w:t>
      </w:r>
      <w:r w:rsidRPr="007D0C68">
        <w:rPr>
          <w:rFonts w:asciiTheme="minorBidi" w:hAnsiTheme="minorBidi" w:cstheme="minorBidi"/>
          <w:b/>
          <w:bCs/>
          <w:i/>
          <w:iCs/>
          <w:rtl/>
        </w:rPr>
        <w:t xml:space="preserve"> </w:t>
      </w:r>
    </w:p>
    <w:p w:rsidR="007D0C68" w:rsidRPr="007D0C68" w:rsidRDefault="007D0C68" w:rsidP="000D7F45">
      <w:pPr>
        <w:rPr>
          <w:b/>
          <w:bCs/>
          <w:i/>
          <w:iCs/>
          <w:noProof w:val="0"/>
        </w:rPr>
      </w:pPr>
      <w:r w:rsidRPr="007D0C68">
        <w:rPr>
          <w:rFonts w:hint="cs"/>
          <w:b/>
          <w:bCs/>
          <w:i/>
          <w:iCs/>
          <w:rtl/>
        </w:rPr>
        <w:t>לפי הצוואה אתה שתהיה בריא ותבדל לחיים ארוכים, שהוא, אתה עדיין בחיים, האם אתה מבין שלפי הצוואה</w:t>
      </w:r>
      <w:r>
        <w:rPr>
          <w:rFonts w:hint="cs"/>
          <w:b/>
          <w:bCs/>
          <w:i/>
          <w:iCs/>
          <w:rtl/>
        </w:rPr>
        <w:t xml:space="preserve"> ש*****</w:t>
      </w:r>
      <w:r w:rsidRPr="007D0C68">
        <w:rPr>
          <w:rFonts w:hint="cs"/>
          <w:b/>
          <w:bCs/>
          <w:i/>
          <w:iCs/>
          <w:rtl/>
        </w:rPr>
        <w:t xml:space="preserve"> יכול להמשיך לגור בבית כל עוד אתה בחיים ועד חצי שנה אחרי? </w:t>
      </w:r>
    </w:p>
    <w:p w:rsidR="007D0C68" w:rsidRPr="007D0C68" w:rsidRDefault="007D0C68" w:rsidP="000D7F45">
      <w:pPr>
        <w:ind w:left="1134" w:hanging="1134"/>
        <w:rPr>
          <w:b/>
          <w:bCs/>
          <w:i/>
          <w:iCs/>
          <w:rtl/>
        </w:rPr>
      </w:pPr>
      <w:r w:rsidRPr="007D0C68">
        <w:rPr>
          <w:rFonts w:hint="cs"/>
          <w:b/>
          <w:bCs/>
          <w:i/>
          <w:iCs/>
          <w:rtl/>
        </w:rPr>
        <w:t xml:space="preserve">ת. לא, אני לא מסכים, למה אנחנו רוצים למכור את הרכוש. </w:t>
      </w:r>
    </w:p>
    <w:p w:rsidR="007D0C68" w:rsidRPr="007D0C68" w:rsidRDefault="007D0C68" w:rsidP="000D7F45">
      <w:pPr>
        <w:ind w:left="1134" w:hanging="1134"/>
        <w:rPr>
          <w:b/>
          <w:bCs/>
          <w:i/>
          <w:iCs/>
          <w:rtl/>
        </w:rPr>
      </w:pPr>
      <w:r w:rsidRPr="007D0C68">
        <w:rPr>
          <w:rFonts w:hint="cs"/>
          <w:b/>
          <w:bCs/>
          <w:i/>
          <w:iCs/>
          <w:rtl/>
        </w:rPr>
        <w:t>ש. לא מסכים או לא מבין?</w:t>
      </w:r>
    </w:p>
    <w:p w:rsidR="007D0C68" w:rsidRPr="007D0C68" w:rsidRDefault="007D0C68" w:rsidP="000D7F45">
      <w:pPr>
        <w:rPr>
          <w:b/>
          <w:bCs/>
          <w:i/>
          <w:iCs/>
          <w:rtl/>
        </w:rPr>
      </w:pPr>
      <w:r w:rsidRPr="007D0C68">
        <w:rPr>
          <w:rFonts w:hint="cs"/>
          <w:b/>
          <w:bCs/>
          <w:i/>
          <w:iCs/>
          <w:rtl/>
        </w:rPr>
        <w:t xml:space="preserve">ת. עוד הפעם, אני יודע שזה אחרי המוות, אני מדבר על אחרי המוות, לא לפני, אני חי, מה אני צריך אותו לידי? </w:t>
      </w:r>
    </w:p>
    <w:p w:rsidR="007D0C68" w:rsidRPr="007D0C68" w:rsidRDefault="007D0C68" w:rsidP="000D7F45">
      <w:pPr>
        <w:ind w:left="1134" w:hanging="1134"/>
        <w:rPr>
          <w:b/>
          <w:bCs/>
          <w:i/>
          <w:iCs/>
          <w:rtl/>
        </w:rPr>
      </w:pPr>
      <w:r w:rsidRPr="007D0C68">
        <w:rPr>
          <w:rFonts w:hint="cs"/>
          <w:b/>
          <w:bCs/>
          <w:i/>
          <w:iCs/>
          <w:rtl/>
        </w:rPr>
        <w:t xml:space="preserve">ש. אז אני שואלת, אחרי המוות אנחנו שואלים, לא. </w:t>
      </w:r>
    </w:p>
    <w:p w:rsidR="007D0C68" w:rsidRPr="007D0C68" w:rsidRDefault="007D0C68" w:rsidP="000D7F45">
      <w:pPr>
        <w:ind w:left="1134" w:hanging="1134"/>
        <w:rPr>
          <w:b/>
          <w:bCs/>
          <w:i/>
          <w:iCs/>
          <w:rtl/>
        </w:rPr>
      </w:pPr>
      <w:r w:rsidRPr="007D0C68">
        <w:rPr>
          <w:rFonts w:hint="cs"/>
          <w:b/>
          <w:bCs/>
          <w:i/>
          <w:iCs/>
          <w:rtl/>
        </w:rPr>
        <w:t>ת. אז תחכי שאני אמות.</w:t>
      </w:r>
    </w:p>
    <w:p w:rsidR="007D0C68" w:rsidRPr="007D0C68" w:rsidRDefault="007D0C68" w:rsidP="000D7F45">
      <w:pPr>
        <w:ind w:left="1134" w:hanging="1134"/>
        <w:rPr>
          <w:b/>
          <w:bCs/>
          <w:i/>
          <w:iCs/>
          <w:rtl/>
        </w:rPr>
      </w:pPr>
      <w:r w:rsidRPr="007D0C68">
        <w:rPr>
          <w:rFonts w:hint="cs"/>
          <w:b/>
          <w:bCs/>
          <w:i/>
          <w:iCs/>
          <w:rtl/>
        </w:rPr>
        <w:t xml:space="preserve">ש. לא, אני שואלת. </w:t>
      </w:r>
    </w:p>
    <w:p w:rsidR="001741B5" w:rsidRDefault="001741B5" w:rsidP="000D7F45">
      <w:pPr>
        <w:ind w:left="-58"/>
        <w:contextualSpacing/>
        <w:jc w:val="both"/>
        <w:rPr>
          <w:rFonts w:ascii="David" w:eastAsia="Calibri" w:hAnsi="David"/>
          <w:b/>
          <w:bCs/>
          <w:i/>
          <w:iCs/>
          <w:noProof w:val="0"/>
          <w:rtl/>
        </w:rPr>
      </w:pPr>
      <w:r w:rsidRPr="007D0C68">
        <w:rPr>
          <w:rFonts w:ascii="David" w:eastAsia="Calibri" w:hAnsi="David"/>
          <w:b/>
          <w:bCs/>
          <w:i/>
          <w:iCs/>
          <w:noProof w:val="0"/>
          <w:rtl/>
        </w:rPr>
        <w:t>...</w:t>
      </w:r>
    </w:p>
    <w:p w:rsidR="007D0C68" w:rsidRPr="007D0C68" w:rsidRDefault="007D0C68" w:rsidP="000D7F45">
      <w:pPr>
        <w:ind w:left="-58"/>
        <w:contextualSpacing/>
        <w:jc w:val="both"/>
        <w:rPr>
          <w:rFonts w:ascii="David" w:eastAsia="Calibri" w:hAnsi="David"/>
          <w:b/>
          <w:bCs/>
          <w:i/>
          <w:iCs/>
          <w:noProof w:val="0"/>
        </w:rPr>
      </w:pPr>
    </w:p>
    <w:p w:rsidR="007D0C68" w:rsidRPr="007D0C68" w:rsidRDefault="007D0C68" w:rsidP="000D7F45">
      <w:pPr>
        <w:ind w:left="1134" w:hanging="1134"/>
        <w:rPr>
          <w:b/>
          <w:bCs/>
          <w:i/>
          <w:iCs/>
          <w:noProof w:val="0"/>
        </w:rPr>
      </w:pPr>
      <w:r w:rsidRPr="007D0C68">
        <w:rPr>
          <w:rFonts w:hint="cs"/>
          <w:b/>
          <w:bCs/>
          <w:i/>
          <w:iCs/>
          <w:rtl/>
        </w:rPr>
        <w:t>ש. כי הרי את אומרת שאתה אומר שיש, שערכתם שניכם צוואה בהסכמה, נכון?</w:t>
      </w:r>
    </w:p>
    <w:p w:rsidR="007D0C68" w:rsidRPr="007D0C68" w:rsidRDefault="007D0C68" w:rsidP="000D7F45">
      <w:pPr>
        <w:rPr>
          <w:b/>
          <w:bCs/>
          <w:i/>
          <w:iCs/>
          <w:rtl/>
        </w:rPr>
      </w:pPr>
      <w:r w:rsidRPr="007D0C68">
        <w:rPr>
          <w:rFonts w:hint="cs"/>
          <w:b/>
          <w:bCs/>
          <w:i/>
          <w:iCs/>
          <w:rtl/>
        </w:rPr>
        <w:t xml:space="preserve">ת. את יודעת למה עשינו את זה? אני אומר לך, פעם אחרונה אני עונה לך, שאנחנו לא רצינו לזרוק אותו לרחוב אז. </w:t>
      </w:r>
    </w:p>
    <w:p w:rsidR="007D0C68" w:rsidRPr="007D0C68" w:rsidRDefault="007D0C68" w:rsidP="000D7F45">
      <w:pPr>
        <w:ind w:left="1134" w:hanging="1134"/>
        <w:rPr>
          <w:b/>
          <w:bCs/>
          <w:i/>
          <w:iCs/>
          <w:rtl/>
        </w:rPr>
      </w:pPr>
      <w:r w:rsidRPr="007D0C68">
        <w:rPr>
          <w:rFonts w:hint="cs"/>
          <w:b/>
          <w:bCs/>
          <w:i/>
          <w:iCs/>
          <w:rtl/>
        </w:rPr>
        <w:t>ש. תודה רבה.</w:t>
      </w:r>
    </w:p>
    <w:p w:rsidR="007D0C68" w:rsidRPr="007D0C68" w:rsidRDefault="007D0C68" w:rsidP="000D7F45">
      <w:pPr>
        <w:rPr>
          <w:b/>
          <w:bCs/>
          <w:i/>
          <w:iCs/>
          <w:rtl/>
        </w:rPr>
      </w:pPr>
      <w:r w:rsidRPr="007D0C68">
        <w:rPr>
          <w:rFonts w:hint="cs"/>
          <w:b/>
          <w:bCs/>
          <w:i/>
          <w:iCs/>
          <w:rtl/>
        </w:rPr>
        <w:t xml:space="preserve">ת. אמרתי מה, הוא יהיה, הוא אדם בלי אמצעים, למה אני אזרוק אותו? ואמא שלו התנגדה, לא, תתחשב בו, תשאיר אותו עד שהוא יסתדר. </w:t>
      </w:r>
    </w:p>
    <w:p w:rsidR="007D0C68" w:rsidRPr="007D0C68" w:rsidRDefault="007D0C68" w:rsidP="000D7F45">
      <w:pPr>
        <w:ind w:left="1134" w:hanging="1134"/>
        <w:rPr>
          <w:b/>
          <w:bCs/>
          <w:i/>
          <w:iCs/>
          <w:rtl/>
        </w:rPr>
      </w:pPr>
      <w:r w:rsidRPr="007D0C68">
        <w:rPr>
          <w:rFonts w:hint="cs"/>
          <w:b/>
          <w:bCs/>
          <w:i/>
          <w:iCs/>
          <w:rtl/>
        </w:rPr>
        <w:t>ש. יפה.</w:t>
      </w:r>
    </w:p>
    <w:p w:rsidR="001741B5" w:rsidRPr="00000900" w:rsidRDefault="001741B5" w:rsidP="000D7F45">
      <w:pPr>
        <w:ind w:left="-58"/>
        <w:contextualSpacing/>
        <w:jc w:val="both"/>
        <w:rPr>
          <w:rFonts w:ascii="David" w:eastAsia="Calibri" w:hAnsi="David"/>
          <w:noProof w:val="0"/>
        </w:rPr>
      </w:pPr>
    </w:p>
    <w:p w:rsidR="001741B5" w:rsidRDefault="001741B5" w:rsidP="000D7F45">
      <w:pPr>
        <w:numPr>
          <w:ilvl w:val="0"/>
          <w:numId w:val="2"/>
        </w:numPr>
        <w:spacing w:after="160"/>
        <w:ind w:left="-58" w:hanging="567"/>
        <w:contextualSpacing/>
        <w:jc w:val="both"/>
        <w:rPr>
          <w:rFonts w:ascii="David" w:eastAsia="Calibri" w:hAnsi="David"/>
          <w:noProof w:val="0"/>
        </w:rPr>
      </w:pPr>
      <w:r w:rsidRPr="00000900">
        <w:rPr>
          <w:rFonts w:ascii="David" w:eastAsia="Calibri" w:hAnsi="David"/>
          <w:b/>
          <w:bCs/>
          <w:noProof w:val="0"/>
          <w:u w:val="single"/>
          <w:rtl/>
        </w:rPr>
        <w:lastRenderedPageBreak/>
        <w:t>סיכום</w:t>
      </w:r>
      <w:r w:rsidRPr="00000900">
        <w:rPr>
          <w:rFonts w:ascii="David" w:eastAsia="Calibri" w:hAnsi="David"/>
          <w:noProof w:val="0"/>
          <w:rtl/>
        </w:rPr>
        <w:t xml:space="preserve"> - לאור האמור לעיל, הן מלשון הצוואה, והן הנסיבות החיצוניות, עולה כי רצונה של המנוחה היה לדאוג לקורת גג עבור הנתבע בשל מצבו. המנוחה פעלה כאמור, כאשר הורתה להעניק לנתבע זכות מגורים בנכס עד ששה חודשים לאחר פטירת שני בני הזוג. </w:t>
      </w:r>
    </w:p>
    <w:p w:rsidR="00760083" w:rsidRPr="00000900" w:rsidRDefault="00760083" w:rsidP="000D7F45">
      <w:pPr>
        <w:spacing w:after="160"/>
        <w:ind w:left="-58"/>
        <w:contextualSpacing/>
        <w:jc w:val="both"/>
        <w:rPr>
          <w:rFonts w:ascii="David" w:eastAsia="Calibri" w:hAnsi="David"/>
          <w:noProof w:val="0"/>
        </w:rPr>
      </w:pPr>
    </w:p>
    <w:p w:rsidR="001741B5" w:rsidRPr="00000900" w:rsidRDefault="001741B5" w:rsidP="000D7F45">
      <w:pPr>
        <w:numPr>
          <w:ilvl w:val="0"/>
          <w:numId w:val="2"/>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לאור קביעה </w:t>
      </w:r>
      <w:r w:rsidR="00760083">
        <w:rPr>
          <w:rFonts w:ascii="David" w:eastAsia="Calibri" w:hAnsi="David" w:hint="cs"/>
          <w:noProof w:val="0"/>
          <w:rtl/>
        </w:rPr>
        <w:t>זו</w:t>
      </w:r>
      <w:r w:rsidRPr="00000900">
        <w:rPr>
          <w:rFonts w:ascii="David" w:eastAsia="Calibri" w:hAnsi="David"/>
          <w:noProof w:val="0"/>
          <w:rtl/>
        </w:rPr>
        <w:t xml:space="preserve">, עלינו לבחון את הוראות הצוואה.   </w:t>
      </w:r>
    </w:p>
    <w:p w:rsidR="001741B5" w:rsidRPr="00760083" w:rsidRDefault="001741B5" w:rsidP="000D7F45">
      <w:pPr>
        <w:ind w:left="-58"/>
        <w:contextualSpacing/>
        <w:jc w:val="both"/>
        <w:rPr>
          <w:rFonts w:ascii="David" w:eastAsia="Calibri" w:hAnsi="David"/>
          <w:noProof w:val="0"/>
          <w:rtl/>
        </w:rPr>
      </w:pPr>
    </w:p>
    <w:p w:rsidR="001741B5" w:rsidRPr="00000900" w:rsidRDefault="001741B5" w:rsidP="000D7F45">
      <w:pPr>
        <w:ind w:left="-58"/>
        <w:contextualSpacing/>
        <w:jc w:val="both"/>
        <w:rPr>
          <w:rFonts w:ascii="David" w:eastAsia="Calibri" w:hAnsi="David"/>
          <w:b/>
          <w:bCs/>
          <w:noProof w:val="0"/>
          <w:u w:val="single"/>
          <w:rtl/>
        </w:rPr>
      </w:pPr>
      <w:r w:rsidRPr="00000900">
        <w:rPr>
          <w:rFonts w:ascii="David" w:eastAsia="Calibri" w:hAnsi="David"/>
          <w:b/>
          <w:bCs/>
          <w:noProof w:val="0"/>
          <w:u w:val="single"/>
          <w:rtl/>
        </w:rPr>
        <w:t>הוראות הצוואה שבמוקד המחלוקת</w:t>
      </w:r>
    </w:p>
    <w:p w:rsidR="00F404D8" w:rsidRDefault="00F404D8" w:rsidP="000D7F45">
      <w:pPr>
        <w:jc w:val="both"/>
        <w:rPr>
          <w:rFonts w:ascii="David" w:eastAsia="Calibri" w:hAnsi="David"/>
          <w:noProof w:val="0"/>
          <w:u w:val="single"/>
          <w:rtl/>
        </w:rPr>
      </w:pPr>
    </w:p>
    <w:p w:rsidR="001741B5" w:rsidRPr="00000900" w:rsidRDefault="001741B5" w:rsidP="000D7F45">
      <w:pPr>
        <w:jc w:val="both"/>
        <w:rPr>
          <w:rFonts w:ascii="David" w:eastAsia="Calibri" w:hAnsi="David"/>
          <w:noProof w:val="0"/>
          <w:u w:val="single"/>
        </w:rPr>
      </w:pPr>
      <w:r w:rsidRPr="00000900">
        <w:rPr>
          <w:rFonts w:ascii="David" w:eastAsia="Calibri" w:hAnsi="David"/>
          <w:noProof w:val="0"/>
          <w:u w:val="single"/>
          <w:rtl/>
        </w:rPr>
        <w:t xml:space="preserve">(1)  הוראות צוואת המנוחה </w:t>
      </w:r>
    </w:p>
    <w:p w:rsidR="00760083" w:rsidRDefault="00760083" w:rsidP="000D7F45">
      <w:pPr>
        <w:spacing w:after="160"/>
        <w:ind w:left="-58"/>
        <w:contextualSpacing/>
        <w:jc w:val="both"/>
        <w:rPr>
          <w:rFonts w:ascii="David" w:eastAsia="Calibri" w:hAnsi="David"/>
          <w:noProof w:val="0"/>
        </w:rPr>
      </w:pPr>
    </w:p>
    <w:p w:rsidR="001741B5" w:rsidRPr="00000900"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כאמור לעיל, הסעיפים שבמחלוקת בין הצדדים הם סעיפים 4 ו</w:t>
      </w:r>
      <w:r w:rsidR="00760083">
        <w:rPr>
          <w:rFonts w:ascii="David" w:eastAsia="Calibri" w:hAnsi="David" w:hint="cs"/>
          <w:noProof w:val="0"/>
          <w:rtl/>
        </w:rPr>
        <w:t>-</w:t>
      </w:r>
      <w:r w:rsidRPr="00000900">
        <w:rPr>
          <w:rFonts w:ascii="David" w:eastAsia="Calibri" w:hAnsi="David"/>
          <w:noProof w:val="0"/>
          <w:rtl/>
        </w:rPr>
        <w:t xml:space="preserve">10 לצוואת המנוחה. </w:t>
      </w:r>
    </w:p>
    <w:p w:rsidR="00760083" w:rsidRPr="00760083" w:rsidRDefault="00760083" w:rsidP="000D7F45">
      <w:pPr>
        <w:spacing w:after="160"/>
        <w:ind w:left="-58"/>
        <w:contextualSpacing/>
        <w:jc w:val="both"/>
        <w:rPr>
          <w:rFonts w:ascii="David" w:eastAsia="Calibri" w:hAnsi="David"/>
          <w:noProof w:val="0"/>
        </w:rPr>
      </w:pPr>
    </w:p>
    <w:p w:rsidR="001741B5"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בסעיף 4 לצוואת המנוחה, </w:t>
      </w:r>
      <w:r w:rsidR="00760083">
        <w:rPr>
          <w:rFonts w:ascii="David" w:eastAsia="Calibri" w:hAnsi="David" w:hint="cs"/>
          <w:noProof w:val="0"/>
          <w:rtl/>
        </w:rPr>
        <w:t>בניגוד לטענת התובע כי המנוחה קבעה הוראות של "</w:t>
      </w:r>
      <w:r w:rsidR="00760083" w:rsidRPr="00760083">
        <w:rPr>
          <w:rFonts w:ascii="David" w:eastAsia="Calibri" w:hAnsi="David" w:hint="cs"/>
          <w:b/>
          <w:bCs/>
          <w:noProof w:val="0"/>
          <w:u w:val="single"/>
          <w:rtl/>
        </w:rPr>
        <w:t>יורש אחר יורש</w:t>
      </w:r>
      <w:r w:rsidR="00760083">
        <w:rPr>
          <w:rFonts w:ascii="David" w:eastAsia="Calibri" w:hAnsi="David" w:hint="cs"/>
          <w:noProof w:val="0"/>
          <w:rtl/>
        </w:rPr>
        <w:t xml:space="preserve">" </w:t>
      </w:r>
      <w:r w:rsidRPr="00000900">
        <w:rPr>
          <w:rFonts w:ascii="David" w:eastAsia="Calibri" w:hAnsi="David"/>
          <w:noProof w:val="0"/>
          <w:rtl/>
        </w:rPr>
        <w:t>קבעה המנוחה הוראות "</w:t>
      </w:r>
      <w:r w:rsidRPr="00760083">
        <w:rPr>
          <w:rFonts w:ascii="David" w:eastAsia="Calibri" w:hAnsi="David"/>
          <w:b/>
          <w:bCs/>
          <w:noProof w:val="0"/>
          <w:u w:val="single"/>
          <w:rtl/>
        </w:rPr>
        <w:t>יורש במקום יורש</w:t>
      </w:r>
      <w:r w:rsidRPr="00000900">
        <w:rPr>
          <w:rFonts w:ascii="David" w:eastAsia="Calibri" w:hAnsi="David"/>
          <w:noProof w:val="0"/>
          <w:rtl/>
        </w:rPr>
        <w:t xml:space="preserve">" ביחס לנכס. התובע הוא הזוכה בחלקה של המנוחה בנכס, וככל שייפטר מן העולם טרם </w:t>
      </w:r>
      <w:r w:rsidR="00760083">
        <w:rPr>
          <w:rFonts w:ascii="David" w:eastAsia="Calibri" w:hAnsi="David"/>
          <w:noProof w:val="0"/>
          <w:rtl/>
        </w:rPr>
        <w:t>המנוחה, יירשו ילד</w:t>
      </w:r>
      <w:r w:rsidR="00760083">
        <w:rPr>
          <w:rFonts w:ascii="David" w:eastAsia="Calibri" w:hAnsi="David" w:hint="cs"/>
          <w:noProof w:val="0"/>
          <w:rtl/>
        </w:rPr>
        <w:t>יי בניה"ז במקומו</w:t>
      </w:r>
      <w:r w:rsidRPr="00000900">
        <w:rPr>
          <w:rFonts w:ascii="David" w:eastAsia="Calibri" w:hAnsi="David"/>
          <w:noProof w:val="0"/>
          <w:rtl/>
        </w:rPr>
        <w:t xml:space="preserve"> את זכויות המנוחה בנכס.</w:t>
      </w:r>
      <w:r w:rsidR="00760083">
        <w:rPr>
          <w:rFonts w:ascii="David" w:eastAsia="Calibri" w:hAnsi="David" w:hint="cs"/>
          <w:noProof w:val="0"/>
          <w:rtl/>
        </w:rPr>
        <w:t xml:space="preserve"> </w:t>
      </w:r>
    </w:p>
    <w:p w:rsidR="00BE04BB" w:rsidRDefault="00BE04BB" w:rsidP="000D7F45">
      <w:pPr>
        <w:pStyle w:val="ad"/>
        <w:rPr>
          <w:rFonts w:ascii="David" w:eastAsia="Calibri" w:hAnsi="David"/>
          <w:noProof w:val="0"/>
          <w:rtl/>
        </w:rPr>
      </w:pPr>
    </w:p>
    <w:p w:rsidR="00BE04BB" w:rsidRPr="00ED20A8" w:rsidRDefault="00BE04BB" w:rsidP="000D7F45">
      <w:pPr>
        <w:numPr>
          <w:ilvl w:val="0"/>
          <w:numId w:val="3"/>
        </w:numPr>
        <w:spacing w:after="160"/>
        <w:ind w:left="-58" w:hanging="567"/>
        <w:contextualSpacing/>
        <w:jc w:val="both"/>
        <w:rPr>
          <w:rFonts w:ascii="David" w:eastAsia="Calibri" w:hAnsi="David"/>
          <w:noProof w:val="0"/>
        </w:rPr>
      </w:pPr>
      <w:r w:rsidRPr="00ED20A8">
        <w:rPr>
          <w:rFonts w:ascii="David" w:eastAsia="Calibri" w:hAnsi="David" w:hint="cs"/>
          <w:noProof w:val="0"/>
          <w:rtl/>
        </w:rPr>
        <w:t>לצורך הביאור, אילו היה מדובר במקרה של "יורש אחר יורש" היתה המנוחה מצווה למשל</w:t>
      </w:r>
      <w:r w:rsidR="00D71DC8" w:rsidRPr="00ED20A8">
        <w:rPr>
          <w:rFonts w:ascii="David" w:eastAsia="Calibri" w:hAnsi="David" w:hint="cs"/>
          <w:noProof w:val="0"/>
          <w:rtl/>
        </w:rPr>
        <w:t xml:space="preserve"> כי לאחר שילך התובע לבית עולמו, את חלקה </w:t>
      </w:r>
      <w:r w:rsidR="00ED20A8" w:rsidRPr="00ED20A8">
        <w:rPr>
          <w:rFonts w:ascii="David" w:eastAsia="Calibri" w:hAnsi="David" w:hint="cs"/>
          <w:noProof w:val="0"/>
          <w:rtl/>
        </w:rPr>
        <w:t xml:space="preserve">בנכס שהורישה לו, יירש פלוני. </w:t>
      </w:r>
    </w:p>
    <w:p w:rsidR="00BE04BB" w:rsidRDefault="00BE04BB" w:rsidP="000D7F45">
      <w:pPr>
        <w:spacing w:after="160"/>
        <w:ind w:left="-58"/>
        <w:contextualSpacing/>
        <w:jc w:val="both"/>
        <w:rPr>
          <w:rFonts w:ascii="David" w:eastAsia="Calibri" w:hAnsi="David"/>
          <w:noProof w:val="0"/>
        </w:rPr>
      </w:pPr>
    </w:p>
    <w:p w:rsidR="001741B5"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בסעיף 10 לצוואת המנוחה, קבעה המנוחה כי הנתבע יוכל להמשיך ולהתגורר בנכס עד ששה חודשים לאחר פטירת </w:t>
      </w:r>
      <w:r w:rsidRPr="00000900">
        <w:rPr>
          <w:rFonts w:ascii="David" w:eastAsia="Calibri" w:hAnsi="David"/>
          <w:noProof w:val="0"/>
          <w:u w:val="single"/>
          <w:rtl/>
        </w:rPr>
        <w:t>שני</w:t>
      </w:r>
      <w:r w:rsidRPr="00000900">
        <w:rPr>
          <w:rFonts w:ascii="David" w:eastAsia="Calibri" w:hAnsi="David"/>
          <w:noProof w:val="0"/>
          <w:rtl/>
        </w:rPr>
        <w:t xml:space="preserve"> בני הזוג (המנוחה והתובע). לאחר מכן, יפונה הנכס ויימכר. כל חוב שיצטבר בתקופה זו ישולם ע"י הנתבע. </w:t>
      </w:r>
      <w:r w:rsidRPr="00000900">
        <w:rPr>
          <w:rFonts w:ascii="David" w:eastAsia="Calibri" w:hAnsi="David"/>
          <w:b/>
          <w:bCs/>
          <w:noProof w:val="0"/>
          <w:u w:val="single"/>
          <w:rtl/>
        </w:rPr>
        <w:t>המנוחה לא קבעה בצוואתה כיצד תתחלק התמורה שתתקבל כתוצאה ממכירת הנכס</w:t>
      </w:r>
      <w:r w:rsidRPr="00000900">
        <w:rPr>
          <w:rFonts w:ascii="David" w:eastAsia="Calibri" w:hAnsi="David"/>
          <w:noProof w:val="0"/>
          <w:u w:val="single"/>
          <w:rtl/>
        </w:rPr>
        <w:t xml:space="preserve">. </w:t>
      </w:r>
    </w:p>
    <w:p w:rsidR="002C2846" w:rsidRPr="00000900" w:rsidRDefault="002C2846" w:rsidP="000D7F45">
      <w:pPr>
        <w:spacing w:after="160"/>
        <w:ind w:left="-58"/>
        <w:contextualSpacing/>
        <w:jc w:val="both"/>
        <w:rPr>
          <w:rFonts w:ascii="David" w:eastAsia="Calibri" w:hAnsi="David"/>
          <w:noProof w:val="0"/>
        </w:rPr>
      </w:pPr>
    </w:p>
    <w:p w:rsidR="001741B5" w:rsidRPr="00000900"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המנוחה קבעה הוראות נוספות בצוואה באשר לשאר נכסיה (ר' סעיפים 5-8 לצוואת המנוחה).</w:t>
      </w:r>
    </w:p>
    <w:p w:rsidR="002C2846" w:rsidRDefault="002C2846" w:rsidP="000D7F45">
      <w:pPr>
        <w:spacing w:after="160"/>
        <w:ind w:left="-58"/>
        <w:contextualSpacing/>
        <w:jc w:val="both"/>
        <w:rPr>
          <w:rFonts w:ascii="David" w:eastAsia="Calibri" w:hAnsi="David"/>
          <w:noProof w:val="0"/>
        </w:rPr>
      </w:pPr>
    </w:p>
    <w:p w:rsidR="001741B5" w:rsidRPr="00000900"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עם זאת, וכפי שצוין לעיל, לא נקבעו הוראות באשר לתמורה שתתקבל ממכירת הנכס לאחר התקיימות התנאים בסעיף 10 לצוואת המנוחה.  </w:t>
      </w:r>
    </w:p>
    <w:p w:rsidR="001741B5" w:rsidRPr="002C2846" w:rsidRDefault="001741B5" w:rsidP="000D7F45">
      <w:pPr>
        <w:ind w:left="-58"/>
        <w:contextualSpacing/>
        <w:jc w:val="both"/>
        <w:rPr>
          <w:rFonts w:ascii="David" w:eastAsia="Calibri" w:hAnsi="David"/>
          <w:noProof w:val="0"/>
        </w:rPr>
      </w:pPr>
    </w:p>
    <w:p w:rsidR="001741B5" w:rsidRPr="00000900" w:rsidRDefault="001741B5" w:rsidP="000D7F45">
      <w:pPr>
        <w:ind w:left="-58"/>
        <w:contextualSpacing/>
        <w:jc w:val="both"/>
        <w:rPr>
          <w:rFonts w:ascii="David" w:eastAsia="Calibri" w:hAnsi="David"/>
          <w:noProof w:val="0"/>
          <w:rtl/>
        </w:rPr>
      </w:pPr>
      <w:r w:rsidRPr="00000900">
        <w:rPr>
          <w:rFonts w:ascii="David" w:eastAsia="Calibri" w:hAnsi="David"/>
          <w:noProof w:val="0"/>
          <w:rtl/>
        </w:rPr>
        <w:t xml:space="preserve">(2) </w:t>
      </w:r>
      <w:r w:rsidRPr="00000900">
        <w:rPr>
          <w:rFonts w:ascii="David" w:eastAsia="Calibri" w:hAnsi="David"/>
          <w:noProof w:val="0"/>
          <w:u w:val="single"/>
          <w:rtl/>
        </w:rPr>
        <w:t>סיווג החיוב הקבוע בסעיף 10 לצוואת המנוחה</w:t>
      </w:r>
      <w:r w:rsidRPr="00000900">
        <w:rPr>
          <w:rFonts w:ascii="David" w:eastAsia="Calibri" w:hAnsi="David"/>
          <w:noProof w:val="0"/>
          <w:rtl/>
        </w:rPr>
        <w:t xml:space="preserve"> </w:t>
      </w:r>
    </w:p>
    <w:p w:rsidR="002C2846" w:rsidRDefault="002C2846" w:rsidP="000D7F45">
      <w:pPr>
        <w:spacing w:after="160"/>
        <w:ind w:left="-58"/>
        <w:contextualSpacing/>
        <w:jc w:val="both"/>
        <w:rPr>
          <w:rFonts w:ascii="David" w:eastAsia="Calibri" w:hAnsi="David"/>
          <w:noProof w:val="0"/>
        </w:rPr>
      </w:pPr>
    </w:p>
    <w:p w:rsidR="001741B5" w:rsidRPr="00000900" w:rsidRDefault="001741B5" w:rsidP="000D7F45">
      <w:pPr>
        <w:numPr>
          <w:ilvl w:val="0"/>
          <w:numId w:val="3"/>
        </w:numPr>
        <w:spacing w:after="160"/>
        <w:ind w:left="-58" w:hanging="567"/>
        <w:contextualSpacing/>
        <w:jc w:val="both"/>
        <w:rPr>
          <w:rFonts w:ascii="David" w:eastAsia="Calibri" w:hAnsi="David"/>
          <w:noProof w:val="0"/>
          <w:rtl/>
        </w:rPr>
      </w:pPr>
      <w:r w:rsidRPr="00000900">
        <w:rPr>
          <w:rFonts w:ascii="David" w:eastAsia="Calibri" w:hAnsi="David"/>
          <w:noProof w:val="0"/>
          <w:rtl/>
        </w:rPr>
        <w:t xml:space="preserve">כאמור לעיל, במסגרת סעיף זה הקנתה המנוחה לנתבע זכות מגורים בנכס עד ששה </w:t>
      </w:r>
      <w:r w:rsidR="002C2846">
        <w:rPr>
          <w:rFonts w:ascii="David" w:eastAsia="Calibri" w:hAnsi="David"/>
          <w:noProof w:val="0"/>
          <w:rtl/>
        </w:rPr>
        <w:t>חודשים מפטירת האחרון מבני הזוג</w:t>
      </w:r>
      <w:r w:rsidR="002C2846">
        <w:rPr>
          <w:rFonts w:ascii="David" w:eastAsia="Calibri" w:hAnsi="David" w:hint="cs"/>
          <w:noProof w:val="0"/>
          <w:rtl/>
        </w:rPr>
        <w:t xml:space="preserve">. </w:t>
      </w:r>
      <w:r w:rsidRPr="00000900">
        <w:rPr>
          <w:rFonts w:ascii="David" w:eastAsia="Calibri" w:hAnsi="David"/>
          <w:noProof w:val="0"/>
          <w:rtl/>
        </w:rPr>
        <w:t xml:space="preserve"> </w:t>
      </w:r>
    </w:p>
    <w:p w:rsidR="002C2846" w:rsidRDefault="002C2846" w:rsidP="000D7F45">
      <w:pPr>
        <w:spacing w:after="160"/>
        <w:ind w:left="-58"/>
        <w:contextualSpacing/>
        <w:jc w:val="both"/>
        <w:rPr>
          <w:rFonts w:ascii="David" w:eastAsia="Calibri" w:hAnsi="David"/>
          <w:noProof w:val="0"/>
        </w:rPr>
      </w:pPr>
    </w:p>
    <w:p w:rsidR="001741B5" w:rsidRPr="00ED20A8"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לטענת הנתבע, הסעיף מקיים את ההגדרות הקבועות בסעיפים 43-45 לחוק</w:t>
      </w:r>
      <w:r w:rsidR="00973AC6">
        <w:rPr>
          <w:rFonts w:ascii="David" w:eastAsia="Calibri" w:hAnsi="David" w:hint="cs"/>
          <w:noProof w:val="0"/>
          <w:rtl/>
        </w:rPr>
        <w:t xml:space="preserve">, </w:t>
      </w:r>
      <w:r w:rsidR="00973AC6" w:rsidRPr="00ED20A8">
        <w:rPr>
          <w:rFonts w:ascii="David" w:eastAsia="Calibri" w:hAnsi="David" w:hint="cs"/>
          <w:noProof w:val="0"/>
          <w:rtl/>
        </w:rPr>
        <w:t xml:space="preserve">הקובעות הוראות בדבר "יורש על תנאי דוחה", "יורש על תנאי מפסיק" ו"חיובי יורש". </w:t>
      </w:r>
      <w:r w:rsidRPr="00ED20A8">
        <w:rPr>
          <w:rFonts w:ascii="David" w:eastAsia="Calibri" w:hAnsi="David"/>
          <w:noProof w:val="0"/>
          <w:rtl/>
        </w:rPr>
        <w:t xml:space="preserve"> </w:t>
      </w:r>
    </w:p>
    <w:p w:rsidR="002C2846" w:rsidRDefault="002C2846" w:rsidP="000D7F45">
      <w:pPr>
        <w:spacing w:after="160"/>
        <w:ind w:left="-58"/>
        <w:contextualSpacing/>
        <w:jc w:val="both"/>
        <w:rPr>
          <w:rFonts w:ascii="David" w:eastAsia="Calibri" w:hAnsi="David"/>
          <w:noProof w:val="0"/>
        </w:rPr>
      </w:pPr>
    </w:p>
    <w:p w:rsidR="001741B5"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סיווג הוראה בצוואה כתנאי וכן סיווג התנאי כדוחה או מפסיק או כחיוב אינם עניין </w:t>
      </w:r>
      <w:r w:rsidR="00973AC6">
        <w:rPr>
          <w:rFonts w:ascii="David" w:eastAsia="Calibri" w:hAnsi="David" w:hint="cs"/>
          <w:noProof w:val="0"/>
          <w:rtl/>
        </w:rPr>
        <w:t>של מה בכך,</w:t>
      </w:r>
      <w:r w:rsidRPr="00000900">
        <w:rPr>
          <w:rFonts w:ascii="David" w:eastAsia="Calibri" w:hAnsi="David"/>
          <w:noProof w:val="0"/>
          <w:rtl/>
        </w:rPr>
        <w:t xml:space="preserve"> ויש לפנות לאומד דעתו של המצווה. אם ברור לביהמ"ש שהמצווה איננו רוצה בקיום ההוראה המנחילה אם לא יקוים דבר אחר הנמצא בצוואה אזי לפנינו תנאי. אם אומד דעת המצווה מכוון לכך שהמצווה מבקש להפריד בין ההנחלה לקיום ההוראה יש לראות את הדברים כחיוב לפי ס' 45 לחוק (ר' </w:t>
      </w:r>
      <w:r w:rsidRPr="00973AC6">
        <w:rPr>
          <w:rFonts w:ascii="David" w:eastAsia="Calibri" w:hAnsi="David"/>
          <w:b/>
          <w:bCs/>
          <w:noProof w:val="0"/>
          <w:rtl/>
        </w:rPr>
        <w:t>שאול שוחט, נחום פינברג ויחזקאל פלומין דיני ירושה ועיזבון  (2014) עמ' 158</w:t>
      </w:r>
      <w:r w:rsidRPr="00000900">
        <w:rPr>
          <w:rFonts w:ascii="David" w:eastAsia="Calibri" w:hAnsi="David"/>
          <w:noProof w:val="0"/>
          <w:rtl/>
        </w:rPr>
        <w:t xml:space="preserve">). </w:t>
      </w:r>
    </w:p>
    <w:p w:rsidR="00973AC6" w:rsidRPr="00000900" w:rsidRDefault="00973AC6" w:rsidP="000D7F45">
      <w:pPr>
        <w:spacing w:after="160"/>
        <w:ind w:left="-58"/>
        <w:contextualSpacing/>
        <w:jc w:val="both"/>
        <w:rPr>
          <w:rFonts w:ascii="David" w:eastAsia="Calibri" w:hAnsi="David"/>
          <w:noProof w:val="0"/>
        </w:rPr>
      </w:pPr>
    </w:p>
    <w:p w:rsidR="001741B5"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לא מצאתי</w:t>
      </w:r>
      <w:r w:rsidR="00973AC6">
        <w:rPr>
          <w:rFonts w:ascii="David" w:eastAsia="Calibri" w:hAnsi="David" w:hint="cs"/>
          <w:noProof w:val="0"/>
          <w:rtl/>
        </w:rPr>
        <w:t>,</w:t>
      </w:r>
      <w:r w:rsidRPr="00000900">
        <w:rPr>
          <w:rFonts w:ascii="David" w:eastAsia="Calibri" w:hAnsi="David"/>
          <w:noProof w:val="0"/>
          <w:rtl/>
        </w:rPr>
        <w:t xml:space="preserve"> כי </w:t>
      </w:r>
      <w:r w:rsidRPr="00ED20A8">
        <w:rPr>
          <w:rFonts w:ascii="David" w:eastAsia="Calibri" w:hAnsi="David"/>
          <w:noProof w:val="0"/>
          <w:rtl/>
        </w:rPr>
        <w:t xml:space="preserve">סעיף </w:t>
      </w:r>
      <w:r w:rsidR="00973AC6" w:rsidRPr="00ED20A8">
        <w:rPr>
          <w:rFonts w:ascii="David" w:eastAsia="Calibri" w:hAnsi="David" w:hint="cs"/>
          <w:noProof w:val="0"/>
          <w:rtl/>
        </w:rPr>
        <w:t xml:space="preserve">10 לצוואת המנוחה </w:t>
      </w:r>
      <w:r w:rsidRPr="00ED20A8">
        <w:rPr>
          <w:rFonts w:ascii="David" w:eastAsia="Calibri" w:hAnsi="David"/>
          <w:noProof w:val="0"/>
          <w:rtl/>
        </w:rPr>
        <w:t>עונה</w:t>
      </w:r>
      <w:r w:rsidRPr="00000900">
        <w:rPr>
          <w:rFonts w:ascii="David" w:eastAsia="Calibri" w:hAnsi="David"/>
          <w:noProof w:val="0"/>
          <w:rtl/>
        </w:rPr>
        <w:t xml:space="preserve"> על ההגדרות שבסעיפים 43-44 לחוק אלא על ההגדרה שבסעיף 45 לחוק בלבד. </w:t>
      </w:r>
    </w:p>
    <w:p w:rsidR="00973AC6" w:rsidRPr="00000900" w:rsidRDefault="00973AC6" w:rsidP="000D7F45">
      <w:pPr>
        <w:spacing w:after="160"/>
        <w:ind w:left="-58"/>
        <w:contextualSpacing/>
        <w:jc w:val="both"/>
        <w:rPr>
          <w:rFonts w:ascii="David" w:eastAsia="Calibri" w:hAnsi="David"/>
          <w:noProof w:val="0"/>
        </w:rPr>
      </w:pPr>
    </w:p>
    <w:p w:rsidR="001741B5" w:rsidRPr="00000900" w:rsidRDefault="001741B5" w:rsidP="000D7F45">
      <w:pPr>
        <w:numPr>
          <w:ilvl w:val="0"/>
          <w:numId w:val="3"/>
        </w:numPr>
        <w:spacing w:after="160"/>
        <w:ind w:left="-58" w:hanging="567"/>
        <w:contextualSpacing/>
        <w:jc w:val="both"/>
        <w:rPr>
          <w:rFonts w:ascii="David" w:eastAsia="Calibri" w:hAnsi="David"/>
          <w:b/>
          <w:bCs/>
          <w:i/>
          <w:iCs/>
          <w:noProof w:val="0"/>
        </w:rPr>
      </w:pPr>
      <w:r w:rsidRPr="00000900">
        <w:rPr>
          <w:rFonts w:ascii="David" w:eastAsia="Calibri" w:hAnsi="David"/>
          <w:noProof w:val="0"/>
          <w:u w:val="single"/>
          <w:rtl/>
        </w:rPr>
        <w:t>סעיף 43 לחוק</w:t>
      </w:r>
      <w:r w:rsidRPr="00000900">
        <w:rPr>
          <w:rFonts w:ascii="David" w:eastAsia="Calibri" w:hAnsi="David"/>
          <w:noProof w:val="0"/>
          <w:rtl/>
        </w:rPr>
        <w:t xml:space="preserve">, עוסק ביורש על תנאי דוחה: " </w:t>
      </w:r>
      <w:r w:rsidRPr="00000900">
        <w:rPr>
          <w:rFonts w:ascii="David" w:eastAsia="Calibri" w:hAnsi="David"/>
          <w:b/>
          <w:bCs/>
          <w:i/>
          <w:iCs/>
          <w:noProof w:val="0"/>
          <w:rtl/>
        </w:rPr>
        <w:t>המצווה רשאי לצוות שיורש יזכה בהתקיים תנאי או בהגיע מועד</w:t>
      </w:r>
      <w:r w:rsidRPr="00000900">
        <w:rPr>
          <w:rFonts w:ascii="David" w:eastAsia="Calibri" w:hAnsi="David"/>
          <w:b/>
          <w:bCs/>
          <w:i/>
          <w:iCs/>
          <w:noProof w:val="0"/>
        </w:rPr>
        <w:t>"</w:t>
      </w:r>
      <w:r w:rsidRPr="00000900">
        <w:rPr>
          <w:rFonts w:ascii="David" w:eastAsia="Calibri" w:hAnsi="David"/>
          <w:b/>
          <w:bCs/>
          <w:i/>
          <w:iCs/>
          <w:noProof w:val="0"/>
          <w:rtl/>
        </w:rPr>
        <w:t xml:space="preserve"> </w:t>
      </w:r>
      <w:r w:rsidRPr="00000900">
        <w:rPr>
          <w:rFonts w:ascii="David" w:eastAsia="Calibri" w:hAnsi="David"/>
          <w:noProof w:val="0"/>
          <w:rtl/>
        </w:rPr>
        <w:t xml:space="preserve">(ר' ס' 43(א) לחוק). </w:t>
      </w:r>
    </w:p>
    <w:p w:rsidR="00973AC6" w:rsidRPr="00973AC6" w:rsidRDefault="00973AC6" w:rsidP="000D7F45">
      <w:pPr>
        <w:spacing w:after="160"/>
        <w:ind w:left="-58"/>
        <w:contextualSpacing/>
        <w:jc w:val="both"/>
        <w:rPr>
          <w:rFonts w:ascii="David" w:eastAsia="Calibri" w:hAnsi="David"/>
          <w:b/>
          <w:bCs/>
          <w:i/>
          <w:iCs/>
          <w:noProof w:val="0"/>
        </w:rPr>
      </w:pPr>
    </w:p>
    <w:p w:rsidR="001741B5" w:rsidRPr="00000900" w:rsidRDefault="001741B5" w:rsidP="000D7F45">
      <w:pPr>
        <w:numPr>
          <w:ilvl w:val="0"/>
          <w:numId w:val="3"/>
        </w:numPr>
        <w:spacing w:after="160"/>
        <w:ind w:left="-58" w:hanging="567"/>
        <w:contextualSpacing/>
        <w:jc w:val="both"/>
        <w:rPr>
          <w:rFonts w:ascii="David" w:eastAsia="Calibri" w:hAnsi="David"/>
          <w:b/>
          <w:bCs/>
          <w:i/>
          <w:iCs/>
          <w:noProof w:val="0"/>
        </w:rPr>
      </w:pPr>
      <w:r w:rsidRPr="00000900">
        <w:rPr>
          <w:rFonts w:ascii="David" w:eastAsia="Calibri" w:hAnsi="David"/>
          <w:noProof w:val="0"/>
          <w:rtl/>
        </w:rPr>
        <w:t xml:space="preserve">בענייננו, התובע זכה בזכויות המנוחה בנכס עם פטירת המנוחה (ר' ס' 4 לצוואת המנוחה). הזכייה של התובע לא הותנתה בשום תנאי או הגיע מועד מסוים. </w:t>
      </w:r>
    </w:p>
    <w:p w:rsidR="001741B5" w:rsidRDefault="001741B5" w:rsidP="000D7F45">
      <w:pPr>
        <w:numPr>
          <w:ilvl w:val="0"/>
          <w:numId w:val="3"/>
        </w:numPr>
        <w:spacing w:after="160"/>
        <w:ind w:left="-58" w:hanging="567"/>
        <w:contextualSpacing/>
        <w:jc w:val="both"/>
        <w:rPr>
          <w:rFonts w:ascii="David" w:eastAsia="Calibri" w:hAnsi="David"/>
          <w:b/>
          <w:bCs/>
          <w:i/>
          <w:iCs/>
          <w:noProof w:val="0"/>
        </w:rPr>
      </w:pPr>
      <w:r w:rsidRPr="00000900">
        <w:rPr>
          <w:rFonts w:ascii="David" w:eastAsia="Calibri" w:hAnsi="David"/>
          <w:noProof w:val="0"/>
          <w:rtl/>
        </w:rPr>
        <w:lastRenderedPageBreak/>
        <w:t>אף בסעיף 10 לצוואת המנוחה, לא התנתה המנוחה את זכיית התובע בנכס</w:t>
      </w:r>
      <w:r w:rsidR="00973AC6">
        <w:rPr>
          <w:rFonts w:ascii="David" w:eastAsia="Calibri" w:hAnsi="David" w:hint="cs"/>
          <w:noProof w:val="0"/>
          <w:rtl/>
        </w:rPr>
        <w:t xml:space="preserve"> </w:t>
      </w:r>
      <w:r w:rsidR="00973AC6" w:rsidRPr="00ED20A8">
        <w:rPr>
          <w:rFonts w:ascii="David" w:eastAsia="Calibri" w:hAnsi="David" w:hint="cs"/>
          <w:noProof w:val="0"/>
          <w:rtl/>
        </w:rPr>
        <w:t>(לפי סע' 4 לצוואה)</w:t>
      </w:r>
      <w:r w:rsidRPr="00000900">
        <w:rPr>
          <w:rFonts w:ascii="David" w:eastAsia="Calibri" w:hAnsi="David"/>
          <w:noProof w:val="0"/>
          <w:rtl/>
        </w:rPr>
        <w:t xml:space="preserve"> במתן זכות מגורים לנתבע. כל שנקבע בסעיף 10 לצוואה, הוא שהנתבע ימשיך להתגורר בנכס עד ששה חודשים לאחר פטירת </w:t>
      </w:r>
      <w:r w:rsidR="007B7F80">
        <w:rPr>
          <w:rFonts w:ascii="David" w:eastAsia="Calibri" w:hAnsi="David" w:hint="cs"/>
          <w:noProof w:val="0"/>
          <w:rtl/>
        </w:rPr>
        <w:t>שני בניה"ז,</w:t>
      </w:r>
      <w:r w:rsidRPr="00000900">
        <w:rPr>
          <w:rFonts w:ascii="David" w:eastAsia="Calibri" w:hAnsi="David"/>
          <w:noProof w:val="0"/>
          <w:rtl/>
        </w:rPr>
        <w:t xml:space="preserve"> ותו לא. מכאן שישנה הפרדה בין הורשת הנכס לתובע לבין החיוב למתן זכות מגורים בנכס לנתבע. </w:t>
      </w:r>
    </w:p>
    <w:p w:rsidR="007B7F80" w:rsidRPr="00000900" w:rsidRDefault="007B7F80" w:rsidP="000D7F45">
      <w:pPr>
        <w:spacing w:after="160"/>
        <w:ind w:left="-58"/>
        <w:contextualSpacing/>
        <w:jc w:val="both"/>
        <w:rPr>
          <w:rFonts w:ascii="David" w:eastAsia="Calibri" w:hAnsi="David"/>
          <w:b/>
          <w:bCs/>
          <w:i/>
          <w:iCs/>
          <w:noProof w:val="0"/>
        </w:rPr>
      </w:pPr>
    </w:p>
    <w:p w:rsidR="001741B5"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u w:val="single"/>
          <w:rtl/>
        </w:rPr>
        <w:t>סעיף 44 לחוק</w:t>
      </w:r>
      <w:r w:rsidRPr="00000900">
        <w:rPr>
          <w:rFonts w:ascii="David" w:eastAsia="Calibri" w:hAnsi="David"/>
          <w:noProof w:val="0"/>
          <w:rtl/>
        </w:rPr>
        <w:t>, עוסק ביורש על תנאי מפסיק: "</w:t>
      </w:r>
      <w:r w:rsidRPr="00000900">
        <w:rPr>
          <w:rFonts w:ascii="David" w:eastAsia="Calibri" w:hAnsi="David"/>
          <w:b/>
          <w:bCs/>
          <w:i/>
          <w:iCs/>
          <w:noProof w:val="0"/>
          <w:rtl/>
        </w:rPr>
        <w:t>המצווה רשאי לצוות שיורש יחדל מלזכות בהתקיים תנאי או בהגיע מועד</w:t>
      </w:r>
      <w:r w:rsidRPr="00000900">
        <w:rPr>
          <w:rFonts w:ascii="David" w:eastAsia="Calibri" w:hAnsi="David"/>
          <w:noProof w:val="0"/>
        </w:rPr>
        <w:t>"</w:t>
      </w:r>
      <w:r w:rsidRPr="00000900">
        <w:rPr>
          <w:rFonts w:ascii="David" w:eastAsia="Calibri" w:hAnsi="David"/>
          <w:noProof w:val="0"/>
          <w:rtl/>
        </w:rPr>
        <w:t xml:space="preserve">. </w:t>
      </w:r>
    </w:p>
    <w:p w:rsidR="007B7F80" w:rsidRPr="00000900" w:rsidRDefault="007B7F80" w:rsidP="000D7F45">
      <w:pPr>
        <w:spacing w:after="160"/>
        <w:ind w:left="-58"/>
        <w:contextualSpacing/>
        <w:jc w:val="both"/>
        <w:rPr>
          <w:rFonts w:ascii="David" w:eastAsia="Calibri" w:hAnsi="David"/>
          <w:noProof w:val="0"/>
        </w:rPr>
      </w:pPr>
    </w:p>
    <w:p w:rsidR="007B7F80"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סעיפים 4 ו</w:t>
      </w:r>
      <w:r w:rsidR="007B7F80">
        <w:rPr>
          <w:rFonts w:ascii="David" w:eastAsia="Calibri" w:hAnsi="David" w:hint="cs"/>
          <w:noProof w:val="0"/>
          <w:rtl/>
        </w:rPr>
        <w:t>-</w:t>
      </w:r>
      <w:r w:rsidRPr="00000900">
        <w:rPr>
          <w:rFonts w:ascii="David" w:eastAsia="Calibri" w:hAnsi="David"/>
          <w:noProof w:val="0"/>
          <w:rtl/>
        </w:rPr>
        <w:t>10 לצוואת המנוחה, אינם קובעים בשום צורה (מפורשת או משתמעת) כי התובע יחדל מלזכות בזכויות המנוחה בנכס, ככל שלא תינתן לנתבע זכות מגורים בנכס ע"י התובע. כל שביקשה המנוחה הוא לאפשר זכות מגורים בנכס לנתבע, אך לא ביקשה להטיל "סנקציות" כאלו או א</w:t>
      </w:r>
      <w:r w:rsidR="007B7F80">
        <w:rPr>
          <w:rFonts w:ascii="David" w:eastAsia="Calibri" w:hAnsi="David"/>
          <w:noProof w:val="0"/>
          <w:rtl/>
        </w:rPr>
        <w:t xml:space="preserve">חרות על התובע ככל שלא יעשה כן. </w:t>
      </w:r>
      <w:r w:rsidRPr="00000900">
        <w:rPr>
          <w:rFonts w:ascii="David" w:eastAsia="Calibri" w:hAnsi="David"/>
          <w:noProof w:val="0"/>
          <w:rtl/>
        </w:rPr>
        <w:t>מכאן שניתן לראות שישנה הפרדה בין הורשת הנכס לבין החיוב לאפשר מגורים לנתבע והדברים אינם תלויים האחד בשני.</w:t>
      </w:r>
    </w:p>
    <w:p w:rsidR="001741B5" w:rsidRPr="00000900" w:rsidRDefault="001741B5" w:rsidP="000D7F45">
      <w:pPr>
        <w:spacing w:after="160"/>
        <w:ind w:left="-58"/>
        <w:contextualSpacing/>
        <w:jc w:val="both"/>
        <w:rPr>
          <w:rFonts w:ascii="David" w:eastAsia="Calibri" w:hAnsi="David"/>
          <w:noProof w:val="0"/>
        </w:rPr>
      </w:pPr>
      <w:r w:rsidRPr="00000900">
        <w:rPr>
          <w:rFonts w:ascii="David" w:eastAsia="Calibri" w:hAnsi="David"/>
          <w:noProof w:val="0"/>
          <w:rtl/>
        </w:rPr>
        <w:t xml:space="preserve">  </w:t>
      </w:r>
    </w:p>
    <w:p w:rsidR="007B7F80"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סעיף 45 לחוק, עוסק בחיובי יורש: " </w:t>
      </w:r>
      <w:r w:rsidRPr="00000900">
        <w:rPr>
          <w:rFonts w:ascii="David" w:eastAsia="Calibri" w:hAnsi="David"/>
          <w:b/>
          <w:bCs/>
          <w:i/>
          <w:iCs/>
          <w:noProof w:val="0"/>
          <w:rtl/>
        </w:rPr>
        <w:t>המצווה רשאי להורות בצוואתו דבר שיורש יהיה חייב לעשותו, או להימנע מעשותו, במה שקיבל מן העזבון; מילויו של חיוב כזה יכול לדרוש כל מי שמעונין במילוי, ואם היה בדבר ענין לציבור – גם היועץ המשפטי לממשלה או בא כוחו</w:t>
      </w:r>
      <w:r w:rsidRPr="00000900">
        <w:rPr>
          <w:rFonts w:ascii="David" w:eastAsia="Calibri" w:hAnsi="David"/>
          <w:noProof w:val="0"/>
          <w:rtl/>
        </w:rPr>
        <w:t>".</w:t>
      </w:r>
    </w:p>
    <w:p w:rsidR="001741B5" w:rsidRPr="00000900" w:rsidRDefault="001741B5" w:rsidP="000D7F45">
      <w:pPr>
        <w:spacing w:after="160"/>
        <w:ind w:left="-58"/>
        <w:contextualSpacing/>
        <w:jc w:val="both"/>
        <w:rPr>
          <w:rFonts w:ascii="David" w:eastAsia="Calibri" w:hAnsi="David"/>
          <w:noProof w:val="0"/>
        </w:rPr>
      </w:pPr>
      <w:r w:rsidRPr="00000900">
        <w:rPr>
          <w:rFonts w:ascii="David" w:eastAsia="Calibri" w:hAnsi="David"/>
          <w:noProof w:val="0"/>
          <w:rtl/>
        </w:rPr>
        <w:t xml:space="preserve"> </w:t>
      </w:r>
    </w:p>
    <w:p w:rsidR="001741B5"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הוראת סעיף 10 לצוואת המנוחה, עונה על הגדרה זו. </w:t>
      </w:r>
    </w:p>
    <w:p w:rsidR="007B7F80" w:rsidRPr="00000900" w:rsidRDefault="007B7F80" w:rsidP="000D7F45">
      <w:pPr>
        <w:spacing w:after="160"/>
        <w:ind w:left="-58"/>
        <w:contextualSpacing/>
        <w:jc w:val="both"/>
        <w:rPr>
          <w:rFonts w:ascii="David" w:eastAsia="Calibri" w:hAnsi="David"/>
          <w:noProof w:val="0"/>
        </w:rPr>
      </w:pPr>
    </w:p>
    <w:p w:rsidR="001741B5" w:rsidRPr="00000900"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המנוחה ציוותה את הנכס לתובע (ס' 4 לצוואה), ובסעיף נפרד ביקשה ליתן מתן זכות מגורים לנתבע בנכס עד פטירת שני בני הזוג (ס' 10 לצוואה) וזאת ללא כל קביעת "סנקציה" כלשהי על התובע באם לא יפעל כאמור. </w:t>
      </w:r>
    </w:p>
    <w:p w:rsidR="007B7F80" w:rsidRDefault="007B7F80" w:rsidP="000D7F45">
      <w:pPr>
        <w:spacing w:after="160"/>
        <w:ind w:left="-58"/>
        <w:contextualSpacing/>
        <w:jc w:val="both"/>
        <w:rPr>
          <w:rFonts w:ascii="David" w:eastAsia="Calibri" w:hAnsi="David"/>
          <w:noProof w:val="0"/>
        </w:rPr>
      </w:pPr>
    </w:p>
    <w:p w:rsidR="001741B5" w:rsidRPr="00000900"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לאור ההפרדה בין הורשת הנכס לבין החיוב לאפשר מגורים לנתבע, יש לראות בסעיף 10 לצוואה כחיוב החל על התובע מכוח ס' 45 לחוק. למעלה מן הצורך, ובנפרד מענייננו, יצוין כי על פי ס' 53 לחוק, הוראות הסעיפים 41 עד 52 לחוק, פרט לסעיף 42(ד), חלות במידה שאין בצוואה הוראות אחרות (מה שאין כן בענייננו). </w:t>
      </w:r>
      <w:r w:rsidRPr="00000900">
        <w:rPr>
          <w:rFonts w:ascii="David" w:eastAsia="Calibri" w:hAnsi="David"/>
          <w:noProof w:val="0"/>
        </w:rPr>
        <w:t xml:space="preserve"> </w:t>
      </w:r>
    </w:p>
    <w:p w:rsidR="007B7F80" w:rsidRDefault="007B7F80" w:rsidP="000D7F45">
      <w:pPr>
        <w:spacing w:after="160"/>
        <w:ind w:left="-58"/>
        <w:contextualSpacing/>
        <w:jc w:val="both"/>
        <w:rPr>
          <w:rFonts w:ascii="David" w:eastAsia="Calibri" w:hAnsi="David"/>
          <w:noProof w:val="0"/>
        </w:rPr>
      </w:pPr>
    </w:p>
    <w:p w:rsidR="001741B5" w:rsidRPr="00000900"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המפורט לעיל</w:t>
      </w:r>
      <w:r w:rsidR="00776D2F">
        <w:rPr>
          <w:rFonts w:ascii="David" w:eastAsia="Calibri" w:hAnsi="David" w:hint="cs"/>
          <w:noProof w:val="0"/>
          <w:rtl/>
        </w:rPr>
        <w:t xml:space="preserve"> מבהיר כי</w:t>
      </w:r>
      <w:r w:rsidRPr="00000900">
        <w:rPr>
          <w:rFonts w:ascii="David" w:eastAsia="Calibri" w:hAnsi="David"/>
          <w:noProof w:val="0"/>
          <w:rtl/>
        </w:rPr>
        <w:t xml:space="preserve"> יש לראות בסעיף 10 לצוואת המנוחה, כהוראה המטילה חיוב על היורש (התובע), לעניין הענקת זכות מגורים לנתבע בנכס עד פטירת שני בני הזוג. </w:t>
      </w:r>
    </w:p>
    <w:p w:rsidR="001741B5" w:rsidRPr="007B7F80" w:rsidRDefault="001741B5" w:rsidP="000D7F45">
      <w:pPr>
        <w:ind w:left="-58"/>
        <w:contextualSpacing/>
        <w:jc w:val="both"/>
        <w:rPr>
          <w:rFonts w:ascii="David" w:eastAsia="Calibri" w:hAnsi="David"/>
          <w:noProof w:val="0"/>
        </w:rPr>
      </w:pPr>
    </w:p>
    <w:p w:rsidR="001741B5" w:rsidRPr="00000900" w:rsidRDefault="001741B5" w:rsidP="000D7F45">
      <w:pPr>
        <w:ind w:left="-58"/>
        <w:contextualSpacing/>
        <w:jc w:val="both"/>
        <w:rPr>
          <w:rFonts w:ascii="David" w:eastAsia="Calibri" w:hAnsi="David"/>
          <w:b/>
          <w:bCs/>
          <w:noProof w:val="0"/>
          <w:u w:val="single"/>
          <w:rtl/>
        </w:rPr>
      </w:pPr>
      <w:r w:rsidRPr="00000900">
        <w:rPr>
          <w:rFonts w:ascii="David" w:eastAsia="Calibri" w:hAnsi="David"/>
          <w:b/>
          <w:bCs/>
          <w:noProof w:val="0"/>
          <w:u w:val="single"/>
          <w:rtl/>
        </w:rPr>
        <w:t>תוקפו של סעיף 10 לצוואת המנוחה</w:t>
      </w:r>
    </w:p>
    <w:p w:rsidR="007B7F80" w:rsidRDefault="007B7F80" w:rsidP="000D7F45">
      <w:pPr>
        <w:spacing w:after="160"/>
        <w:ind w:left="-58"/>
        <w:contextualSpacing/>
        <w:jc w:val="both"/>
        <w:rPr>
          <w:rFonts w:ascii="David" w:eastAsia="Calibri" w:hAnsi="David"/>
          <w:noProof w:val="0"/>
        </w:rPr>
      </w:pPr>
    </w:p>
    <w:p w:rsidR="001741B5" w:rsidRPr="00000900"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לאחר שקבעתי כי, המנוחה הטילה חיוב על התובע ביחס למגורי הנתבע בנכס כאמור בסעיף 45 לחוק, עלינו ל</w:t>
      </w:r>
      <w:r w:rsidR="00487FAD" w:rsidRPr="00000900">
        <w:rPr>
          <w:rFonts w:ascii="David" w:eastAsia="Calibri" w:hAnsi="David"/>
          <w:noProof w:val="0"/>
          <w:rtl/>
        </w:rPr>
        <w:t>בחון את תוקפו של חיוב זה והאם הוא ישים</w:t>
      </w:r>
      <w:r w:rsidRPr="00000900">
        <w:rPr>
          <w:rFonts w:ascii="David" w:eastAsia="Calibri" w:hAnsi="David"/>
          <w:noProof w:val="0"/>
          <w:rtl/>
        </w:rPr>
        <w:t xml:space="preserve"> כלל. </w:t>
      </w:r>
    </w:p>
    <w:p w:rsidR="001741B5" w:rsidRPr="00000900" w:rsidRDefault="001741B5" w:rsidP="000D7F45">
      <w:pPr>
        <w:ind w:left="-58"/>
        <w:contextualSpacing/>
        <w:jc w:val="both"/>
        <w:rPr>
          <w:rFonts w:ascii="David" w:eastAsia="Calibri" w:hAnsi="David"/>
          <w:noProof w:val="0"/>
        </w:rPr>
      </w:pPr>
    </w:p>
    <w:p w:rsidR="001741B5" w:rsidRPr="00D6413F" w:rsidRDefault="001741B5" w:rsidP="000D7F45">
      <w:pPr>
        <w:pStyle w:val="ad"/>
        <w:numPr>
          <w:ilvl w:val="0"/>
          <w:numId w:val="4"/>
        </w:numPr>
        <w:jc w:val="both"/>
        <w:rPr>
          <w:rFonts w:ascii="David" w:eastAsia="Calibri" w:hAnsi="David"/>
          <w:noProof w:val="0"/>
          <w:rtl/>
        </w:rPr>
      </w:pPr>
      <w:r w:rsidRPr="00D6413F">
        <w:rPr>
          <w:rFonts w:ascii="David" w:eastAsia="Calibri" w:hAnsi="David"/>
          <w:noProof w:val="0"/>
          <w:u w:val="single"/>
          <w:rtl/>
        </w:rPr>
        <w:t>זכויות הבעלות בנכס</w:t>
      </w:r>
    </w:p>
    <w:p w:rsidR="00D6413F" w:rsidRPr="00D6413F" w:rsidRDefault="00D6413F" w:rsidP="000D7F45">
      <w:pPr>
        <w:pStyle w:val="ad"/>
        <w:ind w:left="302"/>
        <w:jc w:val="both"/>
        <w:rPr>
          <w:rFonts w:ascii="David" w:eastAsia="Calibri" w:hAnsi="David"/>
          <w:noProof w:val="0"/>
          <w:rtl/>
        </w:rPr>
      </w:pPr>
    </w:p>
    <w:p w:rsidR="001741B5" w:rsidRPr="00000900"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כאמור לעיל, בטרם פטירת המנוחה, היו </w:t>
      </w:r>
      <w:r w:rsidR="00D6413F">
        <w:rPr>
          <w:rFonts w:ascii="David" w:eastAsia="Calibri" w:hAnsi="David" w:hint="cs"/>
          <w:noProof w:val="0"/>
          <w:rtl/>
        </w:rPr>
        <w:t>בניה"ז</w:t>
      </w:r>
      <w:r w:rsidRPr="00000900">
        <w:rPr>
          <w:rFonts w:ascii="David" w:eastAsia="Calibri" w:hAnsi="David"/>
          <w:noProof w:val="0"/>
          <w:rtl/>
        </w:rPr>
        <w:t xml:space="preserve"> הבעלים בשלמות </w:t>
      </w:r>
      <w:r w:rsidR="00D6413F">
        <w:rPr>
          <w:rFonts w:ascii="David" w:eastAsia="Calibri" w:hAnsi="David" w:hint="cs"/>
          <w:noProof w:val="0"/>
          <w:rtl/>
        </w:rPr>
        <w:t xml:space="preserve">ובחלקים שווים </w:t>
      </w:r>
      <w:r w:rsidRPr="00000900">
        <w:rPr>
          <w:rFonts w:ascii="David" w:eastAsia="Calibri" w:hAnsi="David"/>
          <w:noProof w:val="0"/>
          <w:rtl/>
        </w:rPr>
        <w:t xml:space="preserve">של הזכויות בנכס. </w:t>
      </w:r>
    </w:p>
    <w:p w:rsidR="00D6413F" w:rsidRPr="00D6413F" w:rsidRDefault="00D6413F" w:rsidP="000D7F45">
      <w:pPr>
        <w:spacing w:after="160"/>
        <w:ind w:left="-58"/>
        <w:contextualSpacing/>
        <w:jc w:val="both"/>
        <w:rPr>
          <w:rFonts w:ascii="David" w:eastAsia="Calibri" w:hAnsi="David"/>
          <w:noProof w:val="0"/>
        </w:rPr>
      </w:pPr>
    </w:p>
    <w:p w:rsidR="001741B5" w:rsidRPr="00000900" w:rsidRDefault="003D54DB" w:rsidP="000D7F45">
      <w:pPr>
        <w:numPr>
          <w:ilvl w:val="0"/>
          <w:numId w:val="3"/>
        </w:numPr>
        <w:spacing w:after="160"/>
        <w:ind w:left="-58" w:hanging="567"/>
        <w:contextualSpacing/>
        <w:jc w:val="both"/>
        <w:rPr>
          <w:rFonts w:ascii="David" w:eastAsia="Calibri" w:hAnsi="David"/>
          <w:noProof w:val="0"/>
        </w:rPr>
      </w:pPr>
      <w:r>
        <w:rPr>
          <w:rFonts w:ascii="David" w:eastAsia="Calibri" w:hAnsi="David" w:hint="cs"/>
          <w:noProof w:val="0"/>
          <w:rtl/>
        </w:rPr>
        <w:t>בניה"ז</w:t>
      </w:r>
      <w:r w:rsidR="001741B5" w:rsidRPr="00000900">
        <w:rPr>
          <w:rFonts w:ascii="David" w:eastAsia="Calibri" w:hAnsi="David"/>
          <w:noProof w:val="0"/>
          <w:rtl/>
        </w:rPr>
        <w:t xml:space="preserve"> נרשמו כ"א כבעלים של מחצית הזכויות בנכס במרשם המקרקעין.</w:t>
      </w:r>
    </w:p>
    <w:p w:rsidR="00D6413F" w:rsidRDefault="00D6413F" w:rsidP="000D7F45">
      <w:pPr>
        <w:spacing w:after="160"/>
        <w:ind w:left="-58"/>
        <w:contextualSpacing/>
        <w:jc w:val="both"/>
        <w:rPr>
          <w:rFonts w:ascii="David" w:eastAsia="Calibri" w:hAnsi="David"/>
          <w:noProof w:val="0"/>
        </w:rPr>
      </w:pPr>
    </w:p>
    <w:p w:rsidR="001741B5"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על פי ס' 27 לחוק המקרקעין, תשכ"ט-1969 (להלן: "</w:t>
      </w:r>
      <w:r w:rsidRPr="00000900">
        <w:rPr>
          <w:rFonts w:ascii="David" w:eastAsia="Calibri" w:hAnsi="David"/>
          <w:b/>
          <w:bCs/>
          <w:noProof w:val="0"/>
          <w:rtl/>
        </w:rPr>
        <w:t>חוק המקרקעין</w:t>
      </w:r>
      <w:r w:rsidRPr="00000900">
        <w:rPr>
          <w:rFonts w:ascii="David" w:eastAsia="Calibri" w:hAnsi="David"/>
          <w:noProof w:val="0"/>
          <w:rtl/>
        </w:rPr>
        <w:t xml:space="preserve">"), כאשר מדובר במקרקעין בבעלות משותפת, חלקו של כ"א מהבעלים מתפרשת על כלל הנכס: " </w:t>
      </w:r>
      <w:r w:rsidRPr="00000900">
        <w:rPr>
          <w:rFonts w:ascii="David" w:eastAsia="Calibri" w:hAnsi="David"/>
          <w:b/>
          <w:bCs/>
          <w:i/>
          <w:iCs/>
          <w:noProof w:val="0"/>
          <w:rtl/>
        </w:rPr>
        <w:t>מקרקעין שהם של כמה בעלים, בעלותו של כל אחד מהם לפי חלקו מתפשטת בכל אתר ואתר שבמקרקעין ואין לשום שותף חלק מסוים בהם</w:t>
      </w:r>
      <w:r w:rsidRPr="00000900">
        <w:rPr>
          <w:rFonts w:ascii="David" w:eastAsia="Calibri" w:hAnsi="David"/>
          <w:noProof w:val="0"/>
          <w:rtl/>
        </w:rPr>
        <w:t xml:space="preserve"> ". עוד בעניין זה ר' ע"א 832/13 </w:t>
      </w:r>
      <w:r w:rsidRPr="00000900">
        <w:rPr>
          <w:rFonts w:ascii="David" w:eastAsia="Calibri" w:hAnsi="David"/>
          <w:b/>
          <w:bCs/>
          <w:noProof w:val="0"/>
          <w:rtl/>
        </w:rPr>
        <w:t>רונן טוסי ו-25 אח' נ' מע"צ - החברה הלאומית לדרכים בישראל בע"מ</w:t>
      </w:r>
      <w:r w:rsidRPr="00000900">
        <w:rPr>
          <w:rFonts w:ascii="David" w:eastAsia="Calibri" w:hAnsi="David"/>
          <w:noProof w:val="0"/>
          <w:rtl/>
        </w:rPr>
        <w:t> (נבו 23.9.2014):</w:t>
      </w:r>
    </w:p>
    <w:p w:rsidR="003D54DB" w:rsidRPr="00000900" w:rsidRDefault="003D54DB" w:rsidP="000D7F45">
      <w:pPr>
        <w:spacing w:after="160"/>
        <w:ind w:left="-58"/>
        <w:contextualSpacing/>
        <w:jc w:val="both"/>
        <w:rPr>
          <w:rFonts w:ascii="David" w:eastAsia="Calibri" w:hAnsi="David"/>
          <w:noProof w:val="0"/>
        </w:rPr>
      </w:pPr>
    </w:p>
    <w:p w:rsidR="001741B5" w:rsidRPr="00000900" w:rsidRDefault="001741B5" w:rsidP="000D7F45">
      <w:pPr>
        <w:spacing w:before="200"/>
        <w:ind w:left="862" w:right="862"/>
        <w:jc w:val="both"/>
        <w:rPr>
          <w:rFonts w:ascii="David" w:eastAsia="Calibri" w:hAnsi="David"/>
          <w:b/>
          <w:bCs/>
          <w:i/>
          <w:iCs/>
          <w:noProof w:val="0"/>
          <w:color w:val="404040"/>
        </w:rPr>
      </w:pPr>
      <w:r w:rsidRPr="00000900">
        <w:rPr>
          <w:rFonts w:ascii="David" w:eastAsia="Calibri" w:hAnsi="David"/>
          <w:b/>
          <w:bCs/>
          <w:i/>
          <w:iCs/>
          <w:noProof w:val="0"/>
          <w:color w:val="404040"/>
          <w:rtl/>
        </w:rPr>
        <w:t xml:space="preserve"> "מכאן עולה כי, כאשר מדובר בבעלות משותפת במקרקעין, אין בבעלותו של איש מבין השותפים חלק פיזי מוגדר בהם, והבעלות מתפרשת על חלקים בלתי מסוימים בקרקע – שאותם ניתן להגדיר גם כמנות מסוימות בקרקע, כפי </w:t>
      </w:r>
      <w:r w:rsidRPr="00000900">
        <w:rPr>
          <w:rFonts w:ascii="David" w:eastAsia="Calibri" w:hAnsi="David"/>
          <w:b/>
          <w:bCs/>
          <w:i/>
          <w:iCs/>
          <w:noProof w:val="0"/>
          <w:color w:val="404040"/>
          <w:rtl/>
        </w:rPr>
        <w:lastRenderedPageBreak/>
        <w:t>שהבהיר המלומד ויסמן: "כאשר אומרים שאין לשותף חלק מסוים בנכס המשותף הכוונה בכך שאין לשותף חלק פיסי מסוים (בחליפה משותפת אין המקטורן יכול להיות בבעלותו הייחודית של אחד השותפים). לעומת זאת, ניתן לדבר על מנה מסוימת שיש לשותף בנכס המשותף, כגון שהוא בעלים כדי 25% בנכס המשותף</w:t>
      </w:r>
      <w:r w:rsidRPr="00000900">
        <w:rPr>
          <w:rFonts w:ascii="David" w:eastAsia="Calibri" w:hAnsi="David"/>
          <w:b/>
          <w:bCs/>
          <w:i/>
          <w:iCs/>
          <w:noProof w:val="0"/>
          <w:color w:val="404040"/>
        </w:rPr>
        <w:t>""</w:t>
      </w:r>
    </w:p>
    <w:p w:rsidR="001741B5" w:rsidRPr="00000900" w:rsidRDefault="001741B5" w:rsidP="000D7F45">
      <w:pPr>
        <w:jc w:val="both"/>
        <w:rPr>
          <w:rFonts w:ascii="David" w:eastAsia="Calibri" w:hAnsi="David"/>
          <w:noProof w:val="0"/>
        </w:rPr>
      </w:pPr>
    </w:p>
    <w:p w:rsidR="001741B5"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מכאן שזכויותיהם של </w:t>
      </w:r>
      <w:r w:rsidR="003D54DB">
        <w:rPr>
          <w:rFonts w:ascii="David" w:eastAsia="Calibri" w:hAnsi="David" w:hint="cs"/>
          <w:noProof w:val="0"/>
          <w:rtl/>
        </w:rPr>
        <w:t>בניה"ז</w:t>
      </w:r>
      <w:r w:rsidRPr="00000900">
        <w:rPr>
          <w:rFonts w:ascii="David" w:eastAsia="Calibri" w:hAnsi="David"/>
          <w:noProof w:val="0"/>
          <w:rtl/>
        </w:rPr>
        <w:t xml:space="preserve">, התפרשו על כלל הנכס, כאשר לאף אחד מהם אין בעלות על חלק פיזי מסוים בנכס. </w:t>
      </w:r>
    </w:p>
    <w:p w:rsidR="003D54DB" w:rsidRPr="00000900" w:rsidRDefault="003D54DB" w:rsidP="000D7F45">
      <w:pPr>
        <w:spacing w:after="160"/>
        <w:ind w:left="-58"/>
        <w:contextualSpacing/>
        <w:jc w:val="both"/>
        <w:rPr>
          <w:rFonts w:ascii="David" w:eastAsia="Calibri" w:hAnsi="David"/>
          <w:noProof w:val="0"/>
        </w:rPr>
      </w:pPr>
    </w:p>
    <w:p w:rsidR="003D54DB" w:rsidRPr="003D54DB" w:rsidRDefault="001741B5" w:rsidP="000D7F45">
      <w:pPr>
        <w:numPr>
          <w:ilvl w:val="0"/>
          <w:numId w:val="3"/>
        </w:numPr>
        <w:spacing w:after="160"/>
        <w:ind w:left="-58" w:hanging="567"/>
        <w:contextualSpacing/>
        <w:jc w:val="both"/>
        <w:rPr>
          <w:rFonts w:ascii="David" w:eastAsia="Calibri" w:hAnsi="David"/>
          <w:noProof w:val="0"/>
          <w:rtl/>
        </w:rPr>
      </w:pPr>
      <w:r w:rsidRPr="00000900">
        <w:rPr>
          <w:rFonts w:ascii="David" w:eastAsia="Calibri" w:hAnsi="David"/>
          <w:noProof w:val="0"/>
          <w:rtl/>
        </w:rPr>
        <w:t xml:space="preserve">ביום 30.4.23 ובעקבות צו קיום הצוואה שניתן לעיזבון המנוחה, נרשם התובע תחת המנוחה כבעלי מחצית הזכויות אשר היו שייכים למנוחה מכוח הצוואה, זאת בכפוף להערה שנרשמה </w:t>
      </w:r>
      <w:r w:rsidR="003D54DB">
        <w:rPr>
          <w:rFonts w:ascii="David" w:eastAsia="Calibri" w:hAnsi="David" w:hint="cs"/>
          <w:noProof w:val="0"/>
          <w:rtl/>
        </w:rPr>
        <w:t>(</w:t>
      </w:r>
      <w:r w:rsidRPr="00000900">
        <w:rPr>
          <w:rFonts w:ascii="David" w:eastAsia="Calibri" w:hAnsi="David"/>
          <w:noProof w:val="0"/>
          <w:rtl/>
        </w:rPr>
        <w:t>"בכפוף לתנאים בצוואה"</w:t>
      </w:r>
      <w:r w:rsidR="003D54DB">
        <w:rPr>
          <w:rFonts w:ascii="David" w:eastAsia="Calibri" w:hAnsi="David" w:hint="cs"/>
          <w:noProof w:val="0"/>
          <w:rtl/>
        </w:rPr>
        <w:t>)</w:t>
      </w:r>
      <w:r w:rsidRPr="00000900">
        <w:rPr>
          <w:rFonts w:ascii="David" w:eastAsia="Calibri" w:hAnsi="David"/>
          <w:noProof w:val="0"/>
          <w:rtl/>
        </w:rPr>
        <w:t xml:space="preserve">. </w:t>
      </w:r>
    </w:p>
    <w:p w:rsidR="003D54DB" w:rsidRPr="00000900" w:rsidRDefault="003D54DB" w:rsidP="000D7F45">
      <w:pPr>
        <w:spacing w:after="160"/>
        <w:ind w:left="-58"/>
        <w:contextualSpacing/>
        <w:jc w:val="both"/>
        <w:rPr>
          <w:rFonts w:ascii="David" w:eastAsia="Calibri" w:hAnsi="David"/>
          <w:noProof w:val="0"/>
        </w:rPr>
      </w:pPr>
    </w:p>
    <w:p w:rsidR="001741B5" w:rsidRPr="00000900"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לאור האמור, עולה כי לתובע בעלות במחצית הזכויות בנכס, אשר היו לו טרם זכה במחצית הנוספת מכוח צוואת המנוחה. יש לבחון את החיוב שבסעיף 10 לצוואה, בשים לב לעובדה כי לתובע היו מחצית הזכויות בנכס ללא קשר לזכייתו בשאר הזכויות מכוח צוואת המנוחה. </w:t>
      </w:r>
    </w:p>
    <w:p w:rsidR="00F404D8" w:rsidRPr="00000900" w:rsidRDefault="00F404D8" w:rsidP="000D7F45">
      <w:pPr>
        <w:ind w:left="-58"/>
        <w:contextualSpacing/>
        <w:jc w:val="both"/>
        <w:rPr>
          <w:rFonts w:ascii="David" w:eastAsia="Calibri" w:hAnsi="David"/>
          <w:noProof w:val="0"/>
        </w:rPr>
      </w:pPr>
    </w:p>
    <w:p w:rsidR="001741B5" w:rsidRPr="00000900" w:rsidRDefault="001741B5" w:rsidP="000D7F45">
      <w:pPr>
        <w:ind w:left="-58"/>
        <w:contextualSpacing/>
        <w:jc w:val="both"/>
        <w:rPr>
          <w:rFonts w:ascii="David" w:eastAsia="Calibri" w:hAnsi="David"/>
          <w:noProof w:val="0"/>
          <w:rtl/>
        </w:rPr>
      </w:pPr>
      <w:r w:rsidRPr="00000900">
        <w:rPr>
          <w:rFonts w:ascii="David" w:eastAsia="Calibri" w:hAnsi="David"/>
          <w:noProof w:val="0"/>
          <w:rtl/>
        </w:rPr>
        <w:t xml:space="preserve">(2) </w:t>
      </w:r>
      <w:r w:rsidRPr="00000900">
        <w:rPr>
          <w:rFonts w:ascii="David" w:eastAsia="Calibri" w:hAnsi="David"/>
          <w:noProof w:val="0"/>
          <w:u w:val="single"/>
          <w:rtl/>
        </w:rPr>
        <w:t>המנוחה ציוותה לגבי זכויות בנכס שאינן חלק מעיזבונה</w:t>
      </w:r>
    </w:p>
    <w:p w:rsidR="003D54DB" w:rsidRDefault="003D54DB" w:rsidP="000D7F45">
      <w:pPr>
        <w:spacing w:after="160"/>
        <w:ind w:left="-58"/>
        <w:contextualSpacing/>
        <w:jc w:val="both"/>
        <w:rPr>
          <w:rFonts w:ascii="David" w:eastAsia="Calibri" w:hAnsi="David"/>
          <w:noProof w:val="0"/>
        </w:rPr>
      </w:pPr>
    </w:p>
    <w:p w:rsidR="001741B5"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סעיף 10 לצוואה קובע כהאי לישנא: " </w:t>
      </w:r>
      <w:r w:rsidRPr="00000900">
        <w:rPr>
          <w:rFonts w:ascii="David" w:eastAsia="Calibri" w:hAnsi="David"/>
          <w:b/>
          <w:bCs/>
          <w:i/>
          <w:iCs/>
          <w:noProof w:val="0"/>
          <w:rtl/>
        </w:rPr>
        <w:t xml:space="preserve">הנני מורה בזאת כי בני </w:t>
      </w:r>
      <w:r w:rsidR="00656123">
        <w:rPr>
          <w:rFonts w:ascii="David" w:eastAsia="Calibri" w:hAnsi="David" w:hint="cs"/>
          <w:b/>
          <w:bCs/>
          <w:i/>
          <w:iCs/>
          <w:noProof w:val="0"/>
          <w:rtl/>
        </w:rPr>
        <w:t>*****</w:t>
      </w:r>
      <w:r w:rsidRPr="00000900">
        <w:rPr>
          <w:rFonts w:ascii="David" w:eastAsia="Calibri" w:hAnsi="David"/>
          <w:b/>
          <w:bCs/>
          <w:i/>
          <w:iCs/>
          <w:noProof w:val="0"/>
          <w:rtl/>
        </w:rPr>
        <w:t xml:space="preserve">... יוכל להמשיך ולהתגורר בנכס... </w:t>
      </w:r>
      <w:r w:rsidRPr="00000900">
        <w:rPr>
          <w:rFonts w:ascii="David" w:eastAsia="Calibri" w:hAnsi="David"/>
          <w:b/>
          <w:bCs/>
          <w:i/>
          <w:iCs/>
          <w:noProof w:val="0"/>
          <w:u w:val="single"/>
          <w:rtl/>
        </w:rPr>
        <w:t>עד 6 חודשים מיום פטירת האחרון בינינו</w:t>
      </w:r>
      <w:r w:rsidRPr="00000900">
        <w:rPr>
          <w:rFonts w:ascii="David" w:eastAsia="Calibri" w:hAnsi="David"/>
          <w:b/>
          <w:bCs/>
          <w:i/>
          <w:iCs/>
          <w:noProof w:val="0"/>
          <w:rtl/>
        </w:rPr>
        <w:t xml:space="preserve">: בעלי </w:t>
      </w:r>
      <w:r w:rsidR="00656123">
        <w:rPr>
          <w:rFonts w:ascii="David" w:eastAsia="Calibri" w:hAnsi="David" w:hint="cs"/>
          <w:b/>
          <w:bCs/>
          <w:i/>
          <w:iCs/>
          <w:noProof w:val="0"/>
          <w:rtl/>
        </w:rPr>
        <w:t>*****</w:t>
      </w:r>
      <w:r w:rsidRPr="00000900">
        <w:rPr>
          <w:rFonts w:ascii="David" w:eastAsia="Calibri" w:hAnsi="David"/>
          <w:b/>
          <w:bCs/>
          <w:i/>
          <w:iCs/>
          <w:noProof w:val="0"/>
          <w:rtl/>
        </w:rPr>
        <w:t>...</w:t>
      </w:r>
      <w:r w:rsidR="00656123">
        <w:rPr>
          <w:rFonts w:ascii="David" w:eastAsia="Calibri" w:hAnsi="David" w:hint="cs"/>
          <w:b/>
          <w:bCs/>
          <w:i/>
          <w:iCs/>
          <w:noProof w:val="0"/>
          <w:rtl/>
        </w:rPr>
        <w:t xml:space="preserve"> </w:t>
      </w:r>
      <w:r w:rsidRPr="00000900">
        <w:rPr>
          <w:rFonts w:ascii="David" w:eastAsia="Calibri" w:hAnsi="David"/>
          <w:b/>
          <w:bCs/>
          <w:i/>
          <w:iCs/>
          <w:noProof w:val="0"/>
          <w:rtl/>
        </w:rPr>
        <w:t>ו/או אנוכי</w:t>
      </w:r>
      <w:r w:rsidR="00656123">
        <w:rPr>
          <w:rFonts w:ascii="David" w:eastAsia="Calibri" w:hAnsi="David" w:hint="cs"/>
          <w:b/>
          <w:bCs/>
          <w:i/>
          <w:iCs/>
          <w:noProof w:val="0"/>
          <w:rtl/>
        </w:rPr>
        <w:t xml:space="preserve"> ****</w:t>
      </w:r>
      <w:r w:rsidRPr="00000900">
        <w:rPr>
          <w:rFonts w:ascii="David" w:eastAsia="Calibri" w:hAnsi="David"/>
          <w:b/>
          <w:bCs/>
          <w:i/>
          <w:iCs/>
          <w:noProof w:val="0"/>
          <w:rtl/>
        </w:rPr>
        <w:t xml:space="preserve">... כשלאחר מכן יפונה הבית ויימכר. כל חוב שיצטבר בתקופה זו ישולם ע"י בני </w:t>
      </w:r>
      <w:r w:rsidR="00656123">
        <w:rPr>
          <w:rFonts w:ascii="David" w:eastAsia="Calibri" w:hAnsi="David" w:hint="cs"/>
          <w:noProof w:val="0"/>
          <w:rtl/>
        </w:rPr>
        <w:t>*****</w:t>
      </w:r>
      <w:r w:rsidRPr="00000900">
        <w:rPr>
          <w:rFonts w:ascii="David" w:eastAsia="Calibri" w:hAnsi="David"/>
          <w:noProof w:val="0"/>
          <w:rtl/>
        </w:rPr>
        <w:t xml:space="preserve">" (ההדגשה אינה במקור ר.ל.א). </w:t>
      </w:r>
    </w:p>
    <w:p w:rsidR="003D54DB" w:rsidRPr="00000900" w:rsidRDefault="003D54DB" w:rsidP="000D7F45">
      <w:pPr>
        <w:spacing w:after="160"/>
        <w:ind w:left="-58"/>
        <w:contextualSpacing/>
        <w:jc w:val="both"/>
        <w:rPr>
          <w:rFonts w:ascii="David" w:eastAsia="Calibri" w:hAnsi="David"/>
          <w:noProof w:val="0"/>
        </w:rPr>
      </w:pPr>
    </w:p>
    <w:p w:rsidR="001741B5" w:rsidRPr="00000900"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הוראת הצוואה מעלה כי, המנוחה ציוותה לגבי זכות מגורים לנתבע </w:t>
      </w:r>
      <w:r w:rsidRPr="00000900">
        <w:rPr>
          <w:rFonts w:ascii="David" w:eastAsia="Calibri" w:hAnsi="David"/>
          <w:noProof w:val="0"/>
          <w:u w:val="single"/>
          <w:rtl/>
        </w:rPr>
        <w:t>בכלל הזכויות בנכס</w:t>
      </w:r>
      <w:r w:rsidRPr="00000900">
        <w:rPr>
          <w:rFonts w:ascii="David" w:eastAsia="Calibri" w:hAnsi="David"/>
          <w:noProof w:val="0"/>
          <w:rtl/>
        </w:rPr>
        <w:t>, דהיינו אף על זכויות התובע בנכס (שכלל לא היו שייכות למנוחה).</w:t>
      </w:r>
    </w:p>
    <w:p w:rsidR="003D54DB" w:rsidRDefault="003D54DB" w:rsidP="000D7F45">
      <w:pPr>
        <w:spacing w:after="160"/>
        <w:ind w:left="-58"/>
        <w:contextualSpacing/>
        <w:jc w:val="both"/>
        <w:rPr>
          <w:rFonts w:ascii="David" w:eastAsia="Calibri" w:hAnsi="David"/>
          <w:noProof w:val="0"/>
        </w:rPr>
      </w:pPr>
    </w:p>
    <w:p w:rsidR="001741B5"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כאמור לעיל, נקבע כי בסעיף 10 לצוואה הטילה המנוחה חיוב על התובע לפי ס' 45 לחוק. </w:t>
      </w:r>
      <w:r w:rsidR="003D54DB">
        <w:rPr>
          <w:rFonts w:ascii="David" w:eastAsia="Calibri" w:hAnsi="David" w:hint="cs"/>
          <w:noProof w:val="0"/>
          <w:rtl/>
        </w:rPr>
        <w:t xml:space="preserve">הלכה למעשה </w:t>
      </w:r>
      <w:r w:rsidRPr="00000900">
        <w:rPr>
          <w:rFonts w:ascii="David" w:eastAsia="Calibri" w:hAnsi="David"/>
          <w:noProof w:val="0"/>
          <w:rtl/>
        </w:rPr>
        <w:t>המנוחה ציוותה</w:t>
      </w:r>
      <w:r w:rsidR="003D54DB">
        <w:rPr>
          <w:rFonts w:ascii="David" w:eastAsia="Calibri" w:hAnsi="David" w:hint="cs"/>
          <w:noProof w:val="0"/>
          <w:rtl/>
        </w:rPr>
        <w:t xml:space="preserve"> זכות מגורים לנתבע</w:t>
      </w:r>
      <w:r w:rsidRPr="00000900">
        <w:rPr>
          <w:rFonts w:ascii="David" w:eastAsia="Calibri" w:hAnsi="David"/>
          <w:noProof w:val="0"/>
          <w:rtl/>
        </w:rPr>
        <w:t xml:space="preserve"> גם </w:t>
      </w:r>
      <w:r w:rsidR="003D54DB">
        <w:rPr>
          <w:rFonts w:ascii="David" w:eastAsia="Calibri" w:hAnsi="David" w:hint="cs"/>
          <w:noProof w:val="0"/>
          <w:rtl/>
        </w:rPr>
        <w:t>ב</w:t>
      </w:r>
      <w:r w:rsidRPr="00000900">
        <w:rPr>
          <w:rFonts w:ascii="David" w:eastAsia="Calibri" w:hAnsi="David"/>
          <w:noProof w:val="0"/>
          <w:rtl/>
        </w:rPr>
        <w:t xml:space="preserve">זכויותיו של התובע בנכס. </w:t>
      </w:r>
      <w:r w:rsidRPr="00656123">
        <w:rPr>
          <w:rFonts w:ascii="David" w:eastAsia="Calibri" w:hAnsi="David"/>
          <w:b/>
          <w:bCs/>
          <w:noProof w:val="0"/>
          <w:u w:val="single"/>
          <w:rtl/>
        </w:rPr>
        <w:t>לא ניתן לחייב זוכה בצוואה לעש</w:t>
      </w:r>
      <w:r w:rsidR="003D54DB" w:rsidRPr="00656123">
        <w:rPr>
          <w:rFonts w:ascii="David" w:eastAsia="Calibri" w:hAnsi="David"/>
          <w:b/>
          <w:bCs/>
          <w:noProof w:val="0"/>
          <w:u w:val="single"/>
          <w:rtl/>
        </w:rPr>
        <w:t>ות דבר בנכס שאינו מנכסי העיזבון</w:t>
      </w:r>
      <w:r w:rsidRPr="00000900">
        <w:rPr>
          <w:rFonts w:ascii="David" w:eastAsia="Calibri" w:hAnsi="David"/>
          <w:noProof w:val="0"/>
          <w:rtl/>
        </w:rPr>
        <w:t xml:space="preserve">, אף לפי ס' 45 לחוק הירושה: </w:t>
      </w:r>
    </w:p>
    <w:p w:rsidR="003D54DB" w:rsidRPr="003D54DB" w:rsidRDefault="003D54DB" w:rsidP="000D7F45">
      <w:pPr>
        <w:spacing w:after="160"/>
        <w:ind w:left="-58"/>
        <w:contextualSpacing/>
        <w:jc w:val="both"/>
        <w:rPr>
          <w:rFonts w:ascii="David" w:eastAsia="Calibri" w:hAnsi="David"/>
          <w:noProof w:val="0"/>
        </w:rPr>
      </w:pPr>
    </w:p>
    <w:p w:rsidR="001741B5" w:rsidRPr="00000900" w:rsidRDefault="001741B5" w:rsidP="000D7F45">
      <w:pPr>
        <w:spacing w:before="200" w:after="160"/>
        <w:ind w:left="864" w:right="864"/>
        <w:jc w:val="both"/>
        <w:rPr>
          <w:rFonts w:ascii="David" w:eastAsia="Calibri" w:hAnsi="David"/>
          <w:b/>
          <w:bCs/>
          <w:i/>
          <w:iCs/>
          <w:noProof w:val="0"/>
          <w:color w:val="404040"/>
        </w:rPr>
      </w:pPr>
      <w:r w:rsidRPr="00000900">
        <w:rPr>
          <w:rFonts w:ascii="David" w:eastAsia="Calibri" w:hAnsi="David"/>
          <w:i/>
          <w:iCs/>
          <w:noProof w:val="0"/>
          <w:color w:val="404040"/>
          <w:rtl/>
        </w:rPr>
        <w:t xml:space="preserve"> </w:t>
      </w:r>
      <w:r w:rsidRPr="00000900">
        <w:rPr>
          <w:rFonts w:ascii="David" w:eastAsia="Calibri" w:hAnsi="David"/>
          <w:b/>
          <w:bCs/>
          <w:i/>
          <w:iCs/>
          <w:noProof w:val="0"/>
          <w:color w:val="404040"/>
          <w:rtl/>
        </w:rPr>
        <w:t xml:space="preserve">"אכן, יש בכך, לכאורה, משום הטלת נטל על היורשת לעשות דבר בנכס שאיננו מנכסי העיזבון, ודבר זה אינו אפשרי אפילו לפי סעיף 45לחוק הירושה שמתייחס ליכולתו של המוריש לחייב יורש לעשות "במה שקיבל מן העזבון". </w:t>
      </w:r>
    </w:p>
    <w:p w:rsidR="001741B5" w:rsidRPr="00000900" w:rsidRDefault="001741B5" w:rsidP="000D7F45">
      <w:pPr>
        <w:ind w:left="-58"/>
        <w:contextualSpacing/>
        <w:jc w:val="both"/>
        <w:rPr>
          <w:rFonts w:ascii="David" w:eastAsia="Calibri" w:hAnsi="David"/>
          <w:noProof w:val="0"/>
          <w:u w:val="single"/>
          <w:rtl/>
        </w:rPr>
      </w:pPr>
      <w:r w:rsidRPr="00000900">
        <w:rPr>
          <w:rFonts w:ascii="David" w:eastAsia="Calibri" w:hAnsi="David"/>
          <w:noProof w:val="0"/>
          <w:u w:val="single"/>
          <w:rtl/>
        </w:rPr>
        <w:t>ע"א 765/87 </w:t>
      </w:r>
      <w:r w:rsidRPr="00000900">
        <w:rPr>
          <w:rFonts w:ascii="David" w:eastAsia="Calibri" w:hAnsi="David"/>
          <w:b/>
          <w:bCs/>
          <w:noProof w:val="0"/>
          <w:u w:val="single"/>
          <w:rtl/>
        </w:rPr>
        <w:t>רות צ'סלר נ' עיזבון המנוח אופל מנדל ישראל ז"ל</w:t>
      </w:r>
      <w:r w:rsidRPr="00000900">
        <w:rPr>
          <w:rFonts w:ascii="David" w:eastAsia="Calibri" w:hAnsi="David"/>
          <w:noProof w:val="0"/>
          <w:u w:val="single"/>
        </w:rPr>
        <w:t xml:space="preserve">, </w:t>
      </w:r>
      <w:r w:rsidRPr="00000900">
        <w:rPr>
          <w:rFonts w:ascii="David" w:eastAsia="Calibri" w:hAnsi="David"/>
          <w:noProof w:val="0"/>
          <w:u w:val="single"/>
          <w:rtl/>
        </w:rPr>
        <w:t>מג(3) 081 (1989)</w:t>
      </w:r>
    </w:p>
    <w:p w:rsidR="003D54DB" w:rsidRDefault="003D54DB" w:rsidP="000D7F45">
      <w:pPr>
        <w:spacing w:after="160"/>
        <w:ind w:left="-58"/>
        <w:contextualSpacing/>
        <w:jc w:val="both"/>
        <w:rPr>
          <w:rFonts w:ascii="David" w:eastAsia="Calibri" w:hAnsi="David"/>
          <w:noProof w:val="0"/>
        </w:rPr>
      </w:pPr>
    </w:p>
    <w:p w:rsidR="001741B5" w:rsidRPr="00000900"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לאור האמור, המנוחה הייתה בעלים של מחצית הזכויות בנכס בלבד. על כן, לא היה ביכולתה של המנוחה להעניק זכות מגורים לנתבע בנכס (ובכך ליצור חיוב על התובע), כאשר לתובע מחצית הזכויות בנכס (אשר כאמור מתפרשות על כלל הנכס). </w:t>
      </w:r>
    </w:p>
    <w:p w:rsidR="001741B5" w:rsidRPr="00000900" w:rsidRDefault="001741B5" w:rsidP="000D7F45">
      <w:pPr>
        <w:ind w:left="-58"/>
        <w:contextualSpacing/>
        <w:jc w:val="both"/>
        <w:rPr>
          <w:rFonts w:ascii="David" w:eastAsia="Calibri" w:hAnsi="David"/>
          <w:noProof w:val="0"/>
        </w:rPr>
      </w:pPr>
    </w:p>
    <w:p w:rsidR="001741B5" w:rsidRPr="008424E2" w:rsidRDefault="001741B5" w:rsidP="000D7F45">
      <w:pPr>
        <w:pStyle w:val="ad"/>
        <w:numPr>
          <w:ilvl w:val="0"/>
          <w:numId w:val="4"/>
        </w:numPr>
        <w:jc w:val="both"/>
        <w:rPr>
          <w:rFonts w:ascii="David" w:eastAsia="Calibri" w:hAnsi="David"/>
          <w:noProof w:val="0"/>
          <w:rtl/>
        </w:rPr>
      </w:pPr>
      <w:r w:rsidRPr="008424E2">
        <w:rPr>
          <w:rFonts w:ascii="David" w:eastAsia="Calibri" w:hAnsi="David"/>
          <w:noProof w:val="0"/>
          <w:u w:val="single"/>
          <w:rtl/>
        </w:rPr>
        <w:t>זכותו של שותף במקרקעין לפעול לפירוק שיתוף בכל עת</w:t>
      </w:r>
      <w:r w:rsidRPr="008424E2">
        <w:rPr>
          <w:rFonts w:ascii="David" w:eastAsia="Calibri" w:hAnsi="David"/>
          <w:noProof w:val="0"/>
          <w:rtl/>
        </w:rPr>
        <w:t xml:space="preserve"> </w:t>
      </w:r>
    </w:p>
    <w:p w:rsidR="008424E2" w:rsidRPr="008424E2" w:rsidRDefault="008424E2" w:rsidP="000D7F45">
      <w:pPr>
        <w:pStyle w:val="ad"/>
        <w:ind w:left="302"/>
        <w:jc w:val="both"/>
        <w:rPr>
          <w:rFonts w:ascii="David" w:eastAsia="Calibri" w:hAnsi="David"/>
          <w:noProof w:val="0"/>
          <w:rtl/>
        </w:rPr>
      </w:pPr>
    </w:p>
    <w:p w:rsidR="001741B5" w:rsidRPr="00000900"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נימוק נוסף לאי יכולתה של המנוחה לחייב את התובע כפי שקבעה בסעיף 10 לצוואה, ניתן למצוא בזכות של שותף במקרקעין לפעול לפירוק שיתוף. </w:t>
      </w:r>
    </w:p>
    <w:p w:rsidR="001741B5"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הזכות לפירוק שיתוף, מקורה בזכות הקניין שהיא זכות חוקתית: " </w:t>
      </w:r>
      <w:r w:rsidRPr="00000900">
        <w:rPr>
          <w:rFonts w:ascii="David" w:eastAsia="Calibri" w:hAnsi="David"/>
          <w:b/>
          <w:bCs/>
          <w:i/>
          <w:iCs/>
          <w:noProof w:val="0"/>
          <w:rtl/>
        </w:rPr>
        <w:t>אין פוגעים בקנינו</w:t>
      </w:r>
      <w:r w:rsidRPr="00000900">
        <w:rPr>
          <w:rFonts w:ascii="David" w:eastAsia="Calibri" w:hAnsi="David"/>
          <w:noProof w:val="0"/>
          <w:rtl/>
        </w:rPr>
        <w:t xml:space="preserve"> </w:t>
      </w:r>
      <w:r w:rsidRPr="00000900">
        <w:rPr>
          <w:rFonts w:ascii="David" w:eastAsia="Calibri" w:hAnsi="David"/>
          <w:b/>
          <w:bCs/>
          <w:i/>
          <w:iCs/>
          <w:noProof w:val="0"/>
          <w:rtl/>
        </w:rPr>
        <w:t>של</w:t>
      </w:r>
      <w:r w:rsidRPr="00000900">
        <w:rPr>
          <w:rFonts w:ascii="David" w:eastAsia="Calibri" w:hAnsi="David"/>
          <w:noProof w:val="0"/>
          <w:rtl/>
        </w:rPr>
        <w:t xml:space="preserve"> </w:t>
      </w:r>
      <w:r w:rsidRPr="00000900">
        <w:rPr>
          <w:rFonts w:ascii="David" w:eastAsia="Calibri" w:hAnsi="David"/>
          <w:b/>
          <w:bCs/>
          <w:i/>
          <w:iCs/>
          <w:noProof w:val="0"/>
          <w:rtl/>
        </w:rPr>
        <w:t>אדם</w:t>
      </w:r>
      <w:r w:rsidR="008424E2">
        <w:rPr>
          <w:rFonts w:ascii="David" w:eastAsia="Calibri" w:hAnsi="David"/>
          <w:noProof w:val="0"/>
        </w:rPr>
        <w:t xml:space="preserve"> </w:t>
      </w:r>
      <w:r w:rsidRPr="00000900">
        <w:rPr>
          <w:rFonts w:ascii="David" w:eastAsia="Calibri" w:hAnsi="David"/>
          <w:noProof w:val="0"/>
        </w:rPr>
        <w:t xml:space="preserve"> </w:t>
      </w:r>
      <w:r w:rsidR="008424E2">
        <w:rPr>
          <w:rFonts w:ascii="David" w:eastAsia="Calibri" w:hAnsi="David"/>
          <w:noProof w:val="0"/>
        </w:rPr>
        <w:t>"</w:t>
      </w:r>
      <w:r w:rsidRPr="00000900">
        <w:rPr>
          <w:rFonts w:ascii="David" w:eastAsia="Calibri" w:hAnsi="David"/>
          <w:noProof w:val="0"/>
          <w:rtl/>
        </w:rPr>
        <w:t xml:space="preserve">(ר' ס' 3 לחוק-יסוד: כבוד האדם וחירותו). הזכות לפירוק שיתוף במקרקעין מעוגנת בס' 37(א) לחוק המקרקעין קובע כי: " </w:t>
      </w:r>
      <w:r w:rsidRPr="00000900">
        <w:rPr>
          <w:rFonts w:ascii="David" w:eastAsia="Calibri" w:hAnsi="David"/>
          <w:b/>
          <w:bCs/>
          <w:i/>
          <w:iCs/>
          <w:noProof w:val="0"/>
          <w:rtl/>
        </w:rPr>
        <w:t>כל שותף במקרקעין משותפים זכאי בכל עת לדרוש פירוק השיתוף</w:t>
      </w:r>
      <w:r w:rsidRPr="00000900">
        <w:rPr>
          <w:rFonts w:ascii="David" w:eastAsia="Calibri" w:hAnsi="David"/>
          <w:noProof w:val="0"/>
          <w:rtl/>
        </w:rPr>
        <w:t xml:space="preserve">". </w:t>
      </w:r>
      <w:r w:rsidRPr="00000900">
        <w:rPr>
          <w:rFonts w:ascii="David" w:eastAsia="Calibri" w:hAnsi="David"/>
          <w:noProof w:val="0"/>
        </w:rPr>
        <w:t xml:space="preserve"> </w:t>
      </w:r>
    </w:p>
    <w:p w:rsidR="008424E2" w:rsidRPr="00000900" w:rsidRDefault="008424E2" w:rsidP="000D7F45">
      <w:pPr>
        <w:spacing w:after="160"/>
        <w:ind w:left="-58"/>
        <w:contextualSpacing/>
        <w:jc w:val="both"/>
        <w:rPr>
          <w:rFonts w:ascii="David" w:eastAsia="Calibri" w:hAnsi="David"/>
          <w:noProof w:val="0"/>
        </w:rPr>
      </w:pPr>
    </w:p>
    <w:p w:rsidR="001741B5"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הזכות לפירוק השיתוף נקבעה כעיקרון על בדיני הקניין והמקרקעין (ר' רע"א 1017/97 </w:t>
      </w:r>
      <w:r w:rsidRPr="00000900">
        <w:rPr>
          <w:rFonts w:ascii="David" w:eastAsia="Calibri" w:hAnsi="David"/>
          <w:b/>
          <w:bCs/>
          <w:noProof w:val="0"/>
          <w:rtl/>
        </w:rPr>
        <w:t>יצחק רידלביץ נ' יצחק מודעי</w:t>
      </w:r>
      <w:r w:rsidRPr="00000900">
        <w:rPr>
          <w:rFonts w:ascii="David" w:eastAsia="Calibri" w:hAnsi="David"/>
          <w:noProof w:val="0"/>
          <w:rtl/>
        </w:rPr>
        <w:t xml:space="preserve"> [25 עמ'], נב(4) 625</w:t>
      </w:r>
      <w:r w:rsidRPr="00000900">
        <w:rPr>
          <w:rFonts w:ascii="David" w:eastAsia="Calibri" w:hAnsi="David"/>
          <w:noProof w:val="0"/>
        </w:rPr>
        <w:t xml:space="preserve"> (1998)</w:t>
      </w:r>
      <w:r w:rsidRPr="00000900">
        <w:rPr>
          <w:rFonts w:ascii="David" w:eastAsia="Calibri" w:hAnsi="David"/>
          <w:noProof w:val="0"/>
          <w:rtl/>
        </w:rPr>
        <w:t xml:space="preserve">). </w:t>
      </w:r>
    </w:p>
    <w:p w:rsidR="00380F6E" w:rsidRPr="00000900" w:rsidRDefault="00380F6E" w:rsidP="000D7F45">
      <w:pPr>
        <w:spacing w:after="160"/>
        <w:ind w:left="-58"/>
        <w:contextualSpacing/>
        <w:jc w:val="both"/>
        <w:rPr>
          <w:rFonts w:ascii="David" w:eastAsia="Calibri" w:hAnsi="David"/>
          <w:noProof w:val="0"/>
        </w:rPr>
      </w:pPr>
    </w:p>
    <w:p w:rsidR="001741B5" w:rsidRPr="00000900"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lastRenderedPageBreak/>
        <w:t xml:space="preserve">לאור האמור, המנוחה לא הייתה יכולה לקבוע חיוב בצוואתה, אשר פוגע בזכות הקניין של התובע לעתור לפירוק שיתוף בנכס (פירוק אשר התובע מעוניין בו היום). </w:t>
      </w:r>
    </w:p>
    <w:p w:rsidR="00380F6E" w:rsidRPr="00380F6E" w:rsidRDefault="00380F6E" w:rsidP="000D7F45">
      <w:pPr>
        <w:spacing w:after="160"/>
        <w:ind w:left="-58"/>
        <w:contextualSpacing/>
        <w:jc w:val="both"/>
        <w:rPr>
          <w:rFonts w:ascii="David" w:eastAsia="Calibri" w:hAnsi="David"/>
          <w:noProof w:val="0"/>
        </w:rPr>
      </w:pPr>
    </w:p>
    <w:p w:rsidR="001741B5" w:rsidRPr="00000900"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b/>
          <w:bCs/>
          <w:noProof w:val="0"/>
          <w:u w:val="single"/>
          <w:rtl/>
        </w:rPr>
        <w:t>סיכום</w:t>
      </w:r>
      <w:r w:rsidRPr="00000900">
        <w:rPr>
          <w:rFonts w:ascii="David" w:eastAsia="Calibri" w:hAnsi="David"/>
          <w:noProof w:val="0"/>
          <w:rtl/>
        </w:rPr>
        <w:t xml:space="preserve"> – המנוחה לא הייתה יכולה לחייב את התובע בצוואה ליתן זכות מגורים לנתבע בנכס עד סוף ימיו. החיוב נוגע לזכויות שאינן חלק מעיזבונה של המנוחה, וכן מונעת מהתובע לממש זכות יסוד ולפרק את השיתוף בנכס. על כן, החיוב הקבוע בסעיף 10 לצוואה הוא חסר תוקף. </w:t>
      </w:r>
    </w:p>
    <w:p w:rsidR="00F404D8" w:rsidRPr="00000900" w:rsidRDefault="00F404D8" w:rsidP="000D7F45">
      <w:pPr>
        <w:ind w:left="-58"/>
        <w:contextualSpacing/>
        <w:jc w:val="both"/>
        <w:rPr>
          <w:rFonts w:ascii="David" w:eastAsia="Calibri" w:hAnsi="David"/>
          <w:noProof w:val="0"/>
        </w:rPr>
      </w:pPr>
    </w:p>
    <w:p w:rsidR="001741B5" w:rsidRDefault="001741B5" w:rsidP="000D7F45">
      <w:pPr>
        <w:ind w:left="-58"/>
        <w:contextualSpacing/>
        <w:jc w:val="both"/>
        <w:rPr>
          <w:rFonts w:ascii="David" w:eastAsia="Calibri" w:hAnsi="David"/>
          <w:b/>
          <w:bCs/>
          <w:noProof w:val="0"/>
          <w:rtl/>
        </w:rPr>
      </w:pPr>
      <w:r w:rsidRPr="00000900">
        <w:rPr>
          <w:rFonts w:ascii="David" w:eastAsia="Calibri" w:hAnsi="David"/>
          <w:b/>
          <w:bCs/>
          <w:noProof w:val="0"/>
          <w:color w:val="000000"/>
          <w:u w:val="single"/>
          <w:rtl/>
        </w:rPr>
        <w:t xml:space="preserve">פסקי הדין אליהם הפנה הנתבע בסיכומיו </w:t>
      </w:r>
    </w:p>
    <w:p w:rsidR="009815CE" w:rsidRPr="00000900" w:rsidRDefault="009815CE" w:rsidP="000D7F45">
      <w:pPr>
        <w:ind w:left="-58"/>
        <w:contextualSpacing/>
        <w:jc w:val="both"/>
        <w:rPr>
          <w:rFonts w:ascii="David" w:eastAsia="Calibri" w:hAnsi="David"/>
          <w:b/>
          <w:bCs/>
          <w:noProof w:val="0"/>
          <w:rtl/>
        </w:rPr>
      </w:pPr>
    </w:p>
    <w:p w:rsidR="001741B5" w:rsidRPr="00000900" w:rsidRDefault="001741B5" w:rsidP="000D7F45">
      <w:pPr>
        <w:numPr>
          <w:ilvl w:val="0"/>
          <w:numId w:val="3"/>
        </w:numPr>
        <w:spacing w:after="160"/>
        <w:ind w:left="-58" w:hanging="567"/>
        <w:contextualSpacing/>
        <w:jc w:val="both"/>
        <w:rPr>
          <w:rFonts w:ascii="David" w:eastAsia="Calibri" w:hAnsi="David"/>
          <w:b/>
          <w:bCs/>
          <w:noProof w:val="0"/>
        </w:rPr>
      </w:pPr>
      <w:r w:rsidRPr="00000900">
        <w:rPr>
          <w:rFonts w:ascii="David" w:eastAsia="Calibri" w:hAnsi="David"/>
          <w:noProof w:val="0"/>
          <w:rtl/>
        </w:rPr>
        <w:t xml:space="preserve">במסגרת סיכומיו, הפנה הנתבע למספר פסקי דין בכדי לתמוך בטענותיו. עיון בפסקי הדין מעלה כי מדובר בנסיבות שונות מענייננו, כפי שיפורט להלן. </w:t>
      </w:r>
    </w:p>
    <w:p w:rsidR="009815CE" w:rsidRPr="009815CE" w:rsidRDefault="009815CE" w:rsidP="000D7F45">
      <w:pPr>
        <w:spacing w:after="160"/>
        <w:ind w:left="-58"/>
        <w:contextualSpacing/>
        <w:jc w:val="both"/>
        <w:rPr>
          <w:rFonts w:ascii="David" w:eastAsia="Calibri" w:hAnsi="David"/>
          <w:b/>
          <w:bCs/>
          <w:noProof w:val="0"/>
        </w:rPr>
      </w:pPr>
    </w:p>
    <w:p w:rsidR="001741B5" w:rsidRPr="00000900" w:rsidRDefault="001741B5" w:rsidP="000D7F45">
      <w:pPr>
        <w:numPr>
          <w:ilvl w:val="0"/>
          <w:numId w:val="3"/>
        </w:numPr>
        <w:spacing w:after="160"/>
        <w:ind w:left="-58" w:hanging="567"/>
        <w:contextualSpacing/>
        <w:jc w:val="both"/>
        <w:rPr>
          <w:rFonts w:ascii="David" w:eastAsia="Calibri" w:hAnsi="David"/>
          <w:b/>
          <w:bCs/>
          <w:noProof w:val="0"/>
        </w:rPr>
      </w:pPr>
      <w:r w:rsidRPr="00000900">
        <w:rPr>
          <w:rFonts w:ascii="David" w:eastAsia="Calibri" w:hAnsi="David"/>
          <w:noProof w:val="0"/>
          <w:color w:val="000000"/>
          <w:rtl/>
        </w:rPr>
        <w:t xml:space="preserve">תמ"ש (משפחה תל אביב-יפו) 50215-04-17 </w:t>
      </w:r>
      <w:r w:rsidRPr="00000900">
        <w:rPr>
          <w:rFonts w:ascii="David" w:eastAsia="Calibri" w:hAnsi="David"/>
          <w:b/>
          <w:bCs/>
          <w:noProof w:val="0"/>
          <w:color w:val="000000"/>
          <w:rtl/>
        </w:rPr>
        <w:t>ר' ב' ר' נ' י' ר'</w:t>
      </w:r>
      <w:r w:rsidRPr="00000900">
        <w:rPr>
          <w:rFonts w:ascii="David" w:eastAsia="Calibri" w:hAnsi="David"/>
          <w:noProof w:val="0"/>
          <w:color w:val="000000"/>
          <w:rtl/>
        </w:rPr>
        <w:t xml:space="preserve"> (נבו 19.9.2019) : </w:t>
      </w:r>
    </w:p>
    <w:p w:rsidR="001741B5" w:rsidRDefault="001741B5" w:rsidP="000D7F45">
      <w:pPr>
        <w:ind w:left="-58"/>
        <w:contextualSpacing/>
        <w:jc w:val="both"/>
        <w:rPr>
          <w:rFonts w:ascii="David" w:eastAsia="Calibri" w:hAnsi="David"/>
          <w:b/>
          <w:bCs/>
          <w:noProof w:val="0"/>
          <w:rtl/>
        </w:rPr>
      </w:pPr>
      <w:r w:rsidRPr="00000900">
        <w:rPr>
          <w:rFonts w:ascii="David" w:eastAsia="Calibri" w:hAnsi="David"/>
          <w:noProof w:val="0"/>
          <w:color w:val="000000"/>
          <w:rtl/>
        </w:rPr>
        <w:t>בפסק הדין דובר על "צוואה משותפת" של בני זוג (המנוחה והנתבע</w:t>
      </w:r>
      <w:r w:rsidR="009815CE">
        <w:rPr>
          <w:rFonts w:ascii="David" w:eastAsia="Calibri" w:hAnsi="David" w:hint="cs"/>
          <w:noProof w:val="0"/>
          <w:color w:val="000000"/>
          <w:rtl/>
        </w:rPr>
        <w:t xml:space="preserve"> שם</w:t>
      </w:r>
      <w:r w:rsidRPr="00000900">
        <w:rPr>
          <w:rFonts w:ascii="David" w:eastAsia="Calibri" w:hAnsi="David"/>
          <w:noProof w:val="0"/>
          <w:color w:val="000000"/>
          <w:rtl/>
        </w:rPr>
        <w:t>)</w:t>
      </w:r>
      <w:r w:rsidR="009815CE">
        <w:rPr>
          <w:rFonts w:ascii="David" w:eastAsia="Calibri" w:hAnsi="David" w:hint="cs"/>
          <w:noProof w:val="0"/>
          <w:color w:val="000000"/>
          <w:rtl/>
        </w:rPr>
        <w:t>,</w:t>
      </w:r>
      <w:r w:rsidRPr="00000900">
        <w:rPr>
          <w:rFonts w:ascii="David" w:eastAsia="Calibri" w:hAnsi="David"/>
          <w:noProof w:val="0"/>
          <w:color w:val="000000"/>
          <w:rtl/>
        </w:rPr>
        <w:t xml:space="preserve"> הכוללת הוראות "יורש אחר יורש" וכן תנאים ותניות ליורש הראשון (הנתבע). </w:t>
      </w:r>
    </w:p>
    <w:p w:rsidR="009815CE" w:rsidRPr="00000900" w:rsidRDefault="009815CE" w:rsidP="000D7F45">
      <w:pPr>
        <w:ind w:left="-58"/>
        <w:contextualSpacing/>
        <w:jc w:val="both"/>
        <w:rPr>
          <w:rFonts w:ascii="David" w:eastAsia="Calibri" w:hAnsi="David"/>
          <w:b/>
          <w:bCs/>
          <w:noProof w:val="0"/>
        </w:rPr>
      </w:pPr>
    </w:p>
    <w:p w:rsidR="001741B5" w:rsidRPr="00000900" w:rsidRDefault="001741B5" w:rsidP="000D7F45">
      <w:pPr>
        <w:jc w:val="both"/>
        <w:rPr>
          <w:rFonts w:ascii="David" w:eastAsia="Calibri" w:hAnsi="David"/>
          <w:noProof w:val="0"/>
          <w:color w:val="000000"/>
          <w:rtl/>
        </w:rPr>
      </w:pPr>
      <w:r w:rsidRPr="00000900">
        <w:rPr>
          <w:rFonts w:ascii="David" w:eastAsia="Calibri" w:hAnsi="David"/>
          <w:noProof w:val="0"/>
          <w:color w:val="000000"/>
          <w:rtl/>
        </w:rPr>
        <w:t>היורשת השנייה (התובעת) עתרה לקבלת צו מניעה קבוע, האוסר על הנתבע לבצע כל פעולה אשר פוגעת בזכויותיה העתידיות שלה, בנכסים אשר הוקנו לה בצוואת המנוחה לאחר אחר</w:t>
      </w:r>
      <w:r w:rsidR="00CA7BC4" w:rsidRPr="00000900">
        <w:rPr>
          <w:rFonts w:ascii="David" w:eastAsia="Calibri" w:hAnsi="David"/>
          <w:noProof w:val="0"/>
          <w:color w:val="000000"/>
          <w:rtl/>
        </w:rPr>
        <w:t>ית ימיהם ושנותיהם של המנוחה והנת</w:t>
      </w:r>
      <w:r w:rsidRPr="00000900">
        <w:rPr>
          <w:rFonts w:ascii="David" w:eastAsia="Calibri" w:hAnsi="David"/>
          <w:noProof w:val="0"/>
          <w:color w:val="000000"/>
          <w:rtl/>
        </w:rPr>
        <w:t xml:space="preserve">בע. </w:t>
      </w:r>
    </w:p>
    <w:p w:rsidR="009815CE" w:rsidRDefault="009815CE" w:rsidP="000D7F45">
      <w:pPr>
        <w:jc w:val="both"/>
        <w:rPr>
          <w:rFonts w:ascii="David" w:eastAsia="Calibri" w:hAnsi="David"/>
          <w:noProof w:val="0"/>
          <w:color w:val="000000"/>
          <w:rtl/>
        </w:rPr>
      </w:pPr>
    </w:p>
    <w:p w:rsidR="001741B5" w:rsidRPr="00000900" w:rsidRDefault="001741B5" w:rsidP="000D7F45">
      <w:pPr>
        <w:jc w:val="both"/>
        <w:rPr>
          <w:rFonts w:ascii="David" w:eastAsia="Calibri" w:hAnsi="David"/>
          <w:noProof w:val="0"/>
          <w:color w:val="000000"/>
          <w:rtl/>
        </w:rPr>
      </w:pPr>
      <w:r w:rsidRPr="00000900">
        <w:rPr>
          <w:rFonts w:ascii="David" w:eastAsia="Calibri" w:hAnsi="David"/>
          <w:noProof w:val="0"/>
          <w:color w:val="000000"/>
          <w:rtl/>
        </w:rPr>
        <w:t xml:space="preserve">בפסק הדין נקבע כי, קיימת הסתמכות של בני הזוג האחד על השנייה בעריכת הצוואה: </w:t>
      </w:r>
    </w:p>
    <w:p w:rsidR="009815CE" w:rsidRDefault="009815CE" w:rsidP="000D7F45">
      <w:pPr>
        <w:ind w:left="862" w:right="862"/>
        <w:jc w:val="both"/>
        <w:rPr>
          <w:rFonts w:ascii="David" w:eastAsia="Calibri" w:hAnsi="David"/>
          <w:b/>
          <w:bCs/>
          <w:i/>
          <w:iCs/>
          <w:noProof w:val="0"/>
          <w:color w:val="404040"/>
          <w:rtl/>
        </w:rPr>
      </w:pPr>
    </w:p>
    <w:p w:rsidR="001741B5" w:rsidRPr="00000900" w:rsidRDefault="001741B5" w:rsidP="000D7F45">
      <w:pPr>
        <w:ind w:left="862" w:right="862"/>
        <w:jc w:val="both"/>
        <w:rPr>
          <w:rFonts w:ascii="David" w:eastAsia="Calibri" w:hAnsi="David"/>
          <w:noProof w:val="0"/>
          <w:color w:val="404040"/>
          <w:rtl/>
        </w:rPr>
      </w:pPr>
      <w:r w:rsidRPr="00000900">
        <w:rPr>
          <w:rFonts w:ascii="David" w:eastAsia="Calibri" w:hAnsi="David"/>
          <w:b/>
          <w:bCs/>
          <w:i/>
          <w:iCs/>
          <w:noProof w:val="0"/>
          <w:color w:val="404040"/>
          <w:rtl/>
        </w:rPr>
        <w:t xml:space="preserve">"34. </w:t>
      </w:r>
      <w:r w:rsidRPr="00000900">
        <w:rPr>
          <w:rFonts w:ascii="David" w:eastAsia="Calibri" w:hAnsi="David"/>
          <w:b/>
          <w:bCs/>
          <w:i/>
          <w:iCs/>
          <w:noProof w:val="0"/>
          <w:color w:val="404040"/>
          <w:u w:val="single"/>
          <w:rtl/>
        </w:rPr>
        <w:t>עסקינן בצוואה משותפת למנוחה ולנתבע</w:t>
      </w:r>
      <w:r w:rsidRPr="00000900">
        <w:rPr>
          <w:rFonts w:ascii="David" w:eastAsia="Calibri" w:hAnsi="David"/>
          <w:b/>
          <w:bCs/>
          <w:i/>
          <w:iCs/>
          <w:noProof w:val="0"/>
          <w:color w:val="404040"/>
          <w:rtl/>
        </w:rPr>
        <w:t>.</w:t>
      </w:r>
      <w:r w:rsidRPr="00000900">
        <w:rPr>
          <w:rFonts w:ascii="David" w:eastAsia="Calibri" w:hAnsi="David"/>
          <w:b/>
          <w:bCs/>
          <w:i/>
          <w:iCs/>
          <w:noProof w:val="0"/>
          <w:color w:val="404040"/>
          <w:u w:val="single"/>
          <w:rtl/>
        </w:rPr>
        <w:t xml:space="preserve"> כך עולה במפורש מסעיף 9.6 לצוואה בו נרשם "התנאי כאמור נקבע על ידי בהסתמך על צוואתו של י' הנחתמת במקביל.." וסעיף 9.7 לצוואה בו נרשם "הכוונה המשותפת של י' ושלי היא ..." וכן מדברי הנתבע עצמו "החלטנו ביחד וכתבנו ביחד" (עמ' 107, ש' 18), כך שקיימת הסתמכות של המנוחה על הוראות צוואת המנוח</w:t>
      </w:r>
      <w:r w:rsidRPr="00000900">
        <w:rPr>
          <w:rFonts w:ascii="David" w:eastAsia="Calibri" w:hAnsi="David"/>
          <w:b/>
          <w:bCs/>
          <w:i/>
          <w:iCs/>
          <w:noProof w:val="0"/>
          <w:color w:val="404040"/>
          <w:rtl/>
        </w:rPr>
        <w:t>. עוד עולה כי המנוחה ביקשה בצוואתה ליצור הסדר של "יורש אחר יורש" כמשמעו בסעיף 42 לחוק הירושה, התשכ"ה – 1965 על פיו בשלב הראשון הנתבע זוכה בכלל עיזבונה ובשלב השני (לאחר פטירת הנתבע יבדל"א) זוכים במה שיוותר שלושת הילדים. עם זאת, אין המדובר בהסדר פשוט ושגור של "יורש אחר יורש" אלא הסדר מפורט ומחושב במסגרתו קבעה המנוחה תנאים ותניות אשר מבטאים את רצונה ואומד דעתה של המנוחה על פי צוואתה"</w:t>
      </w:r>
      <w:r w:rsidRPr="00000900">
        <w:rPr>
          <w:rFonts w:ascii="David" w:eastAsia="Calibri" w:hAnsi="David"/>
          <w:noProof w:val="0"/>
          <w:color w:val="404040"/>
          <w:rtl/>
        </w:rPr>
        <w:t xml:space="preserve"> (ההדגשה אינה במקור ר.ל.א). </w:t>
      </w:r>
    </w:p>
    <w:p w:rsidR="001741B5" w:rsidRPr="00000900" w:rsidRDefault="001741B5" w:rsidP="000D7F45">
      <w:pPr>
        <w:jc w:val="both"/>
        <w:rPr>
          <w:rFonts w:ascii="David" w:eastAsia="Calibri" w:hAnsi="David"/>
          <w:noProof w:val="0"/>
          <w:rtl/>
        </w:rPr>
      </w:pPr>
    </w:p>
    <w:p w:rsidR="001741B5" w:rsidRPr="00000900" w:rsidRDefault="001741B5" w:rsidP="000D7F45">
      <w:pPr>
        <w:ind w:left="864" w:right="864"/>
        <w:jc w:val="both"/>
        <w:rPr>
          <w:rFonts w:ascii="David" w:eastAsia="Calibri" w:hAnsi="David"/>
          <w:noProof w:val="0"/>
          <w:color w:val="404040"/>
          <w:rtl/>
        </w:rPr>
      </w:pPr>
      <w:r w:rsidRPr="00000900">
        <w:rPr>
          <w:rFonts w:ascii="David" w:eastAsia="Calibri" w:hAnsi="David"/>
          <w:b/>
          <w:bCs/>
          <w:i/>
          <w:iCs/>
          <w:noProof w:val="0"/>
          <w:color w:val="404040"/>
        </w:rPr>
        <w:t>68" </w:t>
      </w:r>
      <w:r w:rsidRPr="00000900">
        <w:rPr>
          <w:rFonts w:ascii="David" w:eastAsia="Calibri" w:hAnsi="David"/>
          <w:b/>
          <w:bCs/>
          <w:i/>
          <w:iCs/>
          <w:noProof w:val="0"/>
          <w:color w:val="404040"/>
          <w:rtl/>
        </w:rPr>
        <w:t xml:space="preserve">. לסיכום, עולה בבירור כי ההחלטה על מכירת בית המגורים בשילוב ההחלטה להעברת הדירה בפ' ח' במתנה לא' נועדו על מנת לסכל את זכויותיה העתידיות של התובעת על פי צוואת המנוחה. לא זו בלבד ששני הנכסים שהתובעת היתה עתידה לקבל על פי צוואת המנוחה נגרעו ממנה, הרי שנכס אחד, היא הדירה ברח' פ' ח', הועבר ללא כל סיבה ממשית לידי א' ובניגוד לכל היגיון סביר. </w:t>
      </w:r>
      <w:r w:rsidRPr="00000900">
        <w:rPr>
          <w:rFonts w:ascii="David" w:eastAsia="Calibri" w:hAnsi="David"/>
          <w:b/>
          <w:bCs/>
          <w:i/>
          <w:iCs/>
          <w:noProof w:val="0"/>
          <w:color w:val="404040"/>
          <w:u w:val="single"/>
          <w:rtl/>
        </w:rPr>
        <w:t>חובת תום הלב מתעצמת על אחת כמה וכמה בענייננו משמדובר בצוואות משותפות למנוחה ולנתבע ומשהנתבע עצמו הצהיר כי כל פעולה למכירת אחד מהנכסים עשויה לפגוע בזכותו של אותו ילד לקבל נכס זה וכן משום הסתמכות המנוחה על צוואת הנתבע בעניינים אלו</w:t>
      </w:r>
      <w:r w:rsidRPr="00000900">
        <w:rPr>
          <w:rFonts w:ascii="David" w:eastAsia="Calibri" w:hAnsi="David"/>
          <w:b/>
          <w:bCs/>
          <w:i/>
          <w:iCs/>
          <w:noProof w:val="0"/>
          <w:color w:val="404040"/>
          <w:u w:val="single"/>
        </w:rPr>
        <w:t>.</w:t>
      </w:r>
      <w:r w:rsidRPr="00000900">
        <w:rPr>
          <w:rFonts w:ascii="David" w:eastAsia="Calibri" w:hAnsi="David"/>
          <w:b/>
          <w:bCs/>
          <w:i/>
          <w:iCs/>
          <w:noProof w:val="0"/>
          <w:color w:val="404040"/>
          <w:u w:val="single"/>
          <w:rtl/>
        </w:rPr>
        <w:t>"</w:t>
      </w:r>
      <w:r w:rsidRPr="00000900">
        <w:rPr>
          <w:rFonts w:ascii="David" w:eastAsia="Calibri" w:hAnsi="David"/>
          <w:b/>
          <w:bCs/>
          <w:i/>
          <w:iCs/>
          <w:noProof w:val="0"/>
          <w:color w:val="404040"/>
          <w:rtl/>
        </w:rPr>
        <w:t xml:space="preserve"> </w:t>
      </w:r>
      <w:r w:rsidRPr="00000900">
        <w:rPr>
          <w:rFonts w:ascii="David" w:eastAsia="Calibri" w:hAnsi="David"/>
          <w:noProof w:val="0"/>
          <w:color w:val="404040"/>
          <w:rtl/>
        </w:rPr>
        <w:t xml:space="preserve">(ההדגשה אינה במקור ר.ל.א). </w:t>
      </w:r>
    </w:p>
    <w:p w:rsidR="001741B5" w:rsidRPr="00000900" w:rsidRDefault="001741B5" w:rsidP="000D7F45">
      <w:pPr>
        <w:jc w:val="both"/>
        <w:rPr>
          <w:rFonts w:ascii="David" w:eastAsia="Calibri" w:hAnsi="David"/>
          <w:noProof w:val="0"/>
          <w:rtl/>
        </w:rPr>
      </w:pPr>
    </w:p>
    <w:p w:rsidR="001741B5" w:rsidRPr="00000900" w:rsidRDefault="001741B5" w:rsidP="000D7F45">
      <w:pPr>
        <w:numPr>
          <w:ilvl w:val="0"/>
          <w:numId w:val="3"/>
        </w:numPr>
        <w:spacing w:after="160"/>
        <w:ind w:left="-58" w:hanging="567"/>
        <w:contextualSpacing/>
        <w:jc w:val="both"/>
        <w:rPr>
          <w:rFonts w:ascii="David" w:eastAsia="Calibri" w:hAnsi="David"/>
          <w:noProof w:val="0"/>
          <w:rtl/>
        </w:rPr>
      </w:pPr>
      <w:r w:rsidRPr="00000900">
        <w:rPr>
          <w:rFonts w:ascii="David" w:eastAsia="Calibri" w:hAnsi="David"/>
          <w:noProof w:val="0"/>
          <w:rtl/>
        </w:rPr>
        <w:t xml:space="preserve">לא מצאתי כי ניתן להקיש מפסק הדין הנ"ל לענייננו. עולה כי, פסק הדין קבע </w:t>
      </w:r>
      <w:r w:rsidR="009815CE">
        <w:rPr>
          <w:rFonts w:ascii="David" w:eastAsia="Calibri" w:hAnsi="David" w:hint="cs"/>
          <w:noProof w:val="0"/>
          <w:rtl/>
        </w:rPr>
        <w:t>ש</w:t>
      </w:r>
      <w:r w:rsidRPr="00000900">
        <w:rPr>
          <w:rFonts w:ascii="David" w:eastAsia="Calibri" w:hAnsi="David"/>
          <w:noProof w:val="0"/>
          <w:rtl/>
        </w:rPr>
        <w:t>מדובר "בצוואה משותפת" וניתן משקל רב להסתמכות של המנוחה על הנתבע ביחס להוראות הצוואה שערכו. בענייננו, מדובר בצוואה נפרדת ועצמאית של המנוחה, ולא בצוואה משותפת או הדדית (כפי שקבעתי לעיל) וכך יש לקרוא ולפרש אותה.</w:t>
      </w:r>
      <w:r w:rsidR="009815CE">
        <w:rPr>
          <w:rFonts w:ascii="David" w:eastAsia="Calibri" w:hAnsi="David" w:hint="cs"/>
          <w:noProof w:val="0"/>
          <w:rtl/>
        </w:rPr>
        <w:t xml:space="preserve"> </w:t>
      </w:r>
      <w:r w:rsidRPr="00000900">
        <w:rPr>
          <w:rFonts w:ascii="David" w:eastAsia="Calibri" w:hAnsi="David"/>
          <w:noProof w:val="0"/>
          <w:rtl/>
        </w:rPr>
        <w:t xml:space="preserve">על כן, איני נדרשת לשאלת "ההסתמכות" או הסתמכות כלשהי של המנוחה על התובע בעריכת צוואתה.   </w:t>
      </w:r>
    </w:p>
    <w:p w:rsidR="001741B5" w:rsidRPr="00000900" w:rsidRDefault="001741B5" w:rsidP="000D7F45">
      <w:pPr>
        <w:jc w:val="both"/>
        <w:rPr>
          <w:rFonts w:ascii="David" w:eastAsia="Calibri" w:hAnsi="David"/>
          <w:noProof w:val="0"/>
          <w:color w:val="000000"/>
          <w:rtl/>
        </w:rPr>
      </w:pPr>
    </w:p>
    <w:p w:rsidR="009815CE" w:rsidRDefault="001741B5" w:rsidP="000D7F45">
      <w:pPr>
        <w:numPr>
          <w:ilvl w:val="0"/>
          <w:numId w:val="3"/>
        </w:numPr>
        <w:spacing w:after="160"/>
        <w:ind w:left="-58" w:hanging="567"/>
        <w:contextualSpacing/>
        <w:jc w:val="both"/>
        <w:rPr>
          <w:rFonts w:ascii="David" w:eastAsia="Calibri" w:hAnsi="David"/>
          <w:noProof w:val="0"/>
          <w:u w:val="single"/>
        </w:rPr>
      </w:pPr>
      <w:r w:rsidRPr="00000900">
        <w:rPr>
          <w:rFonts w:ascii="David" w:eastAsia="Calibri" w:hAnsi="David"/>
          <w:noProof w:val="0"/>
          <w:u w:val="single"/>
          <w:rtl/>
        </w:rPr>
        <w:lastRenderedPageBreak/>
        <w:t xml:space="preserve">תמ"ש (משפחה אשדוד) 8970-09-20 </w:t>
      </w:r>
      <w:r w:rsidRPr="00000900">
        <w:rPr>
          <w:rFonts w:ascii="David" w:eastAsia="Calibri" w:hAnsi="David"/>
          <w:b/>
          <w:bCs/>
          <w:noProof w:val="0"/>
          <w:u w:val="single"/>
          <w:rtl/>
        </w:rPr>
        <w:t>א.מ נ' א. ב</w:t>
      </w:r>
      <w:r w:rsidRPr="00000900">
        <w:rPr>
          <w:rFonts w:ascii="David" w:eastAsia="Calibri" w:hAnsi="David"/>
          <w:noProof w:val="0"/>
          <w:u w:val="single"/>
          <w:rtl/>
        </w:rPr>
        <w:t xml:space="preserve"> (נבו 9.6.2022) :</w:t>
      </w:r>
    </w:p>
    <w:p w:rsidR="009815CE" w:rsidRDefault="009815CE" w:rsidP="000D7F45">
      <w:pPr>
        <w:pStyle w:val="ad"/>
        <w:rPr>
          <w:rFonts w:ascii="David" w:eastAsia="Calibri" w:hAnsi="David"/>
          <w:noProof w:val="0"/>
          <w:rtl/>
        </w:rPr>
      </w:pPr>
    </w:p>
    <w:p w:rsidR="001741B5" w:rsidRPr="009815CE" w:rsidRDefault="001741B5" w:rsidP="000D7F45">
      <w:pPr>
        <w:numPr>
          <w:ilvl w:val="0"/>
          <w:numId w:val="3"/>
        </w:numPr>
        <w:spacing w:after="160"/>
        <w:ind w:left="-58" w:hanging="567"/>
        <w:contextualSpacing/>
        <w:jc w:val="both"/>
        <w:rPr>
          <w:rFonts w:ascii="David" w:eastAsia="Calibri" w:hAnsi="David"/>
          <w:noProof w:val="0"/>
          <w:u w:val="single"/>
          <w:rtl/>
        </w:rPr>
      </w:pPr>
      <w:r w:rsidRPr="009815CE">
        <w:rPr>
          <w:rFonts w:ascii="David" w:eastAsia="Calibri" w:hAnsi="David"/>
          <w:noProof w:val="0"/>
          <w:rtl/>
        </w:rPr>
        <w:t xml:space="preserve">בפסק הדין דובר על יורשות אשר ירשו את </w:t>
      </w:r>
      <w:r w:rsidRPr="009815CE">
        <w:rPr>
          <w:rFonts w:ascii="David" w:eastAsia="Calibri" w:hAnsi="David"/>
          <w:noProof w:val="0"/>
          <w:u w:val="single"/>
          <w:rtl/>
        </w:rPr>
        <w:t>כלל</w:t>
      </w:r>
      <w:r w:rsidRPr="009815CE">
        <w:rPr>
          <w:rFonts w:ascii="David" w:eastAsia="Calibri" w:hAnsi="David"/>
          <w:noProof w:val="0"/>
          <w:rtl/>
        </w:rPr>
        <w:t xml:space="preserve"> זכויותיהן בנכס מקרקעין מכוח הצוואה (ר' ס' 2 לפסק הדין). זאת בשונה מענייננו, בו התובע הוא בעלים של מחצית הזכויות בנכס ללא קשר לזכויות שירש בנכס מכוח צוואת המנוחה. על כן, לא ניתן להקיש מפסק דין זה לענייננו אנו. </w:t>
      </w:r>
    </w:p>
    <w:p w:rsidR="001741B5" w:rsidRPr="00000900" w:rsidRDefault="001741B5" w:rsidP="000D7F45">
      <w:pPr>
        <w:jc w:val="both"/>
        <w:rPr>
          <w:rFonts w:ascii="David" w:eastAsia="Calibri" w:hAnsi="David"/>
          <w:noProof w:val="0"/>
          <w:rtl/>
        </w:rPr>
      </w:pPr>
    </w:p>
    <w:p w:rsidR="001741B5" w:rsidRPr="00000900" w:rsidRDefault="001741B5" w:rsidP="000D7F45">
      <w:pPr>
        <w:ind w:left="-58"/>
        <w:contextualSpacing/>
        <w:jc w:val="both"/>
        <w:rPr>
          <w:rFonts w:ascii="David" w:eastAsia="Calibri" w:hAnsi="David"/>
          <w:b/>
          <w:bCs/>
          <w:noProof w:val="0"/>
          <w:u w:val="single"/>
          <w:rtl/>
        </w:rPr>
      </w:pPr>
      <w:r w:rsidRPr="00000900">
        <w:rPr>
          <w:rFonts w:ascii="David" w:eastAsia="Calibri" w:hAnsi="David"/>
          <w:b/>
          <w:bCs/>
          <w:noProof w:val="0"/>
          <w:u w:val="single"/>
          <w:rtl/>
        </w:rPr>
        <w:t>הגשמת רצון המנוחה לאור אי תוקפו של סעיף 10 לצוואה</w:t>
      </w:r>
    </w:p>
    <w:p w:rsidR="009815CE" w:rsidRDefault="009815CE" w:rsidP="000D7F45">
      <w:pPr>
        <w:spacing w:after="160"/>
        <w:ind w:left="-58"/>
        <w:contextualSpacing/>
        <w:jc w:val="both"/>
        <w:rPr>
          <w:rFonts w:ascii="David" w:eastAsia="Calibri" w:hAnsi="David"/>
          <w:noProof w:val="0"/>
        </w:rPr>
      </w:pPr>
    </w:p>
    <w:p w:rsidR="001741B5" w:rsidRPr="00000900"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בבסיס התובענה שלפני, עומד רצונו של התובע למכור את הנכס</w:t>
      </w:r>
      <w:r w:rsidR="009815CE">
        <w:rPr>
          <w:rFonts w:ascii="David" w:eastAsia="Calibri" w:hAnsi="David" w:hint="cs"/>
          <w:noProof w:val="0"/>
          <w:rtl/>
        </w:rPr>
        <w:t xml:space="preserve">. </w:t>
      </w:r>
    </w:p>
    <w:p w:rsidR="009815CE" w:rsidRDefault="009815CE" w:rsidP="000D7F45">
      <w:pPr>
        <w:spacing w:after="160"/>
        <w:ind w:left="-58"/>
        <w:contextualSpacing/>
        <w:jc w:val="both"/>
        <w:rPr>
          <w:rFonts w:ascii="David" w:eastAsia="Calibri" w:hAnsi="David"/>
          <w:noProof w:val="0"/>
        </w:rPr>
      </w:pPr>
    </w:p>
    <w:p w:rsidR="001741B5" w:rsidRPr="00000900"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לאור הקביעות שלעיל, עולה כי החיוב שקבעה המנוחה למתן זכות מגורים לנתבע עד פטירת שני בני הזוג, אינה יכולה לעמוד. </w:t>
      </w:r>
    </w:p>
    <w:p w:rsidR="009815CE" w:rsidRPr="009815CE" w:rsidRDefault="009815CE" w:rsidP="000D7F45">
      <w:pPr>
        <w:spacing w:after="160"/>
        <w:ind w:left="-58"/>
        <w:contextualSpacing/>
        <w:jc w:val="both"/>
        <w:rPr>
          <w:rFonts w:ascii="David" w:eastAsia="Calibri" w:hAnsi="David"/>
          <w:b/>
          <w:bCs/>
          <w:noProof w:val="0"/>
          <w:u w:val="single"/>
        </w:rPr>
      </w:pPr>
    </w:p>
    <w:p w:rsidR="001741B5" w:rsidRPr="00000900" w:rsidRDefault="001741B5" w:rsidP="000D7F45">
      <w:pPr>
        <w:numPr>
          <w:ilvl w:val="0"/>
          <w:numId w:val="3"/>
        </w:numPr>
        <w:spacing w:after="160"/>
        <w:ind w:left="-58" w:hanging="567"/>
        <w:contextualSpacing/>
        <w:jc w:val="both"/>
        <w:rPr>
          <w:rFonts w:ascii="David" w:eastAsia="Calibri" w:hAnsi="David"/>
          <w:b/>
          <w:bCs/>
          <w:noProof w:val="0"/>
          <w:u w:val="single"/>
        </w:rPr>
      </w:pPr>
      <w:r w:rsidRPr="00000900">
        <w:rPr>
          <w:rFonts w:ascii="David" w:eastAsia="Calibri" w:hAnsi="David"/>
          <w:noProof w:val="0"/>
          <w:rtl/>
        </w:rPr>
        <w:t xml:space="preserve">כעת, יש לבחון האם וכיצד ניתן להגשים את רצון המנוחה לאור אי תוקפו של סעיף 10 לצוואה, זאת לאור עקרון העל בדיני הירושה בדבר המצווה לקיים את רצון המת (ר' המפורט לעיל בעניין). </w:t>
      </w:r>
    </w:p>
    <w:p w:rsidR="001741B5" w:rsidRPr="00000900" w:rsidRDefault="001741B5" w:rsidP="000D7F45">
      <w:pPr>
        <w:ind w:left="-58"/>
        <w:contextualSpacing/>
        <w:jc w:val="both"/>
        <w:rPr>
          <w:rFonts w:ascii="David" w:eastAsia="Calibri" w:hAnsi="David"/>
          <w:noProof w:val="0"/>
        </w:rPr>
      </w:pPr>
    </w:p>
    <w:p w:rsidR="001741B5" w:rsidRPr="009815CE" w:rsidRDefault="001741B5" w:rsidP="000D7F45">
      <w:pPr>
        <w:pStyle w:val="ad"/>
        <w:numPr>
          <w:ilvl w:val="0"/>
          <w:numId w:val="5"/>
        </w:numPr>
        <w:jc w:val="both"/>
        <w:rPr>
          <w:rFonts w:ascii="David" w:eastAsia="Calibri" w:hAnsi="David"/>
          <w:b/>
          <w:bCs/>
          <w:noProof w:val="0"/>
          <w:u w:val="single"/>
          <w:rtl/>
        </w:rPr>
      </w:pPr>
      <w:r w:rsidRPr="009815CE">
        <w:rPr>
          <w:rFonts w:ascii="David" w:eastAsia="Calibri" w:hAnsi="David"/>
          <w:noProof w:val="0"/>
          <w:u w:val="single"/>
          <w:rtl/>
        </w:rPr>
        <w:t>רצון המנוחה כעולה מן הצוואה</w:t>
      </w:r>
      <w:r w:rsidRPr="009815CE">
        <w:rPr>
          <w:rFonts w:ascii="David" w:eastAsia="Calibri" w:hAnsi="David"/>
          <w:noProof w:val="0"/>
          <w:rtl/>
        </w:rPr>
        <w:t xml:space="preserve"> </w:t>
      </w:r>
    </w:p>
    <w:p w:rsidR="009815CE" w:rsidRPr="009815CE" w:rsidRDefault="009815CE" w:rsidP="000D7F45">
      <w:pPr>
        <w:pStyle w:val="ad"/>
        <w:ind w:left="302"/>
        <w:jc w:val="both"/>
        <w:rPr>
          <w:rFonts w:ascii="David" w:eastAsia="Calibri" w:hAnsi="David"/>
          <w:b/>
          <w:bCs/>
          <w:noProof w:val="0"/>
          <w:u w:val="single"/>
          <w:rtl/>
        </w:rPr>
      </w:pPr>
    </w:p>
    <w:p w:rsidR="001741B5" w:rsidRPr="00000900" w:rsidRDefault="001741B5" w:rsidP="000D7F45">
      <w:pPr>
        <w:numPr>
          <w:ilvl w:val="0"/>
          <w:numId w:val="3"/>
        </w:numPr>
        <w:spacing w:after="160"/>
        <w:ind w:left="-58" w:hanging="567"/>
        <w:contextualSpacing/>
        <w:jc w:val="both"/>
        <w:rPr>
          <w:rFonts w:ascii="David" w:eastAsia="Calibri" w:hAnsi="David"/>
          <w:b/>
          <w:bCs/>
          <w:noProof w:val="0"/>
          <w:u w:val="single"/>
        </w:rPr>
      </w:pPr>
      <w:r w:rsidRPr="00000900">
        <w:rPr>
          <w:rFonts w:ascii="David" w:eastAsia="Calibri" w:hAnsi="David"/>
          <w:noProof w:val="0"/>
          <w:rtl/>
        </w:rPr>
        <w:t>כ</w:t>
      </w:r>
      <w:r w:rsidR="00316972">
        <w:rPr>
          <w:rFonts w:ascii="David" w:eastAsia="Calibri" w:hAnsi="David"/>
          <w:noProof w:val="0"/>
          <w:rtl/>
        </w:rPr>
        <w:t>אמור לעיל, קבעתי כי</w:t>
      </w:r>
      <w:r w:rsidRPr="00000900">
        <w:rPr>
          <w:rFonts w:ascii="David" w:eastAsia="Calibri" w:hAnsi="David"/>
          <w:noProof w:val="0"/>
          <w:rtl/>
        </w:rPr>
        <w:t xml:space="preserve"> רצונה של המנוחה היה לדאוג לקורת גג עבור הנתבע בשל מצבו.</w:t>
      </w:r>
      <w:r w:rsidR="00316972">
        <w:rPr>
          <w:rFonts w:ascii="David" w:eastAsia="Calibri" w:hAnsi="David" w:hint="cs"/>
          <w:noProof w:val="0"/>
          <w:rtl/>
        </w:rPr>
        <w:t xml:space="preserve"> המנוחה</w:t>
      </w:r>
      <w:r w:rsidRPr="00000900">
        <w:rPr>
          <w:rFonts w:ascii="David" w:eastAsia="Calibri" w:hAnsi="David"/>
          <w:noProof w:val="0"/>
          <w:rtl/>
        </w:rPr>
        <w:t xml:space="preserve"> הורתה להעניק לנתבע זכות מגורים בנכס עד ששה חודשים לאחר פטירת שני בני הזוג. </w:t>
      </w:r>
    </w:p>
    <w:p w:rsidR="009815CE" w:rsidRPr="009815CE" w:rsidRDefault="009815CE" w:rsidP="000D7F45">
      <w:pPr>
        <w:spacing w:after="160"/>
        <w:ind w:left="-58"/>
        <w:contextualSpacing/>
        <w:jc w:val="both"/>
        <w:rPr>
          <w:rFonts w:ascii="David" w:eastAsia="Calibri" w:hAnsi="David"/>
          <w:b/>
          <w:bCs/>
          <w:noProof w:val="0"/>
          <w:u w:val="single"/>
        </w:rPr>
      </w:pPr>
    </w:p>
    <w:p w:rsidR="001741B5" w:rsidRPr="00000900" w:rsidRDefault="001741B5" w:rsidP="000D7F45">
      <w:pPr>
        <w:numPr>
          <w:ilvl w:val="0"/>
          <w:numId w:val="3"/>
        </w:numPr>
        <w:spacing w:after="160"/>
        <w:ind w:left="-58" w:hanging="567"/>
        <w:contextualSpacing/>
        <w:jc w:val="both"/>
        <w:rPr>
          <w:rFonts w:ascii="David" w:eastAsia="Calibri" w:hAnsi="David"/>
          <w:b/>
          <w:bCs/>
          <w:noProof w:val="0"/>
          <w:u w:val="single"/>
        </w:rPr>
      </w:pPr>
      <w:r w:rsidRPr="00000900">
        <w:rPr>
          <w:rFonts w:ascii="David" w:eastAsia="Calibri" w:hAnsi="David"/>
          <w:noProof w:val="0"/>
          <w:rtl/>
        </w:rPr>
        <w:t xml:space="preserve">עם זאת, זכות המגורים שניתנה לנתבע אינה עד סוף הדורות אלא לתקופה קצרה לאחר פטירת שני הזוג. סעיף 10 לצוואה קובע כי, ששה חודשים לאחר פטירת שני בני הזוג, הנכס יפונה ויימכר. המנוחה לא הורתה דבר באשר לאופן חלוקת תמורת המכר שיתקבל עבור הנכס. </w:t>
      </w:r>
    </w:p>
    <w:p w:rsidR="009815CE" w:rsidRPr="009815CE" w:rsidRDefault="009815CE" w:rsidP="000D7F45">
      <w:pPr>
        <w:spacing w:after="160"/>
        <w:ind w:left="-58"/>
        <w:contextualSpacing/>
        <w:jc w:val="both"/>
        <w:rPr>
          <w:rFonts w:ascii="David" w:eastAsia="Calibri" w:hAnsi="David"/>
          <w:b/>
          <w:bCs/>
          <w:noProof w:val="0"/>
          <w:u w:val="single"/>
        </w:rPr>
      </w:pPr>
    </w:p>
    <w:p w:rsidR="001741B5" w:rsidRPr="00000900" w:rsidRDefault="001741B5" w:rsidP="000D7F45">
      <w:pPr>
        <w:numPr>
          <w:ilvl w:val="0"/>
          <w:numId w:val="3"/>
        </w:numPr>
        <w:spacing w:after="160"/>
        <w:ind w:left="-58" w:hanging="567"/>
        <w:contextualSpacing/>
        <w:jc w:val="both"/>
        <w:rPr>
          <w:rFonts w:ascii="David" w:eastAsia="Calibri" w:hAnsi="David"/>
          <w:b/>
          <w:bCs/>
          <w:noProof w:val="0"/>
          <w:u w:val="single"/>
        </w:rPr>
      </w:pPr>
      <w:r w:rsidRPr="00000900">
        <w:rPr>
          <w:rFonts w:ascii="David" w:eastAsia="Calibri" w:hAnsi="David"/>
          <w:noProof w:val="0"/>
          <w:rtl/>
        </w:rPr>
        <w:t>מכיוון שאין אדם יודע את יום פטירתו, המנוחה לא הייתה יכולה לדעת מתי ילכו היא והתובע לעולמם</w:t>
      </w:r>
      <w:r w:rsidR="00316972">
        <w:rPr>
          <w:rFonts w:ascii="David" w:eastAsia="Calibri" w:hAnsi="David" w:hint="cs"/>
          <w:noProof w:val="0"/>
          <w:rtl/>
        </w:rPr>
        <w:t>,</w:t>
      </w:r>
      <w:r w:rsidRPr="00000900">
        <w:rPr>
          <w:rFonts w:ascii="David" w:eastAsia="Calibri" w:hAnsi="David"/>
          <w:noProof w:val="0"/>
          <w:rtl/>
        </w:rPr>
        <w:t xml:space="preserve"> במוקדם או במאוחר. כמו כן, לא הורתה לנתבע דבר באופן ספציפי לגבי תמורת הנכס לאחר מכירתו. </w:t>
      </w:r>
    </w:p>
    <w:p w:rsidR="009815CE" w:rsidRPr="00316972" w:rsidRDefault="009815CE" w:rsidP="000D7F45">
      <w:pPr>
        <w:spacing w:after="160"/>
        <w:ind w:left="-58"/>
        <w:contextualSpacing/>
        <w:jc w:val="both"/>
        <w:rPr>
          <w:rFonts w:ascii="David" w:eastAsia="Calibri" w:hAnsi="David"/>
          <w:b/>
          <w:bCs/>
          <w:noProof w:val="0"/>
          <w:u w:val="single"/>
        </w:rPr>
      </w:pPr>
    </w:p>
    <w:p w:rsidR="001741B5" w:rsidRPr="00316972" w:rsidRDefault="001741B5" w:rsidP="000D7F45">
      <w:pPr>
        <w:numPr>
          <w:ilvl w:val="0"/>
          <w:numId w:val="3"/>
        </w:numPr>
        <w:spacing w:after="160"/>
        <w:ind w:left="-58" w:hanging="567"/>
        <w:contextualSpacing/>
        <w:jc w:val="both"/>
        <w:rPr>
          <w:rFonts w:ascii="David" w:eastAsia="Calibri" w:hAnsi="David"/>
          <w:b/>
          <w:bCs/>
          <w:noProof w:val="0"/>
          <w:u w:val="single"/>
        </w:rPr>
      </w:pPr>
      <w:r w:rsidRPr="00316972">
        <w:rPr>
          <w:rFonts w:ascii="David" w:eastAsia="Calibri" w:hAnsi="David"/>
          <w:b/>
          <w:bCs/>
          <w:noProof w:val="0"/>
          <w:rtl/>
        </w:rPr>
        <w:t xml:space="preserve">לאור האמור, רצונה של המנוחה כעולה מן הצוואה, הייתה להעניק לנתבע זכות מגורים בנכס. עם זאת, זכות המגורים אינה מוחלטת, אלא רק עד ששה חודשים לאחר פטירת שני בני הזוג, כאשר המנוחה לא יכלה לצפות מתי בני הזוג ייפטרו מן העולם. כמו כן, המנוחה לא ציוותה לנתבע כל חלק עודף בתמורה שתתקבל לאחר מכירת הנכס.  </w:t>
      </w:r>
    </w:p>
    <w:p w:rsidR="001741B5" w:rsidRPr="00000900" w:rsidRDefault="001741B5" w:rsidP="000D7F45">
      <w:pPr>
        <w:ind w:left="-58"/>
        <w:contextualSpacing/>
        <w:jc w:val="both"/>
        <w:rPr>
          <w:rFonts w:ascii="David" w:eastAsia="Calibri" w:hAnsi="David"/>
          <w:noProof w:val="0"/>
          <w:u w:val="single"/>
        </w:rPr>
      </w:pPr>
    </w:p>
    <w:p w:rsidR="001741B5" w:rsidRPr="00316972" w:rsidRDefault="001741B5" w:rsidP="000D7F45">
      <w:pPr>
        <w:pStyle w:val="ad"/>
        <w:numPr>
          <w:ilvl w:val="0"/>
          <w:numId w:val="5"/>
        </w:numPr>
        <w:jc w:val="both"/>
        <w:rPr>
          <w:rFonts w:ascii="David" w:eastAsia="Calibri" w:hAnsi="David"/>
          <w:noProof w:val="0"/>
          <w:u w:val="single"/>
          <w:rtl/>
        </w:rPr>
      </w:pPr>
      <w:r w:rsidRPr="00316972">
        <w:rPr>
          <w:rFonts w:ascii="David" w:eastAsia="Calibri" w:hAnsi="David"/>
          <w:noProof w:val="0"/>
          <w:u w:val="single"/>
          <w:rtl/>
        </w:rPr>
        <w:t xml:space="preserve">הגשמת רצון מצווה אשר אינה מעוגנת בצוואה </w:t>
      </w:r>
    </w:p>
    <w:p w:rsidR="00316972" w:rsidRPr="00316972" w:rsidRDefault="00316972" w:rsidP="000D7F45">
      <w:pPr>
        <w:pStyle w:val="ad"/>
        <w:ind w:left="302"/>
        <w:jc w:val="both"/>
        <w:rPr>
          <w:rFonts w:ascii="David" w:eastAsia="Calibri" w:hAnsi="David"/>
          <w:noProof w:val="0"/>
          <w:u w:val="single"/>
          <w:rtl/>
        </w:rPr>
      </w:pPr>
    </w:p>
    <w:p w:rsidR="001741B5" w:rsidRDefault="001741B5" w:rsidP="000D7F45">
      <w:pPr>
        <w:numPr>
          <w:ilvl w:val="0"/>
          <w:numId w:val="3"/>
        </w:numPr>
        <w:spacing w:after="160"/>
        <w:ind w:left="-58" w:hanging="567"/>
        <w:contextualSpacing/>
        <w:jc w:val="both"/>
        <w:rPr>
          <w:rFonts w:ascii="David" w:eastAsia="Calibri" w:hAnsi="David"/>
          <w:b/>
          <w:bCs/>
          <w:noProof w:val="0"/>
          <w:u w:val="single"/>
        </w:rPr>
      </w:pPr>
      <w:r w:rsidRPr="00000900">
        <w:rPr>
          <w:rFonts w:ascii="David" w:eastAsia="Calibri" w:hAnsi="David"/>
          <w:noProof w:val="0"/>
          <w:rtl/>
        </w:rPr>
        <w:t xml:space="preserve">בפרשת טלמצ'יו נקבעו מספר דרכים, בהן ניתן להגשים את </w:t>
      </w:r>
      <w:r w:rsidRPr="00000900">
        <w:rPr>
          <w:rFonts w:ascii="David" w:eastAsia="Calibri" w:hAnsi="David"/>
          <w:noProof w:val="0"/>
          <w:rtl/>
        </w:rPr>
        <w:tab/>
        <w:t xml:space="preserve">אומד דעת המצווה אף אם אינה מעוגנת בלשון הצוואה: </w:t>
      </w:r>
    </w:p>
    <w:p w:rsidR="00316972" w:rsidRPr="00000900" w:rsidRDefault="00316972" w:rsidP="000D7F45">
      <w:pPr>
        <w:spacing w:after="160"/>
        <w:ind w:left="-58"/>
        <w:contextualSpacing/>
        <w:jc w:val="both"/>
        <w:rPr>
          <w:rFonts w:ascii="David" w:eastAsia="Calibri" w:hAnsi="David"/>
          <w:b/>
          <w:bCs/>
          <w:noProof w:val="0"/>
          <w:u w:val="single"/>
        </w:rPr>
      </w:pPr>
    </w:p>
    <w:p w:rsidR="001741B5" w:rsidRPr="00000900" w:rsidRDefault="001741B5" w:rsidP="000D7F45">
      <w:pPr>
        <w:spacing w:before="200" w:after="160"/>
        <w:ind w:left="864" w:right="864"/>
        <w:jc w:val="both"/>
        <w:rPr>
          <w:rFonts w:ascii="David" w:eastAsia="Calibri" w:hAnsi="David"/>
          <w:b/>
          <w:bCs/>
          <w:i/>
          <w:iCs/>
          <w:noProof w:val="0"/>
          <w:color w:val="404040"/>
        </w:rPr>
      </w:pPr>
      <w:r w:rsidRPr="00000900">
        <w:rPr>
          <w:rFonts w:ascii="David" w:eastAsia="Calibri" w:hAnsi="David"/>
          <w:b/>
          <w:bCs/>
          <w:i/>
          <w:iCs/>
          <w:noProof w:val="0"/>
          <w:color w:val="404040"/>
          <w:rtl/>
        </w:rPr>
        <w:t xml:space="preserve">"האם נובע מכאן, שאין כל אפשרות להגשים את אומד-דעתו של המצווה אם לאומד-דעת זה אין אחיזה, ולו מינימלית, בלשון הצוואה? התשובה היא בשלילה. </w:t>
      </w:r>
    </w:p>
    <w:p w:rsidR="001741B5" w:rsidRPr="00000900" w:rsidRDefault="001741B5" w:rsidP="000D7F45">
      <w:pPr>
        <w:spacing w:before="200" w:after="160"/>
        <w:ind w:left="864" w:right="864"/>
        <w:jc w:val="both"/>
        <w:rPr>
          <w:rFonts w:ascii="David" w:eastAsia="Calibri" w:hAnsi="David"/>
          <w:b/>
          <w:bCs/>
          <w:i/>
          <w:iCs/>
          <w:noProof w:val="0"/>
          <w:color w:val="404040"/>
          <w:rtl/>
        </w:rPr>
      </w:pPr>
      <w:r w:rsidRPr="00000900">
        <w:rPr>
          <w:rFonts w:ascii="David" w:eastAsia="Calibri" w:hAnsi="David"/>
          <w:b/>
          <w:bCs/>
          <w:i/>
          <w:iCs/>
          <w:noProof w:val="0"/>
          <w:color w:val="404040"/>
          <w:rtl/>
        </w:rPr>
        <w:t xml:space="preserve">ישנם מצבים, שבהם הדין מאפשר הגשמת אומד-דעתו של המצווה, גם אם לאומד-דעת זה אין עיגון בלשון הצוואה. אלה הם מקרים מיוחדים שבהם הדין מאפשר מתן מובן לצוואה שערך המצווה או לביצועה הלכה למעשה, גם אם למובן זה או לביצוע זה אין קשר מילולי מינימלי עם לשון הצוואה. מצבים אלה חורגים מפרשנותה של הצוואה במובנה הצר. אלה הם מקרים, שניתן לכלול אותם בגדרי פרשנות הצוואה במובנה הרחב. </w:t>
      </w:r>
    </w:p>
    <w:p w:rsidR="001741B5" w:rsidRPr="00000900" w:rsidRDefault="001741B5" w:rsidP="000D7F45">
      <w:pPr>
        <w:spacing w:before="200" w:after="160"/>
        <w:ind w:left="864" w:right="864"/>
        <w:jc w:val="both"/>
        <w:rPr>
          <w:rFonts w:ascii="David" w:eastAsia="Calibri" w:hAnsi="David"/>
          <w:b/>
          <w:bCs/>
          <w:i/>
          <w:iCs/>
          <w:noProof w:val="0"/>
          <w:color w:val="404040"/>
          <w:rtl/>
        </w:rPr>
      </w:pPr>
      <w:r w:rsidRPr="00000900">
        <w:rPr>
          <w:rFonts w:ascii="David" w:eastAsia="Calibri" w:hAnsi="David"/>
          <w:b/>
          <w:bCs/>
          <w:i/>
          <w:iCs/>
          <w:noProof w:val="0"/>
          <w:color w:val="404040"/>
          <w:rtl/>
        </w:rPr>
        <w:t xml:space="preserve">לענייננו, אזכיר ארבעה מצבים מסוג זה: </w:t>
      </w:r>
    </w:p>
    <w:p w:rsidR="001741B5" w:rsidRPr="00000900" w:rsidRDefault="001741B5" w:rsidP="000D7F45">
      <w:pPr>
        <w:spacing w:before="200" w:after="160"/>
        <w:ind w:left="864" w:right="864"/>
        <w:jc w:val="both"/>
        <w:rPr>
          <w:rFonts w:ascii="David" w:eastAsia="Calibri" w:hAnsi="David"/>
          <w:b/>
          <w:bCs/>
          <w:i/>
          <w:iCs/>
          <w:noProof w:val="0"/>
          <w:color w:val="404040"/>
          <w:rtl/>
        </w:rPr>
      </w:pPr>
      <w:r w:rsidRPr="00000900">
        <w:rPr>
          <w:rFonts w:ascii="David" w:eastAsia="Calibri" w:hAnsi="David"/>
          <w:b/>
          <w:bCs/>
          <w:i/>
          <w:iCs/>
          <w:noProof w:val="0"/>
          <w:color w:val="404040"/>
          <w:rtl/>
        </w:rPr>
        <w:lastRenderedPageBreak/>
        <w:t xml:space="preserve">האחד, עניינו תיקון לשון הצוואה בשל טעות שנפלה בה; </w:t>
      </w:r>
    </w:p>
    <w:p w:rsidR="001741B5" w:rsidRPr="00000900" w:rsidRDefault="001741B5" w:rsidP="000D7F45">
      <w:pPr>
        <w:spacing w:before="200" w:after="160"/>
        <w:ind w:left="864" w:right="864"/>
        <w:jc w:val="both"/>
        <w:rPr>
          <w:rFonts w:ascii="David" w:eastAsia="Calibri" w:hAnsi="David"/>
          <w:b/>
          <w:bCs/>
          <w:i/>
          <w:iCs/>
          <w:noProof w:val="0"/>
          <w:color w:val="404040"/>
          <w:rtl/>
        </w:rPr>
      </w:pPr>
      <w:r w:rsidRPr="00000900">
        <w:rPr>
          <w:rFonts w:ascii="David" w:eastAsia="Calibri" w:hAnsi="David"/>
          <w:b/>
          <w:bCs/>
          <w:i/>
          <w:iCs/>
          <w:noProof w:val="0"/>
          <w:color w:val="404040"/>
          <w:rtl/>
        </w:rPr>
        <w:t xml:space="preserve">השני, עניינו השלמת חסר (לאקונה) בצוואה; </w:t>
      </w:r>
    </w:p>
    <w:p w:rsidR="001741B5" w:rsidRPr="00000900" w:rsidRDefault="001741B5" w:rsidP="000D7F45">
      <w:pPr>
        <w:spacing w:before="200" w:after="160"/>
        <w:ind w:left="864" w:right="864"/>
        <w:jc w:val="both"/>
        <w:rPr>
          <w:rFonts w:ascii="David" w:eastAsia="Calibri" w:hAnsi="David"/>
          <w:b/>
          <w:bCs/>
          <w:i/>
          <w:iCs/>
          <w:noProof w:val="0"/>
          <w:color w:val="404040"/>
          <w:rtl/>
        </w:rPr>
      </w:pPr>
      <w:r w:rsidRPr="00000900">
        <w:rPr>
          <w:rFonts w:ascii="David" w:eastAsia="Calibri" w:hAnsi="David"/>
          <w:b/>
          <w:bCs/>
          <w:i/>
          <w:iCs/>
          <w:noProof w:val="0"/>
          <w:color w:val="404040"/>
          <w:rtl/>
        </w:rPr>
        <w:t>השלישי, עניינו הגשמת אומד-דעת המצווה "בקירוב"</w:t>
      </w:r>
      <w:r w:rsidRPr="00000900">
        <w:rPr>
          <w:rFonts w:ascii="David" w:eastAsia="Calibri" w:hAnsi="David"/>
          <w:b/>
          <w:bCs/>
          <w:i/>
          <w:iCs/>
          <w:noProof w:val="0"/>
          <w:color w:val="404040"/>
        </w:rPr>
        <w:t xml:space="preserve">; (cy prs </w:t>
      </w:r>
    </w:p>
    <w:p w:rsidR="001741B5" w:rsidRPr="00000900" w:rsidRDefault="001741B5" w:rsidP="000D7F45">
      <w:pPr>
        <w:spacing w:before="200" w:after="160"/>
        <w:ind w:left="864" w:right="864"/>
        <w:jc w:val="both"/>
        <w:rPr>
          <w:rFonts w:ascii="David" w:eastAsia="Calibri" w:hAnsi="David"/>
          <w:b/>
          <w:bCs/>
          <w:i/>
          <w:iCs/>
          <w:noProof w:val="0"/>
          <w:color w:val="404040"/>
          <w:rtl/>
        </w:rPr>
      </w:pPr>
      <w:r w:rsidRPr="00000900">
        <w:rPr>
          <w:rFonts w:ascii="David" w:eastAsia="Calibri" w:hAnsi="David"/>
          <w:b/>
          <w:bCs/>
          <w:i/>
          <w:iCs/>
          <w:noProof w:val="0"/>
          <w:color w:val="404040"/>
          <w:rtl/>
        </w:rPr>
        <w:t xml:space="preserve">הרביעי, עניינו הגשמת אומד-דעת המצווה בדרך של "תחליף". </w:t>
      </w:r>
    </w:p>
    <w:p w:rsidR="001741B5" w:rsidRPr="00000900" w:rsidRDefault="001741B5" w:rsidP="000D7F45">
      <w:pPr>
        <w:spacing w:before="200" w:after="160"/>
        <w:ind w:left="864" w:right="864"/>
        <w:jc w:val="both"/>
        <w:rPr>
          <w:rFonts w:ascii="David" w:eastAsia="Calibri" w:hAnsi="David"/>
          <w:b/>
          <w:bCs/>
          <w:i/>
          <w:iCs/>
          <w:noProof w:val="0"/>
          <w:color w:val="404040"/>
          <w:rtl/>
        </w:rPr>
      </w:pPr>
      <w:r w:rsidRPr="00000900">
        <w:rPr>
          <w:rFonts w:ascii="David" w:eastAsia="Calibri" w:hAnsi="David"/>
          <w:b/>
          <w:bCs/>
          <w:i/>
          <w:iCs/>
          <w:noProof w:val="0"/>
          <w:color w:val="404040"/>
          <w:rtl/>
        </w:rPr>
        <w:t>בכל ארבעת המצבים הללו – ואין לראותם כרשימה סגורה – חורג השופט-הפרשן מעבר ללשונה של הצוואה המקורית. בשני המצבים הראשונים הוא מוסיף לשון חדשה לצוואה המקורית. בשני המצבים האחרונים הלשון המקורית של הצוואה אינה משתנה, אך השופט-הפרשן הוסמך להגשים את אומד-דעת המצווה. בכל המצבים הללו, השופט פועל מעבר ללשון (המקורית) של הצוואה. הוא פועל מעבר לפרשנות הצוואה במובן הצר. הוא מפרש את הצוואה במובן הרחב (להבחנה זו בדיני החוזים, ראה: ע"א 154/80 בורכרד ליינס לימיטד לונדון נ' הידרובטון בע"מ [15], בעמ' 223; ע"א 554/83 "אתא" חברה לטקסטיל בע"מ נ' עיזבון המנוח זולוטולוב יצחק ז"ל [16], בעמ' 299; ע"א 719/89 מחצבות חיפה בע"מ נ' חנ-רון בע"מ [17], בעמ' 312; פרשת אפרופים [1], בעמ' 316)</w:t>
      </w:r>
      <w:r w:rsidRPr="00000900">
        <w:rPr>
          <w:rFonts w:ascii="David" w:eastAsia="Calibri" w:hAnsi="David"/>
          <w:b/>
          <w:bCs/>
          <w:i/>
          <w:iCs/>
          <w:noProof w:val="0"/>
          <w:color w:val="404040"/>
        </w:rPr>
        <w:t>."</w:t>
      </w:r>
    </w:p>
    <w:p w:rsidR="00316972" w:rsidRDefault="00316972" w:rsidP="000D7F45">
      <w:pPr>
        <w:spacing w:after="160"/>
        <w:ind w:left="-58"/>
        <w:contextualSpacing/>
        <w:jc w:val="both"/>
        <w:rPr>
          <w:rFonts w:ascii="David" w:eastAsia="Calibri" w:hAnsi="David"/>
          <w:noProof w:val="0"/>
        </w:rPr>
      </w:pPr>
    </w:p>
    <w:p w:rsidR="001741B5" w:rsidRPr="00000900"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בפרשת טלמצ'יו, צוין </w:t>
      </w:r>
      <w:r w:rsidR="006230F5">
        <w:rPr>
          <w:rFonts w:ascii="David" w:eastAsia="Calibri" w:hAnsi="David" w:hint="cs"/>
          <w:noProof w:val="0"/>
          <w:rtl/>
        </w:rPr>
        <w:t>ב</w:t>
      </w:r>
      <w:r w:rsidRPr="00000900">
        <w:rPr>
          <w:rFonts w:ascii="David" w:eastAsia="Calibri" w:hAnsi="David"/>
          <w:noProof w:val="0"/>
          <w:rtl/>
        </w:rPr>
        <w:t xml:space="preserve">לכאורה מהו מדרג העדיפות בין ארבעת הדרכים לצורך הגשמת רצון המצווה: </w:t>
      </w:r>
    </w:p>
    <w:p w:rsidR="00316972" w:rsidRDefault="00316972" w:rsidP="000D7F45">
      <w:pPr>
        <w:spacing w:before="200" w:after="160"/>
        <w:ind w:left="720" w:right="864"/>
        <w:jc w:val="both"/>
        <w:rPr>
          <w:rFonts w:ascii="David" w:eastAsia="Calibri" w:hAnsi="David"/>
          <w:b/>
          <w:bCs/>
          <w:i/>
          <w:iCs/>
          <w:noProof w:val="0"/>
          <w:color w:val="404040"/>
          <w:rtl/>
        </w:rPr>
      </w:pPr>
    </w:p>
    <w:p w:rsidR="001741B5" w:rsidRPr="00000900" w:rsidRDefault="001741B5" w:rsidP="000D7F45">
      <w:pPr>
        <w:spacing w:before="200" w:after="160"/>
        <w:ind w:left="720" w:right="864"/>
        <w:jc w:val="both"/>
        <w:rPr>
          <w:rFonts w:ascii="David" w:eastAsia="Calibri" w:hAnsi="David"/>
          <w:b/>
          <w:bCs/>
          <w:i/>
          <w:iCs/>
          <w:noProof w:val="0"/>
          <w:color w:val="404040"/>
        </w:rPr>
      </w:pPr>
      <w:r w:rsidRPr="00000900">
        <w:rPr>
          <w:rFonts w:ascii="David" w:eastAsia="Calibri" w:hAnsi="David"/>
          <w:b/>
          <w:bCs/>
          <w:i/>
          <w:iCs/>
          <w:noProof w:val="0"/>
          <w:color w:val="404040"/>
          <w:rtl/>
        </w:rPr>
        <w:t xml:space="preserve">"הצבעתי על ארבעה מצבים של פרשנות מרחיבה המבוססים על ארבע דוקטרינות שונות (תיקון טעות, השלמת חסר, ביצוע בקירוב, תחליף). </w:t>
      </w:r>
    </w:p>
    <w:p w:rsidR="001741B5" w:rsidRPr="00000900" w:rsidRDefault="001741B5" w:rsidP="000D7F45">
      <w:pPr>
        <w:spacing w:before="200" w:after="160"/>
        <w:ind w:left="720" w:right="864"/>
        <w:jc w:val="both"/>
        <w:rPr>
          <w:rFonts w:ascii="David" w:eastAsia="Calibri" w:hAnsi="David"/>
          <w:b/>
          <w:bCs/>
          <w:i/>
          <w:iCs/>
          <w:noProof w:val="0"/>
          <w:color w:val="404040"/>
          <w:rtl/>
        </w:rPr>
      </w:pPr>
      <w:r w:rsidRPr="00000900">
        <w:rPr>
          <w:rFonts w:ascii="David" w:eastAsia="Calibri" w:hAnsi="David"/>
          <w:b/>
          <w:bCs/>
          <w:i/>
          <w:iCs/>
          <w:noProof w:val="0"/>
          <w:color w:val="404040"/>
          <w:rtl/>
        </w:rPr>
        <w:t xml:space="preserve">רשימת המצבים המיוחדים אינה סגורה. ניתוח המצבים השונים מצביע על כך, כי על מערכת עובדתית נתונה עשויות לחול בו-זמנית דוקטרינות מספר. מצב דברים זה מעורר את השאלה, למי מהדוקטרינות השונות עדיפות על פני רעותה. לשאלה זו עשויה להיות גם חשיבות מעשית. </w:t>
      </w:r>
    </w:p>
    <w:p w:rsidR="001741B5" w:rsidRPr="00000900" w:rsidRDefault="001741B5" w:rsidP="000D7F45">
      <w:pPr>
        <w:spacing w:before="200" w:after="160"/>
        <w:ind w:left="720" w:right="864"/>
        <w:jc w:val="both"/>
        <w:rPr>
          <w:rFonts w:ascii="David" w:eastAsia="Calibri" w:hAnsi="David"/>
          <w:b/>
          <w:bCs/>
          <w:i/>
          <w:iCs/>
          <w:noProof w:val="0"/>
          <w:color w:val="404040"/>
          <w:rtl/>
        </w:rPr>
      </w:pPr>
      <w:r w:rsidRPr="00000900">
        <w:rPr>
          <w:rFonts w:ascii="David" w:eastAsia="Calibri" w:hAnsi="David"/>
          <w:b/>
          <w:bCs/>
          <w:i/>
          <w:iCs/>
          <w:noProof w:val="0"/>
          <w:color w:val="404040"/>
          <w:rtl/>
        </w:rPr>
        <w:t xml:space="preserve">אין לנו צורך לפסוק בה בערעור שלפנינו. </w:t>
      </w:r>
    </w:p>
    <w:p w:rsidR="001741B5" w:rsidRPr="00000900" w:rsidRDefault="001741B5" w:rsidP="000D7F45">
      <w:pPr>
        <w:spacing w:before="200" w:after="160"/>
        <w:ind w:left="720" w:right="864"/>
        <w:jc w:val="both"/>
        <w:rPr>
          <w:rFonts w:ascii="David" w:eastAsia="Calibri" w:hAnsi="David"/>
          <w:b/>
          <w:bCs/>
          <w:i/>
          <w:iCs/>
          <w:noProof w:val="0"/>
          <w:color w:val="404040"/>
          <w:rtl/>
        </w:rPr>
      </w:pPr>
      <w:r w:rsidRPr="00000900">
        <w:rPr>
          <w:rFonts w:ascii="David" w:eastAsia="Calibri" w:hAnsi="David"/>
          <w:b/>
          <w:bCs/>
          <w:i/>
          <w:iCs/>
          <w:noProof w:val="0"/>
          <w:color w:val="404040"/>
          <w:rtl/>
        </w:rPr>
        <w:t>די אם אציין, כי לכאורה יש ליתן עדיפות ראשונה לדיני הטעות. אחריהם יבואו הדינים בדבר השלמת החסר. בסוף הרשימה יבואו דיני הביצוע בקירוב והתחליף</w:t>
      </w:r>
      <w:r w:rsidRPr="00000900">
        <w:rPr>
          <w:rFonts w:ascii="David" w:eastAsia="Calibri" w:hAnsi="David"/>
          <w:b/>
          <w:bCs/>
          <w:i/>
          <w:iCs/>
          <w:noProof w:val="0"/>
          <w:color w:val="404040"/>
        </w:rPr>
        <w:t>."</w:t>
      </w:r>
    </w:p>
    <w:p w:rsidR="001741B5" w:rsidRPr="00000900" w:rsidRDefault="001741B5" w:rsidP="000D7F45">
      <w:pPr>
        <w:ind w:left="-58"/>
        <w:contextualSpacing/>
        <w:jc w:val="both"/>
        <w:rPr>
          <w:rFonts w:ascii="David" w:eastAsia="Calibri" w:hAnsi="David"/>
          <w:noProof w:val="0"/>
        </w:rPr>
      </w:pPr>
    </w:p>
    <w:p w:rsidR="001741B5" w:rsidRPr="00000900"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לאור האמור, אף </w:t>
      </w:r>
      <w:r w:rsidR="00085263" w:rsidRPr="00000900">
        <w:rPr>
          <w:rFonts w:ascii="David" w:eastAsia="Calibri" w:hAnsi="David"/>
          <w:noProof w:val="0"/>
          <w:rtl/>
        </w:rPr>
        <w:t>ש</w:t>
      </w:r>
      <w:r w:rsidRPr="00000900">
        <w:rPr>
          <w:rFonts w:ascii="David" w:eastAsia="Calibri" w:hAnsi="David"/>
          <w:noProof w:val="0"/>
          <w:rtl/>
        </w:rPr>
        <w:t xml:space="preserve">החיוב שקבעה המנוחה בסעיף 10 לצוואה אינו תקף ואינו יכול לעמוד, מצאתי כי יש לבחון כיצד ניתן להגשים את רצון המנוחה על פי ארבעת המצבים שפורטו בפרשת טלמצ'יו. </w:t>
      </w:r>
    </w:p>
    <w:p w:rsidR="001741B5" w:rsidRPr="00000900" w:rsidRDefault="001741B5" w:rsidP="000D7F45">
      <w:pPr>
        <w:ind w:left="-58"/>
        <w:contextualSpacing/>
        <w:jc w:val="both"/>
        <w:rPr>
          <w:rFonts w:ascii="David" w:eastAsia="Calibri" w:hAnsi="David"/>
          <w:noProof w:val="0"/>
        </w:rPr>
      </w:pPr>
      <w:r w:rsidRPr="00000900">
        <w:rPr>
          <w:rFonts w:ascii="David" w:eastAsia="Calibri" w:hAnsi="David"/>
          <w:noProof w:val="0"/>
          <w:rtl/>
        </w:rPr>
        <w:t xml:space="preserve">  </w:t>
      </w:r>
    </w:p>
    <w:p w:rsidR="001741B5" w:rsidRPr="006230F5" w:rsidRDefault="001741B5" w:rsidP="000D7F45">
      <w:pPr>
        <w:pStyle w:val="ad"/>
        <w:numPr>
          <w:ilvl w:val="0"/>
          <w:numId w:val="5"/>
        </w:numPr>
        <w:jc w:val="both"/>
        <w:rPr>
          <w:rFonts w:ascii="David" w:eastAsia="Calibri" w:hAnsi="David"/>
          <w:noProof w:val="0"/>
          <w:u w:val="single"/>
          <w:rtl/>
        </w:rPr>
      </w:pPr>
      <w:r w:rsidRPr="006230F5">
        <w:rPr>
          <w:rFonts w:ascii="David" w:eastAsia="Calibri" w:hAnsi="David"/>
          <w:noProof w:val="0"/>
          <w:u w:val="single"/>
          <w:rtl/>
        </w:rPr>
        <w:t>הוראות צוואה שנעשתה מחמת טעות</w:t>
      </w:r>
    </w:p>
    <w:p w:rsidR="000D7F45" w:rsidRDefault="000D7F45" w:rsidP="000D7F45">
      <w:pPr>
        <w:spacing w:after="160"/>
        <w:ind w:left="-58"/>
        <w:contextualSpacing/>
        <w:jc w:val="both"/>
        <w:rPr>
          <w:rFonts w:ascii="David" w:eastAsia="Calibri" w:hAnsi="David"/>
          <w:noProof w:val="0"/>
        </w:rPr>
      </w:pPr>
    </w:p>
    <w:p w:rsidR="001741B5" w:rsidRPr="00000900"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סעיף 30(ב) קובע כי: "</w:t>
      </w:r>
      <w:r w:rsidRPr="00000900">
        <w:rPr>
          <w:rFonts w:ascii="David" w:eastAsia="Calibri" w:hAnsi="David"/>
          <w:b/>
          <w:bCs/>
          <w:i/>
          <w:iCs/>
          <w:noProof w:val="0"/>
          <w:rtl/>
        </w:rPr>
        <w:t>הוראת צוואה שנעשתה מחמת טעות – אם אפשר לקבוע בבירור מה היה המצווה מורה בצוואתו אילמלא הטעות, יתקן בית המשפט לפי זה את דברי הצוואה; אם אי-אפשר לעשות כן – בטלה הוראת הצוואה</w:t>
      </w:r>
      <w:r w:rsidRPr="00000900">
        <w:rPr>
          <w:rFonts w:ascii="David" w:eastAsia="Calibri" w:hAnsi="David"/>
          <w:noProof w:val="0"/>
          <w:rtl/>
        </w:rPr>
        <w:t xml:space="preserve">". </w:t>
      </w:r>
    </w:p>
    <w:p w:rsidR="006230F5" w:rsidRPr="006230F5" w:rsidRDefault="006230F5" w:rsidP="000D7F45">
      <w:pPr>
        <w:spacing w:after="160"/>
        <w:ind w:left="-58"/>
        <w:contextualSpacing/>
        <w:jc w:val="both"/>
        <w:rPr>
          <w:rFonts w:ascii="David" w:eastAsia="Calibri" w:hAnsi="David"/>
          <w:noProof w:val="0"/>
        </w:rPr>
      </w:pPr>
    </w:p>
    <w:p w:rsidR="001741B5"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בבע"מ 1857/24 </w:t>
      </w:r>
      <w:r w:rsidRPr="00000900">
        <w:rPr>
          <w:rFonts w:ascii="David" w:eastAsia="Calibri" w:hAnsi="David"/>
          <w:b/>
          <w:bCs/>
          <w:noProof w:val="0"/>
          <w:rtl/>
        </w:rPr>
        <w:t>פלונית נ' פלונית</w:t>
      </w:r>
      <w:r w:rsidRPr="00000900">
        <w:rPr>
          <w:rFonts w:ascii="David" w:eastAsia="Calibri" w:hAnsi="David"/>
          <w:noProof w:val="0"/>
          <w:rtl/>
        </w:rPr>
        <w:t xml:space="preserve"> (נבו 2.12.2024), פורטו השיקולים לתיקון טעות בצוואה: </w:t>
      </w:r>
    </w:p>
    <w:p w:rsidR="00656123" w:rsidRPr="00656123" w:rsidRDefault="00656123" w:rsidP="000D7F45">
      <w:pPr>
        <w:spacing w:before="200" w:after="160"/>
        <w:ind w:left="720" w:right="864"/>
        <w:jc w:val="both"/>
        <w:rPr>
          <w:rFonts w:ascii="David" w:eastAsia="Calibri" w:hAnsi="David"/>
          <w:b/>
          <w:bCs/>
          <w:i/>
          <w:iCs/>
          <w:noProof w:val="0"/>
          <w:color w:val="404040"/>
          <w:sz w:val="12"/>
          <w:szCs w:val="12"/>
          <w:rtl/>
        </w:rPr>
      </w:pPr>
    </w:p>
    <w:p w:rsidR="001741B5" w:rsidRPr="00000900" w:rsidRDefault="001741B5" w:rsidP="000D7F45">
      <w:pPr>
        <w:spacing w:before="200" w:after="160"/>
        <w:ind w:left="720" w:right="864"/>
        <w:jc w:val="both"/>
        <w:rPr>
          <w:rFonts w:ascii="David" w:eastAsia="Calibri" w:hAnsi="David"/>
          <w:b/>
          <w:bCs/>
          <w:i/>
          <w:iCs/>
          <w:noProof w:val="0"/>
          <w:color w:val="404040"/>
        </w:rPr>
      </w:pPr>
      <w:r w:rsidRPr="00000900">
        <w:rPr>
          <w:rFonts w:ascii="David" w:eastAsia="Calibri" w:hAnsi="David"/>
          <w:b/>
          <w:bCs/>
          <w:i/>
          <w:iCs/>
          <w:noProof w:val="0"/>
          <w:color w:val="404040"/>
          <w:rtl/>
        </w:rPr>
        <w:t xml:space="preserve">"בפסיקה הובהר כי טעות יכולה להתקיים, כאשר קיים פער בין המציאות האובייקטיבית לבין תפיסתו הסובייקטיבית של המצווה (ע"א 1900/96 טלמצ'יו נ' האפוטרופוס הכללי פ"ד נג(2) 817, 830-829 (1999)). </w:t>
      </w:r>
    </w:p>
    <w:p w:rsidR="001741B5" w:rsidRPr="00000900" w:rsidRDefault="001741B5" w:rsidP="000D7F45">
      <w:pPr>
        <w:spacing w:before="200" w:after="160"/>
        <w:ind w:left="720" w:right="864"/>
        <w:jc w:val="both"/>
        <w:rPr>
          <w:rFonts w:ascii="David" w:eastAsia="Calibri" w:hAnsi="David"/>
          <w:b/>
          <w:bCs/>
          <w:i/>
          <w:iCs/>
          <w:noProof w:val="0"/>
          <w:color w:val="404040"/>
          <w:rtl/>
        </w:rPr>
      </w:pPr>
      <w:r w:rsidRPr="00000900">
        <w:rPr>
          <w:rFonts w:ascii="David" w:eastAsia="Calibri" w:hAnsi="David"/>
          <w:b/>
          <w:bCs/>
          <w:i/>
          <w:iCs/>
          <w:noProof w:val="0"/>
          <w:color w:val="404040"/>
          <w:rtl/>
        </w:rPr>
        <w:lastRenderedPageBreak/>
        <w:t xml:space="preserve">כן נקבע כי רק אם אפשר לקבוע בבירור מה היה המצווה מורה, אילו המציאות האובייקטיבית הייתה ידועה לו, בית המשפט יכול לתקן את לשון הצוואה, כך שהלשון המוטעית תוחלף בלשון המשקפת את אומד דעתו הברור של המצווה (שם). </w:t>
      </w:r>
    </w:p>
    <w:p w:rsidR="001741B5" w:rsidRPr="00000900" w:rsidRDefault="001741B5" w:rsidP="000D7F45">
      <w:pPr>
        <w:spacing w:before="200" w:after="160"/>
        <w:ind w:left="720" w:right="864"/>
        <w:jc w:val="both"/>
        <w:rPr>
          <w:rFonts w:ascii="David" w:eastAsia="Calibri" w:hAnsi="David"/>
          <w:b/>
          <w:bCs/>
          <w:i/>
          <w:iCs/>
          <w:noProof w:val="0"/>
          <w:color w:val="404040"/>
          <w:rtl/>
        </w:rPr>
      </w:pPr>
      <w:r w:rsidRPr="00000900">
        <w:rPr>
          <w:rFonts w:ascii="David" w:eastAsia="Calibri" w:hAnsi="David"/>
          <w:b/>
          <w:bCs/>
          <w:i/>
          <w:iCs/>
          <w:noProof w:val="0"/>
          <w:color w:val="404040"/>
          <w:rtl/>
        </w:rPr>
        <w:t>אשר לעניין זה, סבר פרופ' שילה כי: "אין זה מספיק שאפשר להניח מה שהמצווה היה מורה, אפילו אם קרוב לוודאי שהיה מורה אחרת. בית-המשפט צריך להיות משוכנע לגמרי שלוליא הטעות המצווה היה קובע שזה ודווקא זה, רצונו", וכאשר קיים ספק 'קל מן הקלים', ההוראה תבוטל נוכח הטעות ולא תתוקן (שמואל שילה פירוש לחוק הירושה, תשכ"ה-1965 כרך א 276 (1995))."</w:t>
      </w:r>
    </w:p>
    <w:p w:rsidR="006230F5" w:rsidRDefault="006230F5" w:rsidP="000D7F45">
      <w:pPr>
        <w:spacing w:after="160"/>
        <w:ind w:left="-58"/>
        <w:contextualSpacing/>
        <w:jc w:val="both"/>
        <w:rPr>
          <w:rFonts w:ascii="David" w:eastAsia="Calibri" w:hAnsi="David"/>
          <w:noProof w:val="0"/>
        </w:rPr>
      </w:pPr>
    </w:p>
    <w:p w:rsidR="001741B5" w:rsidRPr="0024419B"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לא מצאתי כי, ניתן לעשות שימוש בדיני הטעות לצורך הגשמת רצון המנוחה</w:t>
      </w:r>
      <w:r w:rsidR="00C40773">
        <w:rPr>
          <w:rFonts w:ascii="David" w:eastAsia="Calibri" w:hAnsi="David" w:hint="cs"/>
          <w:noProof w:val="0"/>
          <w:rtl/>
        </w:rPr>
        <w:t>.</w:t>
      </w:r>
      <w:r w:rsidR="0024419B">
        <w:rPr>
          <w:rFonts w:ascii="David" w:eastAsia="Calibri" w:hAnsi="David" w:hint="cs"/>
          <w:noProof w:val="0"/>
          <w:rtl/>
        </w:rPr>
        <w:t xml:space="preserve"> במקרה דנן, </w:t>
      </w:r>
      <w:r w:rsidRPr="0024419B">
        <w:rPr>
          <w:rFonts w:ascii="David" w:eastAsia="Calibri" w:hAnsi="David"/>
          <w:noProof w:val="0"/>
          <w:rtl/>
        </w:rPr>
        <w:t xml:space="preserve">לא ניתן להשתכנע באופן מוחלט, מה הייתה המנוחה מצווה לו ידעה שאינה יכולה לצוות כפי שציוותה לאור זכויות התובע בנכס. על כן, לא ניתן לא לעשות שימוש בדיני הטעות. </w:t>
      </w:r>
    </w:p>
    <w:p w:rsidR="001741B5" w:rsidRPr="00000900" w:rsidRDefault="001741B5" w:rsidP="000D7F45">
      <w:pPr>
        <w:ind w:left="-58"/>
        <w:contextualSpacing/>
        <w:jc w:val="both"/>
        <w:rPr>
          <w:rFonts w:ascii="David" w:eastAsia="Calibri" w:hAnsi="David"/>
          <w:noProof w:val="0"/>
        </w:rPr>
      </w:pPr>
    </w:p>
    <w:p w:rsidR="001741B5" w:rsidRPr="0024419B" w:rsidRDefault="001741B5" w:rsidP="000D7F45">
      <w:pPr>
        <w:pStyle w:val="ad"/>
        <w:numPr>
          <w:ilvl w:val="0"/>
          <w:numId w:val="5"/>
        </w:numPr>
        <w:jc w:val="both"/>
        <w:rPr>
          <w:rFonts w:ascii="David" w:eastAsia="Calibri" w:hAnsi="David"/>
          <w:noProof w:val="0"/>
          <w:rtl/>
        </w:rPr>
      </w:pPr>
      <w:r w:rsidRPr="0024419B">
        <w:rPr>
          <w:rFonts w:ascii="David" w:eastAsia="Calibri" w:hAnsi="David"/>
          <w:noProof w:val="0"/>
          <w:u w:val="single"/>
          <w:rtl/>
        </w:rPr>
        <w:t>השלמת חסר בצוואה</w:t>
      </w:r>
      <w:r w:rsidRPr="0024419B">
        <w:rPr>
          <w:rFonts w:ascii="David" w:eastAsia="Calibri" w:hAnsi="David"/>
          <w:noProof w:val="0"/>
          <w:rtl/>
        </w:rPr>
        <w:t xml:space="preserve"> </w:t>
      </w:r>
    </w:p>
    <w:p w:rsidR="0024419B" w:rsidRPr="0024419B" w:rsidRDefault="0024419B" w:rsidP="000D7F45">
      <w:pPr>
        <w:pStyle w:val="ad"/>
        <w:ind w:left="302"/>
        <w:jc w:val="both"/>
        <w:rPr>
          <w:rFonts w:ascii="David" w:eastAsia="Calibri" w:hAnsi="David"/>
          <w:noProof w:val="0"/>
          <w:rtl/>
        </w:rPr>
      </w:pPr>
    </w:p>
    <w:p w:rsidR="001741B5" w:rsidRPr="00000900"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בפרשת טלמצ'יו הוסבר לגבי השלמת חסר בצוואה:</w:t>
      </w:r>
    </w:p>
    <w:p w:rsidR="0024419B" w:rsidRPr="0024419B" w:rsidRDefault="0024419B" w:rsidP="000D7F45">
      <w:pPr>
        <w:spacing w:before="200" w:after="160"/>
        <w:ind w:left="720" w:right="864"/>
        <w:jc w:val="both"/>
        <w:rPr>
          <w:rFonts w:ascii="David" w:eastAsia="Calibri" w:hAnsi="David"/>
          <w:b/>
          <w:bCs/>
          <w:i/>
          <w:iCs/>
          <w:noProof w:val="0"/>
          <w:color w:val="404040"/>
          <w:sz w:val="2"/>
          <w:szCs w:val="2"/>
          <w:rtl/>
        </w:rPr>
      </w:pPr>
    </w:p>
    <w:p w:rsidR="001741B5" w:rsidRPr="00000900" w:rsidRDefault="001741B5" w:rsidP="000D7F45">
      <w:pPr>
        <w:spacing w:before="200" w:after="160"/>
        <w:ind w:left="720" w:right="864"/>
        <w:jc w:val="both"/>
        <w:rPr>
          <w:rFonts w:ascii="David" w:eastAsia="Calibri" w:hAnsi="David"/>
          <w:b/>
          <w:bCs/>
          <w:i/>
          <w:iCs/>
          <w:noProof w:val="0"/>
          <w:color w:val="404040"/>
        </w:rPr>
      </w:pPr>
      <w:r w:rsidRPr="00000900">
        <w:rPr>
          <w:rFonts w:ascii="David" w:eastAsia="Calibri" w:hAnsi="David"/>
          <w:b/>
          <w:bCs/>
          <w:i/>
          <w:iCs/>
          <w:noProof w:val="0"/>
          <w:color w:val="404040"/>
          <w:rtl/>
        </w:rPr>
        <w:t xml:space="preserve">"כמו בכל יצירה אנושית, גם בצוואה עשוי שיתגלה חסר. דבר זה יקרה כאשר הוראות הצוואה (המפורשות או המשתמעות) יוצרות חוסר שלמות הנוגד את אומד-דעתו של המצווה. </w:t>
      </w:r>
    </w:p>
    <w:p w:rsidR="001741B5" w:rsidRPr="00000900" w:rsidRDefault="001741B5" w:rsidP="000D7F45">
      <w:pPr>
        <w:spacing w:before="200" w:after="160"/>
        <w:ind w:left="720" w:right="864"/>
        <w:jc w:val="both"/>
        <w:rPr>
          <w:rFonts w:ascii="David" w:eastAsia="Calibri" w:hAnsi="David"/>
          <w:b/>
          <w:bCs/>
          <w:i/>
          <w:iCs/>
          <w:noProof w:val="0"/>
          <w:color w:val="404040"/>
          <w:rtl/>
        </w:rPr>
      </w:pPr>
      <w:r w:rsidRPr="00000900">
        <w:rPr>
          <w:rFonts w:ascii="David" w:eastAsia="Calibri" w:hAnsi="David"/>
          <w:b/>
          <w:bCs/>
          <w:i/>
          <w:iCs/>
          <w:noProof w:val="0"/>
          <w:color w:val="404040"/>
          <w:rtl/>
        </w:rPr>
        <w:t>במרבית המקרים, החסר נובע בשל אירועים שהתרחשו בין מועד עריכת הצוואה לבין מות המצווה, ושלא נצפו בצוואה עצמה</w:t>
      </w:r>
      <w:r w:rsidRPr="00000900">
        <w:rPr>
          <w:rFonts w:ascii="David" w:eastAsia="Calibri" w:hAnsi="David"/>
          <w:b/>
          <w:bCs/>
          <w:i/>
          <w:iCs/>
          <w:noProof w:val="0"/>
          <w:color w:val="404040"/>
        </w:rPr>
        <w:t>…</w:t>
      </w:r>
      <w:r w:rsidRPr="00000900">
        <w:rPr>
          <w:rFonts w:ascii="David" w:eastAsia="Calibri" w:hAnsi="David"/>
          <w:noProof w:val="0"/>
          <w:color w:val="000000"/>
          <w:shd w:val="clear" w:color="auto" w:fill="FFFFFF"/>
          <w:rtl/>
        </w:rPr>
        <w:t xml:space="preserve"> </w:t>
      </w:r>
      <w:r w:rsidRPr="00000900">
        <w:rPr>
          <w:rFonts w:ascii="David" w:eastAsia="Calibri" w:hAnsi="David"/>
          <w:b/>
          <w:bCs/>
          <w:i/>
          <w:iCs/>
          <w:noProof w:val="0"/>
          <w:color w:val="404040"/>
          <w:rtl/>
        </w:rPr>
        <w:t>חסר זה מוסמך השופט להשלים ("פרשנות משלימה</w:t>
      </w:r>
      <w:r w:rsidRPr="00000900">
        <w:rPr>
          <w:rFonts w:ascii="David" w:eastAsia="Calibri" w:hAnsi="David"/>
          <w:b/>
          <w:bCs/>
          <w:i/>
          <w:iCs/>
          <w:noProof w:val="0"/>
          <w:color w:val="404040"/>
        </w:rPr>
        <w:t xml:space="preserve">" – “Erganzende Auslegung”). </w:t>
      </w:r>
      <w:r w:rsidRPr="00000900">
        <w:rPr>
          <w:rFonts w:ascii="David" w:eastAsia="Calibri" w:hAnsi="David"/>
          <w:b/>
          <w:bCs/>
          <w:i/>
          <w:iCs/>
          <w:noProof w:val="0"/>
          <w:color w:val="404040"/>
          <w:rtl/>
        </w:rPr>
        <w:t>הדבר נעשה על</w:t>
      </w:r>
      <w:r w:rsidRPr="00000900">
        <w:rPr>
          <w:rFonts w:ascii="David" w:eastAsia="Calibri" w:hAnsi="David"/>
          <w:b/>
          <w:bCs/>
          <w:i/>
          <w:iCs/>
          <w:noProof w:val="0"/>
          <w:color w:val="404040"/>
          <w:vertAlign w:val="superscript"/>
        </w:rPr>
        <w:t>-</w:t>
      </w:r>
      <w:r w:rsidRPr="00000900">
        <w:rPr>
          <w:rFonts w:ascii="David" w:eastAsia="Calibri" w:hAnsi="David"/>
          <w:b/>
          <w:bCs/>
          <w:i/>
          <w:iCs/>
          <w:noProof w:val="0"/>
          <w:color w:val="404040"/>
          <w:rtl/>
        </w:rPr>
        <w:t>פי אומד</w:t>
      </w:r>
      <w:r w:rsidRPr="00000900">
        <w:rPr>
          <w:rFonts w:ascii="David" w:eastAsia="Calibri" w:hAnsi="David"/>
          <w:b/>
          <w:bCs/>
          <w:i/>
          <w:iCs/>
          <w:noProof w:val="0"/>
          <w:color w:val="404040"/>
          <w:vertAlign w:val="superscript"/>
        </w:rPr>
        <w:t>-</w:t>
      </w:r>
      <w:r w:rsidRPr="00000900">
        <w:rPr>
          <w:rFonts w:ascii="David" w:eastAsia="Calibri" w:hAnsi="David"/>
          <w:b/>
          <w:bCs/>
          <w:i/>
          <w:iCs/>
          <w:noProof w:val="0"/>
          <w:color w:val="404040"/>
          <w:rtl/>
        </w:rPr>
        <w:t xml:space="preserve">דעתו של המצווה בעת עריכת הצוואה, כפי שהוא עולה מתוך הצוואה והנסיבות. </w:t>
      </w:r>
    </w:p>
    <w:p w:rsidR="001741B5" w:rsidRPr="00000900" w:rsidRDefault="001741B5" w:rsidP="000D7F45">
      <w:pPr>
        <w:spacing w:before="200" w:after="160"/>
        <w:ind w:left="720" w:right="864"/>
        <w:jc w:val="both"/>
        <w:rPr>
          <w:rFonts w:ascii="David" w:eastAsia="Calibri" w:hAnsi="David"/>
          <w:b/>
          <w:bCs/>
          <w:i/>
          <w:iCs/>
          <w:noProof w:val="0"/>
          <w:color w:val="404040"/>
          <w:rtl/>
        </w:rPr>
      </w:pPr>
      <w:r w:rsidRPr="00000900">
        <w:rPr>
          <w:rFonts w:ascii="David" w:eastAsia="Calibri" w:hAnsi="David"/>
          <w:b/>
          <w:bCs/>
          <w:i/>
          <w:iCs/>
          <w:noProof w:val="0"/>
          <w:color w:val="404040"/>
          <w:rtl/>
        </w:rPr>
        <w:t>בהיעדר אומד</w:t>
      </w:r>
      <w:r w:rsidRPr="00000900">
        <w:rPr>
          <w:rFonts w:ascii="David" w:eastAsia="Calibri" w:hAnsi="David"/>
          <w:b/>
          <w:bCs/>
          <w:i/>
          <w:iCs/>
          <w:noProof w:val="0"/>
          <w:color w:val="404040"/>
          <w:vertAlign w:val="superscript"/>
        </w:rPr>
        <w:t>-</w:t>
      </w:r>
      <w:r w:rsidRPr="00000900">
        <w:rPr>
          <w:rFonts w:ascii="David" w:eastAsia="Calibri" w:hAnsi="David"/>
          <w:b/>
          <w:bCs/>
          <w:i/>
          <w:iCs/>
          <w:noProof w:val="0"/>
          <w:color w:val="404040"/>
          <w:rtl/>
        </w:rPr>
        <w:t>דעת (ריאלי) של המצווה – שכן הוא לא צפה הבעיה ולא נתן דעתו עליה – יש להשלים החסר על</w:t>
      </w:r>
      <w:r w:rsidRPr="00000900">
        <w:rPr>
          <w:rFonts w:ascii="David" w:eastAsia="Calibri" w:hAnsi="David"/>
          <w:b/>
          <w:bCs/>
          <w:i/>
          <w:iCs/>
          <w:noProof w:val="0"/>
          <w:color w:val="404040"/>
          <w:vertAlign w:val="superscript"/>
        </w:rPr>
        <w:t>-</w:t>
      </w:r>
      <w:r w:rsidRPr="00000900">
        <w:rPr>
          <w:rFonts w:ascii="David" w:eastAsia="Calibri" w:hAnsi="David"/>
          <w:b/>
          <w:bCs/>
          <w:i/>
          <w:iCs/>
          <w:noProof w:val="0"/>
          <w:color w:val="404040"/>
          <w:rtl/>
        </w:rPr>
        <w:t>פי רצונו ההיפותטי של המצווה. רצון זה הוא הרצון שיש להניח כי היה לו בעת עריכת הצוואה אילו נתן דעתו לחסר. השופט ממשיך את קו המחשבה של המצווה, ומשלים באמצעותו את שהמצווה עצמו החסיר</w:t>
      </w:r>
      <w:r w:rsidRPr="00000900">
        <w:rPr>
          <w:rFonts w:ascii="David" w:eastAsia="Calibri" w:hAnsi="David"/>
          <w:b/>
          <w:bCs/>
          <w:i/>
          <w:iCs/>
          <w:noProof w:val="0"/>
          <w:color w:val="404040"/>
        </w:rPr>
        <w:t>.</w:t>
      </w:r>
      <w:r w:rsidRPr="00000900">
        <w:rPr>
          <w:rFonts w:ascii="David" w:eastAsia="Calibri" w:hAnsi="David"/>
          <w:b/>
          <w:bCs/>
          <w:i/>
          <w:iCs/>
          <w:noProof w:val="0"/>
          <w:color w:val="404040"/>
          <w:rtl/>
        </w:rPr>
        <w:t>"</w:t>
      </w:r>
    </w:p>
    <w:p w:rsidR="001741B5" w:rsidRPr="00000900" w:rsidRDefault="001741B5" w:rsidP="000D7F45">
      <w:pPr>
        <w:ind w:left="-58"/>
        <w:contextualSpacing/>
        <w:jc w:val="both"/>
        <w:rPr>
          <w:rFonts w:ascii="David" w:eastAsia="Calibri" w:hAnsi="David"/>
          <w:noProof w:val="0"/>
        </w:rPr>
      </w:pPr>
    </w:p>
    <w:p w:rsidR="001741B5" w:rsidRDefault="00405DC6" w:rsidP="000D7F45">
      <w:pPr>
        <w:numPr>
          <w:ilvl w:val="0"/>
          <w:numId w:val="3"/>
        </w:numPr>
        <w:spacing w:after="160"/>
        <w:ind w:left="-58" w:hanging="567"/>
        <w:contextualSpacing/>
        <w:jc w:val="both"/>
        <w:rPr>
          <w:rFonts w:ascii="David" w:eastAsia="Calibri" w:hAnsi="David"/>
          <w:noProof w:val="0"/>
        </w:rPr>
      </w:pPr>
      <w:r>
        <w:rPr>
          <w:rFonts w:ascii="David" w:eastAsia="Calibri" w:hAnsi="David" w:hint="cs"/>
          <w:noProof w:val="0"/>
          <w:rtl/>
        </w:rPr>
        <w:t xml:space="preserve">מהותה של השלמה בחסר היא כאמור ברישא לפסיקה דלעיל. במקרה דנן לא התרחשו אירועים שמצריכים השלמת הצוואה בתקופה שבין עריכתה לפטירתה של המנוחה. </w:t>
      </w:r>
    </w:p>
    <w:p w:rsidR="000D7F45" w:rsidRPr="00000900" w:rsidRDefault="000D7F45" w:rsidP="000D7F45">
      <w:pPr>
        <w:spacing w:after="160"/>
        <w:ind w:left="-58"/>
        <w:contextualSpacing/>
        <w:jc w:val="both"/>
        <w:rPr>
          <w:rFonts w:ascii="David" w:eastAsia="Calibri" w:hAnsi="David"/>
          <w:noProof w:val="0"/>
        </w:rPr>
      </w:pPr>
    </w:p>
    <w:p w:rsidR="001741B5" w:rsidRPr="00405DC6" w:rsidRDefault="001741B5" w:rsidP="000D7F45">
      <w:pPr>
        <w:pStyle w:val="ad"/>
        <w:numPr>
          <w:ilvl w:val="0"/>
          <w:numId w:val="5"/>
        </w:numPr>
        <w:jc w:val="both"/>
        <w:rPr>
          <w:rFonts w:ascii="David" w:eastAsia="Calibri" w:hAnsi="David"/>
          <w:noProof w:val="0"/>
          <w:rtl/>
        </w:rPr>
      </w:pPr>
      <w:r w:rsidRPr="00405DC6">
        <w:rPr>
          <w:rFonts w:ascii="David" w:eastAsia="Calibri" w:hAnsi="David"/>
          <w:noProof w:val="0"/>
          <w:u w:val="single"/>
          <w:rtl/>
        </w:rPr>
        <w:t>ביצוע בקירוב</w:t>
      </w:r>
      <w:r w:rsidRPr="00405DC6">
        <w:rPr>
          <w:rFonts w:ascii="David" w:eastAsia="Calibri" w:hAnsi="David"/>
          <w:noProof w:val="0"/>
          <w:rtl/>
        </w:rPr>
        <w:t xml:space="preserve"> </w:t>
      </w:r>
    </w:p>
    <w:p w:rsidR="00405DC6" w:rsidRPr="00405DC6" w:rsidRDefault="00405DC6" w:rsidP="000D7F45">
      <w:pPr>
        <w:pStyle w:val="ad"/>
        <w:ind w:left="302"/>
        <w:jc w:val="both"/>
        <w:rPr>
          <w:rFonts w:ascii="David" w:eastAsia="Calibri" w:hAnsi="David"/>
          <w:noProof w:val="0"/>
          <w:rtl/>
        </w:rPr>
      </w:pPr>
    </w:p>
    <w:p w:rsidR="001741B5"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בפרשת טלמצ'יו הוסבר מצב זה:</w:t>
      </w:r>
    </w:p>
    <w:p w:rsidR="00405DC6" w:rsidRPr="00000900" w:rsidRDefault="00405DC6" w:rsidP="000D7F45">
      <w:pPr>
        <w:spacing w:after="160"/>
        <w:ind w:left="-58"/>
        <w:contextualSpacing/>
        <w:jc w:val="both"/>
        <w:rPr>
          <w:rFonts w:ascii="David" w:eastAsia="Calibri" w:hAnsi="David"/>
          <w:noProof w:val="0"/>
        </w:rPr>
      </w:pPr>
    </w:p>
    <w:p w:rsidR="001741B5" w:rsidRDefault="001741B5" w:rsidP="000D7F45">
      <w:pPr>
        <w:spacing w:before="200" w:after="160"/>
        <w:ind w:left="864" w:right="864"/>
        <w:jc w:val="both"/>
        <w:rPr>
          <w:rFonts w:ascii="David" w:eastAsia="Calibri" w:hAnsi="David"/>
          <w:b/>
          <w:bCs/>
          <w:i/>
          <w:iCs/>
          <w:noProof w:val="0"/>
          <w:color w:val="404040"/>
          <w:rtl/>
        </w:rPr>
      </w:pPr>
      <w:r w:rsidRPr="00000900">
        <w:rPr>
          <w:rFonts w:ascii="David" w:eastAsia="Calibri" w:hAnsi="David"/>
          <w:b/>
          <w:bCs/>
          <w:i/>
          <w:iCs/>
          <w:noProof w:val="0"/>
          <w:color w:val="404040"/>
          <w:rtl/>
        </w:rPr>
        <w:t>"מכוחה של דוקטרינה זו, רשאי השופט להגשים את אומד-דעתו (הריאלי או ההיפותטי) של המצווה, ולהנחיל נכס ליורש, אף שהוראות הצוואה אינן קובעות (במפורש או במשתמע) הנחלה זו. עניין לנו אפוא בפריצת גדרי לשון הצוואה, ומתן ביטוי לרצונו (הריאלי או ההיפותטי) של המצווה, ובלבד שהדבר נעשה למטרה הקרובה לזו הקבועה בהוראת הצוואה</w:t>
      </w:r>
      <w:r w:rsidRPr="00000900">
        <w:rPr>
          <w:rFonts w:ascii="David" w:eastAsia="Calibri" w:hAnsi="David"/>
          <w:b/>
          <w:bCs/>
          <w:i/>
          <w:iCs/>
          <w:noProof w:val="0"/>
          <w:color w:val="404040"/>
        </w:rPr>
        <w:t>."</w:t>
      </w:r>
    </w:p>
    <w:p w:rsidR="00656123" w:rsidRPr="00656123" w:rsidRDefault="00656123" w:rsidP="000D7F45">
      <w:pPr>
        <w:spacing w:after="160"/>
        <w:ind w:left="-58"/>
        <w:contextualSpacing/>
        <w:jc w:val="both"/>
        <w:rPr>
          <w:rFonts w:ascii="David" w:eastAsia="Calibri" w:hAnsi="David"/>
          <w:noProof w:val="0"/>
          <w:u w:val="single"/>
        </w:rPr>
      </w:pPr>
    </w:p>
    <w:p w:rsidR="001741B5" w:rsidRPr="00000900" w:rsidRDefault="001741B5" w:rsidP="000D7F45">
      <w:pPr>
        <w:numPr>
          <w:ilvl w:val="0"/>
          <w:numId w:val="3"/>
        </w:numPr>
        <w:spacing w:after="160"/>
        <w:ind w:left="-58" w:hanging="567"/>
        <w:contextualSpacing/>
        <w:jc w:val="both"/>
        <w:rPr>
          <w:rFonts w:ascii="David" w:eastAsia="Calibri" w:hAnsi="David"/>
          <w:noProof w:val="0"/>
          <w:u w:val="single"/>
        </w:rPr>
      </w:pPr>
      <w:r w:rsidRPr="00000900">
        <w:rPr>
          <w:rFonts w:ascii="David" w:eastAsia="Calibri" w:hAnsi="David"/>
          <w:noProof w:val="0"/>
          <w:rtl/>
        </w:rPr>
        <w:t>ר' הדברים שנאמרו גם בע"א 102/80 </w:t>
      </w:r>
      <w:r w:rsidRPr="00000900">
        <w:rPr>
          <w:rFonts w:ascii="David" w:eastAsia="Calibri" w:hAnsi="David"/>
          <w:b/>
          <w:bCs/>
          <w:noProof w:val="0"/>
          <w:rtl/>
        </w:rPr>
        <w:t>חיה שרה פרוכטנבוים נ' מגן דוד אדום בישראל</w:t>
      </w:r>
      <w:r w:rsidRPr="00000900">
        <w:rPr>
          <w:rFonts w:ascii="David" w:eastAsia="Calibri" w:hAnsi="David"/>
          <w:noProof w:val="0"/>
        </w:rPr>
        <w:t xml:space="preserve">, </w:t>
      </w:r>
      <w:r w:rsidRPr="00000900">
        <w:rPr>
          <w:rFonts w:ascii="David" w:eastAsia="Calibri" w:hAnsi="David"/>
          <w:noProof w:val="0"/>
          <w:rtl/>
        </w:rPr>
        <w:t>לו(4) 739 (1982):</w:t>
      </w:r>
    </w:p>
    <w:p w:rsidR="001741B5" w:rsidRPr="00000900" w:rsidRDefault="001741B5" w:rsidP="000D7F45">
      <w:pPr>
        <w:spacing w:before="200" w:after="160"/>
        <w:ind w:left="864" w:right="864"/>
        <w:jc w:val="both"/>
        <w:rPr>
          <w:rFonts w:ascii="David" w:eastAsia="Calibri" w:hAnsi="David"/>
          <w:b/>
          <w:bCs/>
          <w:i/>
          <w:iCs/>
          <w:noProof w:val="0"/>
          <w:color w:val="404040"/>
        </w:rPr>
      </w:pPr>
      <w:r w:rsidRPr="00000900">
        <w:rPr>
          <w:rFonts w:ascii="David" w:eastAsia="Calibri" w:hAnsi="David"/>
          <w:b/>
          <w:bCs/>
          <w:i/>
          <w:iCs/>
          <w:noProof w:val="0"/>
          <w:color w:val="404040"/>
          <w:rtl/>
        </w:rPr>
        <w:lastRenderedPageBreak/>
        <w:t>"בהתאם לתורה זו, כאשר אמנם הבהיר המצווה את כוונתו, אך הוראתו הברורה אינה ניתנת לקיום כלשונה, כגון ציווה אדם מנה לבית יתומים פלוני ואותו בית היתומים נסגר, הרי יש מקום לנקוט צעד, שבא לבצע את כוו</w:t>
      </w:r>
      <w:r w:rsidR="00405DC6">
        <w:rPr>
          <w:rFonts w:ascii="David" w:eastAsia="Calibri" w:hAnsi="David" w:hint="cs"/>
          <w:b/>
          <w:bCs/>
          <w:i/>
          <w:iCs/>
          <w:noProof w:val="0"/>
          <w:color w:val="404040"/>
          <w:rtl/>
        </w:rPr>
        <w:t>(נ)</w:t>
      </w:r>
      <w:r w:rsidRPr="00000900">
        <w:rPr>
          <w:rFonts w:ascii="David" w:eastAsia="Calibri" w:hAnsi="David"/>
          <w:b/>
          <w:bCs/>
          <w:i/>
          <w:iCs/>
          <w:noProof w:val="0"/>
          <w:color w:val="404040"/>
          <w:rtl/>
        </w:rPr>
        <w:t>תו הברורה של המצווה, אם כי בדרך שונה במקצת, אשר - מניחים אנו - הייתה מקובלת עליו, אילו ניתן היה לשאול אותו, כגון להעביר את המנה שציווה לבית היתומים שבינתיים עבר מן העולם לבית יתומים דומה לראשון מבחינת מתכונת החינוך והרכב החניכים. בהחלת עקרון ה</w:t>
      </w:r>
      <w:r w:rsidRPr="00000900">
        <w:rPr>
          <w:rFonts w:ascii="David" w:eastAsia="Calibri" w:hAnsi="David"/>
          <w:b/>
          <w:bCs/>
          <w:i/>
          <w:iCs/>
          <w:noProof w:val="0"/>
          <w:color w:val="404040"/>
        </w:rPr>
        <w:t>- cypres</w:t>
      </w:r>
      <w:r w:rsidRPr="00000900">
        <w:rPr>
          <w:rFonts w:ascii="David" w:eastAsia="Calibri" w:hAnsi="David"/>
          <w:b/>
          <w:bCs/>
          <w:i/>
          <w:iCs/>
          <w:noProof w:val="0"/>
          <w:color w:val="404040"/>
          <w:rtl/>
        </w:rPr>
        <w:t>יודעים אנו את כוונת המצווה ומקיימים אנו את רצונו, אם כי בדרך שונה במקצת</w:t>
      </w:r>
      <w:r w:rsidRPr="00000900">
        <w:rPr>
          <w:rFonts w:ascii="David" w:eastAsia="Calibri" w:hAnsi="David"/>
          <w:b/>
          <w:bCs/>
          <w:i/>
          <w:iCs/>
          <w:noProof w:val="0"/>
          <w:color w:val="404040"/>
        </w:rPr>
        <w:t>."</w:t>
      </w:r>
    </w:p>
    <w:p w:rsidR="001741B5" w:rsidRPr="00000900" w:rsidRDefault="001741B5" w:rsidP="000D7F45">
      <w:pPr>
        <w:ind w:left="-58"/>
        <w:contextualSpacing/>
        <w:jc w:val="both"/>
        <w:rPr>
          <w:rFonts w:ascii="David" w:eastAsia="Calibri" w:hAnsi="David"/>
          <w:noProof w:val="0"/>
          <w:u w:val="single"/>
          <w:rtl/>
        </w:rPr>
      </w:pPr>
    </w:p>
    <w:p w:rsidR="00405DC6" w:rsidRPr="00405DC6" w:rsidRDefault="001741B5" w:rsidP="000D7F45">
      <w:pPr>
        <w:numPr>
          <w:ilvl w:val="0"/>
          <w:numId w:val="3"/>
        </w:numPr>
        <w:spacing w:after="160"/>
        <w:ind w:left="-58" w:hanging="567"/>
        <w:contextualSpacing/>
        <w:jc w:val="both"/>
        <w:rPr>
          <w:rFonts w:ascii="David" w:eastAsia="Calibri" w:hAnsi="David"/>
          <w:noProof w:val="0"/>
          <w:u w:val="single"/>
        </w:rPr>
      </w:pPr>
      <w:r w:rsidRPr="00000900">
        <w:rPr>
          <w:rFonts w:ascii="David" w:eastAsia="Calibri" w:hAnsi="David"/>
          <w:noProof w:val="0"/>
          <w:rtl/>
        </w:rPr>
        <w:t>מצאתי כי, יש לעשות שימוש בדוקטרינת הביצוע בקירוב לצורך הגשמת רצון המנוחה.</w:t>
      </w:r>
    </w:p>
    <w:p w:rsidR="001741B5" w:rsidRPr="00000900" w:rsidRDefault="001741B5" w:rsidP="000D7F45">
      <w:pPr>
        <w:spacing w:after="160"/>
        <w:ind w:left="-58"/>
        <w:contextualSpacing/>
        <w:jc w:val="both"/>
        <w:rPr>
          <w:rFonts w:ascii="David" w:eastAsia="Calibri" w:hAnsi="David"/>
          <w:noProof w:val="0"/>
          <w:u w:val="single"/>
        </w:rPr>
      </w:pPr>
      <w:r w:rsidRPr="00000900">
        <w:rPr>
          <w:rFonts w:ascii="David" w:eastAsia="Calibri" w:hAnsi="David"/>
          <w:noProof w:val="0"/>
          <w:rtl/>
        </w:rPr>
        <w:t xml:space="preserve"> </w:t>
      </w:r>
    </w:p>
    <w:p w:rsidR="002F13BC"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כמפורט בהרחבה לעיל, רצון המנוחה היה לדאוג לקורת גג עבור הנתבע, אך לא בצורה מוחלטת ולכל החיים. </w:t>
      </w:r>
      <w:r w:rsidR="002F13BC">
        <w:rPr>
          <w:rFonts w:ascii="David" w:eastAsia="Calibri" w:hAnsi="David" w:hint="cs"/>
          <w:noProof w:val="0"/>
          <w:rtl/>
        </w:rPr>
        <w:t xml:space="preserve">את רצונה של המנוחה ניתן להגשים בקירוב באופן בו תובטח לנתבע קורת גג, אין זה משנה אם בנכס דנן או בנכס אחר, העיקר שלבנה יהא מקום מגורים.  </w:t>
      </w:r>
    </w:p>
    <w:p w:rsidR="002F13BC" w:rsidRDefault="002F13BC" w:rsidP="000D7F45">
      <w:pPr>
        <w:pStyle w:val="ad"/>
        <w:rPr>
          <w:rFonts w:ascii="David" w:eastAsia="Calibri" w:hAnsi="David"/>
          <w:noProof w:val="0"/>
          <w:rtl/>
        </w:rPr>
      </w:pPr>
    </w:p>
    <w:p w:rsidR="002F13BC" w:rsidRDefault="002F13BC" w:rsidP="000D7F45">
      <w:pPr>
        <w:numPr>
          <w:ilvl w:val="0"/>
          <w:numId w:val="3"/>
        </w:numPr>
        <w:spacing w:after="160"/>
        <w:ind w:left="-58" w:hanging="567"/>
        <w:contextualSpacing/>
        <w:jc w:val="both"/>
        <w:rPr>
          <w:rFonts w:ascii="David" w:eastAsia="Calibri" w:hAnsi="David"/>
          <w:noProof w:val="0"/>
        </w:rPr>
      </w:pPr>
      <w:r>
        <w:rPr>
          <w:rFonts w:ascii="David" w:eastAsia="Calibri" w:hAnsi="David" w:hint="cs"/>
          <w:noProof w:val="0"/>
          <w:rtl/>
        </w:rPr>
        <w:t xml:space="preserve">כאן המקום להדגיש, כי בסע' 4 לצוואה הורישה המנוחה את חלקה בנכס לתובע, </w:t>
      </w:r>
      <w:r w:rsidR="00133A9B">
        <w:rPr>
          <w:rFonts w:ascii="David" w:eastAsia="Calibri" w:hAnsi="David" w:hint="cs"/>
          <w:noProof w:val="0"/>
          <w:rtl/>
        </w:rPr>
        <w:t xml:space="preserve">אך אין בצוואה </w:t>
      </w:r>
      <w:r>
        <w:rPr>
          <w:rFonts w:ascii="David" w:eastAsia="Calibri" w:hAnsi="David" w:hint="cs"/>
          <w:noProof w:val="0"/>
          <w:rtl/>
        </w:rPr>
        <w:t>כל הוראה שאומרת מה יעשה בחלקה בנכס לאחר פטירת היורש</w:t>
      </w:r>
      <w:r w:rsidR="00133A9B">
        <w:rPr>
          <w:rFonts w:ascii="David" w:eastAsia="Calibri" w:hAnsi="David" w:hint="cs"/>
          <w:noProof w:val="0"/>
          <w:rtl/>
        </w:rPr>
        <w:t xml:space="preserve"> (התובע)</w:t>
      </w:r>
      <w:r>
        <w:rPr>
          <w:rFonts w:ascii="David" w:eastAsia="Calibri" w:hAnsi="David" w:hint="cs"/>
          <w:noProof w:val="0"/>
          <w:rtl/>
        </w:rPr>
        <w:t xml:space="preserve">, מבחינת הורשתו, </w:t>
      </w:r>
      <w:r w:rsidR="00133A9B">
        <w:rPr>
          <w:rFonts w:ascii="David" w:eastAsia="Calibri" w:hAnsi="David" w:hint="cs"/>
          <w:noProof w:val="0"/>
          <w:rtl/>
        </w:rPr>
        <w:t xml:space="preserve">קבלת תמורת </w:t>
      </w:r>
      <w:r>
        <w:rPr>
          <w:rFonts w:ascii="David" w:eastAsia="Calibri" w:hAnsi="David" w:hint="cs"/>
          <w:noProof w:val="0"/>
          <w:rtl/>
        </w:rPr>
        <w:t>מכירתו וכו', והמשתמע מכך</w:t>
      </w:r>
      <w:r w:rsidR="00133A9B">
        <w:rPr>
          <w:rFonts w:ascii="David" w:eastAsia="Calibri" w:hAnsi="David" w:hint="cs"/>
          <w:noProof w:val="0"/>
          <w:rtl/>
        </w:rPr>
        <w:t xml:space="preserve"> הוא</w:t>
      </w:r>
      <w:r>
        <w:rPr>
          <w:rFonts w:ascii="David" w:eastAsia="Calibri" w:hAnsi="David" w:hint="cs"/>
          <w:noProof w:val="0"/>
          <w:rtl/>
        </w:rPr>
        <w:t xml:space="preserve"> שהתובע</w:t>
      </w:r>
      <w:r w:rsidR="00133A9B">
        <w:rPr>
          <w:rFonts w:ascii="David" w:eastAsia="Calibri" w:hAnsi="David" w:hint="cs"/>
          <w:noProof w:val="0"/>
          <w:rtl/>
        </w:rPr>
        <w:t xml:space="preserve"> רשאי לצוות את הנכס למי שהוא חפץ, אף מבלי לחלק את תמורת חלקה של המנוחה בנכס, בין יורשיה, לרבות הנתבע. </w:t>
      </w:r>
      <w:r>
        <w:rPr>
          <w:rFonts w:ascii="David" w:eastAsia="Calibri" w:hAnsi="David" w:hint="cs"/>
          <w:noProof w:val="0"/>
          <w:rtl/>
        </w:rPr>
        <w:t xml:space="preserve">  </w:t>
      </w:r>
    </w:p>
    <w:p w:rsidR="000C7838" w:rsidRDefault="000C7838" w:rsidP="000D7F45">
      <w:pPr>
        <w:pStyle w:val="ad"/>
        <w:rPr>
          <w:rFonts w:ascii="David" w:eastAsia="Calibri" w:hAnsi="David"/>
          <w:noProof w:val="0"/>
          <w:rtl/>
        </w:rPr>
      </w:pPr>
    </w:p>
    <w:p w:rsidR="000C7838" w:rsidRDefault="000C7838" w:rsidP="000D7F45">
      <w:pPr>
        <w:numPr>
          <w:ilvl w:val="0"/>
          <w:numId w:val="3"/>
        </w:numPr>
        <w:spacing w:after="160"/>
        <w:ind w:left="-58" w:hanging="567"/>
        <w:contextualSpacing/>
        <w:jc w:val="both"/>
        <w:rPr>
          <w:rFonts w:ascii="David" w:eastAsia="Calibri" w:hAnsi="David"/>
          <w:noProof w:val="0"/>
        </w:rPr>
      </w:pPr>
      <w:r>
        <w:rPr>
          <w:rFonts w:ascii="David" w:eastAsia="Calibri" w:hAnsi="David" w:hint="cs"/>
          <w:noProof w:val="0"/>
          <w:rtl/>
        </w:rPr>
        <w:t xml:space="preserve">ואולם, מאחר שעסקינן בכיבוד רצונה של המנוחה (בקירוב), ונהיר כי ביקשה להעניק קורת גג לנתבע, </w:t>
      </w:r>
      <w:r w:rsidR="00212A15">
        <w:rPr>
          <w:rFonts w:ascii="David" w:eastAsia="Calibri" w:hAnsi="David" w:hint="cs"/>
          <w:noProof w:val="0"/>
          <w:rtl/>
        </w:rPr>
        <w:t xml:space="preserve">ומנגד בהביאני בחשבון כי לא ניתן לפגוע בזכויותיו הקנייניות של התובע המעוניין בפירוק שיתוף - </w:t>
      </w:r>
      <w:r>
        <w:rPr>
          <w:rFonts w:ascii="David" w:eastAsia="Calibri" w:hAnsi="David" w:hint="cs"/>
          <w:noProof w:val="0"/>
          <w:rtl/>
        </w:rPr>
        <w:t>הדרך להגשי</w:t>
      </w:r>
      <w:r w:rsidR="00212A15">
        <w:rPr>
          <w:rFonts w:ascii="David" w:eastAsia="Calibri" w:hAnsi="David" w:hint="cs"/>
          <w:noProof w:val="0"/>
          <w:rtl/>
        </w:rPr>
        <w:t xml:space="preserve">ם את רצון המנוחה, היא באמצעות מתן סכום כסף לנתבע, מכספי תמורת המכר שיתקבלו ממכירת הנכס.  </w:t>
      </w:r>
    </w:p>
    <w:p w:rsidR="000D7F45" w:rsidRDefault="000D7F45" w:rsidP="000D7F45">
      <w:pPr>
        <w:spacing w:after="160"/>
        <w:ind w:left="-58"/>
        <w:contextualSpacing/>
        <w:jc w:val="both"/>
        <w:rPr>
          <w:rFonts w:ascii="David" w:eastAsia="Calibri" w:hAnsi="David"/>
          <w:noProof w:val="0"/>
        </w:rPr>
      </w:pPr>
    </w:p>
    <w:p w:rsidR="001741B5" w:rsidRPr="00000900" w:rsidRDefault="00405DC6" w:rsidP="000D7F45">
      <w:pPr>
        <w:numPr>
          <w:ilvl w:val="0"/>
          <w:numId w:val="3"/>
        </w:numPr>
        <w:spacing w:after="160"/>
        <w:ind w:left="-58" w:hanging="567"/>
        <w:contextualSpacing/>
        <w:jc w:val="both"/>
        <w:rPr>
          <w:rFonts w:ascii="David" w:eastAsia="Calibri" w:hAnsi="David"/>
          <w:noProof w:val="0"/>
          <w:rtl/>
        </w:rPr>
      </w:pPr>
      <w:r>
        <w:rPr>
          <w:rFonts w:ascii="David" w:eastAsia="Calibri" w:hAnsi="David" w:hint="cs"/>
          <w:noProof w:val="0"/>
          <w:rtl/>
        </w:rPr>
        <w:t xml:space="preserve">אדגיש, כי טרם הוגשה התובענה וכן לאחריה, הציע התובע לנתבע אפשרות שתגשים בקירוב את רצון המנוחה, אך הנתבע דחה את ההצעה. </w:t>
      </w:r>
    </w:p>
    <w:p w:rsidR="00405DC6" w:rsidRDefault="00405DC6" w:rsidP="000D7F45">
      <w:pPr>
        <w:spacing w:after="160"/>
        <w:ind w:left="-58"/>
        <w:contextualSpacing/>
        <w:jc w:val="both"/>
        <w:rPr>
          <w:rFonts w:ascii="David" w:eastAsia="Calibri" w:hAnsi="David"/>
          <w:noProof w:val="0"/>
        </w:rPr>
      </w:pPr>
    </w:p>
    <w:p w:rsidR="00405DC6" w:rsidRDefault="001741B5" w:rsidP="000D7F45">
      <w:pPr>
        <w:numPr>
          <w:ilvl w:val="0"/>
          <w:numId w:val="3"/>
        </w:numPr>
        <w:spacing w:after="160"/>
        <w:ind w:left="-58" w:hanging="567"/>
        <w:contextualSpacing/>
        <w:jc w:val="both"/>
        <w:rPr>
          <w:rFonts w:ascii="David" w:eastAsia="Calibri" w:hAnsi="David"/>
          <w:noProof w:val="0"/>
        </w:rPr>
      </w:pPr>
      <w:r w:rsidRPr="00B059CF">
        <w:rPr>
          <w:rFonts w:ascii="David" w:eastAsia="Calibri" w:hAnsi="David"/>
          <w:noProof w:val="0"/>
          <w:rtl/>
        </w:rPr>
        <w:t xml:space="preserve">בכדי להגשים </w:t>
      </w:r>
      <w:r w:rsidR="00212A15" w:rsidRPr="00B059CF">
        <w:rPr>
          <w:rFonts w:ascii="David" w:eastAsia="Calibri" w:hAnsi="David" w:hint="cs"/>
          <w:noProof w:val="0"/>
          <w:rtl/>
        </w:rPr>
        <w:t xml:space="preserve">את </w:t>
      </w:r>
      <w:r w:rsidRPr="00B059CF">
        <w:rPr>
          <w:rFonts w:ascii="David" w:eastAsia="Calibri" w:hAnsi="David"/>
          <w:noProof w:val="0"/>
          <w:rtl/>
        </w:rPr>
        <w:t>רצון</w:t>
      </w:r>
      <w:r w:rsidR="00212A15" w:rsidRPr="00B059CF">
        <w:rPr>
          <w:rFonts w:ascii="David" w:eastAsia="Calibri" w:hAnsi="David" w:hint="cs"/>
          <w:noProof w:val="0"/>
          <w:rtl/>
        </w:rPr>
        <w:t xml:space="preserve"> המנוחה</w:t>
      </w:r>
      <w:r w:rsidRPr="00B059CF">
        <w:rPr>
          <w:rFonts w:ascii="David" w:eastAsia="Calibri" w:hAnsi="David"/>
          <w:noProof w:val="0"/>
          <w:rtl/>
        </w:rPr>
        <w:t xml:space="preserve"> </w:t>
      </w:r>
      <w:r w:rsidR="00212A15" w:rsidRPr="00B059CF">
        <w:rPr>
          <w:rFonts w:ascii="David" w:eastAsia="Calibri" w:hAnsi="David" w:hint="cs"/>
          <w:noProof w:val="0"/>
          <w:rtl/>
        </w:rPr>
        <w:t>אפוא</w:t>
      </w:r>
      <w:r w:rsidRPr="00B059CF">
        <w:rPr>
          <w:rFonts w:ascii="David" w:eastAsia="Calibri" w:hAnsi="David"/>
          <w:noProof w:val="0"/>
          <w:rtl/>
        </w:rPr>
        <w:t xml:space="preserve">, </w:t>
      </w:r>
      <w:r w:rsidR="003E4979" w:rsidRPr="00B059CF">
        <w:rPr>
          <w:rFonts w:ascii="David" w:eastAsia="Calibri" w:hAnsi="David" w:hint="cs"/>
          <w:noProof w:val="0"/>
          <w:rtl/>
        </w:rPr>
        <w:t xml:space="preserve">יש </w:t>
      </w:r>
      <w:r w:rsidR="00A1006C" w:rsidRPr="00B059CF">
        <w:rPr>
          <w:rFonts w:ascii="David" w:eastAsia="Calibri" w:hAnsi="David" w:hint="cs"/>
          <w:noProof w:val="0"/>
          <w:rtl/>
        </w:rPr>
        <w:t xml:space="preserve">להעניק לנתבע סכום כסף </w:t>
      </w:r>
      <w:r w:rsidR="00B059CF" w:rsidRPr="00B059CF">
        <w:rPr>
          <w:rFonts w:ascii="David" w:eastAsia="Calibri" w:hAnsi="David" w:hint="cs"/>
          <w:noProof w:val="0"/>
          <w:rtl/>
        </w:rPr>
        <w:t xml:space="preserve">אשר יבטיח לו קורת גג. </w:t>
      </w:r>
      <w:r w:rsidR="00B059CF">
        <w:rPr>
          <w:rFonts w:ascii="David" w:eastAsia="Calibri" w:hAnsi="David" w:hint="cs"/>
          <w:noProof w:val="0"/>
          <w:rtl/>
        </w:rPr>
        <w:t xml:space="preserve">בעניין זה, כאמור, המנוחה העניקה את חלקה בנכס לתובע. המנוחה לא ציוותה כי תמורתו תחולק כלל, כלומר כולה תוקנה לתובע. </w:t>
      </w:r>
    </w:p>
    <w:p w:rsidR="00B059CF" w:rsidRDefault="00B059CF" w:rsidP="000D7F45">
      <w:pPr>
        <w:pStyle w:val="ad"/>
        <w:rPr>
          <w:rFonts w:ascii="David" w:eastAsia="Calibri" w:hAnsi="David"/>
          <w:noProof w:val="0"/>
          <w:rtl/>
        </w:rPr>
      </w:pPr>
    </w:p>
    <w:p w:rsidR="00B059CF" w:rsidRDefault="00B059CF" w:rsidP="000D7F45">
      <w:pPr>
        <w:numPr>
          <w:ilvl w:val="0"/>
          <w:numId w:val="3"/>
        </w:numPr>
        <w:spacing w:after="160"/>
        <w:ind w:left="-58" w:hanging="567"/>
        <w:contextualSpacing/>
        <w:jc w:val="both"/>
        <w:rPr>
          <w:rFonts w:ascii="David" w:eastAsia="Calibri" w:hAnsi="David"/>
          <w:noProof w:val="0"/>
        </w:rPr>
      </w:pPr>
      <w:r>
        <w:rPr>
          <w:rFonts w:ascii="David" w:eastAsia="Calibri" w:hAnsi="David" w:hint="cs"/>
          <w:noProof w:val="0"/>
          <w:rtl/>
        </w:rPr>
        <w:t xml:space="preserve">לפיכך, ניתן ליטול מכספי התמורה של הנכס בו עותר התובע לפרק את השותפות, מבלי לגרוע מזכויות ילדיה הנוספים של המנוחה, כיוון שאין להם עוד זכויות בנכס זה. </w:t>
      </w:r>
    </w:p>
    <w:p w:rsidR="00B059CF" w:rsidRDefault="00B059CF" w:rsidP="000D7F45">
      <w:pPr>
        <w:spacing w:after="160"/>
        <w:ind w:left="-58"/>
        <w:contextualSpacing/>
        <w:jc w:val="both"/>
        <w:rPr>
          <w:rFonts w:ascii="David" w:eastAsia="Calibri" w:hAnsi="David"/>
          <w:noProof w:val="0"/>
        </w:rPr>
      </w:pPr>
      <w:r>
        <w:rPr>
          <w:rFonts w:ascii="David" w:eastAsia="Calibri" w:hAnsi="David" w:hint="cs"/>
          <w:noProof w:val="0"/>
          <w:rtl/>
        </w:rPr>
        <w:t xml:space="preserve"> </w:t>
      </w:r>
    </w:p>
    <w:p w:rsidR="00E73FCE" w:rsidRDefault="00490A8E" w:rsidP="000D7F45">
      <w:pPr>
        <w:numPr>
          <w:ilvl w:val="0"/>
          <w:numId w:val="3"/>
        </w:numPr>
        <w:spacing w:after="160"/>
        <w:ind w:left="-58" w:hanging="567"/>
        <w:contextualSpacing/>
        <w:jc w:val="both"/>
        <w:rPr>
          <w:rFonts w:ascii="David" w:eastAsia="Calibri" w:hAnsi="David"/>
          <w:noProof w:val="0"/>
        </w:rPr>
      </w:pPr>
      <w:r>
        <w:rPr>
          <w:rFonts w:ascii="David" w:eastAsia="Calibri" w:hAnsi="David" w:hint="cs"/>
          <w:noProof w:val="0"/>
          <w:rtl/>
        </w:rPr>
        <w:t xml:space="preserve">ע"מ להגשים את רצונה של המנוחה סבורתני כי נכון להעניק לנתבע שיעור של 40% מחלקה של המנוחה בנכס.  </w:t>
      </w:r>
      <w:r w:rsidR="00E73FCE">
        <w:rPr>
          <w:rFonts w:ascii="David" w:eastAsia="Calibri" w:hAnsi="David" w:hint="cs"/>
          <w:noProof w:val="0"/>
          <w:rtl/>
        </w:rPr>
        <w:t xml:space="preserve">הבאתי בחשבון כי הצוואה נערכה ביום 14.12.17, כשבניה"ז מבוגרים ואינם בקו הבריאות, כך, שלא היתה היתכנות שהנתבע יגור בדירה עשרות שנים קדימה. </w:t>
      </w:r>
    </w:p>
    <w:p w:rsidR="00E73FCE" w:rsidRDefault="00E73FCE" w:rsidP="000D7F45">
      <w:pPr>
        <w:pStyle w:val="ad"/>
        <w:rPr>
          <w:rFonts w:ascii="David" w:eastAsia="Calibri" w:hAnsi="David"/>
          <w:noProof w:val="0"/>
          <w:rtl/>
        </w:rPr>
      </w:pPr>
    </w:p>
    <w:p w:rsidR="00B059CF" w:rsidRDefault="00E73FCE" w:rsidP="000D7F45">
      <w:pPr>
        <w:numPr>
          <w:ilvl w:val="0"/>
          <w:numId w:val="3"/>
        </w:numPr>
        <w:spacing w:after="160"/>
        <w:ind w:left="-58" w:hanging="567"/>
        <w:contextualSpacing/>
        <w:jc w:val="both"/>
        <w:rPr>
          <w:rFonts w:ascii="David" w:eastAsia="Calibri" w:hAnsi="David"/>
          <w:noProof w:val="0"/>
        </w:rPr>
      </w:pPr>
      <w:r>
        <w:rPr>
          <w:rFonts w:ascii="David" w:eastAsia="Calibri" w:hAnsi="David" w:hint="cs"/>
          <w:noProof w:val="0"/>
          <w:rtl/>
        </w:rPr>
        <w:t xml:space="preserve">כן אזכיר כי לשיעור דומה הסכים התובע מלכתחילה וציין זאת בכתב תביעתו (סע' 25-26).   </w:t>
      </w:r>
    </w:p>
    <w:p w:rsidR="00B059CF" w:rsidRPr="00B059CF" w:rsidRDefault="00B059CF" w:rsidP="000D7F45">
      <w:pPr>
        <w:spacing w:after="160"/>
        <w:ind w:left="-58"/>
        <w:contextualSpacing/>
        <w:jc w:val="both"/>
        <w:rPr>
          <w:rFonts w:ascii="David" w:eastAsia="Calibri" w:hAnsi="David"/>
          <w:noProof w:val="0"/>
        </w:rPr>
      </w:pPr>
    </w:p>
    <w:p w:rsidR="001741B5" w:rsidRDefault="001741B5" w:rsidP="000D7F45">
      <w:pPr>
        <w:ind w:left="-58"/>
        <w:contextualSpacing/>
        <w:jc w:val="both"/>
        <w:rPr>
          <w:rFonts w:ascii="David" w:eastAsia="Calibri" w:hAnsi="David"/>
          <w:b/>
          <w:bCs/>
          <w:noProof w:val="0"/>
          <w:u w:val="single"/>
          <w:rtl/>
        </w:rPr>
      </w:pPr>
      <w:r w:rsidRPr="00000900">
        <w:rPr>
          <w:rFonts w:ascii="David" w:eastAsia="Calibri" w:hAnsi="David"/>
          <w:b/>
          <w:bCs/>
          <w:noProof w:val="0"/>
          <w:u w:val="single"/>
          <w:rtl/>
        </w:rPr>
        <w:t xml:space="preserve">סיכום הסעדים </w:t>
      </w:r>
    </w:p>
    <w:p w:rsidR="003E4979" w:rsidRPr="00000900" w:rsidRDefault="003E4979" w:rsidP="000D7F45">
      <w:pPr>
        <w:ind w:left="-58"/>
        <w:contextualSpacing/>
        <w:jc w:val="both"/>
        <w:rPr>
          <w:rFonts w:ascii="David" w:eastAsia="Calibri" w:hAnsi="David"/>
          <w:b/>
          <w:bCs/>
          <w:noProof w:val="0"/>
          <w:u w:val="single"/>
          <w:rtl/>
        </w:rPr>
      </w:pPr>
    </w:p>
    <w:p w:rsidR="001741B5"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u w:val="single"/>
          <w:rtl/>
        </w:rPr>
        <w:t>סילוק ידו של הנתבע מהנכס</w:t>
      </w:r>
      <w:r w:rsidRPr="00000900">
        <w:rPr>
          <w:rFonts w:ascii="David" w:eastAsia="Calibri" w:hAnsi="David"/>
          <w:noProof w:val="0"/>
          <w:rtl/>
        </w:rPr>
        <w:t xml:space="preserve"> – </w:t>
      </w:r>
      <w:r w:rsidR="00A1006C">
        <w:rPr>
          <w:rFonts w:ascii="David" w:eastAsia="Calibri" w:hAnsi="David" w:hint="cs"/>
          <w:noProof w:val="0"/>
          <w:rtl/>
        </w:rPr>
        <w:t xml:space="preserve">הנתבע יפנה את הנכס בתוך 3 חודשים. </w:t>
      </w:r>
    </w:p>
    <w:p w:rsidR="00A1006C" w:rsidRPr="00A1006C" w:rsidRDefault="00A1006C" w:rsidP="000D7F45">
      <w:pPr>
        <w:spacing w:after="160"/>
        <w:ind w:left="-58"/>
        <w:contextualSpacing/>
        <w:jc w:val="both"/>
        <w:rPr>
          <w:rFonts w:ascii="David" w:eastAsia="Calibri" w:hAnsi="David"/>
          <w:noProof w:val="0"/>
        </w:rPr>
      </w:pPr>
      <w:r>
        <w:rPr>
          <w:rFonts w:ascii="David" w:eastAsia="Calibri" w:hAnsi="David" w:hint="cs"/>
          <w:noProof w:val="0"/>
          <w:u w:val="single"/>
          <w:rtl/>
        </w:rPr>
        <w:t xml:space="preserve"> </w:t>
      </w:r>
    </w:p>
    <w:p w:rsidR="00A1006C" w:rsidRPr="00A1006C" w:rsidRDefault="00A1006C"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הנתבע </w:t>
      </w:r>
      <w:r w:rsidR="00B059CF">
        <w:rPr>
          <w:rFonts w:ascii="David" w:eastAsia="Calibri" w:hAnsi="David" w:hint="cs"/>
          <w:noProof w:val="0"/>
          <w:rtl/>
        </w:rPr>
        <w:t xml:space="preserve">יקבל </w:t>
      </w:r>
      <w:r w:rsidR="00E73FCE">
        <w:rPr>
          <w:rFonts w:ascii="David" w:eastAsia="Calibri" w:hAnsi="David" w:hint="cs"/>
          <w:noProof w:val="0"/>
          <w:rtl/>
        </w:rPr>
        <w:t xml:space="preserve">40% מתוך חלקה של המנוחה שהיה לה בנכס, עובר לציוויו לתובע. </w:t>
      </w:r>
    </w:p>
    <w:p w:rsidR="00A1006C" w:rsidRDefault="00A1006C" w:rsidP="000D7F45">
      <w:pPr>
        <w:pStyle w:val="ad"/>
        <w:rPr>
          <w:rFonts w:ascii="David" w:eastAsia="Calibri" w:hAnsi="David"/>
          <w:noProof w:val="0"/>
          <w:u w:val="single"/>
          <w:rtl/>
        </w:rPr>
      </w:pPr>
    </w:p>
    <w:p w:rsidR="001741B5" w:rsidRPr="00000900"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u w:val="single"/>
          <w:rtl/>
        </w:rPr>
        <w:lastRenderedPageBreak/>
        <w:t xml:space="preserve">הסרת הערת האזהרה לגבי הזכויות אותן ירש התובע מהמנוחה בנכס לצורך מכירת הנכס </w:t>
      </w:r>
      <w:r w:rsidRPr="00000900">
        <w:rPr>
          <w:rFonts w:ascii="David" w:eastAsia="Calibri" w:hAnsi="David"/>
          <w:noProof w:val="0"/>
          <w:rtl/>
        </w:rPr>
        <w:t xml:space="preserve">– הערת האזהרה תוסר לאלתר וזאת בכפוף לקבוע בפסק דין זה. התובע יגיש נוסח צו לחתימה בעניין בתוך 14 יום ממועד המצאת פסק הדין. </w:t>
      </w:r>
    </w:p>
    <w:p w:rsidR="00A1006C" w:rsidRDefault="00A1006C" w:rsidP="000D7F45">
      <w:pPr>
        <w:pStyle w:val="ad"/>
        <w:rPr>
          <w:rFonts w:ascii="David" w:eastAsia="Calibri" w:hAnsi="David"/>
          <w:noProof w:val="0"/>
          <w:rtl/>
        </w:rPr>
      </w:pPr>
    </w:p>
    <w:p w:rsidR="001741B5" w:rsidRDefault="001741B5" w:rsidP="000D7F45">
      <w:pPr>
        <w:numPr>
          <w:ilvl w:val="0"/>
          <w:numId w:val="3"/>
        </w:numPr>
        <w:spacing w:after="160"/>
        <w:ind w:left="-58" w:hanging="567"/>
        <w:contextualSpacing/>
        <w:jc w:val="both"/>
        <w:rPr>
          <w:rFonts w:ascii="David" w:eastAsia="Calibri" w:hAnsi="David"/>
          <w:noProof w:val="0"/>
        </w:rPr>
      </w:pPr>
      <w:r w:rsidRPr="00000900">
        <w:rPr>
          <w:rFonts w:ascii="David" w:eastAsia="Calibri" w:hAnsi="David"/>
          <w:noProof w:val="0"/>
          <w:rtl/>
        </w:rPr>
        <w:t xml:space="preserve">חיוב הנתבע בפיצויים בגין הנזק שנגרם לנכס – הסעד נדחה. לא ברור לאילו נזקים מתכוון התובע, כמו כן, נזקים אלו לא הוכחו. </w:t>
      </w:r>
    </w:p>
    <w:p w:rsidR="000D7F45" w:rsidRDefault="000D7F45" w:rsidP="000D7F45">
      <w:pPr>
        <w:pStyle w:val="ad"/>
        <w:rPr>
          <w:rFonts w:ascii="David" w:eastAsia="Calibri" w:hAnsi="David"/>
          <w:noProof w:val="0"/>
          <w:rtl/>
        </w:rPr>
      </w:pPr>
    </w:p>
    <w:p w:rsidR="001741B5" w:rsidRPr="00000900" w:rsidRDefault="001741B5" w:rsidP="000D7F45">
      <w:pPr>
        <w:ind w:left="-58"/>
        <w:contextualSpacing/>
        <w:jc w:val="both"/>
        <w:rPr>
          <w:rFonts w:ascii="David" w:eastAsia="Calibri" w:hAnsi="David"/>
          <w:b/>
          <w:bCs/>
          <w:noProof w:val="0"/>
          <w:u w:val="single"/>
          <w:rtl/>
        </w:rPr>
      </w:pPr>
      <w:r w:rsidRPr="00000900">
        <w:rPr>
          <w:rFonts w:ascii="David" w:eastAsia="Calibri" w:hAnsi="David"/>
          <w:b/>
          <w:bCs/>
          <w:noProof w:val="0"/>
          <w:u w:val="single"/>
          <w:rtl/>
        </w:rPr>
        <w:t>סוף דבר</w:t>
      </w:r>
    </w:p>
    <w:p w:rsidR="00A1006C" w:rsidRDefault="00A1006C" w:rsidP="000D7F45">
      <w:pPr>
        <w:spacing w:after="160"/>
        <w:ind w:left="-58"/>
        <w:contextualSpacing/>
        <w:jc w:val="both"/>
        <w:rPr>
          <w:rFonts w:ascii="David" w:eastAsia="Calibri" w:hAnsi="David"/>
          <w:noProof w:val="0"/>
        </w:rPr>
      </w:pPr>
    </w:p>
    <w:p w:rsidR="00A1006C" w:rsidRDefault="001741B5" w:rsidP="000D7F45">
      <w:pPr>
        <w:spacing w:after="160"/>
        <w:ind w:left="-58"/>
        <w:contextualSpacing/>
        <w:jc w:val="both"/>
        <w:rPr>
          <w:rFonts w:ascii="David" w:eastAsia="Calibri" w:hAnsi="David"/>
          <w:noProof w:val="0"/>
        </w:rPr>
      </w:pPr>
      <w:r w:rsidRPr="00000900">
        <w:rPr>
          <w:rFonts w:ascii="David" w:eastAsia="Calibri" w:hAnsi="David"/>
          <w:noProof w:val="0"/>
          <w:rtl/>
        </w:rPr>
        <w:t>התובענה מתקבלת באופן חלקי בהתאם למפורט לעיל.</w:t>
      </w:r>
    </w:p>
    <w:p w:rsidR="001741B5" w:rsidRPr="00000900" w:rsidRDefault="001741B5" w:rsidP="000D7F45">
      <w:pPr>
        <w:spacing w:after="160"/>
        <w:ind w:left="-58"/>
        <w:contextualSpacing/>
        <w:jc w:val="both"/>
        <w:rPr>
          <w:rFonts w:ascii="David" w:eastAsia="Calibri" w:hAnsi="David"/>
          <w:noProof w:val="0"/>
        </w:rPr>
      </w:pPr>
      <w:r w:rsidRPr="00000900">
        <w:rPr>
          <w:rFonts w:ascii="David" w:eastAsia="Calibri" w:hAnsi="David"/>
          <w:noProof w:val="0"/>
          <w:rtl/>
        </w:rPr>
        <w:t xml:space="preserve"> </w:t>
      </w:r>
    </w:p>
    <w:p w:rsidR="001741B5" w:rsidRDefault="00A1006C" w:rsidP="000D7F45">
      <w:pPr>
        <w:spacing w:after="160"/>
        <w:contextualSpacing/>
        <w:jc w:val="both"/>
        <w:rPr>
          <w:rFonts w:ascii="David" w:eastAsia="Calibri" w:hAnsi="David"/>
          <w:noProof w:val="0"/>
          <w:rtl/>
        </w:rPr>
      </w:pPr>
      <w:r>
        <w:rPr>
          <w:rFonts w:ascii="David" w:eastAsia="Calibri" w:hAnsi="David" w:hint="cs"/>
          <w:noProof w:val="0"/>
          <w:rtl/>
        </w:rPr>
        <w:t xml:space="preserve">הנתבע יישא בהוצאות בסך 10,000 ₪ לטובת התובע. </w:t>
      </w:r>
    </w:p>
    <w:p w:rsidR="00F404D8" w:rsidRDefault="00F404D8" w:rsidP="000D7F45">
      <w:pPr>
        <w:spacing w:after="160"/>
        <w:contextualSpacing/>
        <w:jc w:val="both"/>
        <w:rPr>
          <w:rFonts w:ascii="David" w:eastAsia="Calibri" w:hAnsi="David"/>
          <w:noProof w:val="0"/>
          <w:rtl/>
        </w:rPr>
      </w:pPr>
    </w:p>
    <w:p w:rsidR="00F404D8" w:rsidRPr="00000900" w:rsidRDefault="00532D04" w:rsidP="000D7F45">
      <w:pPr>
        <w:spacing w:after="160"/>
        <w:contextualSpacing/>
        <w:jc w:val="both"/>
        <w:rPr>
          <w:rFonts w:ascii="David" w:eastAsia="Calibri" w:hAnsi="David"/>
          <w:noProof w:val="0"/>
        </w:rPr>
      </w:pPr>
      <w:r>
        <w:rPr>
          <w:rFonts w:ascii="David" w:eastAsia="Calibri" w:hAnsi="David" w:hint="cs"/>
          <w:noProof w:val="0"/>
          <w:rtl/>
        </w:rPr>
        <w:t>לאחר שניתנה לצדדים זכות הטיעון בעניין, והם לא התנגדו, פסק דין זה הותר בפרסום, בהשמטת כל פרט מזהה</w:t>
      </w:r>
      <w:r w:rsidR="00F404D8">
        <w:rPr>
          <w:rFonts w:ascii="David" w:eastAsia="Calibri" w:hAnsi="David" w:hint="cs"/>
          <w:noProof w:val="0"/>
          <w:rtl/>
        </w:rPr>
        <w:t xml:space="preserve">. </w:t>
      </w:r>
    </w:p>
    <w:p w:rsidR="002914D6" w:rsidRPr="00000900" w:rsidRDefault="002914D6" w:rsidP="000D7F45">
      <w:pPr>
        <w:jc w:val="both"/>
        <w:rPr>
          <w:rFonts w:ascii="David" w:hAnsi="David"/>
          <w:noProof w:val="0"/>
          <w:rtl/>
        </w:rPr>
      </w:pPr>
    </w:p>
    <w:p w:rsidR="002914D6" w:rsidRDefault="00011212" w:rsidP="000D7F45">
      <w:pPr>
        <w:jc w:val="both"/>
        <w:rPr>
          <w:rFonts w:ascii="David" w:hAnsi="David"/>
          <w:noProof w:val="0"/>
          <w:rtl/>
        </w:rPr>
      </w:pPr>
      <w:r w:rsidRPr="00000900">
        <w:rPr>
          <w:rFonts w:ascii="David" w:hAnsi="David"/>
          <w:noProof w:val="0"/>
          <w:rtl/>
        </w:rPr>
        <w:t xml:space="preserve">ניתן היום,  </w:t>
      </w:r>
      <w:sdt>
        <w:sdtPr>
          <w:rPr>
            <w:rFonts w:ascii="David" w:hAnsi="David"/>
            <w:rtl/>
          </w:rPr>
          <w:alias w:val="1455"/>
          <w:tag w:val="1455"/>
          <w:id w:val="550738450"/>
          <w:text w:multiLine="1"/>
        </w:sdtPr>
        <w:sdtEndPr/>
        <w:sdtContent>
          <w:r>
            <w:rPr>
              <w:rFonts w:ascii="David" w:hAnsi="David"/>
              <w:noProof w:val="0"/>
              <w:rtl/>
            </w:rPr>
            <w:t>כ"ב ניסן תשפ"ה</w:t>
          </w:r>
        </w:sdtContent>
      </w:sdt>
      <w:r w:rsidRPr="00000900">
        <w:rPr>
          <w:rFonts w:ascii="David" w:hAnsi="David"/>
          <w:noProof w:val="0"/>
          <w:rtl/>
        </w:rPr>
        <w:t xml:space="preserve">, </w:t>
      </w:r>
      <w:sdt>
        <w:sdtPr>
          <w:rPr>
            <w:rFonts w:ascii="David" w:hAnsi="David"/>
            <w:rtl/>
          </w:rPr>
          <w:alias w:val="1456"/>
          <w:tag w:val="1456"/>
          <w:id w:val="213085585"/>
          <w:text w:multiLine="1"/>
        </w:sdtPr>
        <w:sdtEndPr/>
        <w:sdtContent>
          <w:r>
            <w:rPr>
              <w:rFonts w:ascii="David" w:hAnsi="David"/>
              <w:noProof w:val="0"/>
              <w:rtl/>
            </w:rPr>
            <w:t>20 אפריל 2025</w:t>
          </w:r>
        </w:sdtContent>
      </w:sdt>
      <w:r w:rsidRPr="00000900">
        <w:rPr>
          <w:rFonts w:ascii="David" w:hAnsi="David"/>
          <w:noProof w:val="0"/>
          <w:rtl/>
        </w:rPr>
        <w:t>, בהעדר הצדדים.</w:t>
      </w:r>
    </w:p>
    <w:p w:rsidR="000622D8" w:rsidRPr="00000900" w:rsidRDefault="000622D8" w:rsidP="000D7F45">
      <w:pPr>
        <w:jc w:val="both"/>
        <w:rPr>
          <w:rFonts w:ascii="David" w:hAnsi="David"/>
          <w:noProof w:val="0"/>
          <w:rtl/>
        </w:rPr>
      </w:pPr>
    </w:p>
    <w:p w:rsidR="002914D6" w:rsidRPr="00000900" w:rsidRDefault="002914D6" w:rsidP="000D7F45">
      <w:pPr>
        <w:jc w:val="both"/>
        <w:rPr>
          <w:rFonts w:ascii="David" w:hAnsi="David"/>
          <w:noProof w:val="0"/>
          <w:rtl/>
        </w:rPr>
      </w:pPr>
    </w:p>
    <w:p w:rsidR="002914D6" w:rsidRPr="00000900" w:rsidRDefault="00521467" w:rsidP="000D7F45">
      <w:pPr>
        <w:jc w:val="center"/>
      </w:pPr>
      <w:r w:rsidRPr="00000900">
        <w:rPr>
          <w:rFonts w:ascii="David" w:hAnsi="David"/>
          <w:rtl/>
        </w:rPr>
        <w:tab/>
      </w:r>
      <w:r w:rsidRPr="00000900">
        <w:rPr>
          <w:rFonts w:ascii="David" w:hAnsi="David"/>
          <w:rtl/>
        </w:rPr>
        <w:tab/>
      </w:r>
      <w:r w:rsidRPr="00000900">
        <w:rPr>
          <w:rFonts w:ascii="David" w:hAnsi="David"/>
          <w:rtl/>
        </w:rPr>
        <w:tab/>
      </w:r>
      <w:sdt>
        <w:sdtPr>
          <w:rPr>
            <w:rtl/>
          </w:rPr>
          <w:alias w:val="MergeField"/>
          <w:tag w:val="1237"/>
          <w:id w:val="971171766"/>
        </w:sdtPr>
        <w:sdtEndPr/>
        <w:sdtContent>
          <w:r w:rsidR="000622D8">
            <w:drawing>
              <wp:inline distT="0" distB="0" distL="0" distR="0" wp14:editId="50D07946">
                <wp:extent cx="23050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7.jpg"/>
                        <pic:cNvPicPr/>
                      </pic:nvPicPr>
                      <pic:blipFill>
                        <a:blip r:embed="rId9" cstate="print">
                          <a:extLst/>
                        </a:blip>
                        <a:stretch>
                          <a:fillRect/>
                        </a:stretch>
                      </pic:blipFill>
                      <pic:spPr>
                        <a:xfrm>
                          <a:off x="0" y="0"/>
                          <a:ext cx="2305050" cy="914400"/>
                        </a:xfrm>
                        <a:prstGeom prst="rect">
                          <a:avLst/>
                        </a:prstGeom>
                      </pic:spPr>
                    </pic:pic>
                  </a:graphicData>
                </a:graphic>
              </wp:inline>
            </w:drawing>
          </w:r>
        </w:sdtContent>
      </w:sdt>
    </w:p>
    <w:p w:rsidR="002914D6" w:rsidRPr="00000900" w:rsidRDefault="002914D6" w:rsidP="000D7F45">
      <w:pPr>
        <w:jc w:val="center"/>
        <w:rPr>
          <w:rFonts w:ascii="David" w:hAnsi="David"/>
          <w:noProof w:val="0"/>
          <w:rtl/>
        </w:rPr>
      </w:pPr>
    </w:p>
    <w:p w:rsidR="002914D6" w:rsidRDefault="00F404D8" w:rsidP="000D7F45">
      <w:pPr>
        <w:jc w:val="both"/>
        <w:rPr>
          <w:rFonts w:ascii="David" w:hAnsi="David"/>
          <w:noProof w:val="0"/>
          <w:rtl/>
        </w:rPr>
      </w:pPr>
      <w:r>
        <w:rPr>
          <w:rFonts w:ascii="David" w:hAnsi="David"/>
          <w:noProof w:val="0"/>
          <w:rtl/>
        </w:rPr>
        <w:tab/>
      </w:r>
      <w:r>
        <w:rPr>
          <w:rFonts w:ascii="David" w:hAnsi="David"/>
          <w:noProof w:val="0"/>
          <w:rtl/>
        </w:rPr>
        <w:tab/>
      </w:r>
      <w:r>
        <w:rPr>
          <w:rFonts w:ascii="David" w:hAnsi="David"/>
          <w:noProof w:val="0"/>
          <w:rtl/>
        </w:rPr>
        <w:tab/>
      </w:r>
      <w:r>
        <w:rPr>
          <w:rFonts w:ascii="David" w:hAnsi="David"/>
          <w:noProof w:val="0"/>
          <w:rtl/>
        </w:rPr>
        <w:tab/>
      </w:r>
      <w:r>
        <w:rPr>
          <w:rFonts w:ascii="David" w:hAnsi="David"/>
          <w:noProof w:val="0"/>
          <w:rtl/>
        </w:rPr>
        <w:tab/>
      </w:r>
      <w:r>
        <w:rPr>
          <w:rFonts w:ascii="David" w:hAnsi="David"/>
          <w:noProof w:val="0"/>
          <w:rtl/>
        </w:rPr>
        <w:tab/>
      </w:r>
      <w:r>
        <w:rPr>
          <w:rFonts w:ascii="David" w:hAnsi="David"/>
          <w:noProof w:val="0"/>
          <w:rtl/>
        </w:rPr>
        <w:tab/>
      </w:r>
    </w:p>
    <w:p w:rsidR="00F404D8" w:rsidRPr="00000900" w:rsidRDefault="00F404D8" w:rsidP="000D7F45">
      <w:pPr>
        <w:jc w:val="both"/>
        <w:rPr>
          <w:rFonts w:ascii="David" w:hAnsi="David"/>
          <w:noProof w:val="0"/>
          <w:rtl/>
        </w:rPr>
      </w:pPr>
      <w:r>
        <w:rPr>
          <w:rFonts w:ascii="David" w:hAnsi="David"/>
          <w:noProof w:val="0"/>
          <w:rtl/>
        </w:rPr>
        <w:tab/>
      </w:r>
      <w:r>
        <w:rPr>
          <w:rFonts w:ascii="David" w:hAnsi="David"/>
          <w:noProof w:val="0"/>
          <w:rtl/>
        </w:rPr>
        <w:tab/>
      </w:r>
      <w:r>
        <w:rPr>
          <w:rFonts w:ascii="David" w:hAnsi="David"/>
          <w:noProof w:val="0"/>
          <w:rtl/>
        </w:rPr>
        <w:tab/>
      </w:r>
      <w:r>
        <w:rPr>
          <w:rFonts w:ascii="David" w:hAnsi="David"/>
          <w:noProof w:val="0"/>
          <w:rtl/>
        </w:rPr>
        <w:tab/>
      </w:r>
      <w:r>
        <w:rPr>
          <w:rFonts w:ascii="David" w:hAnsi="David"/>
          <w:noProof w:val="0"/>
          <w:rtl/>
        </w:rPr>
        <w:tab/>
      </w:r>
      <w:r>
        <w:rPr>
          <w:rFonts w:ascii="David" w:hAnsi="David"/>
          <w:noProof w:val="0"/>
          <w:rtl/>
        </w:rPr>
        <w:tab/>
      </w:r>
      <w:r>
        <w:rPr>
          <w:rFonts w:ascii="David" w:hAnsi="David"/>
          <w:noProof w:val="0"/>
          <w:rtl/>
        </w:rPr>
        <w:tab/>
      </w:r>
    </w:p>
    <w:sectPr w:rsidR="00F404D8" w:rsidRPr="00000900" w:rsidSect="002914D6">
      <w:headerReference w:type="even" r:id="rId10"/>
      <w:headerReference w:type="default" r:id="rId11"/>
      <w:footerReference w:type="even" r:id="rId12"/>
      <w:footerReference w:type="default" r:id="rId13"/>
      <w:headerReference w:type="first" r:id="rId14"/>
      <w:footerReference w:type="first" r:id="rId15"/>
      <w:pgSz w:w="11907" w:h="16840" w:code="9"/>
      <w:pgMar w:top="720" w:right="1701" w:bottom="431" w:left="1701" w:header="720" w:footer="1055" w:gutter="0"/>
      <w:lnNumType w:countBy="1"/>
      <w:cols w:space="720"/>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4D6" w:rsidRDefault="00011212">
      <w:r>
        <w:separator/>
      </w:r>
    </w:p>
  </w:endnote>
  <w:endnote w:type="continuationSeparator" w:id="0">
    <w:p w:rsidR="002914D6" w:rsidRDefault="00011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A4C" w:rsidRDefault="000D4A4C">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4D6" w:rsidRDefault="00110618">
    <w:pPr>
      <w:pStyle w:val="a4"/>
      <w:jc w:val="center"/>
      <w:rPr>
        <w:rStyle w:val="ab"/>
      </w:rPr>
    </w:pPr>
    <w:r>
      <w:rPr>
        <w:rStyle w:val="ab"/>
      </w:rPr>
      <w:fldChar w:fldCharType="begin"/>
    </w:r>
    <w:r w:rsidR="00011212">
      <w:rPr>
        <w:rStyle w:val="ab"/>
      </w:rPr>
      <w:instrText xml:space="preserve"> PAGE </w:instrText>
    </w:r>
    <w:r>
      <w:rPr>
        <w:rStyle w:val="ab"/>
      </w:rPr>
      <w:fldChar w:fldCharType="separate"/>
    </w:r>
    <w:r w:rsidR="000D4A4C">
      <w:rPr>
        <w:rStyle w:val="ab"/>
        <w:rtl/>
      </w:rPr>
      <w:t>1</w:t>
    </w:r>
    <w:r>
      <w:rPr>
        <w:rStyle w:val="ab"/>
      </w:rPr>
      <w:fldChar w:fldCharType="end"/>
    </w:r>
    <w:r w:rsidR="00011212">
      <w:rPr>
        <w:rStyle w:val="ab"/>
        <w:rFonts w:hint="cs"/>
        <w:rtl/>
      </w:rPr>
      <w:t xml:space="preserve"> מתוך </w:t>
    </w:r>
    <w:r>
      <w:rPr>
        <w:rStyle w:val="ab"/>
      </w:rPr>
      <w:fldChar w:fldCharType="begin"/>
    </w:r>
    <w:r w:rsidR="00011212">
      <w:rPr>
        <w:rStyle w:val="ab"/>
      </w:rPr>
      <w:instrText xml:space="preserve"> NUMPAGES </w:instrText>
    </w:r>
    <w:r>
      <w:rPr>
        <w:rStyle w:val="ab"/>
      </w:rPr>
      <w:fldChar w:fldCharType="separate"/>
    </w:r>
    <w:r w:rsidR="000D4A4C">
      <w:rPr>
        <w:rStyle w:val="ab"/>
        <w:rtl/>
      </w:rPr>
      <w:t>17</w:t>
    </w:r>
    <w:r>
      <w:rPr>
        <w:rStyle w:val="a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A4C" w:rsidRDefault="000D4A4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4D6" w:rsidRDefault="00011212">
      <w:r>
        <w:separator/>
      </w:r>
    </w:p>
  </w:footnote>
  <w:footnote w:type="continuationSeparator" w:id="0">
    <w:p w:rsidR="002914D6" w:rsidRDefault="00011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A4C" w:rsidRDefault="000D4A4C">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4D6" w:rsidRDefault="00BE41F9">
    <w:pPr>
      <w:pStyle w:val="a3"/>
      <w:jc w:val="center"/>
      <w:rPr>
        <w:rFonts w:cs="FrankRuehl"/>
        <w:noProof w:val="0"/>
        <w:sz w:val="28"/>
        <w:szCs w:val="28"/>
        <w:rtl/>
      </w:rPr>
    </w:pPr>
    <w:r>
      <w:rPr>
        <w:rFonts w:cs="FrankRuehl"/>
        <w:sz w:val="28"/>
        <w:szCs w:val="28"/>
      </w:rPr>
      <w:drawing>
        <wp:inline distT="0" distB="0" distL="0" distR="0" wp14:anchorId="4019F142" wp14:editId="3E4955C1">
          <wp:extent cx="374015" cy="469265"/>
          <wp:effectExtent l="0" t="0" r="6985" b="6985"/>
          <wp:docPr id="2"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ראל - המנורה -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015" cy="469265"/>
                  </a:xfrm>
                  <a:prstGeom prst="rect">
                    <a:avLst/>
                  </a:prstGeom>
                  <a:noFill/>
                  <a:ln>
                    <a:noFill/>
                  </a:ln>
                </pic:spPr>
              </pic:pic>
            </a:graphicData>
          </a:graphic>
        </wp:inline>
      </w:drawing>
    </w:r>
  </w:p>
  <w:tbl>
    <w:tblPr>
      <w:bidiVisual/>
      <w:tblW w:w="0" w:type="auto"/>
      <w:jc w:val="center"/>
      <w:tblLook w:val="0000" w:firstRow="0" w:lastRow="0" w:firstColumn="0" w:lastColumn="0" w:noHBand="0" w:noVBand="0"/>
    </w:tblPr>
    <w:tblGrid>
      <w:gridCol w:w="4912"/>
      <w:gridCol w:w="3593"/>
    </w:tblGrid>
    <w:tr w:rsidR="002914D6">
      <w:trPr>
        <w:trHeight w:hRule="exact" w:val="418"/>
        <w:jc w:val="center"/>
      </w:trPr>
      <w:sdt>
        <w:sdtPr>
          <w:rPr>
            <w:rtl/>
          </w:rPr>
          <w:alias w:val="1174"/>
          <w:tag w:val="1174"/>
          <w:id w:val="-661701138"/>
          <w:text/>
        </w:sdtPr>
        <w:sdtEndPr/>
        <w:sdtContent>
          <w:tc>
            <w:tcPr>
              <w:tcW w:w="8721" w:type="dxa"/>
              <w:gridSpan w:val="2"/>
            </w:tcPr>
            <w:p w:rsidR="002914D6" w:rsidRDefault="00011212">
              <w:pPr>
                <w:pStyle w:val="a3"/>
                <w:jc w:val="center"/>
                <w:rPr>
                  <w:rFonts w:ascii="Tahoma" w:hAnsi="Tahoma" w:cs="Tahoma"/>
                  <w:noProof w:val="0"/>
                  <w:color w:val="000080"/>
                  <w:rtl/>
                </w:rPr>
              </w:pPr>
              <w:r>
                <w:rPr>
                  <w:rFonts w:ascii="Tahoma" w:hAnsi="Tahoma" w:cs="Tahoma"/>
                  <w:b/>
                  <w:bCs/>
                  <w:noProof w:val="0"/>
                  <w:color w:val="000080"/>
                  <w:rtl/>
                </w:rPr>
                <w:t>בית משפט לענייני משפחה בירושלים</w:t>
              </w:r>
            </w:p>
          </w:tc>
        </w:sdtContent>
      </w:sdt>
    </w:tr>
    <w:tr w:rsidR="002914D6">
      <w:trPr>
        <w:trHeight w:val="337"/>
        <w:jc w:val="center"/>
      </w:trPr>
      <w:tc>
        <w:tcPr>
          <w:tcW w:w="5047" w:type="dxa"/>
        </w:tcPr>
        <w:p w:rsidR="002914D6" w:rsidRDefault="002914D6">
          <w:pPr>
            <w:rPr>
              <w:b/>
              <w:bCs/>
              <w:noProof w:val="0"/>
              <w:sz w:val="26"/>
              <w:szCs w:val="26"/>
              <w:rtl/>
            </w:rPr>
          </w:pPr>
        </w:p>
      </w:tc>
      <w:sdt>
        <w:sdtPr>
          <w:rPr>
            <w:rtl/>
          </w:rPr>
          <w:alias w:val="1456"/>
          <w:tag w:val="1456"/>
          <w:id w:val="952063389"/>
          <w:text/>
        </w:sdtPr>
        <w:sdtEndPr/>
        <w:sdtContent>
          <w:tc>
            <w:tcPr>
              <w:tcW w:w="3674" w:type="dxa"/>
            </w:tcPr>
            <w:p w:rsidR="002914D6" w:rsidRDefault="00011212">
              <w:pPr>
                <w:pStyle w:val="a3"/>
                <w:jc w:val="right"/>
                <w:rPr>
                  <w:b/>
                  <w:bCs/>
                  <w:noProof w:val="0"/>
                  <w:sz w:val="26"/>
                  <w:szCs w:val="26"/>
                  <w:rtl/>
                </w:rPr>
              </w:pPr>
              <w:r>
                <w:rPr>
                  <w:b/>
                  <w:bCs/>
                  <w:noProof w:val="0"/>
                  <w:sz w:val="26"/>
                  <w:szCs w:val="26"/>
                  <w:rtl/>
                </w:rPr>
                <w:t>20 אפריל 2025</w:t>
              </w:r>
            </w:p>
          </w:tc>
        </w:sdtContent>
      </w:sdt>
    </w:tr>
    <w:tr w:rsidR="002914D6">
      <w:trPr>
        <w:trHeight w:val="337"/>
        <w:jc w:val="center"/>
      </w:trPr>
      <w:tc>
        <w:tcPr>
          <w:tcW w:w="8721" w:type="dxa"/>
          <w:gridSpan w:val="2"/>
        </w:tcPr>
        <w:p w:rsidR="002914D6" w:rsidRDefault="000D4A4C" w:rsidP="00267D00">
          <w:pPr>
            <w:rPr>
              <w:b/>
              <w:bCs/>
              <w:noProof w:val="0"/>
              <w:sz w:val="26"/>
              <w:szCs w:val="26"/>
              <w:rtl/>
            </w:rPr>
          </w:pPr>
          <w:sdt>
            <w:sdtPr>
              <w:rPr>
                <w:rtl/>
              </w:rPr>
              <w:alias w:val="1170"/>
              <w:tag w:val="1170"/>
              <w:id w:val="-1240940633"/>
              <w:text w:multiLine="1"/>
            </w:sdtPr>
            <w:sdtEndPr/>
            <w:sdtContent>
              <w:r w:rsidR="00521467">
                <w:rPr>
                  <w:b/>
                  <w:bCs/>
                  <w:noProof w:val="0"/>
                  <w:sz w:val="26"/>
                  <w:szCs w:val="26"/>
                  <w:rtl/>
                </w:rPr>
                <w:t>תמ"ש</w:t>
              </w:r>
            </w:sdtContent>
          </w:sdt>
          <w:r w:rsidR="00011212">
            <w:rPr>
              <w:b/>
              <w:bCs/>
              <w:noProof w:val="0"/>
              <w:sz w:val="26"/>
              <w:szCs w:val="26"/>
              <w:rtl/>
            </w:rPr>
            <w:t xml:space="preserve"> </w:t>
          </w:r>
          <w:bookmarkStart w:id="0" w:name="_GoBack"/>
          <w:sdt>
            <w:sdtPr>
              <w:rPr>
                <w:rtl/>
              </w:rPr>
              <w:alias w:val="1171"/>
              <w:tag w:val="1171"/>
              <w:id w:val="-1122917173"/>
              <w:text w:multiLine="1"/>
            </w:sdtPr>
            <w:sdtEndPr/>
            <w:sdtContent>
              <w:r w:rsidR="00521467">
                <w:rPr>
                  <w:b/>
                  <w:bCs/>
                  <w:noProof w:val="0"/>
                  <w:sz w:val="26"/>
                  <w:szCs w:val="26"/>
                  <w:rtl/>
                </w:rPr>
                <w:t>11653-05-24</w:t>
              </w:r>
            </w:sdtContent>
          </w:sdt>
          <w:bookmarkEnd w:id="0"/>
          <w:r w:rsidR="00011212">
            <w:rPr>
              <w:b/>
              <w:bCs/>
              <w:noProof w:val="0"/>
              <w:sz w:val="26"/>
              <w:szCs w:val="26"/>
              <w:rtl/>
            </w:rPr>
            <w:t xml:space="preserve"> </w:t>
          </w:r>
          <w:sdt>
            <w:sdtPr>
              <w:rPr>
                <w:rtl/>
              </w:rPr>
              <w:alias w:val="1172"/>
              <w:tag w:val="1172"/>
              <w:id w:val="1658414112"/>
              <w:text w:multiLine="1"/>
            </w:sdtPr>
            <w:sdtEndPr/>
            <w:sdtContent>
              <w:r w:rsidR="00267D00">
                <w:rPr>
                  <w:rFonts w:hint="cs"/>
                  <w:b/>
                  <w:bCs/>
                  <w:noProof w:val="0"/>
                  <w:sz w:val="26"/>
                  <w:szCs w:val="26"/>
                  <w:rtl/>
                </w:rPr>
                <w:t>פלוני</w:t>
              </w:r>
              <w:r w:rsidR="00521467">
                <w:rPr>
                  <w:b/>
                  <w:bCs/>
                  <w:noProof w:val="0"/>
                  <w:sz w:val="26"/>
                  <w:szCs w:val="26"/>
                  <w:rtl/>
                </w:rPr>
                <w:t xml:space="preserve"> נ' </w:t>
              </w:r>
              <w:r w:rsidR="00267D00">
                <w:rPr>
                  <w:rFonts w:hint="cs"/>
                  <w:b/>
                  <w:bCs/>
                  <w:noProof w:val="0"/>
                  <w:sz w:val="26"/>
                  <w:szCs w:val="26"/>
                  <w:rtl/>
                </w:rPr>
                <w:t>פלוני</w:t>
              </w:r>
            </w:sdtContent>
          </w:sdt>
        </w:p>
        <w:p w:rsidR="002914D6" w:rsidRDefault="002914D6">
          <w:pPr>
            <w:rPr>
              <w:rtl/>
            </w:rPr>
          </w:pPr>
        </w:p>
        <w:p w:rsidR="00DD0E5E" w:rsidRDefault="00DD0E5E">
          <w:pPr>
            <w:rPr>
              <w:rtl/>
            </w:rPr>
          </w:pPr>
        </w:p>
      </w:tc>
    </w:tr>
  </w:tbl>
  <w:p w:rsidR="002914D6" w:rsidRDefault="00011212">
    <w:pPr>
      <w:pStyle w:val="a3"/>
      <w:rPr>
        <w:noProof w:val="0"/>
        <w:rtl/>
      </w:rPr>
    </w:pPr>
    <w:r>
      <w:rPr>
        <w:noProof w:val="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A4C" w:rsidRDefault="000D4A4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F7BA6"/>
    <w:multiLevelType w:val="hybridMultilevel"/>
    <w:tmpl w:val="65222534"/>
    <w:lvl w:ilvl="0" w:tplc="CF3A5850">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 w15:restartNumberingAfterBreak="0">
    <w:nsid w:val="162A021B"/>
    <w:multiLevelType w:val="hybridMultilevel"/>
    <w:tmpl w:val="1214D270"/>
    <w:lvl w:ilvl="0" w:tplc="EC9CAFAE">
      <w:start w:val="43"/>
      <w:numFmt w:val="decimal"/>
      <w:lvlText w:val="%1."/>
      <w:lvlJc w:val="left"/>
      <w:pPr>
        <w:ind w:left="720" w:hanging="360"/>
      </w:pPr>
      <w:rPr>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DB41665"/>
    <w:multiLevelType w:val="hybridMultilevel"/>
    <w:tmpl w:val="0B3E830A"/>
    <w:lvl w:ilvl="0" w:tplc="E3F6013A">
      <w:start w:val="1"/>
      <w:numFmt w:val="decimal"/>
      <w:lvlText w:val="%1."/>
      <w:lvlJc w:val="left"/>
      <w:pPr>
        <w:ind w:left="720" w:hanging="360"/>
      </w:pPr>
      <w:rPr>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6E231E6"/>
    <w:multiLevelType w:val="hybridMultilevel"/>
    <w:tmpl w:val="4268E532"/>
    <w:lvl w:ilvl="0" w:tplc="C5EA2FFC">
      <w:start w:val="1"/>
      <w:numFmt w:val="decimal"/>
      <w:lvlText w:val="(%1)"/>
      <w:lvlJc w:val="left"/>
      <w:pPr>
        <w:ind w:left="302" w:hanging="360"/>
      </w:pPr>
      <w:rPr>
        <w:rFonts w:hint="default"/>
        <w:b w:val="0"/>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4" w15:restartNumberingAfterBreak="0">
    <w:nsid w:val="61D62D75"/>
    <w:multiLevelType w:val="hybridMultilevel"/>
    <w:tmpl w:val="F1947570"/>
    <w:lvl w:ilvl="0" w:tplc="A76076B2">
      <w:start w:val="42"/>
      <w:numFmt w:val="decimal"/>
      <w:lvlText w:val="%1."/>
      <w:lvlJc w:val="left"/>
      <w:pPr>
        <w:ind w:left="662" w:hanging="360"/>
      </w:pPr>
    </w:lvl>
    <w:lvl w:ilvl="1" w:tplc="04090019">
      <w:start w:val="1"/>
      <w:numFmt w:val="lowerLetter"/>
      <w:lvlText w:val="%2."/>
      <w:lvlJc w:val="left"/>
      <w:pPr>
        <w:ind w:left="1382" w:hanging="360"/>
      </w:pPr>
    </w:lvl>
    <w:lvl w:ilvl="2" w:tplc="0409001B">
      <w:start w:val="1"/>
      <w:numFmt w:val="lowerRoman"/>
      <w:lvlText w:val="%3."/>
      <w:lvlJc w:val="right"/>
      <w:pPr>
        <w:ind w:left="2102" w:hanging="180"/>
      </w:pPr>
    </w:lvl>
    <w:lvl w:ilvl="3" w:tplc="0409000F">
      <w:start w:val="1"/>
      <w:numFmt w:val="decimal"/>
      <w:lvlText w:val="%4."/>
      <w:lvlJc w:val="left"/>
      <w:pPr>
        <w:ind w:left="2822" w:hanging="360"/>
      </w:pPr>
    </w:lvl>
    <w:lvl w:ilvl="4" w:tplc="04090019">
      <w:start w:val="1"/>
      <w:numFmt w:val="lowerLetter"/>
      <w:lvlText w:val="%5."/>
      <w:lvlJc w:val="left"/>
      <w:pPr>
        <w:ind w:left="3542" w:hanging="360"/>
      </w:pPr>
    </w:lvl>
    <w:lvl w:ilvl="5" w:tplc="0409001B">
      <w:start w:val="1"/>
      <w:numFmt w:val="lowerRoman"/>
      <w:lvlText w:val="%6."/>
      <w:lvlJc w:val="right"/>
      <w:pPr>
        <w:ind w:left="4262" w:hanging="180"/>
      </w:pPr>
    </w:lvl>
    <w:lvl w:ilvl="6" w:tplc="0409000F">
      <w:start w:val="1"/>
      <w:numFmt w:val="decimal"/>
      <w:lvlText w:val="%7."/>
      <w:lvlJc w:val="left"/>
      <w:pPr>
        <w:ind w:left="4982" w:hanging="360"/>
      </w:pPr>
    </w:lvl>
    <w:lvl w:ilvl="7" w:tplc="04090019">
      <w:start w:val="1"/>
      <w:numFmt w:val="lowerLetter"/>
      <w:lvlText w:val="%8."/>
      <w:lvlJc w:val="left"/>
      <w:pPr>
        <w:ind w:left="5702" w:hanging="360"/>
      </w:pPr>
    </w:lvl>
    <w:lvl w:ilvl="8" w:tplc="0409001B">
      <w:start w:val="1"/>
      <w:numFmt w:val="lowerRoman"/>
      <w:lvlText w:val="%9."/>
      <w:lvlJc w:val="right"/>
      <w:pPr>
        <w:ind w:left="6422" w:hanging="180"/>
      </w:pPr>
    </w:lvl>
  </w:abstractNum>
  <w:abstractNum w:abstractNumId="5" w15:restartNumberingAfterBreak="0">
    <w:nsid w:val="7512792B"/>
    <w:multiLevelType w:val="hybridMultilevel"/>
    <w:tmpl w:val="5E287CF8"/>
    <w:lvl w:ilvl="0" w:tplc="EB6AE0BA">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4D6"/>
    <w:rsid w:val="00000900"/>
    <w:rsid w:val="00011212"/>
    <w:rsid w:val="000608DA"/>
    <w:rsid w:val="000622D8"/>
    <w:rsid w:val="00072A81"/>
    <w:rsid w:val="00085263"/>
    <w:rsid w:val="000C7838"/>
    <w:rsid w:val="000D4A4C"/>
    <w:rsid w:val="000D7F45"/>
    <w:rsid w:val="00110618"/>
    <w:rsid w:val="00133A9B"/>
    <w:rsid w:val="001741B5"/>
    <w:rsid w:val="00182796"/>
    <w:rsid w:val="001D22D6"/>
    <w:rsid w:val="001E6E32"/>
    <w:rsid w:val="00212A15"/>
    <w:rsid w:val="0024419B"/>
    <w:rsid w:val="00267D00"/>
    <w:rsid w:val="002914D6"/>
    <w:rsid w:val="002C2846"/>
    <w:rsid w:val="002F13BC"/>
    <w:rsid w:val="002F5307"/>
    <w:rsid w:val="00316972"/>
    <w:rsid w:val="003644DD"/>
    <w:rsid w:val="00380F6E"/>
    <w:rsid w:val="003869C4"/>
    <w:rsid w:val="003B54B8"/>
    <w:rsid w:val="003B5612"/>
    <w:rsid w:val="003D54DB"/>
    <w:rsid w:val="003E4979"/>
    <w:rsid w:val="003F4B84"/>
    <w:rsid w:val="00405DC6"/>
    <w:rsid w:val="004175E2"/>
    <w:rsid w:val="00487FAD"/>
    <w:rsid w:val="00490A8E"/>
    <w:rsid w:val="00521467"/>
    <w:rsid w:val="00531149"/>
    <w:rsid w:val="00532D04"/>
    <w:rsid w:val="0055669D"/>
    <w:rsid w:val="0056086F"/>
    <w:rsid w:val="00573111"/>
    <w:rsid w:val="00620A51"/>
    <w:rsid w:val="006230F5"/>
    <w:rsid w:val="00656123"/>
    <w:rsid w:val="006A612D"/>
    <w:rsid w:val="006B27C6"/>
    <w:rsid w:val="00741627"/>
    <w:rsid w:val="00760083"/>
    <w:rsid w:val="00776D2F"/>
    <w:rsid w:val="007A53AB"/>
    <w:rsid w:val="007B7F80"/>
    <w:rsid w:val="007D0C68"/>
    <w:rsid w:val="007D3124"/>
    <w:rsid w:val="00822AA5"/>
    <w:rsid w:val="008424E2"/>
    <w:rsid w:val="008757D3"/>
    <w:rsid w:val="008A01A8"/>
    <w:rsid w:val="008D73B5"/>
    <w:rsid w:val="0093345F"/>
    <w:rsid w:val="00950964"/>
    <w:rsid w:val="0096555F"/>
    <w:rsid w:val="00973AC6"/>
    <w:rsid w:val="00973D9D"/>
    <w:rsid w:val="009815CE"/>
    <w:rsid w:val="009E673C"/>
    <w:rsid w:val="00A1006C"/>
    <w:rsid w:val="00A218D0"/>
    <w:rsid w:val="00A62D3C"/>
    <w:rsid w:val="00A9481B"/>
    <w:rsid w:val="00B059CF"/>
    <w:rsid w:val="00B151C5"/>
    <w:rsid w:val="00B51A8A"/>
    <w:rsid w:val="00BE04BB"/>
    <w:rsid w:val="00BE41F9"/>
    <w:rsid w:val="00C40773"/>
    <w:rsid w:val="00CA7BC4"/>
    <w:rsid w:val="00D14C50"/>
    <w:rsid w:val="00D22F8C"/>
    <w:rsid w:val="00D358FE"/>
    <w:rsid w:val="00D51145"/>
    <w:rsid w:val="00D54B3A"/>
    <w:rsid w:val="00D6413F"/>
    <w:rsid w:val="00D71DC8"/>
    <w:rsid w:val="00DB54C4"/>
    <w:rsid w:val="00DC4EED"/>
    <w:rsid w:val="00DC64D0"/>
    <w:rsid w:val="00DD0E5E"/>
    <w:rsid w:val="00E50BBB"/>
    <w:rsid w:val="00E73FCE"/>
    <w:rsid w:val="00ED20A8"/>
    <w:rsid w:val="00F03998"/>
    <w:rsid w:val="00F069E4"/>
    <w:rsid w:val="00F404D8"/>
    <w:rsid w:val="00F50E07"/>
    <w:rsid w:val="00F81E32"/>
    <w:rsid w:val="00F9100E"/>
    <w:rsid w:val="00FA40E8"/>
    <w:rsid w:val="00FA5DCE"/>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93185"/>
    <o:shapelayout v:ext="edit">
      <o:idmap v:ext="edit" data="1"/>
    </o:shapelayout>
  </w:shapeDefaults>
  <w:decimalSymbol w:val="."/>
  <w:listSeparator w:val=","/>
  <w15:docId w15:val="{96555977-8B90-43DA-B0B9-F5F3DBB24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423"/>
    <w:pPr>
      <w:bidi/>
    </w:pPr>
    <w:rPr>
      <w:rFonts w:cs="David"/>
      <w:noProof/>
      <w:sz w:val="24"/>
      <w:szCs w:val="24"/>
    </w:rPr>
  </w:style>
  <w:style w:type="paragraph" w:styleId="4">
    <w:name w:val="heading 4"/>
    <w:basedOn w:val="a"/>
    <w:next w:val="a"/>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4423"/>
    <w:pPr>
      <w:tabs>
        <w:tab w:val="center" w:pos="4153"/>
        <w:tab w:val="right" w:pos="8306"/>
      </w:tabs>
    </w:pPr>
  </w:style>
  <w:style w:type="paragraph" w:styleId="a4">
    <w:name w:val="footer"/>
    <w:basedOn w:val="a"/>
    <w:rsid w:val="00C64423"/>
    <w:pPr>
      <w:tabs>
        <w:tab w:val="center" w:pos="4153"/>
        <w:tab w:val="right" w:pos="8306"/>
      </w:tabs>
    </w:pPr>
  </w:style>
  <w:style w:type="paragraph" w:customStyle="1" w:styleId="a5">
    <w:name w:val="סעיפים"/>
    <w:basedOn w:val="a"/>
    <w:rsid w:val="00C64423"/>
    <w:pPr>
      <w:tabs>
        <w:tab w:val="left" w:pos="567"/>
        <w:tab w:val="left" w:pos="1134"/>
        <w:tab w:val="left" w:pos="1701"/>
        <w:tab w:val="left" w:pos="2268"/>
        <w:tab w:val="left" w:pos="2835"/>
        <w:tab w:val="left" w:pos="3402"/>
        <w:tab w:val="left" w:pos="3969"/>
      </w:tabs>
      <w:spacing w:line="360" w:lineRule="auto"/>
      <w:jc w:val="both"/>
    </w:pPr>
    <w:rPr>
      <w:noProof w:val="0"/>
    </w:rPr>
  </w:style>
  <w:style w:type="paragraph" w:styleId="a6">
    <w:name w:val="annotation text"/>
    <w:basedOn w:val="a"/>
    <w:semiHidden/>
    <w:rsid w:val="00C64423"/>
    <w:rPr>
      <w:rFonts w:cs="Times New Roman"/>
      <w:noProof w:val="0"/>
    </w:rPr>
  </w:style>
  <w:style w:type="character" w:styleId="a7">
    <w:name w:val="annotation reference"/>
    <w:basedOn w:val="a0"/>
    <w:semiHidden/>
    <w:rsid w:val="00C64423"/>
    <w:rPr>
      <w:sz w:val="16"/>
      <w:szCs w:val="16"/>
    </w:rPr>
  </w:style>
  <w:style w:type="paragraph" w:styleId="a8">
    <w:name w:val="Balloon Text"/>
    <w:basedOn w:val="a"/>
    <w:semiHidden/>
    <w:rsid w:val="00C64423"/>
    <w:rPr>
      <w:rFonts w:ascii="Tahoma" w:hAnsi="Tahoma" w:cs="Tahoma"/>
      <w:sz w:val="16"/>
      <w:szCs w:val="16"/>
    </w:rPr>
  </w:style>
  <w:style w:type="table" w:styleId="a9">
    <w:name w:val="Table Grid"/>
    <w:basedOn w:val="a1"/>
    <w:rsid w:val="00C6442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rsid w:val="00C64423"/>
  </w:style>
  <w:style w:type="character" w:styleId="ab">
    <w:name w:val="page number"/>
    <w:basedOn w:val="a0"/>
    <w:rsid w:val="00C64423"/>
  </w:style>
  <w:style w:type="character" w:styleId="ac">
    <w:name w:val="Placeholder Text"/>
    <w:basedOn w:val="a0"/>
    <w:uiPriority w:val="99"/>
    <w:semiHidden/>
    <w:rsid w:val="006A612D"/>
    <w:rPr>
      <w:color w:val="808080"/>
    </w:rPr>
  </w:style>
  <w:style w:type="paragraph" w:styleId="ad">
    <w:name w:val="List Paragraph"/>
    <w:basedOn w:val="a"/>
    <w:uiPriority w:val="34"/>
    <w:qFormat/>
    <w:rsid w:val="00DC4E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833363">
      <w:bodyDiv w:val="1"/>
      <w:marLeft w:val="0"/>
      <w:marRight w:val="0"/>
      <w:marTop w:val="0"/>
      <w:marBottom w:val="0"/>
      <w:divBdr>
        <w:top w:val="none" w:sz="0" w:space="0" w:color="auto"/>
        <w:left w:val="none" w:sz="0" w:space="0" w:color="auto"/>
        <w:bottom w:val="none" w:sz="0" w:space="0" w:color="auto"/>
        <w:right w:val="none" w:sz="0" w:space="0" w:color="auto"/>
      </w:divBdr>
    </w:div>
    <w:div w:id="504132780">
      <w:bodyDiv w:val="1"/>
      <w:marLeft w:val="0"/>
      <w:marRight w:val="0"/>
      <w:marTop w:val="0"/>
      <w:marBottom w:val="0"/>
      <w:divBdr>
        <w:top w:val="none" w:sz="0" w:space="0" w:color="auto"/>
        <w:left w:val="none" w:sz="0" w:space="0" w:color="auto"/>
        <w:bottom w:val="none" w:sz="0" w:space="0" w:color="auto"/>
        <w:right w:val="none" w:sz="0" w:space="0" w:color="auto"/>
      </w:divBdr>
    </w:div>
    <w:div w:id="1512991487">
      <w:bodyDiv w:val="1"/>
      <w:marLeft w:val="0"/>
      <w:marRight w:val="0"/>
      <w:marTop w:val="0"/>
      <w:marBottom w:val="0"/>
      <w:divBdr>
        <w:top w:val="none" w:sz="0" w:space="0" w:color="auto"/>
        <w:left w:val="none" w:sz="0" w:space="0" w:color="auto"/>
        <w:bottom w:val="none" w:sz="0" w:space="0" w:color="auto"/>
        <w:right w:val="none" w:sz="0" w:space="0" w:color="auto"/>
      </w:divBdr>
    </w:div>
    <w:div w:id="1658068442">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 w:id="1717074467">
      <w:bodyDiv w:val="1"/>
      <w:marLeft w:val="0"/>
      <w:marRight w:val="0"/>
      <w:marTop w:val="0"/>
      <w:marBottom w:val="0"/>
      <w:divBdr>
        <w:top w:val="none" w:sz="0" w:space="0" w:color="auto"/>
        <w:left w:val="none" w:sz="0" w:space="0" w:color="auto"/>
        <w:bottom w:val="none" w:sz="0" w:space="0" w:color="auto"/>
        <w:right w:val="none" w:sz="0" w:space="0" w:color="auto"/>
      </w:divBdr>
    </w:div>
    <w:div w:id="1777095519">
      <w:bodyDiv w:val="1"/>
      <w:marLeft w:val="0"/>
      <w:marRight w:val="0"/>
      <w:marTop w:val="0"/>
      <w:marBottom w:val="0"/>
      <w:divBdr>
        <w:top w:val="none" w:sz="0" w:space="0" w:color="auto"/>
        <w:left w:val="none" w:sz="0" w:space="0" w:color="auto"/>
        <w:bottom w:val="none" w:sz="0" w:space="0" w:color="auto"/>
        <w:right w:val="none" w:sz="0" w:space="0" w:color="auto"/>
      </w:divBdr>
    </w:div>
    <w:div w:id="180646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9E3BE-0A8D-4EB3-85EA-1166D60A9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6235</Words>
  <Characters>31180</Characters>
  <Application>Microsoft Office Word</Application>
  <DocSecurity>4</DocSecurity>
  <Lines>259</Lines>
  <Paragraphs>74</Paragraphs>
  <ScaleCrop>false</ScaleCrop>
  <HeadingPairs>
    <vt:vector size="2" baseType="variant">
      <vt:variant>
        <vt:lpstr>שם</vt:lpstr>
      </vt:variant>
      <vt:variant>
        <vt:i4>1</vt:i4>
      </vt:variant>
    </vt:vector>
  </HeadingPairs>
  <TitlesOfParts>
    <vt:vector size="1" baseType="lpstr">
      <vt:lpstr/>
    </vt:vector>
  </TitlesOfParts>
  <Company>Microsoft Corporation</Company>
  <LinksUpToDate>false</LinksUpToDate>
  <CharactersWithSpaces>37341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נעה בקר</cp:lastModifiedBy>
  <cp:revision>2</cp:revision>
  <dcterms:created xsi:type="dcterms:W3CDTF">2025-05-04T12:22:00Z</dcterms:created>
  <dcterms:modified xsi:type="dcterms:W3CDTF">2025-05-04T12:22:00Z</dcterms:modified>
</cp:coreProperties>
</file>