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56" w:rsidRDefault="00694556">
      <w:pPr>
        <w:rPr>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94556">
        <w:trPr>
          <w:jc w:val="center"/>
        </w:trPr>
        <w:tc>
          <w:tcPr>
            <w:tcW w:w="743" w:type="dxa"/>
          </w:tcPr>
          <w:p w:rsidR="00694556" w:rsidRDefault="00005C8B">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694556" w:rsidRDefault="00005C8B">
            <w:pPr>
              <w:rPr>
                <w:rFonts w:ascii="Arial" w:hAnsi="Arial"/>
                <w:b/>
                <w:bCs/>
                <w:rtl/>
              </w:rPr>
            </w:pPr>
            <w:r>
              <w:rPr>
                <w:rFonts w:ascii="Arial" w:hAnsi="Arial" w:hint="cs"/>
                <w:b/>
                <w:bCs/>
                <w:rtl/>
              </w:rPr>
              <w:t>כב' ה</w:t>
            </w:r>
            <w:sdt>
              <w:sdtPr>
                <w:rPr>
                  <w:rtl/>
                </w:rPr>
                <w:alias w:val="1574"/>
                <w:tag w:val="1574"/>
                <w:id w:val="490379987"/>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0202431"/>
                <w:text w:multiLine="1"/>
              </w:sdtPr>
              <w:sdtEndPr/>
              <w:sdtContent>
                <w:r>
                  <w:rPr>
                    <w:rFonts w:ascii="Arial" w:hAnsi="Arial"/>
                    <w:b/>
                    <w:bCs/>
                    <w:rtl/>
                  </w:rPr>
                  <w:t>אביגדור דורות</w:t>
                </w:r>
              </w:sdtContent>
            </w:sdt>
          </w:p>
          <w:p w:rsidR="00694556" w:rsidRDefault="00694556">
            <w:pPr>
              <w:rPr>
                <w:rFonts w:ascii="Arial" w:hAnsi="Arial" w:cs="FrankRuehl"/>
                <w:sz w:val="28"/>
                <w:szCs w:val="28"/>
                <w:highlight w:val="yellow"/>
              </w:rPr>
            </w:pPr>
          </w:p>
        </w:tc>
      </w:tr>
      <w:tr w:rsidR="00694556">
        <w:trPr>
          <w:jc w:val="center"/>
        </w:trPr>
        <w:tc>
          <w:tcPr>
            <w:tcW w:w="3249" w:type="dxa"/>
            <w:gridSpan w:val="2"/>
          </w:tcPr>
          <w:p w:rsidR="00694556" w:rsidRDefault="00694556">
            <w:pPr>
              <w:bidi w:val="0"/>
              <w:jc w:val="right"/>
              <w:rPr>
                <w:rFonts w:ascii="Arial" w:hAnsi="Arial"/>
                <w:b/>
                <w:bCs/>
                <w:noProof w:val="0"/>
                <w:sz w:val="26"/>
                <w:szCs w:val="26"/>
              </w:rPr>
            </w:pPr>
          </w:p>
          <w:p w:rsidR="0046756C" w:rsidRDefault="00D9593F" w:rsidP="00865886">
            <w:pPr>
              <w:tabs>
                <w:tab w:val="right" w:pos="3033"/>
              </w:tabs>
              <w:bidi w:val="0"/>
              <w:jc w:val="both"/>
              <w:rPr>
                <w:rFonts w:ascii="Arial" w:hAnsi="Arial"/>
                <w:b/>
                <w:bCs/>
                <w:noProof w:val="0"/>
                <w:sz w:val="26"/>
                <w:szCs w:val="26"/>
                <w:rtl/>
              </w:rPr>
            </w:pPr>
            <w:sdt>
              <w:sdtPr>
                <w:rPr>
                  <w:b/>
                  <w:bCs/>
                </w:rPr>
                <w:alias w:val="1180"/>
                <w:tag w:val="1180"/>
                <w:id w:val="-1095320858"/>
                <w:showingPlcHdr/>
                <w:text w:multiLine="1"/>
              </w:sdtPr>
              <w:sdtEndPr/>
              <w:sdtContent>
                <w:r w:rsidR="00865886">
                  <w:rPr>
                    <w:b/>
                    <w:bCs/>
                  </w:rPr>
                  <w:t xml:space="preserve">     </w:t>
                </w:r>
              </w:sdtContent>
            </w:sdt>
            <w:r w:rsidR="00865886">
              <w:rPr>
                <w:rFonts w:ascii="Arial" w:hAnsi="Arial"/>
                <w:b/>
                <w:bCs/>
                <w:noProof w:val="0"/>
                <w:sz w:val="26"/>
                <w:szCs w:val="26"/>
                <w:rtl/>
              </w:rPr>
              <w:tab/>
            </w:r>
            <w:r w:rsidR="00865886">
              <w:rPr>
                <w:rFonts w:ascii="Arial" w:hAnsi="Arial" w:hint="cs"/>
                <w:b/>
                <w:bCs/>
                <w:noProof w:val="0"/>
                <w:sz w:val="26"/>
                <w:szCs w:val="26"/>
                <w:rtl/>
              </w:rPr>
              <w:t xml:space="preserve">     המערערת:</w:t>
            </w:r>
          </w:p>
        </w:tc>
        <w:tc>
          <w:tcPr>
            <w:tcW w:w="5571" w:type="dxa"/>
          </w:tcPr>
          <w:p w:rsidR="00694556" w:rsidRDefault="00694556">
            <w:pPr>
              <w:rPr>
                <w:rFonts w:ascii="Arial" w:hAnsi="Arial"/>
                <w:b/>
                <w:bCs/>
                <w:noProof w:val="0"/>
                <w:sz w:val="26"/>
                <w:szCs w:val="26"/>
              </w:rPr>
            </w:pPr>
          </w:p>
          <w:p w:rsidR="00694556" w:rsidRDefault="00D9593F">
            <w:pPr>
              <w:rPr>
                <w:rtl/>
              </w:rPr>
            </w:pPr>
            <w:sdt>
              <w:sdtPr>
                <w:rPr>
                  <w:rtl/>
                </w:rPr>
                <w:alias w:val="1478"/>
                <w:tag w:val="1478"/>
                <w:id w:val="406741000"/>
                <w:text w:multiLine="1"/>
              </w:sdtPr>
              <w:sdtEndPr/>
              <w:sdtContent>
                <w:r w:rsidR="00986101">
                  <w:rPr>
                    <w:rFonts w:ascii="Arial" w:hAnsi="Arial"/>
                    <w:b/>
                    <w:bCs/>
                    <w:noProof w:val="0"/>
                    <w:sz w:val="26"/>
                    <w:szCs w:val="26"/>
                    <w:rtl/>
                  </w:rPr>
                  <w:t>שערי ירושלים בע"מ</w:t>
                </w:r>
              </w:sdtContent>
            </w:sdt>
          </w:p>
          <w:p w:rsidR="00740B9A" w:rsidRPr="00740B9A" w:rsidRDefault="00740B9A">
            <w:pPr>
              <w:rPr>
                <w:noProof w:val="0"/>
                <w:sz w:val="26"/>
                <w:szCs w:val="26"/>
              </w:rPr>
            </w:pPr>
            <w:r w:rsidRPr="00740B9A">
              <w:rPr>
                <w:rFonts w:hint="cs"/>
                <w:rtl/>
              </w:rPr>
              <w:t>ע"י ב"כ עו"</w:t>
            </w:r>
            <w:r>
              <w:rPr>
                <w:rFonts w:hint="cs"/>
                <w:rtl/>
              </w:rPr>
              <w:t>ד ג'רי</w:t>
            </w:r>
            <w:r w:rsidRPr="00740B9A">
              <w:rPr>
                <w:rFonts w:hint="cs"/>
                <w:rtl/>
              </w:rPr>
              <w:t>ס דחולי</w:t>
            </w:r>
          </w:p>
        </w:tc>
      </w:tr>
      <w:tr w:rsidR="00694556">
        <w:trPr>
          <w:jc w:val="center"/>
        </w:trPr>
        <w:tc>
          <w:tcPr>
            <w:tcW w:w="8820" w:type="dxa"/>
            <w:gridSpan w:val="3"/>
          </w:tcPr>
          <w:p w:rsidR="00694556" w:rsidRPr="00740B9A" w:rsidRDefault="00694556">
            <w:pPr>
              <w:rPr>
                <w:rFonts w:ascii="Arial" w:hAnsi="Arial"/>
                <w:b/>
                <w:bCs/>
                <w:noProof w:val="0"/>
                <w:sz w:val="26"/>
                <w:szCs w:val="26"/>
                <w:rtl/>
              </w:rPr>
            </w:pPr>
          </w:p>
          <w:p w:rsidR="00694556" w:rsidRDefault="00005C8B">
            <w:pPr>
              <w:jc w:val="center"/>
              <w:rPr>
                <w:rFonts w:ascii="Arial" w:hAnsi="Arial"/>
                <w:b/>
                <w:bCs/>
                <w:noProof w:val="0"/>
                <w:sz w:val="26"/>
                <w:szCs w:val="26"/>
                <w:rtl/>
              </w:rPr>
            </w:pPr>
            <w:r>
              <w:rPr>
                <w:rFonts w:ascii="Arial" w:hAnsi="Arial"/>
                <w:b/>
                <w:bCs/>
                <w:noProof w:val="0"/>
                <w:sz w:val="26"/>
                <w:szCs w:val="26"/>
                <w:rtl/>
              </w:rPr>
              <w:t>נגד</w:t>
            </w:r>
          </w:p>
          <w:p w:rsidR="00694556" w:rsidRDefault="00694556">
            <w:pPr>
              <w:rPr>
                <w:rFonts w:ascii="Arial" w:hAnsi="Arial"/>
                <w:b/>
                <w:bCs/>
                <w:noProof w:val="0"/>
                <w:sz w:val="26"/>
                <w:szCs w:val="26"/>
              </w:rPr>
            </w:pPr>
          </w:p>
        </w:tc>
      </w:tr>
      <w:tr w:rsidR="00694556">
        <w:trPr>
          <w:jc w:val="center"/>
        </w:trPr>
        <w:tc>
          <w:tcPr>
            <w:tcW w:w="3249" w:type="dxa"/>
            <w:gridSpan w:val="2"/>
          </w:tcPr>
          <w:p w:rsidR="00694556" w:rsidRDefault="00865886">
            <w:pPr>
              <w:rPr>
                <w:rFonts w:ascii="Arial" w:hAnsi="Arial"/>
                <w:b/>
                <w:bCs/>
                <w:noProof w:val="0"/>
                <w:sz w:val="26"/>
                <w:szCs w:val="26"/>
              </w:rPr>
            </w:pPr>
            <w:r>
              <w:rPr>
                <w:rFonts w:ascii="Arial" w:hAnsi="Arial" w:hint="cs"/>
                <w:b/>
                <w:bCs/>
                <w:noProof w:val="0"/>
                <w:sz w:val="26"/>
                <w:szCs w:val="26"/>
                <w:rtl/>
              </w:rPr>
              <w:t xml:space="preserve">    </w:t>
            </w:r>
            <w:r w:rsidR="00740B9A">
              <w:rPr>
                <w:rFonts w:ascii="Arial" w:hAnsi="Arial" w:hint="cs"/>
                <w:b/>
                <w:bCs/>
                <w:noProof w:val="0"/>
                <w:sz w:val="26"/>
                <w:szCs w:val="26"/>
                <w:rtl/>
              </w:rPr>
              <w:t>המשיב</w:t>
            </w:r>
            <w:r>
              <w:rPr>
                <w:rFonts w:ascii="Arial" w:hAnsi="Arial" w:hint="cs"/>
                <w:b/>
                <w:bCs/>
                <w:noProof w:val="0"/>
                <w:sz w:val="26"/>
                <w:szCs w:val="26"/>
                <w:rtl/>
              </w:rPr>
              <w:t>:</w:t>
            </w:r>
          </w:p>
        </w:tc>
        <w:tc>
          <w:tcPr>
            <w:tcW w:w="5571" w:type="dxa"/>
          </w:tcPr>
          <w:p w:rsidR="00694556" w:rsidRDefault="00740B9A">
            <w:pPr>
              <w:rPr>
                <w:rFonts w:ascii="Arial" w:hAnsi="Arial"/>
                <w:b/>
                <w:bCs/>
                <w:noProof w:val="0"/>
                <w:sz w:val="26"/>
                <w:szCs w:val="26"/>
                <w:rtl/>
              </w:rPr>
            </w:pPr>
            <w:r>
              <w:rPr>
                <w:rFonts w:ascii="Arial" w:hAnsi="Arial" w:hint="cs"/>
                <w:b/>
                <w:bCs/>
                <w:noProof w:val="0"/>
                <w:sz w:val="26"/>
                <w:szCs w:val="26"/>
                <w:rtl/>
              </w:rPr>
              <w:t>מנהל מס ערך מוסף (היחידה לפשיעה חמורה)</w:t>
            </w:r>
          </w:p>
          <w:p w:rsidR="00740B9A" w:rsidRPr="00740B9A" w:rsidRDefault="00740B9A">
            <w:pPr>
              <w:rPr>
                <w:noProof w:val="0"/>
                <w:sz w:val="26"/>
                <w:szCs w:val="26"/>
                <w:rtl/>
              </w:rPr>
            </w:pPr>
            <w:r w:rsidRPr="00740B9A">
              <w:rPr>
                <w:rFonts w:hint="cs"/>
                <w:noProof w:val="0"/>
                <w:sz w:val="26"/>
                <w:szCs w:val="26"/>
                <w:rtl/>
              </w:rPr>
              <w:t>ע"י ב"כ עו"ד מנחם סבג</w:t>
            </w:r>
          </w:p>
          <w:p w:rsidR="00740B9A" w:rsidRDefault="00740B9A">
            <w:pPr>
              <w:rPr>
                <w:b/>
                <w:bCs/>
                <w:noProof w:val="0"/>
                <w:sz w:val="26"/>
                <w:szCs w:val="26"/>
                <w:rtl/>
              </w:rPr>
            </w:pPr>
            <w:r w:rsidRPr="00740B9A">
              <w:rPr>
                <w:rFonts w:hint="cs"/>
                <w:noProof w:val="0"/>
                <w:sz w:val="26"/>
                <w:szCs w:val="26"/>
                <w:rtl/>
              </w:rPr>
              <w:t>מפרקליטות מחוז ירושלים (אזרחי)</w:t>
            </w:r>
          </w:p>
        </w:tc>
      </w:tr>
    </w:tbl>
    <w:p w:rsidR="00694556" w:rsidRDefault="00694556"/>
    <w:p w:rsidR="00694556" w:rsidRDefault="0069455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740B9A" w:rsidRDefault="00740B9A" w:rsidP="00865886">
      <w:pPr>
        <w:spacing w:line="360" w:lineRule="auto"/>
        <w:jc w:val="both"/>
        <w:rPr>
          <w:rFonts w:ascii="Arial" w:hAnsi="Arial"/>
          <w:noProof w:val="0"/>
          <w:rtl/>
        </w:rPr>
      </w:pPr>
      <w:r>
        <w:rPr>
          <w:rFonts w:ascii="Arial" w:hAnsi="Arial" w:hint="cs"/>
          <w:noProof w:val="0"/>
          <w:rtl/>
        </w:rPr>
        <w:t xml:space="preserve">לפניי ערעור לפי סעיף 83 לחוק מס ערך מוסף, תשל"ו </w:t>
      </w:r>
      <w:r>
        <w:rPr>
          <w:rFonts w:ascii="Arial" w:hAnsi="Arial"/>
          <w:noProof w:val="0"/>
          <w:rtl/>
        </w:rPr>
        <w:t>–</w:t>
      </w:r>
      <w:r>
        <w:rPr>
          <w:rFonts w:ascii="Arial" w:hAnsi="Arial" w:hint="cs"/>
          <w:noProof w:val="0"/>
          <w:rtl/>
        </w:rPr>
        <w:t xml:space="preserve"> 1976 (להלן: "חוק מע"מ</w:t>
      </w:r>
      <w:r w:rsidR="00865886">
        <w:rPr>
          <w:rFonts w:ascii="Arial" w:hAnsi="Arial" w:hint="cs"/>
          <w:noProof w:val="0"/>
          <w:rtl/>
        </w:rPr>
        <w:t>") על החלטת המשיב בהשגה על שומת ת</w:t>
      </w:r>
      <w:r>
        <w:rPr>
          <w:rFonts w:ascii="Arial" w:hAnsi="Arial" w:hint="cs"/>
          <w:noProof w:val="0"/>
          <w:rtl/>
        </w:rPr>
        <w:t xml:space="preserve">שומות בגין קיזוז מע"מ על פי חשבוניות שהוצאו, לטענת המשיב, שלא כדין. </w:t>
      </w:r>
    </w:p>
    <w:p w:rsidR="00740B9A" w:rsidRDefault="00740B9A" w:rsidP="00740B9A">
      <w:pPr>
        <w:spacing w:line="360" w:lineRule="auto"/>
        <w:jc w:val="both"/>
        <w:rPr>
          <w:rFonts w:ascii="Arial" w:hAnsi="Arial"/>
          <w:noProof w:val="0"/>
          <w:rtl/>
        </w:rPr>
      </w:pPr>
    </w:p>
    <w:p w:rsidR="00740B9A" w:rsidRPr="00740B9A" w:rsidRDefault="00740B9A" w:rsidP="00740B9A">
      <w:pPr>
        <w:spacing w:line="360" w:lineRule="auto"/>
        <w:jc w:val="both"/>
        <w:rPr>
          <w:rFonts w:ascii="Arial" w:hAnsi="Arial"/>
          <w:b/>
          <w:bCs/>
          <w:noProof w:val="0"/>
          <w:u w:val="single"/>
          <w:rtl/>
        </w:rPr>
      </w:pPr>
      <w:r w:rsidRPr="00740B9A">
        <w:rPr>
          <w:rFonts w:ascii="Arial" w:hAnsi="Arial" w:hint="cs"/>
          <w:b/>
          <w:bCs/>
          <w:noProof w:val="0"/>
          <w:u w:val="single"/>
          <w:rtl/>
        </w:rPr>
        <w:t>שומת מס תשומות</w:t>
      </w:r>
    </w:p>
    <w:p w:rsidR="00694556" w:rsidRDefault="00740B9A" w:rsidP="00865886">
      <w:pPr>
        <w:spacing w:line="360" w:lineRule="auto"/>
        <w:ind w:left="720" w:hanging="720"/>
        <w:jc w:val="both"/>
        <w:rPr>
          <w:rFonts w:ascii="Arial" w:hAnsi="Arial"/>
          <w:noProof w:val="0"/>
          <w:rtl/>
        </w:rPr>
      </w:pPr>
      <w:r>
        <w:rPr>
          <w:rFonts w:ascii="Arial" w:hAnsi="Arial" w:hint="cs"/>
          <w:noProof w:val="0"/>
          <w:rtl/>
        </w:rPr>
        <w:t>1.</w:t>
      </w:r>
      <w:r>
        <w:rPr>
          <w:rFonts w:ascii="Arial" w:hAnsi="Arial" w:hint="cs"/>
          <w:noProof w:val="0"/>
          <w:rtl/>
        </w:rPr>
        <w:tab/>
        <w:t xml:space="preserve">ביום 28.8.2018 הוציא המשיב למערערת שומת </w:t>
      </w:r>
      <w:r w:rsidR="00865886">
        <w:rPr>
          <w:rFonts w:ascii="Arial" w:hAnsi="Arial" w:hint="cs"/>
          <w:noProof w:val="0"/>
          <w:rtl/>
        </w:rPr>
        <w:t>ת</w:t>
      </w:r>
      <w:r>
        <w:rPr>
          <w:rFonts w:ascii="Arial" w:hAnsi="Arial" w:hint="cs"/>
          <w:noProof w:val="0"/>
          <w:rtl/>
        </w:rPr>
        <w:t>שומות בגין קיזוז מס התשומות על פי חשבוניות שקבילה מ</w:t>
      </w:r>
      <w:r w:rsidR="00865886">
        <w:rPr>
          <w:rFonts w:ascii="Arial" w:hAnsi="Arial" w:hint="cs"/>
          <w:noProof w:val="0"/>
          <w:rtl/>
        </w:rPr>
        <w:t>ש</w:t>
      </w:r>
      <w:r>
        <w:rPr>
          <w:rFonts w:ascii="Arial" w:hAnsi="Arial" w:hint="cs"/>
          <w:noProof w:val="0"/>
          <w:rtl/>
        </w:rPr>
        <w:t xml:space="preserve">ש חברות שונות, כדלקמן: </w:t>
      </w:r>
    </w:p>
    <w:p w:rsidR="00740B9A" w:rsidRDefault="00740B9A">
      <w:pPr>
        <w:spacing w:line="360" w:lineRule="auto"/>
        <w:jc w:val="both"/>
        <w:rPr>
          <w:rFonts w:ascii="Arial" w:hAnsi="Arial"/>
          <w:noProof w:val="0"/>
          <w:rtl/>
        </w:rPr>
      </w:pPr>
    </w:p>
    <w:p w:rsidR="00740B9A" w:rsidRDefault="00740B9A" w:rsidP="00865886">
      <w:pPr>
        <w:spacing w:line="360" w:lineRule="auto"/>
        <w:ind w:left="1440" w:hanging="720"/>
        <w:jc w:val="both"/>
        <w:rPr>
          <w:rFonts w:ascii="Arial" w:hAnsi="Arial"/>
          <w:noProof w:val="0"/>
          <w:rtl/>
        </w:rPr>
      </w:pPr>
      <w:r>
        <w:rPr>
          <w:rFonts w:ascii="Arial" w:hAnsi="Arial" w:hint="cs"/>
          <w:noProof w:val="0"/>
          <w:rtl/>
        </w:rPr>
        <w:t>(-)</w:t>
      </w:r>
      <w:r>
        <w:rPr>
          <w:rFonts w:ascii="Arial" w:hAnsi="Arial"/>
          <w:noProof w:val="0"/>
          <w:rtl/>
        </w:rPr>
        <w:tab/>
      </w:r>
      <w:r>
        <w:rPr>
          <w:rFonts w:ascii="Arial" w:hAnsi="Arial" w:hint="cs"/>
          <w:noProof w:val="0"/>
          <w:rtl/>
        </w:rPr>
        <w:t>אביעם אינסטלציה ובניין בע"מ (להלן: "אביע</w:t>
      </w:r>
      <w:r w:rsidR="00865886">
        <w:rPr>
          <w:rFonts w:ascii="Arial" w:hAnsi="Arial" w:hint="cs"/>
          <w:noProof w:val="0"/>
          <w:rtl/>
        </w:rPr>
        <w:t>ם</w:t>
      </w:r>
      <w:r>
        <w:rPr>
          <w:rFonts w:ascii="Arial" w:hAnsi="Arial" w:hint="cs"/>
          <w:noProof w:val="0"/>
          <w:rtl/>
        </w:rPr>
        <w:t xml:space="preserve">"): מדובר ב </w:t>
      </w:r>
      <w:r>
        <w:rPr>
          <w:rFonts w:ascii="Arial" w:hAnsi="Arial"/>
          <w:noProof w:val="0"/>
          <w:rtl/>
        </w:rPr>
        <w:t>–</w:t>
      </w:r>
      <w:r>
        <w:rPr>
          <w:rFonts w:ascii="Arial" w:hAnsi="Arial" w:hint="cs"/>
          <w:noProof w:val="0"/>
          <w:rtl/>
        </w:rPr>
        <w:t xml:space="preserve"> 91 חשבוניות הכוללות מע"מ בסכום של 1,337,000 ₪. </w:t>
      </w:r>
    </w:p>
    <w:p w:rsidR="00740B9A" w:rsidRDefault="00740B9A" w:rsidP="00740B9A">
      <w:pPr>
        <w:spacing w:line="360" w:lineRule="auto"/>
        <w:ind w:left="1440" w:hanging="720"/>
        <w:jc w:val="both"/>
        <w:rPr>
          <w:rFonts w:ascii="Arial" w:hAnsi="Arial"/>
          <w:noProof w:val="0"/>
          <w:rtl/>
        </w:rPr>
      </w:pPr>
      <w:r>
        <w:rPr>
          <w:rFonts w:ascii="Arial" w:hAnsi="Arial" w:hint="cs"/>
          <w:noProof w:val="0"/>
          <w:rtl/>
        </w:rPr>
        <w:t xml:space="preserve">(-) </w:t>
      </w:r>
      <w:r>
        <w:rPr>
          <w:rFonts w:ascii="Arial" w:hAnsi="Arial" w:hint="cs"/>
          <w:noProof w:val="0"/>
          <w:rtl/>
        </w:rPr>
        <w:tab/>
        <w:t xml:space="preserve">כל מתכת מידן בע"מ (להלן: "כל מתכת"): מדובר ב </w:t>
      </w:r>
      <w:r>
        <w:rPr>
          <w:rFonts w:ascii="Arial" w:hAnsi="Arial"/>
          <w:noProof w:val="0"/>
          <w:rtl/>
        </w:rPr>
        <w:t>–</w:t>
      </w:r>
      <w:r>
        <w:rPr>
          <w:rFonts w:ascii="Arial" w:hAnsi="Arial" w:hint="cs"/>
          <w:noProof w:val="0"/>
          <w:rtl/>
        </w:rPr>
        <w:t xml:space="preserve"> 12 חשבוניות הכוללות מע"מ בסכום 57,783 ₪. </w:t>
      </w:r>
    </w:p>
    <w:p w:rsidR="00740B9A" w:rsidRDefault="00740B9A" w:rsidP="00740B9A">
      <w:pPr>
        <w:spacing w:line="360" w:lineRule="auto"/>
        <w:ind w:left="1440" w:hanging="720"/>
        <w:jc w:val="both"/>
        <w:rPr>
          <w:rFonts w:ascii="Arial" w:hAnsi="Arial"/>
          <w:noProof w:val="0"/>
          <w:rtl/>
        </w:rPr>
      </w:pPr>
      <w:r>
        <w:rPr>
          <w:rFonts w:ascii="Arial" w:hAnsi="Arial" w:hint="cs"/>
          <w:noProof w:val="0"/>
          <w:rtl/>
        </w:rPr>
        <w:t xml:space="preserve">(-) </w:t>
      </w:r>
      <w:r>
        <w:rPr>
          <w:rFonts w:ascii="Arial" w:hAnsi="Arial" w:hint="cs"/>
          <w:noProof w:val="0"/>
          <w:rtl/>
        </w:rPr>
        <w:tab/>
        <w:t xml:space="preserve">ט.ס. הנדסה ובניה בע"מ (להלן: "ט.ס."): מדובר ב </w:t>
      </w:r>
      <w:r>
        <w:rPr>
          <w:rFonts w:ascii="Arial" w:hAnsi="Arial"/>
          <w:noProof w:val="0"/>
          <w:rtl/>
        </w:rPr>
        <w:t>–</w:t>
      </w:r>
      <w:r>
        <w:rPr>
          <w:rFonts w:ascii="Arial" w:hAnsi="Arial" w:hint="cs"/>
          <w:noProof w:val="0"/>
          <w:rtl/>
        </w:rPr>
        <w:t xml:space="preserve"> 2 חשבוניות הכוללות מע"מ בסכום של 41,580 ₪. </w:t>
      </w:r>
    </w:p>
    <w:p w:rsidR="00740B9A" w:rsidRDefault="00740B9A" w:rsidP="00865886">
      <w:pPr>
        <w:spacing w:line="360" w:lineRule="auto"/>
        <w:ind w:left="1440" w:hanging="720"/>
        <w:jc w:val="both"/>
        <w:rPr>
          <w:rFonts w:ascii="Arial" w:hAnsi="Arial"/>
          <w:noProof w:val="0"/>
          <w:rtl/>
        </w:rPr>
      </w:pPr>
      <w:r>
        <w:rPr>
          <w:rFonts w:ascii="Arial" w:hAnsi="Arial" w:hint="cs"/>
          <w:noProof w:val="0"/>
          <w:rtl/>
        </w:rPr>
        <w:t xml:space="preserve">(-) </w:t>
      </w:r>
      <w:r>
        <w:rPr>
          <w:rFonts w:ascii="Arial" w:hAnsi="Arial" w:hint="cs"/>
          <w:noProof w:val="0"/>
          <w:rtl/>
        </w:rPr>
        <w:tab/>
        <w:t>ח.ר. עדן לבניה בע"מ (להלן: "ח.ר."): מדובר ב-9 ח</w:t>
      </w:r>
      <w:r w:rsidR="00F567E2">
        <w:rPr>
          <w:rFonts w:ascii="Arial" w:hAnsi="Arial" w:hint="cs"/>
          <w:noProof w:val="0"/>
          <w:rtl/>
        </w:rPr>
        <w:t>שבונות הכוללות מע"מ בסכום של 234,8</w:t>
      </w:r>
      <w:r w:rsidR="00865886">
        <w:rPr>
          <w:rFonts w:ascii="Arial" w:hAnsi="Arial" w:hint="cs"/>
          <w:noProof w:val="0"/>
          <w:rtl/>
        </w:rPr>
        <w:t>75</w:t>
      </w:r>
      <w:r w:rsidR="00F567E2">
        <w:rPr>
          <w:rFonts w:ascii="Arial" w:hAnsi="Arial" w:hint="cs"/>
          <w:noProof w:val="0"/>
          <w:rtl/>
        </w:rPr>
        <w:t xml:space="preserve"> ₪. </w:t>
      </w:r>
    </w:p>
    <w:p w:rsidR="00F567E2" w:rsidRDefault="00F567E2" w:rsidP="00740B9A">
      <w:pPr>
        <w:spacing w:line="360" w:lineRule="auto"/>
        <w:ind w:left="1440" w:hanging="720"/>
        <w:jc w:val="both"/>
        <w:rPr>
          <w:rFonts w:ascii="Arial" w:hAnsi="Arial"/>
          <w:noProof w:val="0"/>
          <w:rtl/>
        </w:rPr>
      </w:pPr>
      <w:r>
        <w:rPr>
          <w:rFonts w:ascii="Arial" w:hAnsi="Arial" w:hint="cs"/>
          <w:noProof w:val="0"/>
          <w:rtl/>
        </w:rPr>
        <w:t xml:space="preserve">(-) </w:t>
      </w:r>
      <w:r>
        <w:rPr>
          <w:rFonts w:ascii="Arial" w:hAnsi="Arial" w:hint="cs"/>
          <w:noProof w:val="0"/>
          <w:rtl/>
        </w:rPr>
        <w:tab/>
        <w:t xml:space="preserve">אידיאל זאוס בע"מ (להלן: "אידיאל"): מדובר ב-5 חשבוניות הכוללות מע"מ בסכום של 82,737 ₪. </w:t>
      </w:r>
    </w:p>
    <w:p w:rsidR="00F567E2" w:rsidRDefault="00F567E2" w:rsidP="00740B9A">
      <w:pPr>
        <w:spacing w:line="360" w:lineRule="auto"/>
        <w:ind w:left="1440" w:hanging="720"/>
        <w:jc w:val="both"/>
        <w:rPr>
          <w:rFonts w:ascii="Arial" w:hAnsi="Arial"/>
          <w:noProof w:val="0"/>
          <w:rtl/>
        </w:rPr>
      </w:pPr>
      <w:r>
        <w:rPr>
          <w:rFonts w:ascii="Arial" w:hAnsi="Arial" w:hint="cs"/>
          <w:noProof w:val="0"/>
          <w:rtl/>
        </w:rPr>
        <w:t xml:space="preserve">(-) </w:t>
      </w:r>
      <w:r>
        <w:rPr>
          <w:rFonts w:ascii="Arial" w:hAnsi="Arial" w:hint="cs"/>
          <w:noProof w:val="0"/>
          <w:rtl/>
        </w:rPr>
        <w:tab/>
        <w:t xml:space="preserve">א.ח. חמיס שיווק ומסחר בע"מ (להלן: "חמיס"): מדובר ב </w:t>
      </w:r>
      <w:r>
        <w:rPr>
          <w:rFonts w:ascii="Arial" w:hAnsi="Arial"/>
          <w:noProof w:val="0"/>
          <w:rtl/>
        </w:rPr>
        <w:t>–</w:t>
      </w:r>
      <w:r>
        <w:rPr>
          <w:rFonts w:ascii="Arial" w:hAnsi="Arial" w:hint="cs"/>
          <w:noProof w:val="0"/>
          <w:rtl/>
        </w:rPr>
        <w:t xml:space="preserve"> 12 חשבוניות הכוללות מע"מ בסכום של 234,021 ₪. </w:t>
      </w:r>
    </w:p>
    <w:p w:rsidR="0079031E" w:rsidRDefault="0079031E" w:rsidP="00740B9A">
      <w:pPr>
        <w:spacing w:line="360" w:lineRule="auto"/>
        <w:ind w:left="1440" w:hanging="720"/>
        <w:jc w:val="both"/>
        <w:rPr>
          <w:rFonts w:ascii="Arial" w:hAnsi="Arial"/>
          <w:noProof w:val="0"/>
          <w:rtl/>
        </w:rPr>
      </w:pPr>
    </w:p>
    <w:p w:rsidR="0079031E" w:rsidRDefault="0079031E" w:rsidP="00740B9A">
      <w:pPr>
        <w:spacing w:line="360" w:lineRule="auto"/>
        <w:ind w:left="1440" w:hanging="720"/>
        <w:jc w:val="both"/>
        <w:rPr>
          <w:rFonts w:ascii="Arial" w:hAnsi="Arial"/>
          <w:noProof w:val="0"/>
          <w:rtl/>
        </w:rPr>
      </w:pPr>
      <w:r>
        <w:rPr>
          <w:rFonts w:ascii="Arial" w:hAnsi="Arial" w:hint="cs"/>
          <w:noProof w:val="0"/>
          <w:rtl/>
        </w:rPr>
        <w:lastRenderedPageBreak/>
        <w:t>בסך הכול מדוב</w:t>
      </w:r>
      <w:r w:rsidR="00522EF8">
        <w:rPr>
          <w:rFonts w:ascii="Arial" w:hAnsi="Arial" w:hint="cs"/>
          <w:noProof w:val="0"/>
          <w:rtl/>
        </w:rPr>
        <w:t>ר ב-131 חשבוניות אשר סכום המע"מ הכלול בהן מסתכם ב-1,988,383 והסכום הכולל של החשבוניות מסתכם בכ-13 מיליון ₪, בתקופה שבין חודש אוקטובר 2012 וחודש יוני 2015.</w:t>
      </w:r>
    </w:p>
    <w:p w:rsidR="00F567E2" w:rsidRDefault="00F567E2" w:rsidP="00F567E2">
      <w:pPr>
        <w:spacing w:line="360" w:lineRule="auto"/>
        <w:jc w:val="both"/>
        <w:rPr>
          <w:rFonts w:ascii="Arial" w:hAnsi="Arial"/>
          <w:noProof w:val="0"/>
          <w:rtl/>
        </w:rPr>
      </w:pPr>
    </w:p>
    <w:p w:rsidR="00F567E2" w:rsidRDefault="00F567E2" w:rsidP="00865886">
      <w:pPr>
        <w:spacing w:line="360" w:lineRule="auto"/>
        <w:ind w:left="720" w:hanging="720"/>
        <w:jc w:val="both"/>
        <w:rPr>
          <w:rFonts w:ascii="Arial" w:hAnsi="Arial"/>
          <w:noProof w:val="0"/>
          <w:rtl/>
        </w:rPr>
      </w:pPr>
      <w:r>
        <w:rPr>
          <w:rFonts w:ascii="Arial" w:hAnsi="Arial" w:hint="cs"/>
          <w:noProof w:val="0"/>
          <w:rtl/>
        </w:rPr>
        <w:t>2.</w:t>
      </w:r>
      <w:r>
        <w:rPr>
          <w:rFonts w:ascii="Arial" w:hAnsi="Arial" w:hint="cs"/>
          <w:noProof w:val="0"/>
          <w:rtl/>
        </w:rPr>
        <w:tab/>
        <w:t xml:space="preserve">המערערת הגישה השגה </w:t>
      </w:r>
      <w:r w:rsidR="00865886">
        <w:rPr>
          <w:rFonts w:ascii="Arial" w:hAnsi="Arial" w:hint="cs"/>
          <w:noProof w:val="0"/>
          <w:rtl/>
        </w:rPr>
        <w:t>ו</w:t>
      </w:r>
      <w:r>
        <w:rPr>
          <w:rFonts w:ascii="Arial" w:hAnsi="Arial" w:hint="cs"/>
          <w:noProof w:val="0"/>
          <w:rtl/>
        </w:rPr>
        <w:t>ביום 28.8.18 דחה המשיב את ההשגה</w:t>
      </w:r>
      <w:r w:rsidR="00865886">
        <w:rPr>
          <w:rFonts w:ascii="Arial" w:hAnsi="Arial" w:hint="cs"/>
          <w:noProof w:val="0"/>
          <w:rtl/>
        </w:rPr>
        <w:t>.</w:t>
      </w:r>
      <w:r>
        <w:rPr>
          <w:rFonts w:ascii="Arial" w:hAnsi="Arial" w:hint="cs"/>
          <w:noProof w:val="0"/>
          <w:rtl/>
        </w:rPr>
        <w:t xml:space="preserve"> </w:t>
      </w:r>
      <w:r w:rsidR="00865886">
        <w:rPr>
          <w:rFonts w:ascii="Arial" w:hAnsi="Arial" w:hint="cs"/>
          <w:noProof w:val="0"/>
          <w:rtl/>
        </w:rPr>
        <w:t>על</w:t>
      </w:r>
      <w:r>
        <w:rPr>
          <w:rFonts w:ascii="Arial" w:hAnsi="Arial" w:hint="cs"/>
          <w:noProof w:val="0"/>
          <w:rtl/>
        </w:rPr>
        <w:t xml:space="preserve"> ההחלטה </w:t>
      </w:r>
      <w:r w:rsidR="00865886">
        <w:rPr>
          <w:rFonts w:ascii="Arial" w:hAnsi="Arial" w:hint="cs"/>
          <w:noProof w:val="0"/>
          <w:rtl/>
        </w:rPr>
        <w:t>בהשגה הוגש הערעור דנן.</w:t>
      </w:r>
    </w:p>
    <w:p w:rsidR="00522EF8" w:rsidRDefault="00522EF8" w:rsidP="00865886">
      <w:pPr>
        <w:spacing w:line="360" w:lineRule="auto"/>
        <w:ind w:left="720" w:hanging="720"/>
        <w:jc w:val="both"/>
        <w:rPr>
          <w:rFonts w:ascii="Arial" w:hAnsi="Arial"/>
          <w:noProof w:val="0"/>
          <w:rtl/>
        </w:rPr>
      </w:pPr>
    </w:p>
    <w:p w:rsidR="00F567E2" w:rsidRPr="00F567E2" w:rsidRDefault="00F567E2" w:rsidP="00F567E2">
      <w:pPr>
        <w:spacing w:line="360" w:lineRule="auto"/>
        <w:ind w:left="720" w:hanging="720"/>
        <w:jc w:val="both"/>
        <w:rPr>
          <w:rFonts w:ascii="Arial" w:hAnsi="Arial"/>
          <w:b/>
          <w:bCs/>
          <w:noProof w:val="0"/>
          <w:u w:val="single"/>
          <w:rtl/>
        </w:rPr>
      </w:pPr>
      <w:r w:rsidRPr="00F567E2">
        <w:rPr>
          <w:rFonts w:ascii="Arial" w:hAnsi="Arial" w:hint="cs"/>
          <w:b/>
          <w:bCs/>
          <w:noProof w:val="0"/>
          <w:u w:val="single"/>
          <w:rtl/>
        </w:rPr>
        <w:t>טע</w:t>
      </w:r>
      <w:r w:rsidR="00865886">
        <w:rPr>
          <w:rFonts w:ascii="Arial" w:hAnsi="Arial" w:hint="cs"/>
          <w:b/>
          <w:bCs/>
          <w:noProof w:val="0"/>
          <w:u w:val="single"/>
          <w:rtl/>
        </w:rPr>
        <w:t>נ</w:t>
      </w:r>
      <w:r w:rsidRPr="00F567E2">
        <w:rPr>
          <w:rFonts w:ascii="Arial" w:hAnsi="Arial" w:hint="cs"/>
          <w:b/>
          <w:bCs/>
          <w:noProof w:val="0"/>
          <w:u w:val="single"/>
          <w:rtl/>
        </w:rPr>
        <w:t>ות המערערת בתמצית</w:t>
      </w:r>
    </w:p>
    <w:p w:rsidR="00F567E2" w:rsidRDefault="00F567E2" w:rsidP="00865886">
      <w:pPr>
        <w:spacing w:line="360" w:lineRule="auto"/>
        <w:ind w:left="720" w:hanging="720"/>
        <w:jc w:val="both"/>
        <w:rPr>
          <w:rFonts w:ascii="Arial" w:hAnsi="Arial"/>
          <w:noProof w:val="0"/>
          <w:rtl/>
        </w:rPr>
      </w:pPr>
      <w:r>
        <w:rPr>
          <w:rFonts w:ascii="Arial" w:hAnsi="Arial" w:hint="cs"/>
          <w:noProof w:val="0"/>
          <w:rtl/>
        </w:rPr>
        <w:t>3.</w:t>
      </w:r>
      <w:r>
        <w:rPr>
          <w:rFonts w:ascii="Arial" w:hAnsi="Arial" w:hint="cs"/>
          <w:noProof w:val="0"/>
          <w:rtl/>
        </w:rPr>
        <w:tab/>
        <w:t>לטענת המערערת, החשבוניות שהתקבלו אצלה הן עבור טובין ושירותים שהיא קיבלה, אשר תמורתם היא שילמה לספקים</w:t>
      </w:r>
      <w:r w:rsidR="00865886">
        <w:rPr>
          <w:rFonts w:ascii="Arial" w:hAnsi="Arial" w:hint="cs"/>
          <w:noProof w:val="0"/>
          <w:rtl/>
        </w:rPr>
        <w:t>, כאשר</w:t>
      </w:r>
      <w:r>
        <w:rPr>
          <w:rFonts w:ascii="Arial" w:hAnsi="Arial" w:hint="cs"/>
          <w:noProof w:val="0"/>
          <w:rtl/>
        </w:rPr>
        <w:t xml:space="preserve"> במרבית המקרים</w:t>
      </w:r>
      <w:r w:rsidR="00865886">
        <w:rPr>
          <w:rFonts w:ascii="Arial" w:hAnsi="Arial" w:hint="cs"/>
          <w:noProof w:val="0"/>
          <w:rtl/>
        </w:rPr>
        <w:t>, התשלום בוצע במזומן</w:t>
      </w:r>
      <w:r>
        <w:rPr>
          <w:rFonts w:ascii="Arial" w:hAnsi="Arial" w:hint="cs"/>
          <w:noProof w:val="0"/>
          <w:rtl/>
        </w:rPr>
        <w:t xml:space="preserve">. </w:t>
      </w:r>
    </w:p>
    <w:p w:rsidR="00F567E2" w:rsidRDefault="00F567E2" w:rsidP="00F567E2">
      <w:pPr>
        <w:spacing w:line="360" w:lineRule="auto"/>
        <w:ind w:left="720" w:hanging="720"/>
        <w:jc w:val="both"/>
        <w:rPr>
          <w:rFonts w:ascii="Arial" w:hAnsi="Arial"/>
          <w:noProof w:val="0"/>
          <w:rtl/>
        </w:rPr>
      </w:pPr>
    </w:p>
    <w:p w:rsidR="00F567E2" w:rsidRDefault="00F567E2" w:rsidP="00F567E2">
      <w:pPr>
        <w:spacing w:line="360" w:lineRule="auto"/>
        <w:ind w:left="720" w:hanging="720"/>
        <w:jc w:val="both"/>
        <w:rPr>
          <w:rFonts w:ascii="Arial" w:hAnsi="Arial"/>
          <w:noProof w:val="0"/>
          <w:rtl/>
        </w:rPr>
      </w:pPr>
      <w:r>
        <w:rPr>
          <w:rFonts w:ascii="Arial" w:hAnsi="Arial" w:hint="cs"/>
          <w:noProof w:val="0"/>
          <w:rtl/>
        </w:rPr>
        <w:t>4.</w:t>
      </w:r>
      <w:r>
        <w:rPr>
          <w:rFonts w:ascii="Arial" w:hAnsi="Arial" w:hint="cs"/>
          <w:noProof w:val="0"/>
          <w:rtl/>
        </w:rPr>
        <w:tab/>
        <w:t xml:space="preserve">לטענת המערערת, בשנים 2012 ו-2013 היה מחזור עסקיה בסדר גודל של 1.5 מיליון ₪ וכמעט 3 מיליון ₪ (בהתאמה) וכי לצורך העבודות שביצעה, היא התקשרה עם קבלני משנה. </w:t>
      </w:r>
    </w:p>
    <w:p w:rsidR="00F567E2" w:rsidRDefault="00F567E2" w:rsidP="00F567E2">
      <w:pPr>
        <w:spacing w:line="360" w:lineRule="auto"/>
        <w:ind w:left="720" w:hanging="720"/>
        <w:jc w:val="both"/>
        <w:rPr>
          <w:rFonts w:ascii="Arial" w:hAnsi="Arial"/>
          <w:noProof w:val="0"/>
          <w:rtl/>
        </w:rPr>
      </w:pPr>
    </w:p>
    <w:p w:rsidR="00F567E2" w:rsidRDefault="00F567E2" w:rsidP="00CE1C67">
      <w:pPr>
        <w:spacing w:line="360" w:lineRule="auto"/>
        <w:ind w:left="720" w:hanging="720"/>
        <w:jc w:val="both"/>
        <w:rPr>
          <w:rFonts w:ascii="Arial" w:hAnsi="Arial"/>
          <w:noProof w:val="0"/>
          <w:rtl/>
        </w:rPr>
      </w:pPr>
      <w:r>
        <w:rPr>
          <w:rFonts w:ascii="Arial" w:hAnsi="Arial" w:hint="cs"/>
          <w:noProof w:val="0"/>
          <w:rtl/>
        </w:rPr>
        <w:t>5.</w:t>
      </w:r>
      <w:r>
        <w:rPr>
          <w:rFonts w:ascii="Arial" w:hAnsi="Arial" w:hint="cs"/>
          <w:noProof w:val="0"/>
          <w:rtl/>
        </w:rPr>
        <w:tab/>
        <w:t>נטען כי גם אם מדובר בחשבוניות שהוצאו שלא כדין, חל במקרה זה החריג הסובייקטיבי, והמערערת עומדת בתנאיו</w:t>
      </w:r>
      <w:r w:rsidR="00CE1C67">
        <w:rPr>
          <w:rFonts w:ascii="Arial" w:hAnsi="Arial" w:hint="cs"/>
          <w:noProof w:val="0"/>
          <w:rtl/>
        </w:rPr>
        <w:t>:</w:t>
      </w:r>
      <w:r>
        <w:rPr>
          <w:rFonts w:ascii="Arial" w:hAnsi="Arial" w:hint="cs"/>
          <w:noProof w:val="0"/>
          <w:rtl/>
        </w:rPr>
        <w:t xml:space="preserve"> החשבוניות נחזות להיות אמיתיות; קיימים הסכמי עבודה עם הספקים; </w:t>
      </w:r>
      <w:r w:rsidR="00CE1C67">
        <w:rPr>
          <w:rFonts w:ascii="Arial" w:hAnsi="Arial" w:hint="cs"/>
          <w:noProof w:val="0"/>
          <w:rtl/>
        </w:rPr>
        <w:t>ו</w:t>
      </w:r>
      <w:r>
        <w:rPr>
          <w:rFonts w:ascii="Arial" w:hAnsi="Arial" w:hint="cs"/>
          <w:noProof w:val="0"/>
          <w:rtl/>
        </w:rPr>
        <w:t>היא ביצעה את כל הבדיקות הנחוצות לצורך אימות החשבוניות. על כן</w:t>
      </w:r>
      <w:r w:rsidR="00CE1C67">
        <w:rPr>
          <w:rFonts w:ascii="Arial" w:hAnsi="Arial" w:hint="cs"/>
          <w:noProof w:val="0"/>
          <w:rtl/>
        </w:rPr>
        <w:t>,</w:t>
      </w:r>
      <w:r>
        <w:rPr>
          <w:rFonts w:ascii="Arial" w:hAnsi="Arial" w:hint="cs"/>
          <w:noProof w:val="0"/>
          <w:rtl/>
        </w:rPr>
        <w:t xml:space="preserve"> נטען שיש לקבל את הערעור ולקבוע כי בדין קיזזה המערערת את מס התשומות שנכלל באותן חשבוניות שבמחלוקת. </w:t>
      </w:r>
    </w:p>
    <w:p w:rsidR="00F567E2" w:rsidRDefault="00F567E2" w:rsidP="00F567E2">
      <w:pPr>
        <w:spacing w:line="360" w:lineRule="auto"/>
        <w:ind w:left="720" w:hanging="720"/>
        <w:jc w:val="both"/>
        <w:rPr>
          <w:rFonts w:ascii="Arial" w:hAnsi="Arial"/>
          <w:noProof w:val="0"/>
          <w:rtl/>
        </w:rPr>
      </w:pPr>
    </w:p>
    <w:p w:rsidR="00F567E2" w:rsidRPr="00F567E2" w:rsidRDefault="00F567E2" w:rsidP="00CE1C67">
      <w:pPr>
        <w:spacing w:line="360" w:lineRule="auto"/>
        <w:ind w:left="720" w:hanging="720"/>
        <w:jc w:val="both"/>
        <w:rPr>
          <w:rFonts w:ascii="Arial" w:hAnsi="Arial"/>
          <w:b/>
          <w:bCs/>
          <w:noProof w:val="0"/>
          <w:u w:val="single"/>
          <w:rtl/>
        </w:rPr>
      </w:pPr>
      <w:r w:rsidRPr="00F567E2">
        <w:rPr>
          <w:rFonts w:ascii="Arial" w:hAnsi="Arial" w:hint="cs"/>
          <w:b/>
          <w:bCs/>
          <w:noProof w:val="0"/>
          <w:u w:val="single"/>
          <w:rtl/>
        </w:rPr>
        <w:t>טענ</w:t>
      </w:r>
      <w:r w:rsidR="00CE1C67">
        <w:rPr>
          <w:rFonts w:ascii="Arial" w:hAnsi="Arial" w:hint="cs"/>
          <w:b/>
          <w:bCs/>
          <w:noProof w:val="0"/>
          <w:u w:val="single"/>
          <w:rtl/>
        </w:rPr>
        <w:t>ו</w:t>
      </w:r>
      <w:r w:rsidRPr="00F567E2">
        <w:rPr>
          <w:rFonts w:ascii="Arial" w:hAnsi="Arial" w:hint="cs"/>
          <w:b/>
          <w:bCs/>
          <w:noProof w:val="0"/>
          <w:u w:val="single"/>
          <w:rtl/>
        </w:rPr>
        <w:t>ת המשיב בתמצית</w:t>
      </w:r>
    </w:p>
    <w:p w:rsidR="006F4C23" w:rsidRDefault="00F567E2" w:rsidP="00CE1C67">
      <w:pPr>
        <w:spacing w:line="360" w:lineRule="auto"/>
        <w:ind w:left="720" w:hanging="720"/>
        <w:jc w:val="both"/>
        <w:rPr>
          <w:rFonts w:ascii="Arial" w:hAnsi="Arial"/>
          <w:noProof w:val="0"/>
          <w:rtl/>
        </w:rPr>
      </w:pPr>
      <w:r>
        <w:rPr>
          <w:rFonts w:ascii="Arial" w:hAnsi="Arial" w:hint="cs"/>
          <w:noProof w:val="0"/>
          <w:rtl/>
        </w:rPr>
        <w:t>6.</w:t>
      </w:r>
      <w:r>
        <w:rPr>
          <w:rFonts w:ascii="Arial" w:hAnsi="Arial" w:hint="cs"/>
          <w:noProof w:val="0"/>
          <w:rtl/>
        </w:rPr>
        <w:tab/>
        <w:t>לטענת המשיב, הבעלים של החברות הנזכרות לעיל נחק</w:t>
      </w:r>
      <w:r w:rsidR="006F4C23">
        <w:rPr>
          <w:rFonts w:ascii="Arial" w:hAnsi="Arial" w:hint="cs"/>
          <w:noProof w:val="0"/>
          <w:rtl/>
        </w:rPr>
        <w:t>רו והעי</w:t>
      </w:r>
      <w:r w:rsidR="00CE1C67">
        <w:rPr>
          <w:rFonts w:ascii="Arial" w:hAnsi="Arial" w:hint="cs"/>
          <w:noProof w:val="0"/>
          <w:rtl/>
        </w:rPr>
        <w:t>ד</w:t>
      </w:r>
      <w:r w:rsidR="006F4C23">
        <w:rPr>
          <w:rFonts w:ascii="Arial" w:hAnsi="Arial" w:hint="cs"/>
          <w:noProof w:val="0"/>
          <w:rtl/>
        </w:rPr>
        <w:t>ו כי הם אינם מכירים את המערערת ולא את מנהלה וכן כי הגורם שנטען כי הוא שימש כסוכן מטעמם, אינו מוכר להם. הבעלים הצביעו על הבדלים בין החשבונ</w:t>
      </w:r>
      <w:r w:rsidR="00CE1C67">
        <w:rPr>
          <w:rFonts w:ascii="Arial" w:hAnsi="Arial" w:hint="cs"/>
          <w:noProof w:val="0"/>
          <w:rtl/>
        </w:rPr>
        <w:t>י</w:t>
      </w:r>
      <w:r w:rsidR="006F4C23">
        <w:rPr>
          <w:rFonts w:ascii="Arial" w:hAnsi="Arial" w:hint="cs"/>
          <w:noProof w:val="0"/>
          <w:rtl/>
        </w:rPr>
        <w:t>ות שהם מוציאים לבין החשבוניות שאותן ניכתה המערערת בפועל.</w:t>
      </w:r>
    </w:p>
    <w:p w:rsidR="006F4C23" w:rsidRDefault="006F4C23" w:rsidP="006F4C23">
      <w:pPr>
        <w:spacing w:line="360" w:lineRule="auto"/>
        <w:ind w:left="720" w:hanging="720"/>
        <w:jc w:val="both"/>
        <w:rPr>
          <w:rFonts w:ascii="Arial" w:hAnsi="Arial"/>
          <w:noProof w:val="0"/>
          <w:rtl/>
        </w:rPr>
      </w:pPr>
    </w:p>
    <w:p w:rsidR="006F4C23" w:rsidRDefault="006F4C23" w:rsidP="00CE1C67">
      <w:pPr>
        <w:spacing w:line="360" w:lineRule="auto"/>
        <w:ind w:left="720" w:hanging="720"/>
        <w:jc w:val="both"/>
        <w:rPr>
          <w:rFonts w:ascii="Arial" w:hAnsi="Arial"/>
          <w:noProof w:val="0"/>
          <w:rtl/>
        </w:rPr>
      </w:pPr>
      <w:r>
        <w:rPr>
          <w:rFonts w:ascii="Arial" w:hAnsi="Arial" w:hint="cs"/>
          <w:noProof w:val="0"/>
          <w:rtl/>
        </w:rPr>
        <w:t>7.</w:t>
      </w:r>
      <w:r>
        <w:rPr>
          <w:rFonts w:ascii="Arial" w:hAnsi="Arial" w:hint="cs"/>
          <w:noProof w:val="0"/>
          <w:rtl/>
        </w:rPr>
        <w:tab/>
        <w:t xml:space="preserve">עוד נטען מטעם המשיב כי מנהל המערערת נהג באופן קבוע לשלם לספקים במזומן, אף שהוזהר על ידי מנהל החשבונות ורואה החשבון שלו, כי הדבר אסור. </w:t>
      </w:r>
    </w:p>
    <w:p w:rsidR="006F4C23" w:rsidRDefault="006F4C23" w:rsidP="006F4C23">
      <w:pPr>
        <w:spacing w:line="360" w:lineRule="auto"/>
        <w:ind w:left="720" w:hanging="720"/>
        <w:jc w:val="both"/>
        <w:rPr>
          <w:rFonts w:ascii="Arial" w:hAnsi="Arial"/>
          <w:noProof w:val="0"/>
          <w:rtl/>
        </w:rPr>
      </w:pPr>
    </w:p>
    <w:p w:rsidR="006F4C23" w:rsidRDefault="006F4C23" w:rsidP="00CE1C67">
      <w:pPr>
        <w:spacing w:line="360" w:lineRule="auto"/>
        <w:ind w:left="720" w:hanging="720"/>
        <w:jc w:val="both"/>
        <w:rPr>
          <w:rFonts w:ascii="Arial" w:hAnsi="Arial"/>
          <w:noProof w:val="0"/>
          <w:rtl/>
        </w:rPr>
      </w:pPr>
      <w:r>
        <w:rPr>
          <w:rFonts w:ascii="Arial" w:hAnsi="Arial" w:hint="cs"/>
          <w:noProof w:val="0"/>
          <w:rtl/>
        </w:rPr>
        <w:t>8.</w:t>
      </w:r>
      <w:r>
        <w:rPr>
          <w:rFonts w:ascii="Arial" w:hAnsi="Arial" w:hint="cs"/>
          <w:noProof w:val="0"/>
          <w:rtl/>
        </w:rPr>
        <w:tab/>
        <w:t xml:space="preserve">לטענת המשיב, </w:t>
      </w:r>
      <w:r w:rsidR="00CE1C67">
        <w:rPr>
          <w:rFonts w:ascii="Arial" w:hAnsi="Arial" w:hint="cs"/>
          <w:noProof w:val="0"/>
          <w:rtl/>
        </w:rPr>
        <w:t>גרסתו</w:t>
      </w:r>
      <w:r>
        <w:rPr>
          <w:rFonts w:ascii="Arial" w:hAnsi="Arial" w:hint="cs"/>
          <w:noProof w:val="0"/>
          <w:rtl/>
        </w:rPr>
        <w:t xml:space="preserve"> של מנהל המערערת, בורהן ג'ברין (להלן: "מנהל המערערת" או "ג'ברין") כי עבד מול סוכן בשם אחמד ג'אבר (להלן" "הסוכן" או "ג'אבר"</w:t>
      </w:r>
      <w:r w:rsidR="00CE1C67">
        <w:rPr>
          <w:rFonts w:ascii="Arial" w:hAnsi="Arial" w:hint="cs"/>
          <w:noProof w:val="0"/>
          <w:rtl/>
        </w:rPr>
        <w:t>)</w:t>
      </w:r>
      <w:r>
        <w:rPr>
          <w:rFonts w:ascii="Arial" w:hAnsi="Arial" w:hint="cs"/>
          <w:noProof w:val="0"/>
          <w:rtl/>
        </w:rPr>
        <w:t xml:space="preserve">, הייתה חייבת לעורר חשד, שכן הסוכן פעל בשם שלושה ספקים שונים. </w:t>
      </w:r>
    </w:p>
    <w:p w:rsidR="006F4C23" w:rsidRDefault="006F4C23" w:rsidP="006F4C23">
      <w:pPr>
        <w:spacing w:line="360" w:lineRule="auto"/>
        <w:ind w:left="720" w:hanging="720"/>
        <w:jc w:val="both"/>
        <w:rPr>
          <w:rFonts w:ascii="Arial" w:hAnsi="Arial"/>
          <w:noProof w:val="0"/>
          <w:rtl/>
        </w:rPr>
      </w:pPr>
    </w:p>
    <w:p w:rsidR="006F4C23" w:rsidRDefault="006F4C23" w:rsidP="006F4C23">
      <w:pPr>
        <w:spacing w:line="360" w:lineRule="auto"/>
        <w:ind w:left="720" w:hanging="720"/>
        <w:jc w:val="both"/>
        <w:rPr>
          <w:rFonts w:ascii="Arial" w:hAnsi="Arial"/>
          <w:noProof w:val="0"/>
          <w:rtl/>
        </w:rPr>
      </w:pPr>
      <w:r>
        <w:rPr>
          <w:rFonts w:ascii="Arial" w:hAnsi="Arial" w:hint="cs"/>
          <w:noProof w:val="0"/>
          <w:rtl/>
        </w:rPr>
        <w:lastRenderedPageBreak/>
        <w:t>9.</w:t>
      </w:r>
      <w:r>
        <w:rPr>
          <w:rFonts w:ascii="Arial" w:hAnsi="Arial" w:hint="cs"/>
          <w:noProof w:val="0"/>
          <w:rtl/>
        </w:rPr>
        <w:tab/>
        <w:t xml:space="preserve">עוד טען המשיב כי מנהל המערערת לא טרח לאמת את העובדה כי הסוכן אכן היה מורשה לפעול בשם אותם ספקים. לטענת המשיב, הסוכן הכחיש בהודעתו כי ביצע עסקאות עם מנהל המערערת. </w:t>
      </w:r>
    </w:p>
    <w:p w:rsidR="006F4C23" w:rsidRDefault="006F4C23" w:rsidP="006F4C23">
      <w:pPr>
        <w:spacing w:line="360" w:lineRule="auto"/>
        <w:ind w:left="720" w:hanging="720"/>
        <w:jc w:val="both"/>
        <w:rPr>
          <w:rFonts w:ascii="Arial" w:hAnsi="Arial"/>
          <w:noProof w:val="0"/>
          <w:rtl/>
        </w:rPr>
      </w:pPr>
    </w:p>
    <w:p w:rsidR="006F4C23" w:rsidRDefault="006F4C23" w:rsidP="006F4C23">
      <w:pPr>
        <w:spacing w:line="360" w:lineRule="auto"/>
        <w:ind w:left="720" w:hanging="720"/>
        <w:jc w:val="both"/>
        <w:rPr>
          <w:rFonts w:ascii="Arial" w:hAnsi="Arial"/>
          <w:noProof w:val="0"/>
          <w:rtl/>
        </w:rPr>
      </w:pPr>
      <w:r>
        <w:rPr>
          <w:rFonts w:ascii="Arial" w:hAnsi="Arial" w:hint="cs"/>
          <w:noProof w:val="0"/>
          <w:rtl/>
        </w:rPr>
        <w:t>10.</w:t>
      </w:r>
      <w:r>
        <w:rPr>
          <w:rFonts w:ascii="Arial" w:hAnsi="Arial" w:hint="cs"/>
          <w:noProof w:val="0"/>
          <w:rtl/>
        </w:rPr>
        <w:tab/>
        <w:t xml:space="preserve">לטענת המשיב, המערערת לא ביצעה את הבדיקות הנדרשות לשם עמידה בחריג הסובייקטיבי. </w:t>
      </w:r>
    </w:p>
    <w:p w:rsidR="006F4C23" w:rsidRDefault="006F4C23" w:rsidP="006F4C23">
      <w:pPr>
        <w:spacing w:line="360" w:lineRule="auto"/>
        <w:ind w:left="720" w:hanging="720"/>
        <w:jc w:val="both"/>
        <w:rPr>
          <w:rFonts w:ascii="Arial" w:hAnsi="Arial"/>
          <w:noProof w:val="0"/>
          <w:rtl/>
        </w:rPr>
      </w:pPr>
    </w:p>
    <w:p w:rsidR="006F4C23" w:rsidRPr="006F4C23" w:rsidRDefault="006F4C23" w:rsidP="006F4C23">
      <w:pPr>
        <w:spacing w:line="360" w:lineRule="auto"/>
        <w:ind w:left="720" w:hanging="720"/>
        <w:jc w:val="both"/>
        <w:rPr>
          <w:rFonts w:ascii="Arial" w:hAnsi="Arial"/>
          <w:b/>
          <w:bCs/>
          <w:noProof w:val="0"/>
          <w:u w:val="single"/>
          <w:rtl/>
        </w:rPr>
      </w:pPr>
      <w:r w:rsidRPr="006F4C23">
        <w:rPr>
          <w:rFonts w:ascii="Arial" w:hAnsi="Arial" w:hint="cs"/>
          <w:b/>
          <w:bCs/>
          <w:noProof w:val="0"/>
          <w:u w:val="single"/>
          <w:rtl/>
        </w:rPr>
        <w:t>דיון והכרעה</w:t>
      </w:r>
    </w:p>
    <w:p w:rsidR="006F4C23" w:rsidRDefault="006F4C23" w:rsidP="00CE1C67">
      <w:pPr>
        <w:spacing w:line="360" w:lineRule="auto"/>
        <w:ind w:left="720" w:hanging="720"/>
        <w:jc w:val="both"/>
        <w:rPr>
          <w:rFonts w:ascii="Arial" w:hAnsi="Arial"/>
          <w:noProof w:val="0"/>
          <w:rtl/>
        </w:rPr>
      </w:pPr>
      <w:r>
        <w:rPr>
          <w:rFonts w:ascii="Arial" w:hAnsi="Arial" w:hint="cs"/>
          <w:noProof w:val="0"/>
          <w:rtl/>
        </w:rPr>
        <w:t>11.</w:t>
      </w:r>
      <w:r>
        <w:rPr>
          <w:rFonts w:ascii="Arial" w:hAnsi="Arial" w:hint="cs"/>
          <w:noProof w:val="0"/>
          <w:rtl/>
        </w:rPr>
        <w:tab/>
        <w:t>תחילה נ</w:t>
      </w:r>
      <w:r w:rsidR="00CE1C67">
        <w:rPr>
          <w:rFonts w:ascii="Arial" w:hAnsi="Arial" w:hint="cs"/>
          <w:noProof w:val="0"/>
          <w:rtl/>
        </w:rPr>
        <w:t>פרט</w:t>
      </w:r>
      <w:r>
        <w:rPr>
          <w:rFonts w:ascii="Arial" w:hAnsi="Arial" w:hint="cs"/>
          <w:noProof w:val="0"/>
          <w:rtl/>
        </w:rPr>
        <w:t xml:space="preserve"> את המסגרת הנורמטיבית הרלוונטית למחלוקת. לאחר מכן, נבחן ביחס לששת הספקים, האם מדובר בחשבוניות שהוצ</w:t>
      </w:r>
      <w:r w:rsidR="00CE1C67">
        <w:rPr>
          <w:rFonts w:ascii="Arial" w:hAnsi="Arial" w:hint="cs"/>
          <w:noProof w:val="0"/>
          <w:rtl/>
        </w:rPr>
        <w:t>א</w:t>
      </w:r>
      <w:r>
        <w:rPr>
          <w:rFonts w:ascii="Arial" w:hAnsi="Arial" w:hint="cs"/>
          <w:noProof w:val="0"/>
          <w:rtl/>
        </w:rPr>
        <w:t xml:space="preserve">ו כדין. לבסוף, נבחן אם המערערת נקטה בכל האמצעים הסבירים לוודא כי החשבוניות הוצאו כדין. </w:t>
      </w:r>
    </w:p>
    <w:p w:rsidR="006F4C23" w:rsidRDefault="006F4C23" w:rsidP="006F4C23">
      <w:pPr>
        <w:spacing w:line="360" w:lineRule="auto"/>
        <w:ind w:left="720" w:hanging="720"/>
        <w:jc w:val="both"/>
        <w:rPr>
          <w:rFonts w:ascii="Arial" w:hAnsi="Arial"/>
          <w:noProof w:val="0"/>
          <w:rtl/>
        </w:rPr>
      </w:pPr>
    </w:p>
    <w:p w:rsidR="006F4C23" w:rsidRPr="00CE1C67" w:rsidRDefault="006F4C23" w:rsidP="006F4C23">
      <w:pPr>
        <w:spacing w:line="360" w:lineRule="auto"/>
        <w:ind w:left="720" w:hanging="720"/>
        <w:jc w:val="both"/>
        <w:rPr>
          <w:rFonts w:ascii="Arial" w:hAnsi="Arial"/>
          <w:noProof w:val="0"/>
          <w:u w:val="single"/>
          <w:rtl/>
        </w:rPr>
      </w:pPr>
      <w:r w:rsidRPr="00CE1C67">
        <w:rPr>
          <w:rFonts w:ascii="Arial" w:hAnsi="Arial" w:hint="cs"/>
          <w:noProof w:val="0"/>
          <w:u w:val="single"/>
          <w:rtl/>
        </w:rPr>
        <w:t>המסגרת הנורמטיבית</w:t>
      </w:r>
    </w:p>
    <w:p w:rsidR="00CF1B01" w:rsidRDefault="00CF1B01" w:rsidP="006F4C23">
      <w:pPr>
        <w:spacing w:line="360" w:lineRule="auto"/>
        <w:jc w:val="both"/>
        <w:rPr>
          <w:rFonts w:ascii="Arial" w:hAnsi="Arial"/>
          <w:noProof w:val="0"/>
          <w:rtl/>
        </w:rPr>
      </w:pPr>
    </w:p>
    <w:p w:rsidR="00CF1B01" w:rsidRDefault="00CE1C67" w:rsidP="00CE1C67">
      <w:pPr>
        <w:spacing w:line="360" w:lineRule="auto"/>
        <w:ind w:left="720"/>
        <w:jc w:val="both"/>
        <w:rPr>
          <w:rFonts w:ascii="Arial" w:hAnsi="Arial"/>
          <w:noProof w:val="0"/>
          <w:rtl/>
        </w:rPr>
      </w:pPr>
      <w:r>
        <w:rPr>
          <w:rFonts w:ascii="Arial" w:hAnsi="Arial" w:hint="cs"/>
          <w:noProof w:val="0"/>
          <w:rtl/>
        </w:rPr>
        <w:t xml:space="preserve">12.     </w:t>
      </w:r>
      <w:r w:rsidR="00CF1B01">
        <w:rPr>
          <w:rFonts w:ascii="Arial" w:hAnsi="Arial" w:hint="cs"/>
          <w:noProof w:val="0"/>
          <w:rtl/>
        </w:rPr>
        <w:t xml:space="preserve">סעיף 38(א) לחוק </w:t>
      </w:r>
      <w:r>
        <w:rPr>
          <w:rFonts w:ascii="Arial" w:hAnsi="Arial" w:hint="cs"/>
          <w:noProof w:val="0"/>
          <w:rtl/>
        </w:rPr>
        <w:t xml:space="preserve">מע"מ </w:t>
      </w:r>
      <w:r w:rsidR="00CF1B01">
        <w:rPr>
          <w:rFonts w:ascii="Arial" w:hAnsi="Arial" w:hint="cs"/>
          <w:noProof w:val="0"/>
          <w:rtl/>
        </w:rPr>
        <w:t xml:space="preserve">קובע כי עוסק זכאי לנכות מהמס שהוא חייב </w:t>
      </w:r>
      <w:r>
        <w:rPr>
          <w:rFonts w:ascii="Arial" w:hAnsi="Arial" w:hint="cs"/>
          <w:noProof w:val="0"/>
          <w:rtl/>
        </w:rPr>
        <w:t>ב</w:t>
      </w:r>
      <w:r w:rsidR="00CF1B01">
        <w:rPr>
          <w:rFonts w:ascii="Arial" w:hAnsi="Arial" w:hint="cs"/>
          <w:noProof w:val="0"/>
          <w:rtl/>
        </w:rPr>
        <w:t xml:space="preserve">ו את מס התשומות הכלול </w:t>
      </w:r>
      <w:r>
        <w:rPr>
          <w:rFonts w:ascii="Arial" w:hAnsi="Arial" w:hint="cs"/>
          <w:noProof w:val="0"/>
          <w:rtl/>
        </w:rPr>
        <w:t xml:space="preserve">     </w:t>
      </w:r>
      <w:r w:rsidR="00CF1B01">
        <w:rPr>
          <w:rFonts w:ascii="Arial" w:hAnsi="Arial" w:hint="cs"/>
          <w:noProof w:val="0"/>
          <w:rtl/>
        </w:rPr>
        <w:t>בחשבוניות מס שהוצ</w:t>
      </w:r>
      <w:r>
        <w:rPr>
          <w:rFonts w:ascii="Arial" w:hAnsi="Arial" w:hint="cs"/>
          <w:noProof w:val="0"/>
          <w:rtl/>
        </w:rPr>
        <w:t>א</w:t>
      </w:r>
      <w:r w:rsidR="00CF1B01">
        <w:rPr>
          <w:rFonts w:ascii="Arial" w:hAnsi="Arial" w:hint="cs"/>
          <w:noProof w:val="0"/>
          <w:rtl/>
        </w:rPr>
        <w:t xml:space="preserve">ו לו כדין. </w:t>
      </w:r>
    </w:p>
    <w:p w:rsidR="00CE1C67" w:rsidRDefault="00CF1B01" w:rsidP="00CE1C67">
      <w:pPr>
        <w:spacing w:line="360" w:lineRule="auto"/>
        <w:ind w:left="720"/>
        <w:jc w:val="both"/>
        <w:rPr>
          <w:rFonts w:ascii="Arial" w:hAnsi="Arial"/>
          <w:noProof w:val="0"/>
          <w:rtl/>
        </w:rPr>
      </w:pPr>
      <w:r>
        <w:rPr>
          <w:rFonts w:ascii="Arial" w:hAnsi="Arial" w:hint="cs"/>
          <w:noProof w:val="0"/>
          <w:rtl/>
        </w:rPr>
        <w:t>חשבונית מס שהוצאה כדין ואשר מקבלה רשאי לנכות את מס התשומות הכלול בה, היא חשבונית הממלאת אחר דרישות סעיף 47 לחוק</w:t>
      </w:r>
      <w:r w:rsidR="00CE1C67">
        <w:rPr>
          <w:rFonts w:ascii="Arial" w:hAnsi="Arial" w:hint="cs"/>
          <w:noProof w:val="0"/>
          <w:rtl/>
        </w:rPr>
        <w:t xml:space="preserve"> מע"מ</w:t>
      </w:r>
      <w:r>
        <w:rPr>
          <w:rFonts w:ascii="Arial" w:hAnsi="Arial" w:hint="cs"/>
          <w:noProof w:val="0"/>
          <w:rtl/>
        </w:rPr>
        <w:t xml:space="preserve"> ואחר דרישות תקנה 9א' להוראות מס הכנסה (ניהול פנקסי חשבונות), התשל"ג </w:t>
      </w:r>
      <w:r>
        <w:rPr>
          <w:rFonts w:ascii="Arial" w:hAnsi="Arial"/>
          <w:noProof w:val="0"/>
          <w:rtl/>
        </w:rPr>
        <w:t>–</w:t>
      </w:r>
      <w:r>
        <w:rPr>
          <w:rFonts w:ascii="Arial" w:hAnsi="Arial" w:hint="cs"/>
          <w:noProof w:val="0"/>
          <w:rtl/>
        </w:rPr>
        <w:t xml:space="preserve"> 1973. </w:t>
      </w:r>
    </w:p>
    <w:p w:rsidR="00CF1B01" w:rsidRDefault="00CF1B01" w:rsidP="00CE1C67">
      <w:pPr>
        <w:spacing w:line="360" w:lineRule="auto"/>
        <w:ind w:left="720"/>
        <w:jc w:val="both"/>
        <w:rPr>
          <w:rFonts w:ascii="Arial" w:hAnsi="Arial"/>
          <w:noProof w:val="0"/>
          <w:rtl/>
        </w:rPr>
      </w:pPr>
      <w:r>
        <w:rPr>
          <w:rFonts w:ascii="Arial" w:hAnsi="Arial" w:hint="cs"/>
          <w:noProof w:val="0"/>
          <w:rtl/>
        </w:rPr>
        <w:t xml:space="preserve">הדרישה הינה שהחשבוניות תוצא על ידי עוסק מורשה אשר זכאי להוציאה, ושכל הפרטים בה יהיו נכונים, לרבות תיאור השירות וזהות הצדדים לעסקה. </w:t>
      </w:r>
    </w:p>
    <w:p w:rsidR="00CF1B01" w:rsidRDefault="00CF1B01" w:rsidP="00CF1B01">
      <w:pPr>
        <w:spacing w:line="360" w:lineRule="auto"/>
        <w:ind w:left="720"/>
        <w:jc w:val="both"/>
        <w:rPr>
          <w:rFonts w:ascii="Arial" w:hAnsi="Arial"/>
          <w:noProof w:val="0"/>
          <w:rtl/>
        </w:rPr>
      </w:pPr>
    </w:p>
    <w:p w:rsidR="006B5595" w:rsidRDefault="00CF1B01" w:rsidP="006B5595">
      <w:pPr>
        <w:spacing w:line="360" w:lineRule="auto"/>
        <w:ind w:left="720" w:hanging="720"/>
        <w:jc w:val="both"/>
        <w:rPr>
          <w:rFonts w:ascii="Arial" w:hAnsi="Arial"/>
          <w:noProof w:val="0"/>
          <w:rtl/>
        </w:rPr>
      </w:pPr>
      <w:r>
        <w:rPr>
          <w:rFonts w:ascii="Arial" w:hAnsi="Arial" w:hint="cs"/>
          <w:noProof w:val="0"/>
          <w:rtl/>
        </w:rPr>
        <w:t>13.</w:t>
      </w:r>
      <w:r>
        <w:rPr>
          <w:rFonts w:ascii="Arial" w:hAnsi="Arial" w:hint="cs"/>
          <w:noProof w:val="0"/>
          <w:rtl/>
        </w:rPr>
        <w:tab/>
      </w:r>
      <w:r w:rsidR="005701BC">
        <w:rPr>
          <w:rFonts w:ascii="Arial" w:hAnsi="Arial" w:hint="cs"/>
          <w:noProof w:val="0"/>
          <w:rtl/>
        </w:rPr>
        <w:t>על החשבונ</w:t>
      </w:r>
      <w:r w:rsidR="00CE1C67">
        <w:rPr>
          <w:rFonts w:ascii="Arial" w:hAnsi="Arial" w:hint="cs"/>
          <w:noProof w:val="0"/>
          <w:rtl/>
        </w:rPr>
        <w:t>י</w:t>
      </w:r>
      <w:r w:rsidR="005701BC">
        <w:rPr>
          <w:rFonts w:ascii="Arial" w:hAnsi="Arial" w:hint="cs"/>
          <w:noProof w:val="0"/>
          <w:rtl/>
        </w:rPr>
        <w:t>ות לשקף, אפוא, עסקה אמיתית בין הצדדים הנכונים והאמ</w:t>
      </w:r>
      <w:r w:rsidR="00CE1C67">
        <w:rPr>
          <w:rFonts w:ascii="Arial" w:hAnsi="Arial" w:hint="cs"/>
          <w:noProof w:val="0"/>
          <w:rtl/>
        </w:rPr>
        <w:t>י</w:t>
      </w:r>
      <w:r w:rsidR="005701BC">
        <w:rPr>
          <w:rFonts w:ascii="Arial" w:hAnsi="Arial" w:hint="cs"/>
          <w:noProof w:val="0"/>
          <w:rtl/>
        </w:rPr>
        <w:t>תיים לעסקה, במובן זה שמוציא החשבונית צריך להיות מי שביצע בפועל את ה</w:t>
      </w:r>
      <w:r w:rsidR="00CE1C67">
        <w:rPr>
          <w:rFonts w:ascii="Arial" w:hAnsi="Arial" w:hint="cs"/>
          <w:noProof w:val="0"/>
          <w:rtl/>
        </w:rPr>
        <w:t>שירות</w:t>
      </w:r>
      <w:r w:rsidR="006B5595">
        <w:rPr>
          <w:rFonts w:ascii="Arial" w:hAnsi="Arial" w:hint="cs"/>
          <w:noProof w:val="0"/>
          <w:rtl/>
        </w:rPr>
        <w:t xml:space="preserve"> או המכירה</w:t>
      </w:r>
      <w:r w:rsidR="005701BC">
        <w:rPr>
          <w:rFonts w:ascii="Arial" w:hAnsi="Arial" w:hint="cs"/>
          <w:noProof w:val="0"/>
          <w:rtl/>
        </w:rPr>
        <w:t xml:space="preserve"> (ע"א 4069/03 </w:t>
      </w:r>
      <w:r w:rsidR="005701BC">
        <w:rPr>
          <w:rFonts w:ascii="Arial" w:hAnsi="Arial" w:hint="cs"/>
          <w:b/>
          <w:bCs/>
          <w:noProof w:val="0"/>
          <w:rtl/>
        </w:rPr>
        <w:t xml:space="preserve">מ.א.ל.ר.ז שיווק מתכות בע"מ נ' מנהל המכס והמע"מ </w:t>
      </w:r>
      <w:r w:rsidR="005701BC">
        <w:rPr>
          <w:rFonts w:ascii="Arial" w:hAnsi="Arial" w:hint="cs"/>
          <w:noProof w:val="0"/>
          <w:rtl/>
        </w:rPr>
        <w:t xml:space="preserve">פ"ד נט(5) 836 (2005) (להלן: </w:t>
      </w:r>
      <w:r w:rsidR="005701BC">
        <w:rPr>
          <w:rFonts w:ascii="Arial" w:hAnsi="Arial" w:hint="cs"/>
          <w:b/>
          <w:bCs/>
          <w:noProof w:val="0"/>
          <w:rtl/>
        </w:rPr>
        <w:t xml:space="preserve">"עניין מ.א.ל.ר.ז")). </w:t>
      </w:r>
    </w:p>
    <w:p w:rsidR="00CF1B01" w:rsidRPr="006B5595" w:rsidRDefault="005701BC" w:rsidP="006B5595">
      <w:pPr>
        <w:spacing w:line="360" w:lineRule="auto"/>
        <w:ind w:left="720"/>
        <w:jc w:val="both"/>
        <w:rPr>
          <w:rFonts w:ascii="Arial" w:hAnsi="Arial"/>
          <w:noProof w:val="0"/>
          <w:rtl/>
        </w:rPr>
      </w:pPr>
      <w:r>
        <w:rPr>
          <w:rFonts w:ascii="Arial" w:hAnsi="Arial" w:hint="cs"/>
          <w:noProof w:val="0"/>
          <w:rtl/>
        </w:rPr>
        <w:t xml:space="preserve">במצב שבו אין זהות בין מוציא החשבונית לבין </w:t>
      </w:r>
      <w:r w:rsidR="006B5595">
        <w:rPr>
          <w:rFonts w:ascii="Arial" w:hAnsi="Arial" w:hint="cs"/>
          <w:noProof w:val="0"/>
          <w:rtl/>
        </w:rPr>
        <w:t>מספק השירות</w:t>
      </w:r>
      <w:r>
        <w:rPr>
          <w:rFonts w:ascii="Arial" w:hAnsi="Arial" w:hint="cs"/>
          <w:noProof w:val="0"/>
          <w:rtl/>
        </w:rPr>
        <w:t xml:space="preserve"> בפועל, נחשבת החשבונית לפיקטיבית</w:t>
      </w:r>
      <w:r w:rsidR="006B5595">
        <w:rPr>
          <w:rFonts w:ascii="Arial" w:hAnsi="Arial" w:hint="cs"/>
          <w:noProof w:val="0"/>
          <w:rtl/>
        </w:rPr>
        <w:t>,</w:t>
      </w:r>
      <w:r>
        <w:rPr>
          <w:rFonts w:ascii="Arial" w:hAnsi="Arial" w:hint="cs"/>
          <w:noProof w:val="0"/>
          <w:rtl/>
        </w:rPr>
        <w:t xml:space="preserve"> ואין נפקא מינא אם מדובר בעסקה בדויה לגמרי, במובן זה שמאחורי הוצאת החשבונית לא עמדה כל עסקה, או שמא התקיימה עסקה אמיתית בין הצדדים, אלא שבמסגרתה "הושאלה" חשבונית מצד שלישי באופן פיקטיבי (ע"מ (</w:t>
      </w:r>
      <w:r w:rsidR="006B5595">
        <w:rPr>
          <w:rFonts w:ascii="Arial" w:hAnsi="Arial" w:hint="cs"/>
          <w:noProof w:val="0"/>
          <w:rtl/>
        </w:rPr>
        <w:t>חי'</w:t>
      </w:r>
      <w:r>
        <w:rPr>
          <w:rFonts w:ascii="Arial" w:hAnsi="Arial" w:hint="cs"/>
          <w:noProof w:val="0"/>
          <w:rtl/>
        </w:rPr>
        <w:t xml:space="preserve">) 10750-01-10 </w:t>
      </w:r>
      <w:r>
        <w:rPr>
          <w:rFonts w:ascii="Arial" w:hAnsi="Arial" w:hint="cs"/>
          <w:b/>
          <w:bCs/>
          <w:noProof w:val="0"/>
          <w:rtl/>
        </w:rPr>
        <w:t>זוהר ש.ב.א. סחר ותעשיות מחזור בע"מ נ' מנהל מס ערך מוסף ומס קנייה עכו (</w:t>
      </w:r>
      <w:r w:rsidRPr="005701BC">
        <w:rPr>
          <w:rFonts w:ascii="Arial" w:hAnsi="Arial" w:hint="cs"/>
          <w:noProof w:val="0"/>
          <w:rtl/>
        </w:rPr>
        <w:t>1.9.13</w:t>
      </w:r>
      <w:r>
        <w:rPr>
          <w:rFonts w:ascii="Arial" w:hAnsi="Arial" w:hint="cs"/>
          <w:b/>
          <w:bCs/>
          <w:noProof w:val="0"/>
          <w:rtl/>
        </w:rPr>
        <w:t>) (</w:t>
      </w:r>
      <w:r w:rsidRPr="005701BC">
        <w:rPr>
          <w:rFonts w:ascii="Arial" w:hAnsi="Arial" w:hint="cs"/>
          <w:noProof w:val="0"/>
          <w:rtl/>
        </w:rPr>
        <w:t>להלן</w:t>
      </w:r>
      <w:r>
        <w:rPr>
          <w:rFonts w:ascii="Arial" w:hAnsi="Arial" w:hint="cs"/>
          <w:b/>
          <w:bCs/>
          <w:noProof w:val="0"/>
          <w:rtl/>
        </w:rPr>
        <w:t xml:space="preserve">: "עניין זוהר")). </w:t>
      </w:r>
    </w:p>
    <w:p w:rsidR="006F4C23" w:rsidRDefault="006F4C23" w:rsidP="006F4C23">
      <w:pPr>
        <w:spacing w:line="360" w:lineRule="auto"/>
        <w:jc w:val="both"/>
        <w:rPr>
          <w:rFonts w:ascii="Arial" w:hAnsi="Arial"/>
          <w:noProof w:val="0"/>
          <w:rtl/>
        </w:rPr>
      </w:pPr>
    </w:p>
    <w:p w:rsidR="00880E5E" w:rsidRDefault="00880E5E" w:rsidP="006B5595">
      <w:pPr>
        <w:spacing w:line="360" w:lineRule="auto"/>
        <w:ind w:left="720" w:hanging="720"/>
        <w:jc w:val="both"/>
        <w:rPr>
          <w:rFonts w:ascii="Arial" w:hAnsi="Arial"/>
          <w:noProof w:val="0"/>
          <w:rtl/>
        </w:rPr>
      </w:pPr>
      <w:r>
        <w:rPr>
          <w:rFonts w:ascii="Arial" w:hAnsi="Arial" w:hint="cs"/>
          <w:noProof w:val="0"/>
          <w:rtl/>
        </w:rPr>
        <w:t>14.</w:t>
      </w:r>
      <w:r>
        <w:rPr>
          <w:rFonts w:ascii="Arial" w:hAnsi="Arial" w:hint="cs"/>
          <w:noProof w:val="0"/>
          <w:rtl/>
        </w:rPr>
        <w:tab/>
        <w:t>לעניין דרישת הזהות בין מוציא החשבונית למבצע השירות, ראו את שנאמר בעניין זוהר בפסקה 9:</w:t>
      </w:r>
    </w:p>
    <w:p w:rsidR="00694556" w:rsidRDefault="00694556">
      <w:pPr>
        <w:spacing w:line="360" w:lineRule="auto"/>
        <w:jc w:val="both"/>
        <w:rPr>
          <w:rFonts w:ascii="Arial" w:hAnsi="Arial"/>
          <w:noProof w:val="0"/>
          <w:rtl/>
        </w:rPr>
      </w:pPr>
    </w:p>
    <w:p w:rsidR="00880E5E" w:rsidRDefault="00880E5E" w:rsidP="006B5595">
      <w:pPr>
        <w:spacing w:line="360" w:lineRule="auto"/>
        <w:ind w:left="1440"/>
        <w:jc w:val="both"/>
        <w:rPr>
          <w:rFonts w:ascii="Arial" w:hAnsi="Arial"/>
          <w:b/>
          <w:bCs/>
          <w:noProof w:val="0"/>
          <w:rtl/>
        </w:rPr>
      </w:pPr>
      <w:r>
        <w:rPr>
          <w:rFonts w:ascii="Arial" w:hAnsi="Arial" w:hint="cs"/>
          <w:noProof w:val="0"/>
          <w:rtl/>
        </w:rPr>
        <w:t>"</w:t>
      </w:r>
      <w:r>
        <w:rPr>
          <w:rFonts w:ascii="Arial" w:hAnsi="Arial" w:hint="cs"/>
          <w:b/>
          <w:bCs/>
          <w:noProof w:val="0"/>
          <w:rtl/>
        </w:rPr>
        <w:t>החוק מחייב א</w:t>
      </w:r>
      <w:r w:rsidR="006B5595">
        <w:rPr>
          <w:rFonts w:ascii="Arial" w:hAnsi="Arial" w:hint="cs"/>
          <w:b/>
          <w:bCs/>
          <w:noProof w:val="0"/>
          <w:rtl/>
        </w:rPr>
        <w:t>י</w:t>
      </w:r>
      <w:r>
        <w:rPr>
          <w:rFonts w:ascii="Arial" w:hAnsi="Arial" w:hint="cs"/>
          <w:b/>
          <w:bCs/>
          <w:noProof w:val="0"/>
          <w:rtl/>
        </w:rPr>
        <w:t>פוא כי תהא זהות בין ספק הסחורה לבין מוציא החשבונית, וזאת כדי להבטיח תשלום מס עסקאות ורישום העסקה בספרי הספק וכן תשלום מס ורישום אצל העוסק המבקש את ניכוי התשומות. ועוד, כי תהא התאמה חד-ערכית בין מבצע העבודה או נותן שירות לבין חשבונית מס שניתנה על ידו. הוצאת חשבונית על ידי אחר, שאינו "הספק" או "נותן השירות", נעשה לפחות לכאורה לשם "כיסוי חשבונאי" של ספק אחר, כאשר האחרון נמנע מלהוציא חשבונית מס כדין; ואי</w:t>
      </w:r>
      <w:r w:rsidR="006B5595">
        <w:rPr>
          <w:rFonts w:ascii="Arial" w:hAnsi="Arial" w:hint="cs"/>
          <w:b/>
          <w:bCs/>
          <w:noProof w:val="0"/>
          <w:rtl/>
        </w:rPr>
        <w:t>לו</w:t>
      </w:r>
      <w:r>
        <w:rPr>
          <w:rFonts w:ascii="Arial" w:hAnsi="Arial" w:hint="cs"/>
          <w:b/>
          <w:bCs/>
          <w:noProof w:val="0"/>
          <w:rtl/>
        </w:rPr>
        <w:t xml:space="preserve"> מוציא החשבונית, לא ביצע פעילות כלכלית המצדיקה הוצאת החשבונית. החשבונית במקרה כזה היא בגדר "כיסוי" חשבונאי בלבד, שאין לקבלו לצורך קיזוז תשומה. </w:t>
      </w:r>
    </w:p>
    <w:p w:rsidR="00880E5E" w:rsidRDefault="00880E5E" w:rsidP="00880E5E">
      <w:pPr>
        <w:spacing w:line="360" w:lineRule="auto"/>
        <w:ind w:left="1440"/>
        <w:jc w:val="both"/>
        <w:rPr>
          <w:rFonts w:ascii="Arial" w:hAnsi="Arial"/>
          <w:b/>
          <w:bCs/>
          <w:noProof w:val="0"/>
          <w:rtl/>
        </w:rPr>
      </w:pPr>
    </w:p>
    <w:p w:rsidR="00880E5E" w:rsidRDefault="00880E5E" w:rsidP="00880E5E">
      <w:pPr>
        <w:spacing w:line="360" w:lineRule="auto"/>
        <w:ind w:left="1440"/>
        <w:jc w:val="both"/>
        <w:rPr>
          <w:rFonts w:ascii="Arial" w:hAnsi="Arial"/>
          <w:b/>
          <w:bCs/>
          <w:noProof w:val="0"/>
          <w:rtl/>
        </w:rPr>
      </w:pPr>
      <w:r>
        <w:rPr>
          <w:rFonts w:ascii="Arial" w:hAnsi="Arial" w:hint="cs"/>
          <w:b/>
          <w:bCs/>
          <w:noProof w:val="0"/>
          <w:rtl/>
        </w:rPr>
        <w:t xml:space="preserve">באופן זה מקום בו אין התאמה בין מוציא החשבונית למספק הסחורה, הרי שיראו בחשבונית שהוצאה כחשבונית מס שלא כדין". </w:t>
      </w:r>
    </w:p>
    <w:p w:rsidR="00880E5E" w:rsidRDefault="00880E5E" w:rsidP="00880E5E">
      <w:pPr>
        <w:spacing w:line="360" w:lineRule="auto"/>
        <w:jc w:val="both"/>
        <w:rPr>
          <w:rFonts w:ascii="Arial" w:hAnsi="Arial"/>
          <w:b/>
          <w:bCs/>
          <w:noProof w:val="0"/>
          <w:rtl/>
        </w:rPr>
      </w:pPr>
    </w:p>
    <w:p w:rsidR="00880E5E" w:rsidRDefault="00880E5E" w:rsidP="00880E5E">
      <w:pPr>
        <w:spacing w:line="360" w:lineRule="auto"/>
        <w:jc w:val="both"/>
        <w:rPr>
          <w:rFonts w:ascii="Arial" w:hAnsi="Arial"/>
          <w:b/>
          <w:bCs/>
          <w:noProof w:val="0"/>
          <w:rtl/>
        </w:rPr>
      </w:pPr>
    </w:p>
    <w:p w:rsidR="00880E5E" w:rsidRDefault="00880E5E" w:rsidP="00880E5E">
      <w:pPr>
        <w:spacing w:line="360" w:lineRule="auto"/>
        <w:ind w:left="720" w:hanging="720"/>
        <w:jc w:val="both"/>
        <w:rPr>
          <w:rFonts w:ascii="Arial" w:hAnsi="Arial"/>
          <w:noProof w:val="0"/>
          <w:rtl/>
        </w:rPr>
      </w:pPr>
      <w:r w:rsidRPr="00880E5E">
        <w:rPr>
          <w:rFonts w:ascii="Arial" w:hAnsi="Arial" w:hint="cs"/>
          <w:noProof w:val="0"/>
          <w:rtl/>
        </w:rPr>
        <w:t>15.</w:t>
      </w:r>
      <w:r w:rsidRPr="00880E5E">
        <w:rPr>
          <w:rFonts w:ascii="Arial" w:hAnsi="Arial" w:hint="cs"/>
          <w:noProof w:val="0"/>
          <w:rtl/>
        </w:rPr>
        <w:tab/>
      </w:r>
      <w:r>
        <w:rPr>
          <w:rFonts w:ascii="Arial" w:hAnsi="Arial" w:hint="cs"/>
          <w:noProof w:val="0"/>
          <w:rtl/>
        </w:rPr>
        <w:t>בפסיקה נקבע כי המבחן לניכוי מס תשומות הוא מבחן אובייקטיבי, לפיו די בעובדה כי החשבוניות אינן כדין כדי לשלול את זכאותו של עוסק</w:t>
      </w:r>
      <w:r w:rsidR="006B5595">
        <w:rPr>
          <w:rFonts w:ascii="Arial" w:hAnsi="Arial" w:hint="cs"/>
          <w:noProof w:val="0"/>
          <w:rtl/>
        </w:rPr>
        <w:t xml:space="preserve"> לקזז את מס התשומות</w:t>
      </w:r>
      <w:r>
        <w:rPr>
          <w:rFonts w:ascii="Arial" w:hAnsi="Arial" w:hint="cs"/>
          <w:noProof w:val="0"/>
          <w:rtl/>
        </w:rPr>
        <w:t xml:space="preserve">, וכי רק במקרים חריגים </w:t>
      </w:r>
      <w:r w:rsidR="005C3B46">
        <w:rPr>
          <w:rFonts w:ascii="Arial" w:hAnsi="Arial" w:hint="cs"/>
          <w:noProof w:val="0"/>
          <w:rtl/>
        </w:rPr>
        <w:t xml:space="preserve">יחול מבחן סובייקטיבי, לפיו אם יוכיח העוסק כי נקט </w:t>
      </w:r>
      <w:r w:rsidR="005C3B46" w:rsidRPr="006B5595">
        <w:rPr>
          <w:rFonts w:ascii="Arial" w:hAnsi="Arial" w:hint="cs"/>
          <w:noProof w:val="0"/>
          <w:rtl/>
        </w:rPr>
        <w:t>בכל האמצעים</w:t>
      </w:r>
      <w:r w:rsidR="005C3B46">
        <w:rPr>
          <w:rFonts w:ascii="Arial" w:hAnsi="Arial" w:hint="cs"/>
          <w:noProof w:val="0"/>
          <w:u w:val="single"/>
          <w:rtl/>
        </w:rPr>
        <w:t xml:space="preserve"> </w:t>
      </w:r>
      <w:r w:rsidR="005C3B46" w:rsidRPr="006B5595">
        <w:rPr>
          <w:rFonts w:ascii="Arial" w:hAnsi="Arial" w:hint="cs"/>
          <w:noProof w:val="0"/>
          <w:rtl/>
        </w:rPr>
        <w:t>הסבירים</w:t>
      </w:r>
      <w:r w:rsidR="005C3B46">
        <w:rPr>
          <w:rFonts w:ascii="Arial" w:hAnsi="Arial" w:hint="cs"/>
          <w:noProof w:val="0"/>
          <w:rtl/>
        </w:rPr>
        <w:t xml:space="preserve"> לוודא כי החשבוניות הוצאו כדין, יותר לו ניכוין אף אם בפועל יימצא כי החשבוניות אינן כדין (ראו: עניין </w:t>
      </w:r>
      <w:r w:rsidR="005C3B46">
        <w:rPr>
          <w:rFonts w:ascii="Arial" w:hAnsi="Arial" w:hint="cs"/>
          <w:b/>
          <w:bCs/>
          <w:noProof w:val="0"/>
          <w:rtl/>
        </w:rPr>
        <w:t xml:space="preserve">מ.א.ל.ר.ז; </w:t>
      </w:r>
      <w:r w:rsidR="005C3B46">
        <w:rPr>
          <w:rFonts w:ascii="Arial" w:hAnsi="Arial" w:hint="cs"/>
          <w:noProof w:val="0"/>
          <w:rtl/>
        </w:rPr>
        <w:t xml:space="preserve">ע"א 375/96 </w:t>
      </w:r>
      <w:r w:rsidR="005C3B46">
        <w:rPr>
          <w:rFonts w:ascii="Arial" w:hAnsi="Arial" w:hint="cs"/>
          <w:b/>
          <w:bCs/>
          <w:noProof w:val="0"/>
          <w:rtl/>
        </w:rPr>
        <w:t xml:space="preserve">סלע חברה למוצרי בטון בע"מ נ' מנהל מע"מ, </w:t>
      </w:r>
      <w:r w:rsidR="005C3B46">
        <w:rPr>
          <w:rFonts w:ascii="Arial" w:hAnsi="Arial" w:hint="cs"/>
          <w:noProof w:val="0"/>
          <w:rtl/>
        </w:rPr>
        <w:t xml:space="preserve">פ"ד נג(3) 493 (1999) (להלן: </w:t>
      </w:r>
      <w:r w:rsidR="005C3B46" w:rsidRPr="005C3B46">
        <w:rPr>
          <w:rFonts w:ascii="Arial" w:hAnsi="Arial" w:hint="cs"/>
          <w:b/>
          <w:bCs/>
          <w:noProof w:val="0"/>
          <w:rtl/>
        </w:rPr>
        <w:t>"עניין סלע"</w:t>
      </w:r>
      <w:r w:rsidR="005C3B46">
        <w:rPr>
          <w:rFonts w:ascii="Arial" w:hAnsi="Arial" w:hint="cs"/>
          <w:noProof w:val="0"/>
          <w:rtl/>
        </w:rPr>
        <w:t xml:space="preserve">)). </w:t>
      </w:r>
    </w:p>
    <w:p w:rsidR="005C3B46" w:rsidRDefault="005C3B46" w:rsidP="00880E5E">
      <w:pPr>
        <w:spacing w:line="360" w:lineRule="auto"/>
        <w:ind w:left="720" w:hanging="720"/>
        <w:jc w:val="both"/>
        <w:rPr>
          <w:rFonts w:ascii="Arial" w:hAnsi="Arial"/>
          <w:noProof w:val="0"/>
          <w:rtl/>
        </w:rPr>
      </w:pPr>
    </w:p>
    <w:p w:rsidR="005C3B46" w:rsidRDefault="005C3B46" w:rsidP="005C3B46">
      <w:pPr>
        <w:spacing w:line="360" w:lineRule="auto"/>
        <w:ind w:left="720" w:hanging="720"/>
        <w:jc w:val="both"/>
        <w:rPr>
          <w:rFonts w:ascii="Arial" w:hAnsi="Arial"/>
          <w:noProof w:val="0"/>
          <w:rtl/>
        </w:rPr>
      </w:pPr>
      <w:r>
        <w:rPr>
          <w:rFonts w:ascii="Arial" w:hAnsi="Arial" w:hint="cs"/>
          <w:noProof w:val="0"/>
          <w:rtl/>
        </w:rPr>
        <w:t>16.</w:t>
      </w:r>
      <w:r>
        <w:rPr>
          <w:rFonts w:ascii="Arial" w:hAnsi="Arial" w:hint="cs"/>
          <w:noProof w:val="0"/>
          <w:rtl/>
        </w:rPr>
        <w:tab/>
        <w:t xml:space="preserve">על עוסק מוטלת החובה לבדוק את נכונות העסקאות וזהות העוסקים המוציאים לו חשבוניות, במיוחד בשים לב לכך שבידי מקבל החשבוניות מצוי הידע והכלים לבדוק זאת. כפי שנקבע בעניין </w:t>
      </w:r>
      <w:r w:rsidRPr="005C3B46">
        <w:rPr>
          <w:rFonts w:ascii="Arial" w:hAnsi="Arial" w:hint="cs"/>
          <w:b/>
          <w:bCs/>
          <w:noProof w:val="0"/>
          <w:rtl/>
        </w:rPr>
        <w:t>סלע</w:t>
      </w:r>
      <w:r>
        <w:rPr>
          <w:rFonts w:ascii="Arial" w:hAnsi="Arial" w:hint="cs"/>
          <w:b/>
          <w:bCs/>
          <w:noProof w:val="0"/>
          <w:rtl/>
        </w:rPr>
        <w:t xml:space="preserve"> </w:t>
      </w:r>
      <w:r w:rsidRPr="005C3B46">
        <w:rPr>
          <w:rFonts w:ascii="Arial" w:hAnsi="Arial" w:hint="cs"/>
          <w:noProof w:val="0"/>
          <w:rtl/>
        </w:rPr>
        <w:t>הנ"ל</w:t>
      </w:r>
      <w:r>
        <w:rPr>
          <w:rFonts w:ascii="Arial" w:hAnsi="Arial" w:hint="cs"/>
          <w:noProof w:val="0"/>
          <w:rtl/>
        </w:rPr>
        <w:t>, מדיניות זו תביא להקפדה מצד העוסקים על תקינות החשבוניות, תוך צמצום תופעת החשבוניות הפיקטיביות. ראו לעניין זה</w:t>
      </w:r>
      <w:r w:rsidR="006B5595">
        <w:rPr>
          <w:rFonts w:ascii="Arial" w:hAnsi="Arial" w:hint="cs"/>
          <w:noProof w:val="0"/>
          <w:rtl/>
        </w:rPr>
        <w:t xml:space="preserve"> את</w:t>
      </w:r>
      <w:r>
        <w:rPr>
          <w:rFonts w:ascii="Arial" w:hAnsi="Arial" w:hint="cs"/>
          <w:noProof w:val="0"/>
          <w:rtl/>
        </w:rPr>
        <w:t xml:space="preserve"> ע"מ (ת"א) 22990-04-16 </w:t>
      </w:r>
      <w:r>
        <w:rPr>
          <w:rFonts w:ascii="Arial" w:hAnsi="Arial" w:hint="cs"/>
          <w:b/>
          <w:bCs/>
          <w:noProof w:val="0"/>
          <w:rtl/>
        </w:rPr>
        <w:t xml:space="preserve">עופר אביב נ' מנהל מס ערך מוסף </w:t>
      </w:r>
      <w:r>
        <w:rPr>
          <w:rFonts w:ascii="Arial" w:hAnsi="Arial" w:hint="cs"/>
          <w:noProof w:val="0"/>
          <w:rtl/>
        </w:rPr>
        <w:t xml:space="preserve">(27.12.2017) פסקה 62: </w:t>
      </w:r>
    </w:p>
    <w:p w:rsidR="005C3B46" w:rsidRDefault="005C3B46" w:rsidP="005C3B46">
      <w:pPr>
        <w:spacing w:line="360" w:lineRule="auto"/>
        <w:ind w:left="720" w:hanging="720"/>
        <w:jc w:val="both"/>
        <w:rPr>
          <w:rFonts w:ascii="Arial" w:hAnsi="Arial"/>
          <w:noProof w:val="0"/>
          <w:rtl/>
        </w:rPr>
      </w:pPr>
    </w:p>
    <w:p w:rsidR="005C3B46" w:rsidRDefault="005C3B46" w:rsidP="0019734B">
      <w:pPr>
        <w:spacing w:line="360" w:lineRule="auto"/>
        <w:ind w:left="1440"/>
        <w:jc w:val="both"/>
        <w:rPr>
          <w:rFonts w:ascii="Arial" w:hAnsi="Arial"/>
          <w:b/>
          <w:bCs/>
          <w:noProof w:val="0"/>
          <w:rtl/>
        </w:rPr>
      </w:pPr>
      <w:r>
        <w:rPr>
          <w:rFonts w:ascii="Arial" w:hAnsi="Arial" w:hint="cs"/>
          <w:b/>
          <w:bCs/>
          <w:noProof w:val="0"/>
          <w:rtl/>
        </w:rPr>
        <w:t xml:space="preserve">"על מנת שהעוסק יצליח לעמוד בנטל הסובייקטיבי המוטל עליו לצורך ניכוי מס התשומות, עליו להוכיח כי </w:t>
      </w:r>
      <w:r w:rsidR="0019734B">
        <w:rPr>
          <w:rFonts w:ascii="Arial" w:hAnsi="Arial" w:hint="cs"/>
          <w:b/>
          <w:bCs/>
          <w:noProof w:val="0"/>
          <w:rtl/>
        </w:rPr>
        <w:t>נ</w:t>
      </w:r>
      <w:r>
        <w:rPr>
          <w:rFonts w:ascii="Arial" w:hAnsi="Arial" w:hint="cs"/>
          <w:b/>
          <w:bCs/>
          <w:noProof w:val="0"/>
          <w:rtl/>
        </w:rPr>
        <w:t xml:space="preserve">קט בכל האמצעים הסבירים על מנת </w:t>
      </w:r>
      <w:r w:rsidR="0019734B">
        <w:rPr>
          <w:rFonts w:ascii="Arial" w:hAnsi="Arial" w:hint="cs"/>
          <w:b/>
          <w:bCs/>
          <w:noProof w:val="0"/>
          <w:rtl/>
        </w:rPr>
        <w:t>לוודא כי החשבוניות אותן ניכה הוצאו כדי</w:t>
      </w:r>
      <w:r w:rsidR="006B5595">
        <w:rPr>
          <w:rFonts w:ascii="Arial" w:hAnsi="Arial" w:hint="cs"/>
          <w:b/>
          <w:bCs/>
          <w:noProof w:val="0"/>
          <w:rtl/>
        </w:rPr>
        <w:t>ן</w:t>
      </w:r>
      <w:r w:rsidR="0019734B">
        <w:rPr>
          <w:rFonts w:ascii="Arial" w:hAnsi="Arial" w:hint="cs"/>
          <w:b/>
          <w:bCs/>
          <w:noProof w:val="0"/>
          <w:rtl/>
        </w:rPr>
        <w:t xml:space="preserve">. מדובר ברף מחמיר מאוד הדורש מהעוסק להוכיח, למעשה, כי נקט בכל אמצעי סביר על מנת לוודא כי לא נפל פסול בחשבוניות אותן ניכה. </w:t>
      </w:r>
    </w:p>
    <w:p w:rsidR="0019734B" w:rsidRDefault="0019734B" w:rsidP="0019734B">
      <w:pPr>
        <w:spacing w:line="360" w:lineRule="auto"/>
        <w:jc w:val="both"/>
        <w:rPr>
          <w:rFonts w:ascii="Arial" w:hAnsi="Arial"/>
          <w:b/>
          <w:bCs/>
          <w:noProof w:val="0"/>
          <w:rtl/>
        </w:rPr>
      </w:pPr>
    </w:p>
    <w:p w:rsidR="0019734B" w:rsidRDefault="0019734B" w:rsidP="0019734B">
      <w:pPr>
        <w:spacing w:line="360" w:lineRule="auto"/>
        <w:ind w:left="1440"/>
        <w:jc w:val="both"/>
        <w:rPr>
          <w:rFonts w:ascii="Arial" w:hAnsi="Arial"/>
          <w:b/>
          <w:bCs/>
          <w:noProof w:val="0"/>
          <w:rtl/>
        </w:rPr>
      </w:pPr>
      <w:r>
        <w:rPr>
          <w:rFonts w:ascii="Arial" w:hAnsi="Arial" w:hint="cs"/>
          <w:b/>
          <w:bCs/>
          <w:noProof w:val="0"/>
          <w:rtl/>
        </w:rPr>
        <w:lastRenderedPageBreak/>
        <w:t xml:space="preserve">מצופה, אם כן, מהעוסק לבצע את כל הבדיקות המוטלות עליו, ומצופה ממנו לבצען באמת ובתמים ומתוך רצון כן ואמיתי לוודא את תקינות החשבוניות שקיבל". </w:t>
      </w:r>
    </w:p>
    <w:p w:rsidR="006B5595" w:rsidRDefault="006B5595" w:rsidP="0019734B">
      <w:pPr>
        <w:spacing w:line="360" w:lineRule="auto"/>
        <w:ind w:left="1440"/>
        <w:jc w:val="both"/>
        <w:rPr>
          <w:rFonts w:ascii="Arial" w:hAnsi="Arial"/>
          <w:b/>
          <w:bCs/>
          <w:noProof w:val="0"/>
          <w:rtl/>
        </w:rPr>
      </w:pPr>
    </w:p>
    <w:p w:rsidR="0019734B" w:rsidRDefault="0019734B" w:rsidP="006B5595">
      <w:pPr>
        <w:spacing w:line="360" w:lineRule="auto"/>
        <w:ind w:left="720" w:hanging="720"/>
        <w:jc w:val="both"/>
        <w:rPr>
          <w:rFonts w:ascii="Arial" w:hAnsi="Arial"/>
          <w:b/>
          <w:bCs/>
          <w:noProof w:val="0"/>
          <w:rtl/>
        </w:rPr>
      </w:pPr>
      <w:r w:rsidRPr="0019734B">
        <w:rPr>
          <w:rFonts w:ascii="Arial" w:hAnsi="Arial" w:hint="cs"/>
          <w:noProof w:val="0"/>
          <w:rtl/>
        </w:rPr>
        <w:t>17.</w:t>
      </w:r>
      <w:r w:rsidRPr="0019734B">
        <w:rPr>
          <w:rFonts w:ascii="Arial" w:hAnsi="Arial" w:hint="cs"/>
          <w:noProof w:val="0"/>
          <w:rtl/>
        </w:rPr>
        <w:tab/>
        <w:t>בכל הנוגע לנטל ההוכחה, יש לציין כי בעניינו</w:t>
      </w:r>
      <w:r w:rsidR="006B5595">
        <w:rPr>
          <w:rFonts w:ascii="Arial" w:hAnsi="Arial" w:hint="cs"/>
          <w:noProof w:val="0"/>
          <w:rtl/>
        </w:rPr>
        <w:t>,</w:t>
      </w:r>
      <w:r w:rsidRPr="0019734B">
        <w:rPr>
          <w:rFonts w:ascii="Arial" w:hAnsi="Arial" w:hint="cs"/>
          <w:noProof w:val="0"/>
          <w:rtl/>
        </w:rPr>
        <w:t xml:space="preserve"> המערער</w:t>
      </w:r>
      <w:r w:rsidR="006B5595">
        <w:rPr>
          <w:rFonts w:ascii="Arial" w:hAnsi="Arial" w:hint="cs"/>
          <w:noProof w:val="0"/>
          <w:rtl/>
        </w:rPr>
        <w:t>ת</w:t>
      </w:r>
      <w:r w:rsidRPr="0019734B">
        <w:rPr>
          <w:rFonts w:ascii="Arial" w:hAnsi="Arial" w:hint="cs"/>
          <w:noProof w:val="0"/>
          <w:rtl/>
        </w:rPr>
        <w:t xml:space="preserve"> </w:t>
      </w:r>
      <w:r>
        <w:rPr>
          <w:rFonts w:ascii="Arial" w:hAnsi="Arial" w:hint="cs"/>
          <w:noProof w:val="0"/>
          <w:rtl/>
        </w:rPr>
        <w:t>היא הנושאת בנטל השכנוע ונטל הבאת ה</w:t>
      </w:r>
      <w:r w:rsidR="00F94463">
        <w:rPr>
          <w:rFonts w:ascii="Arial" w:hAnsi="Arial" w:hint="cs"/>
          <w:noProof w:val="0"/>
          <w:rtl/>
        </w:rPr>
        <w:t xml:space="preserve">ראיות, שכן שאלת היות החשבוניות פיקטיביות אם לאו, היא שאלה עובדתית </w:t>
      </w:r>
      <w:r w:rsidR="00F94463">
        <w:rPr>
          <w:rFonts w:ascii="Arial" w:hAnsi="Arial"/>
          <w:noProof w:val="0"/>
          <w:rtl/>
        </w:rPr>
        <w:t>–</w:t>
      </w:r>
      <w:r w:rsidR="00F94463">
        <w:rPr>
          <w:rFonts w:ascii="Arial" w:hAnsi="Arial" w:hint="cs"/>
          <w:noProof w:val="0"/>
          <w:rtl/>
        </w:rPr>
        <w:t xml:space="preserve"> לבר </w:t>
      </w:r>
      <w:r w:rsidR="00F94463">
        <w:rPr>
          <w:rFonts w:ascii="Arial" w:hAnsi="Arial"/>
          <w:noProof w:val="0"/>
          <w:rtl/>
        </w:rPr>
        <w:t>–</w:t>
      </w:r>
      <w:r w:rsidR="00F94463">
        <w:rPr>
          <w:rFonts w:ascii="Arial" w:hAnsi="Arial" w:hint="cs"/>
          <w:noProof w:val="0"/>
          <w:rtl/>
        </w:rPr>
        <w:t xml:space="preserve"> פנקסית והמערערת היא בבחינה "המוציא מחברו", עת היא מבקשת לטעון כי המשיב עשה שימוש שלא כדין בסמכויותיו המנהליות (ראו: רע"א 36446/98 </w:t>
      </w:r>
      <w:r w:rsidR="00F94463">
        <w:rPr>
          <w:rFonts w:ascii="Arial" w:hAnsi="Arial" w:hint="cs"/>
          <w:b/>
          <w:bCs/>
          <w:noProof w:val="0"/>
          <w:rtl/>
        </w:rPr>
        <w:t xml:space="preserve">כ.ו.ע. נ' מנהל מע"מ </w:t>
      </w:r>
      <w:r w:rsidR="00F94463" w:rsidRPr="006B5595">
        <w:rPr>
          <w:rFonts w:ascii="Arial" w:hAnsi="Arial" w:hint="cs"/>
          <w:noProof w:val="0"/>
          <w:rtl/>
        </w:rPr>
        <w:t>(1.7.2003))</w:t>
      </w:r>
      <w:r w:rsidR="00F94463">
        <w:rPr>
          <w:rFonts w:ascii="Arial" w:hAnsi="Arial" w:hint="cs"/>
          <w:b/>
          <w:bCs/>
          <w:noProof w:val="0"/>
          <w:rtl/>
        </w:rPr>
        <w:t xml:space="preserve">. </w:t>
      </w:r>
    </w:p>
    <w:p w:rsidR="00F94463" w:rsidRDefault="00F94463" w:rsidP="00F94463">
      <w:pPr>
        <w:spacing w:line="360" w:lineRule="auto"/>
        <w:ind w:left="720" w:hanging="720"/>
        <w:jc w:val="both"/>
        <w:rPr>
          <w:rFonts w:ascii="Arial" w:hAnsi="Arial"/>
          <w:b/>
          <w:bCs/>
          <w:noProof w:val="0"/>
          <w:rtl/>
        </w:rPr>
      </w:pPr>
    </w:p>
    <w:p w:rsidR="00F94463" w:rsidRDefault="00F94463" w:rsidP="00F94463">
      <w:pPr>
        <w:spacing w:line="360" w:lineRule="auto"/>
        <w:ind w:left="720" w:hanging="720"/>
        <w:jc w:val="both"/>
        <w:rPr>
          <w:rFonts w:ascii="Arial" w:hAnsi="Arial"/>
          <w:noProof w:val="0"/>
          <w:rtl/>
        </w:rPr>
      </w:pPr>
      <w:r w:rsidRPr="00F94463">
        <w:rPr>
          <w:rFonts w:ascii="Arial" w:hAnsi="Arial" w:hint="cs"/>
          <w:noProof w:val="0"/>
          <w:rtl/>
        </w:rPr>
        <w:t>18.</w:t>
      </w:r>
      <w:r w:rsidRPr="00F94463">
        <w:rPr>
          <w:rFonts w:ascii="Arial" w:hAnsi="Arial" w:hint="cs"/>
          <w:noProof w:val="0"/>
          <w:rtl/>
        </w:rPr>
        <w:tab/>
      </w:r>
      <w:r>
        <w:rPr>
          <w:rFonts w:ascii="Arial" w:hAnsi="Arial" w:hint="cs"/>
          <w:noProof w:val="0"/>
          <w:rtl/>
        </w:rPr>
        <w:t xml:space="preserve">כך נאמר בהקשר זה בע"מ (מרכז) 44866-04-12 </w:t>
      </w:r>
      <w:r>
        <w:rPr>
          <w:rFonts w:ascii="Arial" w:hAnsi="Arial" w:hint="cs"/>
          <w:b/>
          <w:bCs/>
          <w:noProof w:val="0"/>
          <w:rtl/>
        </w:rPr>
        <w:t xml:space="preserve">מוסטפא דרבאשי נ' מע"מ רמלה </w:t>
      </w:r>
      <w:r>
        <w:rPr>
          <w:rFonts w:ascii="Arial" w:hAnsi="Arial" w:hint="cs"/>
          <w:noProof w:val="0"/>
          <w:rtl/>
        </w:rPr>
        <w:t>(30.6.15) בפסקאות 9-11:</w:t>
      </w:r>
    </w:p>
    <w:p w:rsidR="00F94463" w:rsidRDefault="00F94463" w:rsidP="00F94463">
      <w:pPr>
        <w:spacing w:line="360" w:lineRule="auto"/>
        <w:ind w:left="720" w:hanging="720"/>
        <w:jc w:val="both"/>
        <w:rPr>
          <w:rFonts w:ascii="Arial" w:hAnsi="Arial"/>
          <w:noProof w:val="0"/>
          <w:rtl/>
        </w:rPr>
      </w:pPr>
    </w:p>
    <w:p w:rsidR="00F94463" w:rsidRDefault="00F94463" w:rsidP="00F94463">
      <w:pPr>
        <w:spacing w:line="360" w:lineRule="auto"/>
        <w:ind w:left="1440"/>
        <w:jc w:val="both"/>
        <w:rPr>
          <w:rFonts w:ascii="Arial" w:hAnsi="Arial"/>
          <w:b/>
          <w:bCs/>
          <w:noProof w:val="0"/>
          <w:rtl/>
        </w:rPr>
      </w:pPr>
      <w:r>
        <w:rPr>
          <w:rFonts w:ascii="Arial" w:hAnsi="Arial" w:hint="cs"/>
          <w:b/>
          <w:bCs/>
          <w:noProof w:val="0"/>
          <w:rtl/>
        </w:rPr>
        <w:t>"ככלל, בערעורי מע"מ בדברר ניכוי תשומות, על העוסק המבקש לנכות את המס רובץ נטל השכנוע בדבר זכאותו לניכוי[...]</w:t>
      </w:r>
      <w:r w:rsidR="006B5595">
        <w:rPr>
          <w:rFonts w:ascii="Arial" w:hAnsi="Arial" w:hint="cs"/>
          <w:b/>
          <w:bCs/>
          <w:noProof w:val="0"/>
          <w:rtl/>
        </w:rPr>
        <w:t>.</w:t>
      </w:r>
    </w:p>
    <w:p w:rsidR="00F94463" w:rsidRDefault="00F94463" w:rsidP="00F94463">
      <w:pPr>
        <w:spacing w:line="360" w:lineRule="auto"/>
        <w:ind w:left="720" w:hanging="720"/>
        <w:jc w:val="both"/>
        <w:rPr>
          <w:rFonts w:ascii="Arial" w:hAnsi="Arial"/>
          <w:b/>
          <w:bCs/>
          <w:noProof w:val="0"/>
          <w:rtl/>
        </w:rPr>
      </w:pPr>
    </w:p>
    <w:p w:rsidR="00F94463" w:rsidRDefault="00F94463" w:rsidP="006B5595">
      <w:pPr>
        <w:spacing w:line="360" w:lineRule="auto"/>
        <w:ind w:left="1440"/>
        <w:jc w:val="both"/>
        <w:rPr>
          <w:rFonts w:ascii="Arial" w:hAnsi="Arial"/>
          <w:b/>
          <w:bCs/>
          <w:noProof w:val="0"/>
          <w:rtl/>
        </w:rPr>
      </w:pPr>
      <w:r>
        <w:rPr>
          <w:rFonts w:ascii="Arial" w:hAnsi="Arial" w:hint="cs"/>
          <w:b/>
          <w:bCs/>
          <w:noProof w:val="0"/>
          <w:rtl/>
        </w:rPr>
        <w:t xml:space="preserve">הטלת נטל השכנוע על העוסק מקורה בשיקולים שונים וביניהם: היתרון הראייתי שיש לנישום בנוגע לעובדות הנוגעות לעסקיו, להכנסותיו ולהוצאותיו; ערעור מע"מ הוא כתובענה הבאה לפני ערכאה ראשונה שבה המערער נחשב כתובע ועליו מוטל נטל השכנוע להוכחת ערעורו בהיותו "המוציא מחברו" (וראו תקנה 10(ב) לתקנות מס ערך מוסף ומס קניה (סדרי הדין בערעור), התשל"ו </w:t>
      </w:r>
      <w:r>
        <w:rPr>
          <w:rFonts w:ascii="Arial" w:hAnsi="Arial"/>
          <w:b/>
          <w:bCs/>
          <w:noProof w:val="0"/>
          <w:rtl/>
        </w:rPr>
        <w:t>–</w:t>
      </w:r>
      <w:r>
        <w:rPr>
          <w:rFonts w:ascii="Arial" w:hAnsi="Arial" w:hint="cs"/>
          <w:b/>
          <w:bCs/>
          <w:noProof w:val="0"/>
          <w:rtl/>
        </w:rPr>
        <w:t xml:space="preserve"> 1976, אם כי התקנה פורשה כמתייחסת לנטל הבאת הראיות, עניין כ.ו.ע. עמ' 899); הדבר נכון במיוחד לגבי עוסק המבקש לנכות מס תשומות כמי שמבקש לשנות את ה"סטאטוס קוו" ולכן רואים אותו כמוציא מחברו [...]. </w:t>
      </w:r>
    </w:p>
    <w:p w:rsidR="00F94463" w:rsidRDefault="00F94463" w:rsidP="00F94463">
      <w:pPr>
        <w:spacing w:line="360" w:lineRule="auto"/>
        <w:ind w:left="720" w:hanging="720"/>
        <w:jc w:val="both"/>
        <w:rPr>
          <w:rFonts w:ascii="Arial" w:hAnsi="Arial"/>
          <w:b/>
          <w:bCs/>
          <w:noProof w:val="0"/>
          <w:rtl/>
        </w:rPr>
      </w:pPr>
    </w:p>
    <w:p w:rsidR="00F94463" w:rsidRPr="00F94463" w:rsidRDefault="00F94463" w:rsidP="00F70BEC">
      <w:pPr>
        <w:spacing w:line="360" w:lineRule="auto"/>
        <w:ind w:left="1440"/>
        <w:jc w:val="both"/>
        <w:rPr>
          <w:rFonts w:ascii="Arial" w:hAnsi="Arial"/>
          <w:b/>
          <w:bCs/>
          <w:noProof w:val="0"/>
          <w:rtl/>
        </w:rPr>
      </w:pPr>
      <w:r>
        <w:rPr>
          <w:rFonts w:ascii="Arial" w:hAnsi="Arial" w:hint="cs"/>
          <w:b/>
          <w:bCs/>
          <w:noProof w:val="0"/>
          <w:rtl/>
        </w:rPr>
        <w:t xml:space="preserve">חזקה כי רשויות המס, המפעילות את סמכויותיהן הסטטוטוריות, פעלו כדין, ולפיכך על העוסק הטוען לפגם בפעולת הרשות, הנטל להוכיח כי פעולותיה היו שלא כדין. חזקה זו הינה ביטוי ל"חזקת התקינות" המוכרת במשפט המנהלי [...]. </w:t>
      </w:r>
    </w:p>
    <w:p w:rsidR="00F70BEC" w:rsidRDefault="00F70BEC" w:rsidP="00F70BEC">
      <w:pPr>
        <w:spacing w:line="360" w:lineRule="auto"/>
        <w:jc w:val="both"/>
        <w:rPr>
          <w:rFonts w:ascii="Arial" w:hAnsi="Arial"/>
          <w:b/>
          <w:bCs/>
          <w:noProof w:val="0"/>
          <w:rtl/>
        </w:rPr>
      </w:pPr>
    </w:p>
    <w:p w:rsidR="00F70BEC" w:rsidRDefault="006B5595" w:rsidP="00F70BEC">
      <w:pPr>
        <w:spacing w:line="360" w:lineRule="auto"/>
        <w:jc w:val="both"/>
        <w:rPr>
          <w:rFonts w:ascii="Arial" w:hAnsi="Arial"/>
          <w:noProof w:val="0"/>
          <w:u w:val="single"/>
          <w:rtl/>
        </w:rPr>
      </w:pPr>
      <w:r>
        <w:rPr>
          <w:rFonts w:ascii="Arial" w:hAnsi="Arial" w:hint="cs"/>
          <w:noProof w:val="0"/>
          <w:u w:val="single"/>
          <w:rtl/>
        </w:rPr>
        <w:t>האם מדובר בחשבוניות שהוצאו כדין</w:t>
      </w:r>
    </w:p>
    <w:p w:rsidR="002F7DC4" w:rsidRPr="006B5595" w:rsidRDefault="002F7DC4" w:rsidP="00F70BEC">
      <w:pPr>
        <w:spacing w:line="360" w:lineRule="auto"/>
        <w:jc w:val="both"/>
        <w:rPr>
          <w:rFonts w:ascii="Arial" w:hAnsi="Arial"/>
          <w:noProof w:val="0"/>
          <w:u w:val="single"/>
          <w:rtl/>
        </w:rPr>
      </w:pPr>
    </w:p>
    <w:p w:rsidR="00F70BEC" w:rsidRDefault="00F70BEC" w:rsidP="00F44EB7">
      <w:pPr>
        <w:spacing w:line="360" w:lineRule="auto"/>
        <w:ind w:left="720" w:hanging="720"/>
        <w:jc w:val="both"/>
        <w:rPr>
          <w:rFonts w:ascii="Arial" w:hAnsi="Arial"/>
          <w:noProof w:val="0"/>
          <w:rtl/>
        </w:rPr>
      </w:pPr>
      <w:r>
        <w:rPr>
          <w:rFonts w:ascii="Arial" w:hAnsi="Arial" w:hint="cs"/>
          <w:noProof w:val="0"/>
          <w:rtl/>
        </w:rPr>
        <w:t xml:space="preserve">19. </w:t>
      </w:r>
      <w:r>
        <w:rPr>
          <w:rFonts w:ascii="Arial" w:hAnsi="Arial" w:hint="cs"/>
          <w:noProof w:val="0"/>
          <w:rtl/>
        </w:rPr>
        <w:tab/>
        <w:t>במסגרת חקירת המשיב נחקרו בעלי החברות הנוגעות למחלוקת</w:t>
      </w:r>
      <w:r w:rsidR="00F44EB7">
        <w:rPr>
          <w:rFonts w:ascii="Arial" w:hAnsi="Arial" w:hint="cs"/>
          <w:noProof w:val="0"/>
          <w:rtl/>
        </w:rPr>
        <w:t>.</w:t>
      </w:r>
      <w:r>
        <w:rPr>
          <w:rFonts w:ascii="Arial" w:hAnsi="Arial" w:hint="cs"/>
          <w:noProof w:val="0"/>
          <w:rtl/>
        </w:rPr>
        <w:t xml:space="preserve"> בעלי החברות העידו כי הם אינם מכירים את המערערת או את מנהלה ואף הצביעו על השינוי בין החשבוניות של החברות לבין החשבוניות שאותן ניכתה המערערת. לתצהיר המשיב צורפו ההודעות שנגבו מבעלי החברות כספחים יג'-יח'. </w:t>
      </w:r>
    </w:p>
    <w:p w:rsidR="00F67A71" w:rsidRDefault="00F67A71" w:rsidP="00F70BEC">
      <w:pPr>
        <w:spacing w:line="360" w:lineRule="auto"/>
        <w:ind w:left="720" w:hanging="720"/>
        <w:jc w:val="both"/>
        <w:rPr>
          <w:rFonts w:ascii="Arial" w:hAnsi="Arial"/>
          <w:noProof w:val="0"/>
          <w:rtl/>
        </w:rPr>
      </w:pPr>
    </w:p>
    <w:p w:rsidR="00F44EB7" w:rsidRDefault="00F67A71" w:rsidP="00F44EB7">
      <w:pPr>
        <w:spacing w:line="360" w:lineRule="auto"/>
        <w:ind w:left="720" w:hanging="720"/>
        <w:jc w:val="both"/>
        <w:rPr>
          <w:rFonts w:ascii="Arial" w:hAnsi="Arial"/>
          <w:noProof w:val="0"/>
          <w:rtl/>
        </w:rPr>
      </w:pPr>
      <w:r>
        <w:rPr>
          <w:rFonts w:ascii="Arial" w:hAnsi="Arial" w:hint="cs"/>
          <w:noProof w:val="0"/>
          <w:rtl/>
        </w:rPr>
        <w:lastRenderedPageBreak/>
        <w:t>20.</w:t>
      </w:r>
      <w:r>
        <w:rPr>
          <w:rFonts w:ascii="Arial" w:hAnsi="Arial" w:hint="cs"/>
          <w:noProof w:val="0"/>
          <w:rtl/>
        </w:rPr>
        <w:tab/>
        <w:t xml:space="preserve">במצב דברים זה, ניתן היה לצפות כי המערערת תבקש לזמן את בעלי החברות לחקירה נגדית, דבר שלא נעשה על ידה. </w:t>
      </w:r>
    </w:p>
    <w:p w:rsidR="00F67A71" w:rsidRPr="00F44EB7" w:rsidRDefault="00F67A71" w:rsidP="0079031E">
      <w:pPr>
        <w:spacing w:line="360" w:lineRule="auto"/>
        <w:ind w:left="720"/>
        <w:jc w:val="both"/>
        <w:rPr>
          <w:rFonts w:ascii="Arial" w:hAnsi="Arial"/>
          <w:noProof w:val="0"/>
          <w:rtl/>
        </w:rPr>
      </w:pPr>
      <w:r w:rsidRPr="00F44EB7">
        <w:rPr>
          <w:rFonts w:ascii="Arial" w:hAnsi="Arial" w:hint="cs"/>
          <w:noProof w:val="0"/>
          <w:rtl/>
        </w:rPr>
        <w:t xml:space="preserve">לעניין זה יפים הדברים שנקבעו ברע"א 630/18 </w:t>
      </w:r>
      <w:r w:rsidRPr="0079031E">
        <w:rPr>
          <w:rFonts w:ascii="Arial" w:hAnsi="Arial" w:hint="cs"/>
          <w:b/>
          <w:bCs/>
          <w:noProof w:val="0"/>
          <w:rtl/>
        </w:rPr>
        <w:t>מנהל מס ערך מוסף רמלה נ' גני ירושלים</w:t>
      </w:r>
      <w:r w:rsidRPr="00F44EB7">
        <w:rPr>
          <w:rFonts w:ascii="Arial" w:hAnsi="Arial" w:hint="cs"/>
          <w:noProof w:val="0"/>
          <w:rtl/>
        </w:rPr>
        <w:t xml:space="preserve"> </w:t>
      </w:r>
      <w:r w:rsidRPr="0079031E">
        <w:rPr>
          <w:rFonts w:ascii="Arial" w:hAnsi="Arial" w:hint="cs"/>
          <w:b/>
          <w:bCs/>
          <w:noProof w:val="0"/>
          <w:rtl/>
        </w:rPr>
        <w:t>בע"מ</w:t>
      </w:r>
      <w:r w:rsidRPr="00F44EB7">
        <w:rPr>
          <w:rFonts w:ascii="Arial" w:hAnsi="Arial" w:hint="cs"/>
          <w:noProof w:val="0"/>
          <w:rtl/>
        </w:rPr>
        <w:t xml:space="preserve"> </w:t>
      </w:r>
      <w:r w:rsidR="0079031E">
        <w:rPr>
          <w:rFonts w:ascii="Arial" w:hAnsi="Arial" w:hint="cs"/>
          <w:noProof w:val="0"/>
          <w:rtl/>
        </w:rPr>
        <w:t xml:space="preserve"> (2.5.18) </w:t>
      </w:r>
      <w:r w:rsidRPr="00F44EB7">
        <w:rPr>
          <w:rFonts w:ascii="Arial" w:hAnsi="Arial" w:hint="cs"/>
          <w:noProof w:val="0"/>
          <w:rtl/>
        </w:rPr>
        <w:t xml:space="preserve">כדלקמן: </w:t>
      </w:r>
    </w:p>
    <w:p w:rsidR="00F67A71" w:rsidRDefault="00F67A71" w:rsidP="00F67A71">
      <w:pPr>
        <w:spacing w:line="360" w:lineRule="auto"/>
        <w:ind w:left="1440"/>
        <w:jc w:val="both"/>
        <w:rPr>
          <w:rFonts w:ascii="Arial" w:hAnsi="Arial"/>
          <w:b/>
          <w:bCs/>
          <w:noProof w:val="0"/>
          <w:rtl/>
        </w:rPr>
      </w:pPr>
    </w:p>
    <w:p w:rsidR="00F67A71" w:rsidRDefault="00F67A71" w:rsidP="0079031E">
      <w:pPr>
        <w:spacing w:line="360" w:lineRule="auto"/>
        <w:ind w:left="1440"/>
        <w:jc w:val="both"/>
        <w:rPr>
          <w:rFonts w:ascii="Arial" w:hAnsi="Arial"/>
          <w:b/>
          <w:bCs/>
          <w:noProof w:val="0"/>
          <w:rtl/>
        </w:rPr>
      </w:pPr>
      <w:r>
        <w:rPr>
          <w:rFonts w:ascii="Arial" w:hAnsi="Arial" w:hint="cs"/>
          <w:b/>
          <w:bCs/>
          <w:noProof w:val="0"/>
          <w:rtl/>
        </w:rPr>
        <w:t>"נישום המעוניין לערער את אמינות ההודעות שנמסרו</w:t>
      </w:r>
      <w:r w:rsidR="0079031E">
        <w:rPr>
          <w:rFonts w:ascii="Arial" w:hAnsi="Arial" w:hint="cs"/>
          <w:b/>
          <w:bCs/>
          <w:noProof w:val="0"/>
          <w:rtl/>
        </w:rPr>
        <w:t>, עליו</w:t>
      </w:r>
      <w:r>
        <w:rPr>
          <w:rFonts w:ascii="Arial" w:hAnsi="Arial" w:hint="cs"/>
          <w:b/>
          <w:bCs/>
          <w:noProof w:val="0"/>
          <w:rtl/>
        </w:rPr>
        <w:t xml:space="preserve"> לזמן את מוסרי ההודע</w:t>
      </w:r>
      <w:r w:rsidR="0079031E">
        <w:rPr>
          <w:rFonts w:ascii="Arial" w:hAnsi="Arial" w:hint="cs"/>
          <w:b/>
          <w:bCs/>
          <w:noProof w:val="0"/>
          <w:rtl/>
        </w:rPr>
        <w:t>ות</w:t>
      </w:r>
      <w:r>
        <w:rPr>
          <w:rFonts w:ascii="Arial" w:hAnsi="Arial" w:hint="cs"/>
          <w:b/>
          <w:bCs/>
          <w:noProof w:val="0"/>
          <w:rtl/>
        </w:rPr>
        <w:t xml:space="preserve"> לעדות, ובמצבים המתאימים </w:t>
      </w:r>
      <w:r>
        <w:rPr>
          <w:rFonts w:ascii="Arial" w:hAnsi="Arial"/>
          <w:b/>
          <w:bCs/>
          <w:noProof w:val="0"/>
          <w:rtl/>
        </w:rPr>
        <w:t>–</w:t>
      </w:r>
      <w:r>
        <w:rPr>
          <w:rFonts w:ascii="Arial" w:hAnsi="Arial" w:hint="cs"/>
          <w:b/>
          <w:bCs/>
          <w:noProof w:val="0"/>
          <w:rtl/>
        </w:rPr>
        <w:t xml:space="preserve"> לבקש מבית המשפט לחקור אותם בחקירה נגדית. לא עשה כן </w:t>
      </w:r>
      <w:r>
        <w:rPr>
          <w:rFonts w:ascii="Arial" w:hAnsi="Arial"/>
          <w:b/>
          <w:bCs/>
          <w:noProof w:val="0"/>
          <w:rtl/>
        </w:rPr>
        <w:t>–</w:t>
      </w:r>
      <w:r>
        <w:rPr>
          <w:rFonts w:ascii="Arial" w:hAnsi="Arial" w:hint="cs"/>
          <w:b/>
          <w:bCs/>
          <w:noProof w:val="0"/>
          <w:rtl/>
        </w:rPr>
        <w:t xml:space="preserve"> אין הוא יכול לבוא בטרוניה על כך שבית המשפט נסמך על ההודעות שנמסרו". </w:t>
      </w:r>
    </w:p>
    <w:p w:rsidR="00F67A71" w:rsidRDefault="00F67A71" w:rsidP="00F67A71">
      <w:pPr>
        <w:spacing w:line="360" w:lineRule="auto"/>
        <w:jc w:val="both"/>
        <w:rPr>
          <w:rFonts w:ascii="Arial" w:hAnsi="Arial"/>
          <w:b/>
          <w:bCs/>
          <w:noProof w:val="0"/>
          <w:rtl/>
        </w:rPr>
      </w:pPr>
    </w:p>
    <w:p w:rsidR="00F67A71" w:rsidRDefault="00F67A71" w:rsidP="0079031E">
      <w:pPr>
        <w:spacing w:line="360" w:lineRule="auto"/>
        <w:ind w:left="720"/>
        <w:jc w:val="both"/>
        <w:rPr>
          <w:rFonts w:ascii="Arial" w:hAnsi="Arial"/>
          <w:noProof w:val="0"/>
          <w:rtl/>
        </w:rPr>
      </w:pPr>
      <w:r w:rsidRPr="00F44EB7">
        <w:rPr>
          <w:rFonts w:ascii="Arial" w:hAnsi="Arial" w:hint="cs"/>
          <w:noProof w:val="0"/>
          <w:rtl/>
        </w:rPr>
        <w:t xml:space="preserve">בעניין זה ראו את הדברים שנקבעו בע"מ ( </w:t>
      </w:r>
      <w:r w:rsidR="0079031E">
        <w:rPr>
          <w:rFonts w:ascii="Arial" w:hAnsi="Arial" w:hint="cs"/>
          <w:noProof w:val="0"/>
          <w:rtl/>
        </w:rPr>
        <w:t>ת"א)</w:t>
      </w:r>
      <w:r w:rsidRPr="00F44EB7">
        <w:rPr>
          <w:rFonts w:ascii="Arial" w:hAnsi="Arial" w:hint="cs"/>
          <w:noProof w:val="0"/>
          <w:rtl/>
        </w:rPr>
        <w:t xml:space="preserve">   32448-03-17 </w:t>
      </w:r>
      <w:r w:rsidRPr="00F44EB7">
        <w:rPr>
          <w:rFonts w:ascii="Arial" w:hAnsi="Arial" w:hint="cs"/>
          <w:b/>
          <w:bCs/>
          <w:noProof w:val="0"/>
          <w:rtl/>
        </w:rPr>
        <w:t xml:space="preserve">צמח תעיזי ונרדע יפה </w:t>
      </w:r>
      <w:r w:rsidRPr="00F44EB7">
        <w:rPr>
          <w:rFonts w:ascii="Arial" w:hAnsi="Arial"/>
          <w:b/>
          <w:bCs/>
          <w:noProof w:val="0"/>
          <w:rtl/>
        </w:rPr>
        <w:t>–</w:t>
      </w:r>
      <w:r w:rsidRPr="00F44EB7">
        <w:rPr>
          <w:rFonts w:ascii="Arial" w:hAnsi="Arial" w:hint="cs"/>
          <w:b/>
          <w:bCs/>
          <w:noProof w:val="0"/>
          <w:rtl/>
        </w:rPr>
        <w:t xml:space="preserve"> צ.י.</w:t>
      </w:r>
      <w:r w:rsidRPr="00F44EB7">
        <w:rPr>
          <w:rFonts w:ascii="Arial" w:hAnsi="Arial" w:hint="cs"/>
          <w:noProof w:val="0"/>
          <w:rtl/>
        </w:rPr>
        <w:t xml:space="preserve"> </w:t>
      </w:r>
      <w:r w:rsidRPr="00F44EB7">
        <w:rPr>
          <w:rFonts w:ascii="Arial" w:hAnsi="Arial" w:hint="cs"/>
          <w:b/>
          <w:bCs/>
          <w:noProof w:val="0"/>
          <w:rtl/>
        </w:rPr>
        <w:t xml:space="preserve">שיווק (שותפות) נ' מנהל מס ערך מוסף </w:t>
      </w:r>
      <w:r w:rsidRPr="00F44EB7">
        <w:rPr>
          <w:rFonts w:ascii="Arial" w:hAnsi="Arial"/>
          <w:b/>
          <w:bCs/>
          <w:noProof w:val="0"/>
          <w:rtl/>
        </w:rPr>
        <w:t>–</w:t>
      </w:r>
      <w:r w:rsidRPr="00F44EB7">
        <w:rPr>
          <w:rFonts w:ascii="Arial" w:hAnsi="Arial" w:hint="cs"/>
          <w:b/>
          <w:bCs/>
          <w:noProof w:val="0"/>
          <w:rtl/>
        </w:rPr>
        <w:t xml:space="preserve"> תל אביב</w:t>
      </w:r>
      <w:r w:rsidRPr="00F44EB7">
        <w:rPr>
          <w:rFonts w:ascii="Arial" w:hAnsi="Arial" w:hint="cs"/>
          <w:noProof w:val="0"/>
          <w:rtl/>
        </w:rPr>
        <w:t xml:space="preserve"> </w:t>
      </w:r>
      <w:r w:rsidRPr="00F44EB7">
        <w:rPr>
          <w:rFonts w:ascii="Arial" w:hAnsi="Arial" w:hint="cs"/>
          <w:b/>
          <w:bCs/>
          <w:noProof w:val="0"/>
          <w:rtl/>
        </w:rPr>
        <w:t>1</w:t>
      </w:r>
      <w:r w:rsidR="0079031E">
        <w:rPr>
          <w:rFonts w:ascii="Arial" w:hAnsi="Arial" w:hint="cs"/>
          <w:noProof w:val="0"/>
          <w:rtl/>
        </w:rPr>
        <w:t xml:space="preserve"> (17.5.18)</w:t>
      </w:r>
      <w:r w:rsidRPr="00F44EB7">
        <w:rPr>
          <w:rFonts w:ascii="Arial" w:hAnsi="Arial" w:hint="cs"/>
          <w:noProof w:val="0"/>
          <w:rtl/>
        </w:rPr>
        <w:t>:</w:t>
      </w:r>
    </w:p>
    <w:p w:rsidR="00F44EB7" w:rsidRPr="00F44EB7" w:rsidRDefault="00F44EB7" w:rsidP="00F44EB7">
      <w:pPr>
        <w:spacing w:line="360" w:lineRule="auto"/>
        <w:ind w:left="720"/>
        <w:jc w:val="both"/>
        <w:rPr>
          <w:rFonts w:ascii="Arial" w:hAnsi="Arial"/>
          <w:noProof w:val="0"/>
          <w:rtl/>
        </w:rPr>
      </w:pPr>
    </w:p>
    <w:p w:rsidR="00F67A71" w:rsidRDefault="00F67A71" w:rsidP="00F44EB7">
      <w:pPr>
        <w:spacing w:line="360" w:lineRule="auto"/>
        <w:ind w:left="1440"/>
        <w:jc w:val="both"/>
        <w:rPr>
          <w:rFonts w:ascii="Arial" w:hAnsi="Arial"/>
          <w:b/>
          <w:bCs/>
          <w:noProof w:val="0"/>
          <w:rtl/>
        </w:rPr>
      </w:pPr>
      <w:r>
        <w:rPr>
          <w:rFonts w:ascii="Arial" w:hAnsi="Arial" w:hint="cs"/>
          <w:b/>
          <w:bCs/>
          <w:noProof w:val="0"/>
          <w:rtl/>
        </w:rPr>
        <w:t>האינטרס לזמן את מנהל ביטוליט היה צריך להיות של המערערת,  ועליה היה לעשות זאת לו רצתה לק</w:t>
      </w:r>
      <w:r w:rsidR="00F44EB7">
        <w:rPr>
          <w:rFonts w:ascii="Arial" w:hAnsi="Arial" w:hint="cs"/>
          <w:b/>
          <w:bCs/>
          <w:noProof w:val="0"/>
          <w:rtl/>
        </w:rPr>
        <w:t>ע</w:t>
      </w:r>
      <w:r>
        <w:rPr>
          <w:rFonts w:ascii="Arial" w:hAnsi="Arial" w:hint="cs"/>
          <w:b/>
          <w:bCs/>
          <w:noProof w:val="0"/>
          <w:rtl/>
        </w:rPr>
        <w:t>קע את אמינות ההודעה שמסר בדבר זיוף החשבוניות מושא הערעור. משלא עשתה זאת, אין לה להלין אלא על עצמה</w:t>
      </w:r>
      <w:r w:rsidR="00F44EB7">
        <w:rPr>
          <w:rFonts w:ascii="Arial" w:hAnsi="Arial" w:hint="cs"/>
          <w:b/>
          <w:bCs/>
          <w:noProof w:val="0"/>
          <w:rtl/>
        </w:rPr>
        <w:t>"</w:t>
      </w:r>
      <w:r>
        <w:rPr>
          <w:rFonts w:ascii="Arial" w:hAnsi="Arial" w:hint="cs"/>
          <w:b/>
          <w:bCs/>
          <w:noProof w:val="0"/>
          <w:rtl/>
        </w:rPr>
        <w:t xml:space="preserve">. </w:t>
      </w:r>
    </w:p>
    <w:p w:rsidR="00F44EB7" w:rsidRDefault="00F44EB7" w:rsidP="00F44EB7">
      <w:pPr>
        <w:spacing w:line="360" w:lineRule="auto"/>
        <w:ind w:left="1440"/>
        <w:jc w:val="both"/>
        <w:rPr>
          <w:rFonts w:ascii="Arial" w:hAnsi="Arial"/>
          <w:b/>
          <w:bCs/>
          <w:noProof w:val="0"/>
          <w:rtl/>
        </w:rPr>
      </w:pPr>
    </w:p>
    <w:p w:rsidR="00F44EB7" w:rsidRPr="00F44EB7" w:rsidRDefault="00F44EB7" w:rsidP="00F44EB7">
      <w:pPr>
        <w:spacing w:line="360" w:lineRule="auto"/>
        <w:ind w:left="720"/>
        <w:jc w:val="both"/>
        <w:rPr>
          <w:rFonts w:ascii="Arial" w:hAnsi="Arial"/>
          <w:noProof w:val="0"/>
          <w:rtl/>
        </w:rPr>
      </w:pPr>
      <w:r w:rsidRPr="00F44EB7">
        <w:rPr>
          <w:rFonts w:ascii="Arial" w:hAnsi="Arial" w:hint="cs"/>
          <w:noProof w:val="0"/>
          <w:rtl/>
        </w:rPr>
        <w:t>כך הם</w:t>
      </w:r>
      <w:r>
        <w:rPr>
          <w:rFonts w:ascii="Arial" w:hAnsi="Arial" w:hint="cs"/>
          <w:noProof w:val="0"/>
          <w:rtl/>
        </w:rPr>
        <w:t xml:space="preserve"> פני הדברים ביחס למערערת, אשר לא ביקשה לזמן לעדות את מנהלי החברות, קבלניות המשנה.</w:t>
      </w:r>
    </w:p>
    <w:p w:rsidR="00F67A71" w:rsidRDefault="00F67A71" w:rsidP="00F67A71">
      <w:pPr>
        <w:spacing w:line="360" w:lineRule="auto"/>
        <w:jc w:val="both"/>
        <w:rPr>
          <w:rFonts w:ascii="Arial" w:hAnsi="Arial"/>
          <w:b/>
          <w:bCs/>
          <w:noProof w:val="0"/>
          <w:rtl/>
        </w:rPr>
      </w:pPr>
    </w:p>
    <w:p w:rsidR="00F67A71" w:rsidRDefault="00F67A71" w:rsidP="00F44EB7">
      <w:pPr>
        <w:spacing w:line="360" w:lineRule="auto"/>
        <w:ind w:left="720" w:hanging="720"/>
        <w:jc w:val="both"/>
        <w:rPr>
          <w:rFonts w:ascii="Arial" w:hAnsi="Arial"/>
          <w:noProof w:val="0"/>
          <w:rtl/>
        </w:rPr>
      </w:pPr>
      <w:r>
        <w:rPr>
          <w:rFonts w:ascii="Arial" w:hAnsi="Arial" w:hint="cs"/>
          <w:noProof w:val="0"/>
          <w:rtl/>
        </w:rPr>
        <w:t>21.</w:t>
      </w:r>
      <w:r>
        <w:rPr>
          <w:rFonts w:ascii="Arial" w:hAnsi="Arial"/>
          <w:noProof w:val="0"/>
          <w:rtl/>
        </w:rPr>
        <w:tab/>
      </w:r>
      <w:r>
        <w:rPr>
          <w:rFonts w:ascii="Arial" w:hAnsi="Arial" w:hint="cs"/>
          <w:noProof w:val="0"/>
          <w:rtl/>
        </w:rPr>
        <w:t xml:space="preserve">מנהל המערערת בהודעותיו לא זכר ממי קיבל את החשבוניות של ט.ס. (הודעה מיום 1.3.16, נספח ב' לתצהיר המשיב, שורות 275-290). דברים דומים מסר ג'ברין גם בעניין החשבוניות של ח.ר. (הודעתו הנ"ל, שורות 415-428). בעניינה של אידיאל לא זכר ג'ברין את שמה של החברה (הודעתו מיום 2.3.16, נספח ג' לתצהיר המשיב, שורות 275-290). </w:t>
      </w:r>
      <w:r w:rsidR="0079031E">
        <w:rPr>
          <w:rFonts w:ascii="Arial" w:hAnsi="Arial" w:hint="cs"/>
          <w:noProof w:val="0"/>
          <w:rtl/>
        </w:rPr>
        <w:t xml:space="preserve">ביחס לחמיס, טען ג'ברין כי קיבל את החשבונית מבעל החברה, אך לא זיהה את שמו (הודעה מיום 1.3.16, שורות 456-500). </w:t>
      </w:r>
      <w:r>
        <w:rPr>
          <w:rFonts w:ascii="Arial" w:hAnsi="Arial" w:hint="cs"/>
          <w:noProof w:val="0"/>
          <w:rtl/>
        </w:rPr>
        <w:t>עדותו של מנהל המערערת ב</w:t>
      </w:r>
      <w:r w:rsidR="00F44EB7">
        <w:rPr>
          <w:rFonts w:ascii="Arial" w:hAnsi="Arial" w:hint="cs"/>
          <w:noProof w:val="0"/>
          <w:rtl/>
        </w:rPr>
        <w:t>בית המשפט בחקירה הנגדית לא עורר</w:t>
      </w:r>
      <w:r>
        <w:rPr>
          <w:rFonts w:ascii="Arial" w:hAnsi="Arial" w:hint="cs"/>
          <w:noProof w:val="0"/>
          <w:rtl/>
        </w:rPr>
        <w:t xml:space="preserve">ה אמון.  </w:t>
      </w:r>
    </w:p>
    <w:p w:rsidR="00F67A71" w:rsidRDefault="00F67A71" w:rsidP="00F67A71">
      <w:pPr>
        <w:spacing w:line="360" w:lineRule="auto"/>
        <w:ind w:left="720" w:hanging="720"/>
        <w:jc w:val="both"/>
        <w:rPr>
          <w:rFonts w:ascii="Arial" w:hAnsi="Arial"/>
          <w:noProof w:val="0"/>
          <w:rtl/>
        </w:rPr>
      </w:pPr>
    </w:p>
    <w:p w:rsidR="00F67A71" w:rsidRDefault="00F67A71" w:rsidP="00924C89">
      <w:pPr>
        <w:spacing w:line="360" w:lineRule="auto"/>
        <w:ind w:left="720" w:hanging="720"/>
        <w:jc w:val="both"/>
        <w:rPr>
          <w:rFonts w:ascii="Arial" w:hAnsi="Arial"/>
          <w:noProof w:val="0"/>
          <w:rtl/>
        </w:rPr>
      </w:pPr>
      <w:r>
        <w:rPr>
          <w:rFonts w:ascii="Arial" w:hAnsi="Arial" w:hint="cs"/>
          <w:noProof w:val="0"/>
          <w:rtl/>
        </w:rPr>
        <w:t>22.</w:t>
      </w:r>
      <w:r>
        <w:rPr>
          <w:rFonts w:ascii="Arial" w:hAnsi="Arial"/>
          <w:noProof w:val="0"/>
          <w:rtl/>
        </w:rPr>
        <w:tab/>
      </w:r>
      <w:r>
        <w:rPr>
          <w:rFonts w:ascii="Arial" w:hAnsi="Arial" w:hint="cs"/>
          <w:noProof w:val="0"/>
          <w:rtl/>
        </w:rPr>
        <w:t>בכל הנוגע לספקים אביעם וכל מתכת וכן חברה נוספת בשם "מתי גבס", טען ג'ברין כי הוא עובד רק מול אחמד ג'אבר, שהציג את עצמו כסוכן של אותן  חברות. המשיב גבה עדות מג'אבר</w:t>
      </w:r>
      <w:r w:rsidR="00924C89">
        <w:rPr>
          <w:rFonts w:ascii="Arial" w:hAnsi="Arial" w:hint="cs"/>
          <w:noProof w:val="0"/>
          <w:rtl/>
        </w:rPr>
        <w:t>,</w:t>
      </w:r>
      <w:r>
        <w:rPr>
          <w:rFonts w:ascii="Arial" w:hAnsi="Arial" w:hint="cs"/>
          <w:noProof w:val="0"/>
          <w:rtl/>
        </w:rPr>
        <w:t xml:space="preserve"> שמסר בחקירתו כי בשנים האחרונות עובר לחקירה הוא שהה במעצר בית ולא יכול היה לספק פועלים למערערת ולפעול כפי שנטען כלפיו על ידי המערערת (הודעה מיום 24.11.15, נספח ד' לתצהיר המשיב, שורות 10-18). </w:t>
      </w:r>
    </w:p>
    <w:p w:rsidR="00F67A71" w:rsidRDefault="00F67A71" w:rsidP="00F67A71">
      <w:pPr>
        <w:spacing w:line="360" w:lineRule="auto"/>
        <w:ind w:left="720" w:hanging="720"/>
        <w:jc w:val="both"/>
        <w:rPr>
          <w:rFonts w:ascii="Arial" w:hAnsi="Arial"/>
          <w:noProof w:val="0"/>
          <w:rtl/>
        </w:rPr>
      </w:pPr>
    </w:p>
    <w:p w:rsidR="00F67A71" w:rsidRDefault="00F67A71" w:rsidP="00F67A71">
      <w:pPr>
        <w:spacing w:line="360" w:lineRule="auto"/>
        <w:ind w:left="720" w:hanging="720"/>
        <w:jc w:val="both"/>
        <w:rPr>
          <w:rFonts w:ascii="Arial" w:hAnsi="Arial"/>
          <w:noProof w:val="0"/>
          <w:rtl/>
        </w:rPr>
      </w:pPr>
      <w:r>
        <w:rPr>
          <w:rFonts w:ascii="Arial" w:hAnsi="Arial" w:hint="cs"/>
          <w:noProof w:val="0"/>
          <w:rtl/>
        </w:rPr>
        <w:lastRenderedPageBreak/>
        <w:t>23.</w:t>
      </w:r>
      <w:r>
        <w:rPr>
          <w:rFonts w:ascii="Arial" w:hAnsi="Arial" w:hint="cs"/>
          <w:noProof w:val="0"/>
          <w:rtl/>
        </w:rPr>
        <w:tab/>
        <w:t>לטענת ג'אבר, הוצע לו סכום של 5,000 ₪ בתמורה לכך שימסור את תעודת הזהות שלו וכן בתמורה לחתימתו על מסמכים אצל עורך דין והוא נאלץ להסכים לכך, עקב מצבו הכלכלי הקשה (ה</w:t>
      </w:r>
      <w:r w:rsidR="00B215D3">
        <w:rPr>
          <w:rFonts w:ascii="Arial" w:hAnsi="Arial" w:hint="cs"/>
          <w:noProof w:val="0"/>
          <w:rtl/>
        </w:rPr>
        <w:t>ה</w:t>
      </w:r>
      <w:r>
        <w:rPr>
          <w:rFonts w:ascii="Arial" w:hAnsi="Arial" w:hint="cs"/>
          <w:noProof w:val="0"/>
          <w:rtl/>
        </w:rPr>
        <w:t>ודעה הנ"ל</w:t>
      </w:r>
      <w:r w:rsidR="00B215D3">
        <w:rPr>
          <w:rFonts w:ascii="Arial" w:hAnsi="Arial" w:hint="cs"/>
          <w:noProof w:val="0"/>
          <w:rtl/>
        </w:rPr>
        <w:t>,</w:t>
      </w:r>
      <w:r>
        <w:rPr>
          <w:rFonts w:ascii="Arial" w:hAnsi="Arial" w:hint="cs"/>
          <w:noProof w:val="0"/>
          <w:rtl/>
        </w:rPr>
        <w:t xml:space="preserve"> שורות 31-71). כל, למשל, נאמרו הדברים הבאים בשורות 36-41: </w:t>
      </w:r>
    </w:p>
    <w:p w:rsidR="00F67A71" w:rsidRDefault="00F67A71" w:rsidP="00F67A71">
      <w:pPr>
        <w:spacing w:line="360" w:lineRule="auto"/>
        <w:ind w:left="720" w:hanging="720"/>
        <w:jc w:val="both"/>
        <w:rPr>
          <w:rFonts w:ascii="Arial" w:hAnsi="Arial"/>
          <w:noProof w:val="0"/>
          <w:rtl/>
        </w:rPr>
      </w:pPr>
    </w:p>
    <w:p w:rsidR="00F67A71" w:rsidRPr="00B215D3" w:rsidRDefault="00F67A71" w:rsidP="00B215D3">
      <w:pPr>
        <w:spacing w:line="360" w:lineRule="auto"/>
        <w:ind w:left="1440"/>
        <w:jc w:val="both"/>
        <w:rPr>
          <w:rFonts w:ascii="Arial" w:hAnsi="Arial"/>
          <w:b/>
          <w:bCs/>
          <w:noProof w:val="0"/>
          <w:rtl/>
        </w:rPr>
      </w:pPr>
      <w:r>
        <w:rPr>
          <w:rFonts w:ascii="Arial" w:hAnsi="Arial" w:hint="cs"/>
          <w:noProof w:val="0"/>
          <w:rtl/>
        </w:rPr>
        <w:t>"</w:t>
      </w:r>
      <w:r w:rsidRPr="00B215D3">
        <w:rPr>
          <w:rFonts w:ascii="Arial" w:hAnsi="Arial" w:hint="cs"/>
          <w:b/>
          <w:bCs/>
          <w:noProof w:val="0"/>
          <w:rtl/>
        </w:rPr>
        <w:t xml:space="preserve">ת. אני במעצר בית כבר כמעט 4 שנים ולא עובד ויש לי אשה ושתי ילדות ואחד אמר לי תן לי את הת.ז. שלך ואני אביא לך כסף. </w:t>
      </w:r>
    </w:p>
    <w:p w:rsidR="00F67A71" w:rsidRPr="00B215D3" w:rsidRDefault="00F67A71" w:rsidP="00F67A71">
      <w:pPr>
        <w:spacing w:line="360" w:lineRule="auto"/>
        <w:ind w:left="1440"/>
        <w:jc w:val="both"/>
        <w:rPr>
          <w:rFonts w:ascii="Arial" w:hAnsi="Arial"/>
          <w:b/>
          <w:bCs/>
          <w:noProof w:val="0"/>
          <w:rtl/>
        </w:rPr>
      </w:pPr>
      <w:r w:rsidRPr="00B215D3">
        <w:rPr>
          <w:rFonts w:ascii="Arial" w:hAnsi="Arial" w:hint="cs"/>
          <w:b/>
          <w:bCs/>
          <w:noProof w:val="0"/>
          <w:rtl/>
        </w:rPr>
        <w:t xml:space="preserve">ש. על מה הוא יביא לך כסף ולמה? </w:t>
      </w:r>
    </w:p>
    <w:p w:rsidR="00F67A71" w:rsidRPr="00B215D3" w:rsidRDefault="00F67A71" w:rsidP="00F67A71">
      <w:pPr>
        <w:spacing w:line="360" w:lineRule="auto"/>
        <w:ind w:left="1440"/>
        <w:jc w:val="both"/>
        <w:rPr>
          <w:rFonts w:ascii="Arial" w:hAnsi="Arial"/>
          <w:b/>
          <w:bCs/>
          <w:noProof w:val="0"/>
          <w:rtl/>
        </w:rPr>
      </w:pPr>
      <w:r w:rsidRPr="00B215D3">
        <w:rPr>
          <w:rFonts w:ascii="Arial" w:hAnsi="Arial" w:hint="cs"/>
          <w:b/>
          <w:bCs/>
          <w:noProof w:val="0"/>
          <w:rtl/>
        </w:rPr>
        <w:t xml:space="preserve">הערת חוקר: החוקר דביר לביא נכנס לחקירה בשעה 16:04. </w:t>
      </w:r>
    </w:p>
    <w:p w:rsidR="00F67A71" w:rsidRPr="00B215D3" w:rsidRDefault="00F67A71" w:rsidP="00B215D3">
      <w:pPr>
        <w:spacing w:line="360" w:lineRule="auto"/>
        <w:ind w:left="1440"/>
        <w:jc w:val="both"/>
        <w:rPr>
          <w:rFonts w:ascii="Arial" w:hAnsi="Arial"/>
          <w:b/>
          <w:bCs/>
          <w:noProof w:val="0"/>
          <w:rtl/>
        </w:rPr>
      </w:pPr>
      <w:r w:rsidRPr="00B215D3">
        <w:rPr>
          <w:rFonts w:ascii="Arial" w:hAnsi="Arial" w:hint="cs"/>
          <w:b/>
          <w:bCs/>
          <w:noProof w:val="0"/>
          <w:rtl/>
        </w:rPr>
        <w:t>ת. אמר לי תן לי תעודת זהות שלך ואני אצלם אותה ומתי שאני מתקשר אליך אתה הולך לעו"ד ותחתום לו על זה שסיפקת פועל</w:t>
      </w:r>
      <w:r w:rsidR="00B215D3">
        <w:rPr>
          <w:rFonts w:ascii="Arial" w:hAnsi="Arial" w:hint="cs"/>
          <w:b/>
          <w:bCs/>
          <w:noProof w:val="0"/>
          <w:rtl/>
        </w:rPr>
        <w:t xml:space="preserve">ים ועל זה שמכרת </w:t>
      </w:r>
      <w:r w:rsidRPr="00B215D3">
        <w:rPr>
          <w:rFonts w:ascii="Arial" w:hAnsi="Arial" w:hint="cs"/>
          <w:b/>
          <w:bCs/>
          <w:noProof w:val="0"/>
          <w:rtl/>
        </w:rPr>
        <w:t>חומרי בנין"</w:t>
      </w:r>
      <w:r w:rsidR="00B215D3">
        <w:rPr>
          <w:rFonts w:ascii="Arial" w:hAnsi="Arial" w:hint="cs"/>
          <w:b/>
          <w:bCs/>
          <w:noProof w:val="0"/>
          <w:rtl/>
        </w:rPr>
        <w:t>.</w:t>
      </w:r>
      <w:r w:rsidRPr="00B215D3">
        <w:rPr>
          <w:rFonts w:ascii="Arial" w:hAnsi="Arial" w:hint="cs"/>
          <w:b/>
          <w:bCs/>
          <w:noProof w:val="0"/>
          <w:rtl/>
        </w:rPr>
        <w:t xml:space="preserve"> </w:t>
      </w:r>
    </w:p>
    <w:p w:rsidR="00F67A71" w:rsidRDefault="00F67A71" w:rsidP="00F67A71">
      <w:pPr>
        <w:spacing w:line="360" w:lineRule="auto"/>
        <w:jc w:val="both"/>
        <w:rPr>
          <w:rFonts w:ascii="Arial" w:hAnsi="Arial"/>
          <w:noProof w:val="0"/>
          <w:rtl/>
        </w:rPr>
      </w:pPr>
    </w:p>
    <w:p w:rsidR="00F67A71" w:rsidRDefault="00F67A71" w:rsidP="00F67A71">
      <w:pPr>
        <w:spacing w:line="360" w:lineRule="auto"/>
        <w:ind w:left="720" w:hanging="720"/>
        <w:jc w:val="both"/>
        <w:rPr>
          <w:rFonts w:ascii="Arial" w:hAnsi="Arial"/>
          <w:noProof w:val="0"/>
          <w:rtl/>
        </w:rPr>
      </w:pPr>
      <w:r>
        <w:rPr>
          <w:rFonts w:ascii="Arial" w:hAnsi="Arial" w:hint="cs"/>
          <w:noProof w:val="0"/>
          <w:rtl/>
        </w:rPr>
        <w:t>24.</w:t>
      </w:r>
      <w:r>
        <w:rPr>
          <w:rFonts w:ascii="Arial" w:hAnsi="Arial" w:hint="cs"/>
          <w:noProof w:val="0"/>
          <w:rtl/>
        </w:rPr>
        <w:tab/>
        <w:t xml:space="preserve">כמו כן, מסר ג'אבר בחקירתו מיום 3.12.15 (נספח </w:t>
      </w:r>
      <w:r w:rsidRPr="00B215D3">
        <w:rPr>
          <w:rFonts w:ascii="Arial" w:hAnsi="Arial" w:hint="cs"/>
          <w:noProof w:val="0"/>
          <w:rtl/>
        </w:rPr>
        <w:t>ה</w:t>
      </w:r>
      <w:r w:rsidR="00B215D3">
        <w:rPr>
          <w:rFonts w:ascii="Arial" w:hAnsi="Arial" w:hint="cs"/>
          <w:noProof w:val="0"/>
          <w:rtl/>
        </w:rPr>
        <w:t>'</w:t>
      </w:r>
      <w:r>
        <w:rPr>
          <w:rFonts w:ascii="Arial" w:hAnsi="Arial" w:hint="cs"/>
          <w:noProof w:val="0"/>
          <w:rtl/>
        </w:rPr>
        <w:t xml:space="preserve"> לתצהיר המשיב) כי הוצע</w:t>
      </w:r>
      <w:r w:rsidR="00B215D3">
        <w:rPr>
          <w:rFonts w:ascii="Arial" w:hAnsi="Arial" w:hint="cs"/>
          <w:noProof w:val="0"/>
          <w:rtl/>
        </w:rPr>
        <w:t>ו</w:t>
      </w:r>
      <w:r>
        <w:rPr>
          <w:rFonts w:ascii="Arial" w:hAnsi="Arial" w:hint="cs"/>
          <w:noProof w:val="0"/>
          <w:rtl/>
        </w:rPr>
        <w:t xml:space="preserve"> לו 50,000 ₪ תמורת עדות הנוגעת לחשבוניות למערערת שנעשו על ידו (שורות 17-23). </w:t>
      </w:r>
    </w:p>
    <w:p w:rsidR="00F67A71" w:rsidRDefault="00F67A71" w:rsidP="00F67A71">
      <w:pPr>
        <w:spacing w:line="360" w:lineRule="auto"/>
        <w:jc w:val="both"/>
        <w:rPr>
          <w:rFonts w:ascii="Arial" w:hAnsi="Arial"/>
          <w:noProof w:val="0"/>
          <w:rtl/>
        </w:rPr>
      </w:pPr>
    </w:p>
    <w:p w:rsidR="00F67A71" w:rsidRPr="00F67A71" w:rsidRDefault="00F67A71" w:rsidP="00F67A71">
      <w:pPr>
        <w:spacing w:line="360" w:lineRule="auto"/>
        <w:ind w:left="720" w:hanging="720"/>
        <w:jc w:val="both"/>
        <w:rPr>
          <w:rFonts w:ascii="Arial" w:hAnsi="Arial"/>
          <w:noProof w:val="0"/>
          <w:rtl/>
        </w:rPr>
      </w:pPr>
      <w:r>
        <w:rPr>
          <w:rFonts w:ascii="Arial" w:hAnsi="Arial" w:hint="cs"/>
          <w:noProof w:val="0"/>
          <w:rtl/>
        </w:rPr>
        <w:t>25.</w:t>
      </w:r>
      <w:r>
        <w:rPr>
          <w:rFonts w:ascii="Arial" w:hAnsi="Arial"/>
          <w:noProof w:val="0"/>
          <w:rtl/>
        </w:rPr>
        <w:tab/>
      </w:r>
      <w:r>
        <w:rPr>
          <w:rFonts w:ascii="Arial" w:hAnsi="Arial" w:hint="cs"/>
          <w:noProof w:val="0"/>
          <w:rtl/>
        </w:rPr>
        <w:t xml:space="preserve">בעימות שנערך בין מנהל המערערת לג'אבר ביום 7.3.16 (נספח ז' לתצהיר המשיב) הכחיש האחרון כי ביצע עסקאות עם המערערת. </w:t>
      </w:r>
    </w:p>
    <w:p w:rsidR="00F67A71" w:rsidRDefault="00F67A71" w:rsidP="00F67A71">
      <w:pPr>
        <w:spacing w:line="360" w:lineRule="auto"/>
        <w:ind w:left="720" w:hanging="720"/>
        <w:jc w:val="both"/>
        <w:rPr>
          <w:rFonts w:ascii="Arial" w:hAnsi="Arial"/>
          <w:noProof w:val="0"/>
          <w:rtl/>
        </w:rPr>
      </w:pPr>
    </w:p>
    <w:p w:rsidR="00F67A71" w:rsidRDefault="00F67A71" w:rsidP="00B215D3">
      <w:pPr>
        <w:spacing w:line="360" w:lineRule="auto"/>
        <w:ind w:left="720" w:hanging="720"/>
        <w:jc w:val="both"/>
        <w:rPr>
          <w:rFonts w:ascii="Arial" w:hAnsi="Arial"/>
          <w:noProof w:val="0"/>
          <w:rtl/>
        </w:rPr>
      </w:pPr>
      <w:r>
        <w:rPr>
          <w:rFonts w:ascii="Arial" w:hAnsi="Arial" w:hint="cs"/>
          <w:noProof w:val="0"/>
          <w:rtl/>
        </w:rPr>
        <w:t>26.</w:t>
      </w:r>
      <w:r>
        <w:rPr>
          <w:rFonts w:ascii="Arial" w:hAnsi="Arial"/>
          <w:noProof w:val="0"/>
          <w:rtl/>
        </w:rPr>
        <w:tab/>
      </w:r>
      <w:r>
        <w:rPr>
          <w:rFonts w:ascii="Arial" w:hAnsi="Arial" w:hint="cs"/>
          <w:noProof w:val="0"/>
          <w:rtl/>
        </w:rPr>
        <w:t>מנהל המערערת טען בחקירתו כי בכל תחילת שנה הוא וג'אבר היו חותמים על חוזה ביניהם שלא בפני עורך דין. בחקירתו הוא נשאל מדוע לאחר זומן לחקירה, נחתם חוזה בסוף השנה (6.11.15) ובפני עו"ד מדחת דיבה . בהודעתו מיום 1.3.16 (שורות 138-150) ט</w:t>
      </w:r>
      <w:r w:rsidR="00B215D3">
        <w:rPr>
          <w:rFonts w:ascii="Arial" w:hAnsi="Arial" w:hint="cs"/>
          <w:noProof w:val="0"/>
          <w:rtl/>
        </w:rPr>
        <w:t>ע</w:t>
      </w:r>
      <w:r>
        <w:rPr>
          <w:rFonts w:ascii="Arial" w:hAnsi="Arial" w:hint="cs"/>
          <w:noProof w:val="0"/>
          <w:rtl/>
        </w:rPr>
        <w:t>ן</w:t>
      </w:r>
      <w:r w:rsidR="00B215D3">
        <w:rPr>
          <w:rFonts w:ascii="Arial" w:hAnsi="Arial" w:hint="cs"/>
          <w:noProof w:val="0"/>
          <w:rtl/>
        </w:rPr>
        <w:t xml:space="preserve"> מנהל המערערת כי</w:t>
      </w:r>
      <w:r>
        <w:rPr>
          <w:rFonts w:ascii="Arial" w:hAnsi="Arial" w:hint="cs"/>
          <w:noProof w:val="0"/>
          <w:rtl/>
        </w:rPr>
        <w:t xml:space="preserve"> אין הבדל בין תחילת שנה לסוף שנה ובהמשך החקירה (שורות 169-179) סיפק הסבר בלתי אמין ביחס למועד החתימה ביום 6.11.15. </w:t>
      </w:r>
    </w:p>
    <w:p w:rsidR="00F67A71" w:rsidRDefault="00F67A71" w:rsidP="00F67A71">
      <w:pPr>
        <w:spacing w:line="360" w:lineRule="auto"/>
        <w:ind w:left="720" w:hanging="720"/>
        <w:jc w:val="both"/>
        <w:rPr>
          <w:rFonts w:ascii="Arial" w:hAnsi="Arial"/>
          <w:b/>
          <w:bCs/>
          <w:noProof w:val="0"/>
          <w:rtl/>
        </w:rPr>
      </w:pPr>
    </w:p>
    <w:p w:rsidR="00F67A71" w:rsidRDefault="00F67A71" w:rsidP="00B215D3">
      <w:pPr>
        <w:spacing w:line="360" w:lineRule="auto"/>
        <w:ind w:left="720" w:hanging="720"/>
        <w:jc w:val="both"/>
        <w:rPr>
          <w:rFonts w:ascii="David" w:hAnsi="David"/>
          <w:rtl/>
        </w:rPr>
      </w:pPr>
      <w:r>
        <w:rPr>
          <w:rFonts w:ascii="David" w:hAnsi="David" w:hint="cs"/>
          <w:rtl/>
        </w:rPr>
        <w:t>27.</w:t>
      </w:r>
      <w:r>
        <w:rPr>
          <w:rFonts w:ascii="David" w:hAnsi="David" w:hint="cs"/>
          <w:rtl/>
        </w:rPr>
        <w:tab/>
        <w:t>המערערת לא ביקשה לזמן לחקירה את ג'אבר והדבר פועל לחובתה. כידוע, הימנעות המערערת מזימון עד רלבנטי למתן עדות, מקימה חזקה, לפיה עדותו של העד הייתה פועלת נגד</w:t>
      </w:r>
      <w:r w:rsidR="00B215D3">
        <w:rPr>
          <w:rFonts w:ascii="David" w:hAnsi="David" w:hint="cs"/>
          <w:rtl/>
        </w:rPr>
        <w:t>ה</w:t>
      </w:r>
      <w:r>
        <w:rPr>
          <w:rFonts w:ascii="David" w:hAnsi="David" w:hint="cs"/>
          <w:rtl/>
        </w:rPr>
        <w:t xml:space="preserve">, אלא אם כן ניתן הסבר סביר לאי הבאת העדות הרלבנטית (ע"א 8382/06 </w:t>
      </w:r>
      <w:r>
        <w:rPr>
          <w:rFonts w:ascii="David" w:hAnsi="David" w:hint="cs"/>
          <w:b/>
          <w:bCs/>
          <w:rtl/>
        </w:rPr>
        <w:t>כורש בוטח נ' דוד כהן</w:t>
      </w:r>
      <w:r>
        <w:rPr>
          <w:rFonts w:ascii="David" w:hAnsi="David" w:hint="cs"/>
          <w:rtl/>
        </w:rPr>
        <w:t xml:space="preserve"> (26.8.12) פסקה 28; ע"א 7183/09 </w:t>
      </w:r>
      <w:r w:rsidR="00B215D3">
        <w:rPr>
          <w:rFonts w:ascii="David" w:hAnsi="David" w:hint="cs"/>
          <w:b/>
          <w:bCs/>
          <w:rtl/>
        </w:rPr>
        <w:t>עזבון המנוח בולוס חורי נ' מנהל מקרקעי ישראל (</w:t>
      </w:r>
      <w:r w:rsidR="00B215D3" w:rsidRPr="00B215D3">
        <w:rPr>
          <w:rFonts w:ascii="David" w:hAnsi="David" w:hint="cs"/>
          <w:rtl/>
        </w:rPr>
        <w:t xml:space="preserve">4.4.12); </w:t>
      </w:r>
      <w:r w:rsidR="00B215D3">
        <w:rPr>
          <w:rFonts w:ascii="David" w:hAnsi="David" w:hint="cs"/>
          <w:b/>
          <w:bCs/>
          <w:rtl/>
        </w:rPr>
        <w:t xml:space="preserve">ע"א </w:t>
      </w:r>
      <w:r w:rsidR="00B215D3" w:rsidRPr="00B215D3">
        <w:rPr>
          <w:rFonts w:ascii="David" w:hAnsi="David" w:hint="cs"/>
          <w:rtl/>
        </w:rPr>
        <w:t>2275/90</w:t>
      </w:r>
      <w:r w:rsidR="00B215D3">
        <w:rPr>
          <w:rFonts w:ascii="David" w:hAnsi="David" w:hint="cs"/>
          <w:b/>
          <w:bCs/>
          <w:rtl/>
        </w:rPr>
        <w:t xml:space="preserve"> </w:t>
      </w:r>
      <w:r>
        <w:rPr>
          <w:rFonts w:ascii="David" w:hAnsi="David" w:hint="cs"/>
          <w:b/>
          <w:bCs/>
          <w:rtl/>
        </w:rPr>
        <w:t>לימה חברה ישראלית לתעשיות כימיות בע"מ נ' פרץ רוזנברג</w:t>
      </w:r>
      <w:r>
        <w:rPr>
          <w:rFonts w:ascii="David" w:hAnsi="David" w:hint="cs"/>
          <w:rtl/>
        </w:rPr>
        <w:t>, פ"ד מז(2) 605 (1993) פסקה 14</w:t>
      </w:r>
      <w:r w:rsidR="00B215D3">
        <w:rPr>
          <w:rFonts w:ascii="David" w:hAnsi="David" w:hint="cs"/>
          <w:rtl/>
        </w:rPr>
        <w:t xml:space="preserve"> (להלן: "</w:t>
      </w:r>
      <w:r w:rsidR="00B215D3" w:rsidRPr="00411BFE">
        <w:rPr>
          <w:rFonts w:ascii="David" w:hAnsi="David" w:hint="cs"/>
          <w:b/>
          <w:bCs/>
          <w:rtl/>
        </w:rPr>
        <w:t>עניי</w:t>
      </w:r>
      <w:r w:rsidR="00411BFE" w:rsidRPr="00411BFE">
        <w:rPr>
          <w:rFonts w:ascii="David" w:hAnsi="David" w:hint="cs"/>
          <w:b/>
          <w:bCs/>
          <w:rtl/>
        </w:rPr>
        <w:t>ן לימה</w:t>
      </w:r>
      <w:r w:rsidR="00411BFE">
        <w:rPr>
          <w:rFonts w:ascii="David" w:hAnsi="David" w:hint="cs"/>
          <w:rtl/>
        </w:rPr>
        <w:t>")</w:t>
      </w:r>
      <w:r>
        <w:rPr>
          <w:rFonts w:ascii="David" w:hAnsi="David" w:hint="cs"/>
          <w:rtl/>
        </w:rPr>
        <w:t xml:space="preserve">; ע"א 256/17 </w:t>
      </w:r>
      <w:r>
        <w:rPr>
          <w:rFonts w:ascii="David" w:hAnsi="David" w:hint="cs"/>
          <w:b/>
          <w:bCs/>
          <w:rtl/>
        </w:rPr>
        <w:t xml:space="preserve">הרשקוביץ נ' מדינת ישראל </w:t>
      </w:r>
      <w:r>
        <w:rPr>
          <w:rFonts w:ascii="David" w:hAnsi="David"/>
          <w:b/>
          <w:bCs/>
          <w:rtl/>
        </w:rPr>
        <w:t>–</w:t>
      </w:r>
      <w:r>
        <w:rPr>
          <w:rFonts w:ascii="David" w:hAnsi="David" w:hint="cs"/>
          <w:b/>
          <w:bCs/>
          <w:rtl/>
        </w:rPr>
        <w:t xml:space="preserve"> רשות המסים</w:t>
      </w:r>
      <w:r>
        <w:rPr>
          <w:rFonts w:ascii="David" w:hAnsi="David" w:hint="cs"/>
          <w:rtl/>
        </w:rPr>
        <w:t xml:space="preserve"> (18.8.19) פסקה 15; ע"א 8294/14 </w:t>
      </w:r>
      <w:r>
        <w:rPr>
          <w:rFonts w:ascii="David" w:hAnsi="David" w:hint="cs"/>
          <w:b/>
          <w:bCs/>
          <w:rtl/>
        </w:rPr>
        <w:t>רוני גנגינה נ' פקיד שומה פתח תקוה</w:t>
      </w:r>
      <w:r>
        <w:rPr>
          <w:rFonts w:ascii="David" w:hAnsi="David" w:hint="cs"/>
          <w:rtl/>
        </w:rPr>
        <w:t xml:space="preserve"> (20.3.18) פסקה 24). </w:t>
      </w:r>
      <w:r w:rsidR="00411BFE">
        <w:rPr>
          <w:rFonts w:ascii="David" w:hAnsi="David" w:hint="cs"/>
          <w:rtl/>
        </w:rPr>
        <w:t>במקרה זה, לא ניתן הסבר סביר לאי הבאת ג'אבר לעדות.</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28.</w:t>
      </w:r>
      <w:r>
        <w:rPr>
          <w:rFonts w:ascii="David" w:hAnsi="David" w:hint="cs"/>
          <w:rtl/>
        </w:rPr>
        <w:tab/>
        <w:t xml:space="preserve">זאת ועוד, המערערת הגישה הודעה על הגשת תצהירי עדות מטעמה הכוללת בקשה לזימון העדים הבאים: </w:t>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rtl/>
        </w:rPr>
        <w:tab/>
      </w:r>
      <w:r>
        <w:rPr>
          <w:rFonts w:ascii="David" w:hAnsi="David" w:hint="cs"/>
          <w:rtl/>
        </w:rPr>
        <w:t>עו"ד מדחת דיבה</w:t>
      </w:r>
    </w:p>
    <w:p w:rsidR="00F67A71" w:rsidRDefault="00F67A71" w:rsidP="00F67A71">
      <w:pPr>
        <w:spacing w:line="360" w:lineRule="auto"/>
        <w:ind w:left="720" w:hanging="720"/>
        <w:jc w:val="both"/>
        <w:rPr>
          <w:rFonts w:ascii="David" w:hAnsi="David"/>
          <w:rtl/>
        </w:rPr>
      </w:pPr>
      <w:r>
        <w:rPr>
          <w:rFonts w:ascii="David" w:hAnsi="David"/>
          <w:rtl/>
        </w:rPr>
        <w:lastRenderedPageBreak/>
        <w:tab/>
      </w:r>
      <w:r>
        <w:rPr>
          <w:rFonts w:ascii="David" w:hAnsi="David"/>
          <w:rtl/>
        </w:rPr>
        <w:tab/>
      </w:r>
      <w:r>
        <w:rPr>
          <w:rFonts w:ascii="David" w:hAnsi="David" w:hint="cs"/>
          <w:rtl/>
        </w:rPr>
        <w:t>כרים אבו ריא, רו"ח</w:t>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rtl/>
        </w:rPr>
        <w:tab/>
      </w:r>
      <w:r>
        <w:rPr>
          <w:rFonts w:ascii="David" w:hAnsi="David" w:hint="cs"/>
          <w:rtl/>
        </w:rPr>
        <w:t>ראיק מרוואת, רו"ח</w:t>
      </w:r>
      <w:r>
        <w:rPr>
          <w:rFonts w:ascii="David" w:hAnsi="David" w:hint="cs"/>
          <w:rtl/>
        </w:rPr>
        <w:tab/>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rtl/>
        </w:rPr>
        <w:tab/>
      </w:r>
      <w:r>
        <w:rPr>
          <w:rFonts w:ascii="David" w:hAnsi="David" w:hint="cs"/>
          <w:rtl/>
        </w:rPr>
        <w:t>יגאל דרייגור</w:t>
      </w:r>
      <w:r w:rsidR="00411BFE">
        <w:rPr>
          <w:rFonts w:ascii="David" w:hAnsi="David" w:hint="cs"/>
          <w:rtl/>
        </w:rPr>
        <w:t>, חוקר פרטי</w:t>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hint="cs"/>
          <w:rtl/>
        </w:rPr>
        <w:t xml:space="preserve">למרות שניתן אישור לזימון העדים הנ"ל, אף אחד מהם לא התייצב למתן עדות. בהחלטה מיום 9.8.20 נקבע מועד נוסף לדיון הוכחות ונקבע כי באותו מועד ייחקרו עו"ד מדחת דיבה ומר יגאל דרייגור. עוד נקבע כי ב"כ המערערת יודיע האם הוא עומד על זימונם לעדות של רו"ח אבו ריא ורו"ח מרוואת. בפתח ישיבת ההוכחות מיום 6.10.21 הודיע ב"כ המערערת כי לא יגיעו למתן עדות העדים שזימונם התבקש. כמו כן, הודיע ב"כ המערערת כי הוא "מושך" את תצהירו של מחמוד עבד אלרחמן (אשר לא הגיע לדיון לשם חקירתו הנגדית). </w:t>
      </w:r>
    </w:p>
    <w:p w:rsidR="00F67A71" w:rsidRDefault="00F67A71" w:rsidP="00411BFE">
      <w:pPr>
        <w:spacing w:line="360" w:lineRule="auto"/>
        <w:ind w:left="720" w:hanging="720"/>
        <w:jc w:val="both"/>
        <w:rPr>
          <w:rFonts w:ascii="David" w:hAnsi="David"/>
          <w:rtl/>
        </w:rPr>
      </w:pPr>
      <w:r>
        <w:rPr>
          <w:rFonts w:ascii="David" w:hAnsi="David"/>
          <w:rtl/>
        </w:rPr>
        <w:tab/>
      </w:r>
      <w:r w:rsidR="00411BFE">
        <w:rPr>
          <w:rFonts w:ascii="David" w:hAnsi="David" w:hint="cs"/>
          <w:rtl/>
        </w:rPr>
        <w:t>אי</w:t>
      </w:r>
      <w:r>
        <w:rPr>
          <w:rFonts w:ascii="David" w:hAnsi="David" w:hint="cs"/>
          <w:rtl/>
        </w:rPr>
        <w:t xml:space="preserve"> הבאת אותם עדים, שעדותם ודאי רלבנטית למחלוקת, מעורר חשד</w:t>
      </w:r>
      <w:r w:rsidR="00411BFE">
        <w:rPr>
          <w:rFonts w:ascii="David" w:hAnsi="David" w:hint="cs"/>
          <w:rtl/>
        </w:rPr>
        <w:t xml:space="preserve"> כי המערערת חששה מעדותם ומחשיפתם</w:t>
      </w:r>
      <w:r>
        <w:rPr>
          <w:rFonts w:ascii="David" w:hAnsi="David" w:hint="cs"/>
          <w:rtl/>
        </w:rPr>
        <w:t xml:space="preserve"> לחקירה שכנגד. בנסיבות אלה, ניתן להסיק כי אילו הובאו עדים אלה לבית המשפט, עדותם הייתה פועלת נגדה. ככל שהעדויות הן יותר משמעותיות, בית המשפט יסיק מאי הבאת העדים מסקנות מכריעות יותר נגד מי שנמנע מהבאתם לעדות (עניין לימה, פסקה 14). </w:t>
      </w:r>
      <w:r w:rsidR="00411BFE">
        <w:rPr>
          <w:rFonts w:ascii="David" w:hAnsi="David" w:hint="cs"/>
          <w:rtl/>
        </w:rPr>
        <w:t>בענייננו, מדובר בעדויות משמעותיות ומכאן המסקנות המכריעות הנובעות מאי הבאת אותם גורמים לעדות.</w:t>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hint="cs"/>
          <w:rtl/>
        </w:rPr>
        <w:t xml:space="preserve">כך, למשל, הצהיר מנהל המערערת בתצהירו כי עו"ד מדחת דיבה אישר את חתימתו של אחמד ג'אבר על אישור לפיו האחרון שימש נציג של החברות אביעם, כל מתכת ומתי מרכז הגבס. עו"ד מדחת דיבה מסר הודעה בחקירה (מיום 2.2.16, </w:t>
      </w:r>
      <w:r w:rsidR="00411BFE">
        <w:rPr>
          <w:rFonts w:ascii="David" w:hAnsi="David" w:hint="cs"/>
          <w:rtl/>
        </w:rPr>
        <w:t>נ</w:t>
      </w:r>
      <w:r>
        <w:rPr>
          <w:rFonts w:ascii="David" w:hAnsi="David" w:hint="cs"/>
          <w:rtl/>
        </w:rPr>
        <w:t xml:space="preserve">ספח כ' לתצהיר המשיב) כי לא קיבל מסמך כלשהו המאמת שאכן ג'אבר רשאי לפעול בשם אותן חברות. אי הבאת עו"ד דיבה לעדות, משמעה כי יש לקבל את הודעתו בחקירה כמשקפת את האמת.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29.</w:t>
      </w:r>
      <w:r>
        <w:rPr>
          <w:rFonts w:ascii="David" w:hAnsi="David" w:hint="cs"/>
          <w:rtl/>
        </w:rPr>
        <w:tab/>
        <w:t>מהודעות מנהל המערערת בחקירתו (מיום 16.11.15, 1.3.16 ו-2.3.16) עולה כי הוא נהג לשלם באופן קבוע לספקים במזומן וכי הוא הוזהר על ידי מנהל החשבונות שלו ורואה החשבון שלו, כי הדבר מנוגד לחוק מע"מ. מנהל החשבונות, כרים אבו ריא, מסר בהודעתו מיום 2.2.16 (נספח כ"ב לתצהיר המשיב) כי הזהיר את מנהל המערערת שלא ישלם במזומן סכום העולה על 20,000 ₪. גם רו"ח ראיק מרוואת מסר בהודעתו מיום 7.2.16 (נספח כ"א לתצהיר המשיב) כי הזהיר את מנהל המערערת בנוגע לתשלום במזומן ואף מסר כי בדיקת כרטיס קופת מזומן לא תמכה בגרסת מנהל המערערת (ש</w:t>
      </w:r>
      <w:r w:rsidR="00411BFE">
        <w:rPr>
          <w:rFonts w:ascii="David" w:hAnsi="David" w:hint="cs"/>
          <w:rtl/>
        </w:rPr>
        <w:t xml:space="preserve">ורות 70-76 להודעתו מיום 7.2.16). אי הבאת אותם גורמים לעדות משמעה כי יש לקבל את האמור בהודעות שמסרו בחקירת מע"מ.                   </w:t>
      </w:r>
      <w:r>
        <w:rPr>
          <w:rFonts w:ascii="David" w:hAnsi="David" w:hint="cs"/>
          <w:rtl/>
        </w:rPr>
        <w:t xml:space="preserve"> סעיף 47א לחוק מע"מ קובע כדלקמן: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1440" w:right="1418"/>
        <w:jc w:val="both"/>
        <w:rPr>
          <w:rFonts w:ascii="David" w:hAnsi="David"/>
          <w:rtl/>
        </w:rPr>
      </w:pPr>
      <w:r>
        <w:rPr>
          <w:rFonts w:ascii="David" w:hAnsi="David" w:hint="cs"/>
          <w:rtl/>
        </w:rPr>
        <w:t>"</w:t>
      </w:r>
      <w:r w:rsidRPr="00537EEA">
        <w:rPr>
          <w:rFonts w:ascii="David" w:hAnsi="David" w:hint="cs"/>
          <w:b/>
          <w:bCs/>
          <w:rtl/>
        </w:rPr>
        <w:t xml:space="preserve">קונה שהוא חייב </w:t>
      </w:r>
      <w:r w:rsidR="00411BFE">
        <w:rPr>
          <w:rFonts w:ascii="David" w:hAnsi="David" w:hint="cs"/>
          <w:b/>
          <w:bCs/>
          <w:rtl/>
        </w:rPr>
        <w:t>ב</w:t>
      </w:r>
      <w:r w:rsidRPr="00537EEA">
        <w:rPr>
          <w:rFonts w:ascii="David" w:hAnsi="David" w:hint="cs"/>
          <w:b/>
          <w:bCs/>
          <w:rtl/>
        </w:rPr>
        <w:t>מס, שרכש נכסים או שירותים לצורך עסקו או לשימוש בעסקו או לצורך פעילותו</w:t>
      </w:r>
      <w:r w:rsidR="00003126">
        <w:rPr>
          <w:rFonts w:ascii="David" w:hAnsi="David" w:hint="cs"/>
          <w:b/>
          <w:bCs/>
          <w:rtl/>
        </w:rPr>
        <w:t>,</w:t>
      </w:r>
      <w:r w:rsidRPr="00537EEA">
        <w:rPr>
          <w:rFonts w:ascii="David" w:hAnsi="David" w:hint="cs"/>
          <w:b/>
          <w:bCs/>
          <w:rtl/>
        </w:rPr>
        <w:t xml:space="preserve"> חייב לנהוג כלהלן:</w:t>
      </w:r>
      <w:r>
        <w:rPr>
          <w:rFonts w:ascii="David" w:hAnsi="David" w:hint="cs"/>
          <w:rtl/>
        </w:rPr>
        <w:t xml:space="preserve"> </w:t>
      </w:r>
    </w:p>
    <w:p w:rsidR="00F67A71" w:rsidRPr="00537EEA" w:rsidRDefault="00F67A71" w:rsidP="00F67A71">
      <w:pPr>
        <w:spacing w:line="360" w:lineRule="auto"/>
        <w:ind w:left="1440" w:right="1418"/>
        <w:jc w:val="both"/>
        <w:rPr>
          <w:rFonts w:ascii="David" w:hAnsi="David"/>
          <w:b/>
          <w:bCs/>
          <w:rtl/>
        </w:rPr>
      </w:pPr>
      <w:r w:rsidRPr="00537EEA">
        <w:rPr>
          <w:rFonts w:ascii="David" w:hAnsi="David" w:hint="cs"/>
          <w:b/>
          <w:bCs/>
          <w:rtl/>
        </w:rPr>
        <w:t>(א) ...</w:t>
      </w:r>
    </w:p>
    <w:p w:rsidR="00F67A71" w:rsidRDefault="00F67A71" w:rsidP="00003126">
      <w:pPr>
        <w:spacing w:line="360" w:lineRule="auto"/>
        <w:ind w:left="1440" w:right="1418"/>
        <w:jc w:val="both"/>
        <w:rPr>
          <w:rFonts w:ascii="David" w:hAnsi="David"/>
          <w:rtl/>
        </w:rPr>
      </w:pPr>
      <w:r w:rsidRPr="00537EEA">
        <w:rPr>
          <w:rFonts w:ascii="David" w:hAnsi="David" w:hint="cs"/>
          <w:b/>
          <w:bCs/>
          <w:rtl/>
        </w:rPr>
        <w:lastRenderedPageBreak/>
        <w:t xml:space="preserve">(ב) היה ערך הנכסים או השירותים </w:t>
      </w:r>
      <w:r w:rsidR="00003126">
        <w:rPr>
          <w:rFonts w:ascii="David" w:hAnsi="David" w:hint="cs"/>
          <w:b/>
          <w:bCs/>
          <w:rtl/>
        </w:rPr>
        <w:t>20,000</w:t>
      </w:r>
      <w:r w:rsidRPr="00537EEA">
        <w:rPr>
          <w:rFonts w:ascii="David" w:hAnsi="David" w:hint="cs"/>
          <w:b/>
          <w:bCs/>
          <w:rtl/>
        </w:rPr>
        <w:t xml:space="preserve"> שקלים חדשים או יותר, חייב הוא לדרוש ממוכר שהוא עוסק מורשה חשבונית מס ולא ישלם בשטרי כסף </w:t>
      </w:r>
      <w:r w:rsidRPr="00003126">
        <w:rPr>
          <w:rFonts w:ascii="David" w:hAnsi="David" w:hint="cs"/>
          <w:b/>
          <w:bCs/>
          <w:rtl/>
        </w:rPr>
        <w:t>ואם שילם בשיק מוסב יוסיף על גב השיק</w:t>
      </w:r>
      <w:r w:rsidRPr="00537EEA">
        <w:rPr>
          <w:rFonts w:ascii="David" w:hAnsi="David" w:hint="cs"/>
          <w:b/>
          <w:bCs/>
          <w:u w:val="single"/>
          <w:rtl/>
        </w:rPr>
        <w:t xml:space="preserve"> </w:t>
      </w:r>
      <w:r w:rsidRPr="00003126">
        <w:rPr>
          <w:rFonts w:ascii="David" w:hAnsi="David" w:hint="cs"/>
          <w:b/>
          <w:bCs/>
          <w:rtl/>
        </w:rPr>
        <w:t>את שמו</w:t>
      </w:r>
      <w:r w:rsidRPr="00537EEA">
        <w:rPr>
          <w:rFonts w:ascii="David" w:hAnsi="David" w:hint="cs"/>
          <w:b/>
          <w:bCs/>
          <w:rtl/>
        </w:rPr>
        <w:t>, חתימתו ומספר הרישום במשרד ערך מוסף</w:t>
      </w:r>
      <w:r>
        <w:rPr>
          <w:rFonts w:ascii="David" w:hAnsi="David" w:hint="cs"/>
          <w:rtl/>
        </w:rPr>
        <w:t>".</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jc w:val="both"/>
        <w:rPr>
          <w:rFonts w:ascii="David" w:hAnsi="David"/>
          <w:rtl/>
        </w:rPr>
      </w:pPr>
      <w:r>
        <w:rPr>
          <w:rFonts w:ascii="David" w:hAnsi="David" w:hint="cs"/>
          <w:rtl/>
        </w:rPr>
        <w:t>תכליתו העיקרית של סעיף זה היא מלחמה בהון השחור ובמיוחד בתופעת החשבוניות הפיקטיביות, כאמור בדברי ההסבר לתיקון 26:</w:t>
      </w:r>
    </w:p>
    <w:p w:rsidR="00F67A71" w:rsidRDefault="00F67A71" w:rsidP="00F67A71">
      <w:pPr>
        <w:spacing w:line="360" w:lineRule="auto"/>
        <w:ind w:left="720" w:hanging="720"/>
        <w:jc w:val="both"/>
        <w:rPr>
          <w:rFonts w:ascii="David" w:hAnsi="David"/>
          <w:rtl/>
        </w:rPr>
      </w:pPr>
    </w:p>
    <w:p w:rsidR="00F67A71" w:rsidRDefault="00F67A71" w:rsidP="00003126">
      <w:pPr>
        <w:spacing w:line="360" w:lineRule="auto"/>
        <w:ind w:left="1440" w:right="1418"/>
        <w:jc w:val="both"/>
        <w:rPr>
          <w:rFonts w:ascii="David" w:hAnsi="David"/>
          <w:rtl/>
        </w:rPr>
      </w:pPr>
      <w:r>
        <w:rPr>
          <w:rFonts w:ascii="David" w:hAnsi="David" w:hint="cs"/>
          <w:rtl/>
        </w:rPr>
        <w:t>"</w:t>
      </w:r>
      <w:r w:rsidRPr="00003126">
        <w:rPr>
          <w:rFonts w:ascii="David" w:hAnsi="David" w:hint="cs"/>
          <w:b/>
          <w:bCs/>
          <w:rtl/>
        </w:rPr>
        <w:t>חובה זו מאפשרת פיקוח על עסקאות ומעקב אחר זהות הצדים.</w:t>
      </w:r>
      <w:r w:rsidRPr="00537EEA">
        <w:rPr>
          <w:rFonts w:ascii="David" w:hAnsi="David" w:hint="cs"/>
          <w:b/>
          <w:bCs/>
          <w:u w:val="single"/>
          <w:rtl/>
        </w:rPr>
        <w:t xml:space="preserve"> </w:t>
      </w:r>
      <w:r w:rsidRPr="00003126">
        <w:rPr>
          <w:rFonts w:ascii="David" w:hAnsi="David" w:hint="cs"/>
          <w:b/>
          <w:bCs/>
          <w:rtl/>
        </w:rPr>
        <w:t>כדי להיאבק בהון השחור, לרבות בתופעת החשבוניות</w:t>
      </w:r>
      <w:r w:rsidRPr="00537EEA">
        <w:rPr>
          <w:rFonts w:ascii="David" w:hAnsi="David" w:hint="cs"/>
          <w:b/>
          <w:bCs/>
          <w:u w:val="single"/>
          <w:rtl/>
        </w:rPr>
        <w:t xml:space="preserve"> </w:t>
      </w:r>
      <w:r w:rsidRPr="00003126">
        <w:rPr>
          <w:rFonts w:ascii="David" w:hAnsi="David" w:hint="cs"/>
          <w:b/>
          <w:bCs/>
          <w:rtl/>
        </w:rPr>
        <w:t>הפיקטיביות</w:t>
      </w:r>
      <w:r w:rsidRPr="00537EEA">
        <w:rPr>
          <w:rFonts w:ascii="David" w:hAnsi="David" w:hint="cs"/>
          <w:b/>
          <w:bCs/>
          <w:rtl/>
        </w:rPr>
        <w:t>, מוצע כי בעסקאות שערכן מעל 20,000 ₪ תהיה חובה לשלם בהעברה בנקאית</w:t>
      </w:r>
      <w:r w:rsidR="00003126">
        <w:rPr>
          <w:rFonts w:ascii="David" w:hAnsi="David" w:hint="cs"/>
          <w:b/>
          <w:bCs/>
          <w:rtl/>
        </w:rPr>
        <w:t>,</w:t>
      </w:r>
      <w:r w:rsidRPr="00537EEA">
        <w:rPr>
          <w:rFonts w:ascii="David" w:hAnsi="David" w:hint="cs"/>
          <w:b/>
          <w:bCs/>
          <w:rtl/>
        </w:rPr>
        <w:t xml:space="preserve"> בכרטיס אשראי </w:t>
      </w:r>
      <w:r w:rsidRPr="00003126">
        <w:rPr>
          <w:rFonts w:ascii="David" w:hAnsi="David" w:hint="cs"/>
          <w:b/>
          <w:bCs/>
          <w:rtl/>
        </w:rPr>
        <w:t>או בשיק שהקונה</w:t>
      </w:r>
      <w:r w:rsidRPr="00537EEA">
        <w:rPr>
          <w:rFonts w:ascii="David" w:hAnsi="David" w:hint="cs"/>
          <w:b/>
          <w:bCs/>
          <w:u w:val="single"/>
          <w:rtl/>
        </w:rPr>
        <w:t xml:space="preserve"> </w:t>
      </w:r>
      <w:r w:rsidRPr="00003126">
        <w:rPr>
          <w:rFonts w:ascii="David" w:hAnsi="David" w:hint="cs"/>
          <w:b/>
          <w:bCs/>
          <w:rtl/>
        </w:rPr>
        <w:t xml:space="preserve">חתום עליו </w:t>
      </w:r>
      <w:r w:rsidR="00003126">
        <w:rPr>
          <w:rFonts w:ascii="David" w:hAnsi="David" w:hint="cs"/>
          <w:b/>
          <w:bCs/>
          <w:rtl/>
        </w:rPr>
        <w:t>כ</w:t>
      </w:r>
      <w:r w:rsidRPr="00003126">
        <w:rPr>
          <w:rFonts w:ascii="David" w:hAnsi="David" w:hint="cs"/>
          <w:b/>
          <w:bCs/>
          <w:rtl/>
        </w:rPr>
        <w:t>מושך ונאמר בו כי התשלום למוכר בלבד ולא להסתפק</w:t>
      </w:r>
      <w:r w:rsidRPr="00537EEA">
        <w:rPr>
          <w:rFonts w:ascii="David" w:hAnsi="David" w:hint="cs"/>
          <w:b/>
          <w:bCs/>
          <w:u w:val="single"/>
          <w:rtl/>
        </w:rPr>
        <w:t xml:space="preserve"> </w:t>
      </w:r>
      <w:r w:rsidRPr="00003126">
        <w:rPr>
          <w:rFonts w:ascii="David" w:hAnsi="David" w:hint="cs"/>
          <w:b/>
          <w:bCs/>
          <w:rtl/>
        </w:rPr>
        <w:t>באפשרות של קבלת חשבונית מס מהמוכר</w:t>
      </w:r>
      <w:r w:rsidRPr="00537EEA">
        <w:rPr>
          <w:rFonts w:ascii="David" w:hAnsi="David" w:hint="cs"/>
          <w:b/>
          <w:bCs/>
          <w:rtl/>
        </w:rPr>
        <w:t>, זאת כדי שניתן יהיה לעקוב אחר זהות הצדדים לעסקה. כמו כן, מוצע שגם בעסקאות בעלות היקף כספי נמוך יותר ניתן יהיה לשלם בהעברה בנקאית או בכרטיס אשראי, בנוסף לחובה הקיימת בסעיף בנוסחו הנוכחי של קבלת חשבונית מס או תשלום בשיק המשוך לפקודת המוכר בלבד</w:t>
      </w:r>
      <w:r>
        <w:rPr>
          <w:rFonts w:ascii="David" w:hAnsi="David" w:hint="cs"/>
          <w:rtl/>
        </w:rPr>
        <w:t xml:space="preserve">". </w:t>
      </w:r>
    </w:p>
    <w:p w:rsidR="00F67A71" w:rsidRDefault="00F67A71" w:rsidP="00F67A71">
      <w:pPr>
        <w:spacing w:line="360" w:lineRule="auto"/>
        <w:ind w:left="720" w:hanging="720"/>
        <w:jc w:val="both"/>
        <w:rPr>
          <w:rFonts w:ascii="David" w:hAnsi="David"/>
          <w:rtl/>
        </w:rPr>
      </w:pPr>
    </w:p>
    <w:p w:rsidR="00F67A71" w:rsidRDefault="00F67A71" w:rsidP="00003126">
      <w:pPr>
        <w:spacing w:line="360" w:lineRule="auto"/>
        <w:ind w:left="720"/>
        <w:jc w:val="both"/>
        <w:rPr>
          <w:rFonts w:ascii="David" w:hAnsi="David"/>
          <w:rtl/>
        </w:rPr>
      </w:pPr>
      <w:r>
        <w:rPr>
          <w:rFonts w:ascii="David" w:hAnsi="David" w:hint="cs"/>
          <w:rtl/>
        </w:rPr>
        <w:t>המסקנה בנסיבות העניין היא, ביחס לחשבוני</w:t>
      </w:r>
      <w:r w:rsidR="00003126">
        <w:rPr>
          <w:rFonts w:ascii="David" w:hAnsi="David" w:hint="cs"/>
          <w:rtl/>
        </w:rPr>
        <w:t>ו</w:t>
      </w:r>
      <w:r>
        <w:rPr>
          <w:rFonts w:ascii="David" w:hAnsi="David" w:hint="cs"/>
          <w:rtl/>
        </w:rPr>
        <w:t xml:space="preserve">ת </w:t>
      </w:r>
      <w:r w:rsidR="00003126">
        <w:rPr>
          <w:rFonts w:ascii="David" w:hAnsi="David" w:hint="cs"/>
          <w:rtl/>
        </w:rPr>
        <w:t>שסכומן</w:t>
      </w:r>
      <w:r>
        <w:rPr>
          <w:rFonts w:ascii="David" w:hAnsi="David" w:hint="cs"/>
          <w:rtl/>
        </w:rPr>
        <w:t xml:space="preserve"> עולה על 20,000 ₪, והן רבות מאוד (למשל, החשבוניות של אביעם), הינה כי התשלום במזומן, בניגוד להוראת חוק מע"מ, יכול ללמד על התנהלות בלתי חוקית ביחס לאותן חשבוניות, באופן המחזק את עמדת המשיב, בדבר הפיקטיביות </w:t>
      </w:r>
      <w:r w:rsidR="00003126">
        <w:rPr>
          <w:rFonts w:ascii="David" w:hAnsi="David" w:hint="cs"/>
          <w:rtl/>
        </w:rPr>
        <w:t xml:space="preserve">של </w:t>
      </w:r>
      <w:r>
        <w:rPr>
          <w:rFonts w:ascii="David" w:hAnsi="David" w:hint="cs"/>
          <w:rtl/>
        </w:rPr>
        <w:t xml:space="preserve">אותן חשבוניות. </w:t>
      </w:r>
    </w:p>
    <w:p w:rsidR="00F67A71" w:rsidRDefault="00F67A71" w:rsidP="00F67A71">
      <w:pPr>
        <w:spacing w:line="360" w:lineRule="auto"/>
        <w:ind w:left="720" w:hanging="720"/>
        <w:jc w:val="both"/>
        <w:rPr>
          <w:rFonts w:ascii="David" w:hAnsi="David"/>
          <w:rtl/>
        </w:rPr>
      </w:pPr>
    </w:p>
    <w:p w:rsidR="00F67A71" w:rsidRDefault="00F67A71" w:rsidP="00003126">
      <w:pPr>
        <w:spacing w:line="360" w:lineRule="auto"/>
        <w:ind w:left="720" w:hanging="720"/>
        <w:jc w:val="both"/>
        <w:rPr>
          <w:rFonts w:ascii="David" w:hAnsi="David"/>
          <w:rtl/>
        </w:rPr>
      </w:pPr>
      <w:r>
        <w:rPr>
          <w:rFonts w:ascii="David" w:hAnsi="David" w:hint="cs"/>
          <w:rtl/>
        </w:rPr>
        <w:t>30.</w:t>
      </w:r>
      <w:r>
        <w:rPr>
          <w:rFonts w:ascii="David" w:hAnsi="David" w:hint="cs"/>
          <w:rtl/>
        </w:rPr>
        <w:tab/>
        <w:t>מנהל המערערת הזמין חקירה פרטית מחברת דרייגור חקירות פרטיות, על מנת לתעד את ג'אבר כספק של החברות אביעם, כל מתכת ומתי מרכז הגבס. החוקרים הפרטיים, יגאל דרייגור וגבריאל תירוש, מסרו בהודעותיהם מיום 14.1.18 ו-15.1.18 (נספחים י"א וי"ב לתצהיר המשיב) כי כבר בפגישה הראשונה עם ג'אבר הרגישו כי משהו אינו תקין ובהמשך הם סברו כי החקירה הייתה מוזמנת ו"מבושלת" וכי ג'אבר ה</w:t>
      </w:r>
      <w:r w:rsidR="00003126">
        <w:rPr>
          <w:rFonts w:ascii="David" w:hAnsi="David" w:hint="cs"/>
          <w:rtl/>
        </w:rPr>
        <w:t>ו</w:t>
      </w:r>
      <w:r>
        <w:rPr>
          <w:rFonts w:ascii="David" w:hAnsi="David" w:hint="cs"/>
          <w:rtl/>
        </w:rPr>
        <w:t xml:space="preserve">פעל על ידי מנהל המערערת. עוד צוין כי אם היה ידוע להם על חקירה המתבצעת על ידי מע"מ, הם היו מסרבים לבצע את החקירה. ביום 15.1.18 נחקר ג'אבר פעם נוספת ביחס לחקירה של דרייגור חקירות פרטיות והוא שב על גרסתו, כי אינו מכיר כלל את החברות אביעם, כל מתכת ומרכז הגבס. ג'אבר מסר בהודעתו מיום 15.1.18 (נספח י' לתצהיר המשיב), כי הוצע לו תשלום בסך 2,000 ₪ אם יסכים להיפגש עם החוקרים הפרטיים מבלי שיצטרך לחתום על חוזים או תצהיר. החוקרים </w:t>
      </w:r>
      <w:r>
        <w:rPr>
          <w:rFonts w:ascii="David" w:hAnsi="David" w:hint="cs"/>
          <w:rtl/>
        </w:rPr>
        <w:lastRenderedPageBreak/>
        <w:t xml:space="preserve">הפרטיים מסרו כי ג'אבר הגיע לפגישה </w:t>
      </w:r>
      <w:r w:rsidR="00003126">
        <w:rPr>
          <w:rFonts w:ascii="David" w:hAnsi="David" w:hint="cs"/>
          <w:rtl/>
        </w:rPr>
        <w:t>ה</w:t>
      </w:r>
      <w:r>
        <w:rPr>
          <w:rFonts w:ascii="David" w:hAnsi="David" w:hint="cs"/>
          <w:rtl/>
        </w:rPr>
        <w:t>ראשונה עמם מצויד בפתק מוכן מראש, עליו רשום שמה של המערערת ומסר כי המערערת היא אח</w:t>
      </w:r>
      <w:r w:rsidR="00003126">
        <w:rPr>
          <w:rFonts w:ascii="David" w:hAnsi="David" w:hint="cs"/>
          <w:rtl/>
        </w:rPr>
        <w:t>ד</w:t>
      </w:r>
      <w:r>
        <w:rPr>
          <w:rFonts w:ascii="David" w:hAnsi="David" w:hint="cs"/>
          <w:rtl/>
        </w:rPr>
        <w:t xml:space="preserve"> מהספקים שלו. </w:t>
      </w:r>
    </w:p>
    <w:p w:rsidR="00F67A71" w:rsidRDefault="00F67A71" w:rsidP="00003126">
      <w:pPr>
        <w:spacing w:line="360" w:lineRule="auto"/>
        <w:ind w:left="720" w:hanging="720"/>
        <w:jc w:val="both"/>
        <w:rPr>
          <w:rFonts w:ascii="David" w:hAnsi="David"/>
          <w:rtl/>
        </w:rPr>
      </w:pPr>
      <w:r>
        <w:rPr>
          <w:rFonts w:ascii="David" w:hAnsi="David"/>
          <w:rtl/>
        </w:rPr>
        <w:tab/>
      </w:r>
      <w:r>
        <w:rPr>
          <w:rFonts w:ascii="David" w:hAnsi="David" w:hint="cs"/>
          <w:rtl/>
        </w:rPr>
        <w:t>העולה מן המקובץ מחזק את טענות המשיב בצורה משמע</w:t>
      </w:r>
      <w:r w:rsidR="00003126">
        <w:rPr>
          <w:rFonts w:ascii="David" w:hAnsi="David" w:hint="cs"/>
          <w:rtl/>
        </w:rPr>
        <w:t>ות</w:t>
      </w:r>
      <w:r>
        <w:rPr>
          <w:rFonts w:ascii="David" w:hAnsi="David" w:hint="cs"/>
          <w:rtl/>
        </w:rPr>
        <w:t>ית ואף מעלה חשש</w:t>
      </w:r>
      <w:r w:rsidR="00003126">
        <w:rPr>
          <w:rFonts w:ascii="David" w:hAnsi="David" w:hint="cs"/>
          <w:rtl/>
        </w:rPr>
        <w:t xml:space="preserve"> כי נעשה ניסיון</w:t>
      </w:r>
      <w:r>
        <w:rPr>
          <w:rFonts w:ascii="David" w:hAnsi="David" w:hint="cs"/>
          <w:rtl/>
        </w:rPr>
        <w:t xml:space="preserve"> לשבוש </w:t>
      </w:r>
      <w:r w:rsidR="00003126">
        <w:rPr>
          <w:rFonts w:ascii="David" w:hAnsi="David" w:hint="cs"/>
          <w:rtl/>
        </w:rPr>
        <w:t xml:space="preserve">את </w:t>
      </w:r>
      <w:r>
        <w:rPr>
          <w:rFonts w:ascii="David" w:hAnsi="David" w:hint="cs"/>
          <w:rtl/>
        </w:rPr>
        <w:t>הליכי החקירה</w:t>
      </w:r>
      <w:r w:rsidR="00003126">
        <w:rPr>
          <w:rFonts w:ascii="David" w:hAnsi="David" w:hint="cs"/>
          <w:rtl/>
        </w:rPr>
        <w:t>, מצד מנהל המערערת</w:t>
      </w:r>
      <w:r>
        <w:rPr>
          <w:rFonts w:ascii="David" w:hAnsi="David" w:hint="cs"/>
          <w:rtl/>
        </w:rPr>
        <w:t xml:space="preserve">. </w:t>
      </w:r>
    </w:p>
    <w:p w:rsidR="00F67A71" w:rsidRDefault="00F67A71" w:rsidP="00F67A71">
      <w:pPr>
        <w:spacing w:line="360" w:lineRule="auto"/>
        <w:ind w:left="720" w:hanging="720"/>
        <w:jc w:val="both"/>
        <w:rPr>
          <w:rFonts w:ascii="David" w:hAnsi="David"/>
          <w:rtl/>
        </w:rPr>
      </w:pPr>
    </w:p>
    <w:p w:rsidR="00F67A71" w:rsidRDefault="00F67A71" w:rsidP="00003126">
      <w:pPr>
        <w:spacing w:line="360" w:lineRule="auto"/>
        <w:ind w:left="720" w:hanging="720"/>
        <w:jc w:val="both"/>
        <w:rPr>
          <w:rFonts w:ascii="David" w:hAnsi="David"/>
          <w:rtl/>
        </w:rPr>
      </w:pPr>
      <w:r>
        <w:rPr>
          <w:rFonts w:ascii="David" w:hAnsi="David" w:hint="cs"/>
          <w:rtl/>
        </w:rPr>
        <w:t>31.</w:t>
      </w:r>
      <w:r>
        <w:rPr>
          <w:rFonts w:ascii="David" w:hAnsi="David" w:hint="cs"/>
          <w:rtl/>
        </w:rPr>
        <w:tab/>
        <w:t xml:space="preserve">לאור כל האמור, סבורני כי התמונה העולה מכל הראיות שהוצגו היא, כי מדובר בחשבוניות שהוצאו שלא כדין וכי </w:t>
      </w:r>
      <w:r w:rsidR="00003126">
        <w:rPr>
          <w:rFonts w:ascii="David" w:hAnsi="David" w:hint="cs"/>
          <w:rtl/>
        </w:rPr>
        <w:t xml:space="preserve">ספק אם </w:t>
      </w:r>
      <w:r>
        <w:rPr>
          <w:rFonts w:ascii="David" w:hAnsi="David" w:hint="cs"/>
          <w:rtl/>
        </w:rPr>
        <w:t xml:space="preserve">החשבוניות שיקפו עסקאות אמיתיות. בכל מקרה, </w:t>
      </w:r>
      <w:r w:rsidR="001E36BE">
        <w:rPr>
          <w:rFonts w:ascii="David" w:hAnsi="David" w:hint="cs"/>
          <w:rtl/>
        </w:rPr>
        <w:t xml:space="preserve">וביחס לטענה כי ביצוע העבודה בהיקף של 2-3 מיליון ₪ בשנה היה כרוך בהעסקת קבלני משנה, </w:t>
      </w:r>
      <w:r>
        <w:rPr>
          <w:rFonts w:ascii="David" w:hAnsi="David" w:hint="cs"/>
          <w:rtl/>
        </w:rPr>
        <w:t>עולה בבירור מן הראיות כי אין זהות בין מוציאי החשבוניות למבצעי השירות, ועל כן, מדובר בחשבוניות שהוצאו שלא כדין והמערערת לא הייתה רשאית לנכות את סכומי המע"מ המגולמים באותן חשבוניות</w:t>
      </w:r>
      <w:r w:rsidR="001E36BE">
        <w:rPr>
          <w:rFonts w:ascii="David" w:hAnsi="David" w:hint="cs"/>
          <w:rtl/>
        </w:rPr>
        <w:t xml:space="preserve">.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sidRPr="00522EF8">
        <w:rPr>
          <w:rFonts w:ascii="David" w:hAnsi="David" w:hint="cs"/>
          <w:u w:val="single"/>
          <w:rtl/>
        </w:rPr>
        <w:t>החריג הסובייקטיבי</w:t>
      </w:r>
    </w:p>
    <w:p w:rsidR="002F7DC4" w:rsidRPr="00522EF8" w:rsidRDefault="002F7DC4" w:rsidP="00F67A71">
      <w:pPr>
        <w:spacing w:line="360" w:lineRule="auto"/>
        <w:ind w:left="720" w:hanging="720"/>
        <w:jc w:val="both"/>
        <w:rPr>
          <w:rFonts w:ascii="David" w:hAnsi="David"/>
          <w:rtl/>
        </w:rPr>
      </w:pPr>
    </w:p>
    <w:p w:rsidR="00F67A71" w:rsidRDefault="00F67A71" w:rsidP="001E36BE">
      <w:pPr>
        <w:spacing w:line="360" w:lineRule="auto"/>
        <w:ind w:left="720" w:hanging="720"/>
        <w:jc w:val="both"/>
        <w:rPr>
          <w:rFonts w:ascii="David" w:hAnsi="David"/>
          <w:rtl/>
        </w:rPr>
      </w:pPr>
      <w:r>
        <w:rPr>
          <w:rFonts w:ascii="David" w:hAnsi="David" w:hint="cs"/>
          <w:rtl/>
        </w:rPr>
        <w:t>32.</w:t>
      </w:r>
      <w:r>
        <w:rPr>
          <w:rFonts w:ascii="David" w:hAnsi="David" w:hint="cs"/>
          <w:rtl/>
        </w:rPr>
        <w:tab/>
        <w:t xml:space="preserve">לטענת המערערת, היא קיבלה את החשבוניות שבמחלוקת בשם החברות אביעם, כל מתכת וחמיס מג'אבר ואת החשבוניות של החברות ט.ס, ח.י ואידיאל ממחמוד עבד אלרחמן. במסגרת תצהירי העדות הראשית, הוגש מטעם המערערת תצהירו של עבד אלרחמן, אולם בפתח ישיבת ההוכחות מיום 6.10.21 הודיע ב"כ המערערת על משיכת תצהירו, כך שאין בחומר הראיות תצהיר מטעם עד זה.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33.</w:t>
      </w:r>
      <w:r>
        <w:rPr>
          <w:rFonts w:ascii="David" w:hAnsi="David" w:hint="cs"/>
          <w:rtl/>
        </w:rPr>
        <w:tab/>
        <w:t>כפי שהוזכר לעיל, הפסיקה הכירה בקיומו של חריג סובייקטיבי, מצומצם בהיקפו ולעניין זה נביא את הדברים שנקבעו בעניין מ.א.ל.ר.ז:</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1440" w:right="1418"/>
        <w:jc w:val="both"/>
        <w:rPr>
          <w:rFonts w:ascii="David" w:hAnsi="David"/>
          <w:b/>
          <w:bCs/>
          <w:rtl/>
        </w:rPr>
      </w:pPr>
      <w:r w:rsidRPr="00D426C5">
        <w:rPr>
          <w:rFonts w:ascii="David" w:hAnsi="David" w:hint="cs"/>
          <w:b/>
          <w:bCs/>
          <w:rtl/>
        </w:rPr>
        <w:t>"אימוץ המבחן האובייקטיבי י</w:t>
      </w:r>
      <w:r w:rsidRPr="00D426C5">
        <w:rPr>
          <w:rFonts w:ascii="David" w:hAnsi="David"/>
          <w:b/>
          <w:bCs/>
          <w:rtl/>
        </w:rPr>
        <w:t>כול להביא לתוצאות בלתי רצויות מבחינת הנישום, אשר לא היה שותף לתהליך הרמייה והא</w:t>
      </w:r>
      <w:r w:rsidR="001E36BE">
        <w:rPr>
          <w:rFonts w:ascii="David" w:hAnsi="David" w:hint="cs"/>
          <w:b/>
          <w:bCs/>
          <w:rtl/>
        </w:rPr>
        <w:t>ש</w:t>
      </w:r>
      <w:r w:rsidRPr="00D426C5">
        <w:rPr>
          <w:rFonts w:ascii="David" w:hAnsi="David"/>
          <w:b/>
          <w:bCs/>
          <w:rtl/>
        </w:rPr>
        <w:t>ם לפסול בחשבונית לא נבע ממעשיו שלו. במקרים חריגים ראוי, אפוא, לאפשר לנישום לנכות את מס התשומות, אף אם החשבונית הוצאה שלא כדין מבחינה אובייקטיבית. מקרים כאלה יחולו, למשל, שעה שהנישום הוכיח כי לא התרשל ונקט בכל האמצעים הסבירים לוודא כי החשבונית הוצאה כדין, לרבות אימות החשבונית וזהות העוסק. במקרים כאלה בהם הנישום יוכיח כי לא גילה או לא יכול היה לגלות את הפסול שנפל בחשבונית באמצעים סבירים, יותר לו ניכוי מס התשו</w:t>
      </w:r>
      <w:r>
        <w:rPr>
          <w:rFonts w:ascii="David" w:hAnsi="David"/>
          <w:b/>
          <w:bCs/>
          <w:rtl/>
        </w:rPr>
        <w:t>מות." (עניין מ.א.ל.ר.ז</w:t>
      </w:r>
      <w:r>
        <w:rPr>
          <w:rFonts w:ascii="David" w:hAnsi="David" w:hint="cs"/>
          <w:b/>
          <w:bCs/>
          <w:rtl/>
        </w:rPr>
        <w:t>)</w:t>
      </w:r>
    </w:p>
    <w:p w:rsidR="00F67A71" w:rsidRDefault="00F67A71" w:rsidP="00F67A71">
      <w:pPr>
        <w:spacing w:line="360" w:lineRule="auto"/>
        <w:ind w:left="1440" w:right="1418"/>
        <w:jc w:val="both"/>
        <w:rPr>
          <w:rFonts w:ascii="David" w:hAnsi="David"/>
          <w:b/>
          <w:bCs/>
          <w:rtl/>
        </w:rPr>
      </w:pPr>
    </w:p>
    <w:p w:rsidR="00F67A71" w:rsidRPr="001E36BE" w:rsidRDefault="00F67A71" w:rsidP="001E36BE">
      <w:pPr>
        <w:spacing w:line="360" w:lineRule="auto"/>
        <w:ind w:left="720" w:right="1418"/>
        <w:jc w:val="both"/>
        <w:rPr>
          <w:rFonts w:ascii="David" w:hAnsi="David"/>
          <w:rtl/>
        </w:rPr>
      </w:pPr>
      <w:r w:rsidRPr="001E36BE">
        <w:rPr>
          <w:rFonts w:ascii="David" w:hAnsi="David" w:hint="cs"/>
          <w:rtl/>
        </w:rPr>
        <w:lastRenderedPageBreak/>
        <w:t>בעניין זאב שרון נפסק</w:t>
      </w:r>
      <w:r w:rsidR="001E36BE">
        <w:rPr>
          <w:rFonts w:ascii="David" w:hAnsi="David" w:hint="cs"/>
          <w:rtl/>
        </w:rPr>
        <w:t>,</w:t>
      </w:r>
      <w:r w:rsidRPr="001E36BE">
        <w:rPr>
          <w:rFonts w:ascii="David" w:hAnsi="David" w:hint="cs"/>
          <w:rtl/>
        </w:rPr>
        <w:t xml:space="preserve"> כי </w:t>
      </w:r>
      <w:r w:rsidR="001E36BE">
        <w:rPr>
          <w:rFonts w:ascii="David" w:hAnsi="David" w:hint="cs"/>
          <w:rtl/>
        </w:rPr>
        <w:t xml:space="preserve">לאחר שהתברר </w:t>
      </w:r>
      <w:r w:rsidRPr="001E36BE">
        <w:rPr>
          <w:rFonts w:ascii="David" w:hAnsi="David" w:hint="cs"/>
          <w:rtl/>
        </w:rPr>
        <w:t xml:space="preserve">קיומן של חשבוניות שהוצאו שלא כדין, קמה מעין 'חזקה' לפיה העוסק ידע שהחשבוניות הוצאו שלא כדין, והנטל עליו להפריכה ולהראות שהוא היה חסר מודעות לכך שהחשבוניות אותן ניכה </w:t>
      </w:r>
      <w:r w:rsidR="001E36BE">
        <w:rPr>
          <w:rFonts w:ascii="David" w:hAnsi="David" w:hint="cs"/>
          <w:rtl/>
        </w:rPr>
        <w:t>כ</w:t>
      </w:r>
      <w:r w:rsidRPr="001E36BE">
        <w:rPr>
          <w:rFonts w:ascii="David" w:hAnsi="David" w:hint="cs"/>
          <w:rtl/>
        </w:rPr>
        <w:t xml:space="preserve">מס תשומות הוצאו שלא כדין. בית המשפט העליון אף הבהיר מה ייחשב לעמידה בנטל הסובייקטיבי הנדרש מצד עוסק בכדי שיזכה בהגנה מפני הפעלת הסמכויות שהופעלו כלפיו על ידי המנהל: </w:t>
      </w:r>
    </w:p>
    <w:p w:rsidR="00F67A71" w:rsidRDefault="00F67A71" w:rsidP="00F67A71">
      <w:pPr>
        <w:spacing w:line="360" w:lineRule="auto"/>
        <w:ind w:left="1440" w:right="1418"/>
        <w:jc w:val="both"/>
        <w:rPr>
          <w:rFonts w:ascii="David" w:hAnsi="David"/>
          <w:b/>
          <w:bCs/>
          <w:rtl/>
        </w:rPr>
      </w:pPr>
    </w:p>
    <w:p w:rsidR="00F67A71" w:rsidRDefault="00F67A71" w:rsidP="00F67A71">
      <w:pPr>
        <w:spacing w:line="360" w:lineRule="auto"/>
        <w:ind w:left="1440" w:right="1418"/>
        <w:jc w:val="both"/>
        <w:rPr>
          <w:rFonts w:ascii="David" w:hAnsi="David"/>
          <w:rtl/>
        </w:rPr>
      </w:pPr>
      <w:r>
        <w:rPr>
          <w:rFonts w:ascii="David" w:hAnsi="David" w:hint="cs"/>
          <w:b/>
          <w:bCs/>
          <w:rtl/>
        </w:rPr>
        <w:t xml:space="preserve">'אינני סבור כי יש לדרוש פה מהמערערת להראות כי היא נקטה </w:t>
      </w:r>
      <w:r w:rsidRPr="001E36BE">
        <w:rPr>
          <w:rFonts w:ascii="David" w:hAnsi="David" w:hint="cs"/>
          <w:b/>
          <w:bCs/>
          <w:rtl/>
        </w:rPr>
        <w:t>בכל</w:t>
      </w:r>
      <w:r>
        <w:rPr>
          <w:rFonts w:ascii="David" w:hAnsi="David" w:hint="cs"/>
          <w:b/>
          <w:bCs/>
          <w:rtl/>
        </w:rPr>
        <w:t xml:space="preserve"> האמצעים הסבירים על מנת לוודא כי החשבוניות אותן ניכתה הוצאו כדין, אך כפי שהובהר לעיל, לדעתי היה עליה, לכל הפחות, להפריך את החזקה שלפיה היא </w:t>
      </w:r>
      <w:r w:rsidRPr="001E36BE">
        <w:rPr>
          <w:rFonts w:ascii="David" w:hAnsi="David" w:hint="cs"/>
          <w:b/>
          <w:bCs/>
          <w:rtl/>
        </w:rPr>
        <w:t>ידעה</w:t>
      </w:r>
      <w:r>
        <w:rPr>
          <w:rFonts w:ascii="David" w:hAnsi="David" w:hint="cs"/>
          <w:b/>
          <w:bCs/>
          <w:rtl/>
        </w:rPr>
        <w:t xml:space="preserve"> על הפגמים שנפלו בהוצאת החשבוניות אותן ניכתה כמס תשומות. יתרה מזאת, אני סבור כי ניתן לייבא לכאן בהיקש מהמשפט הפלילי (שנוכח המטרות ההרתעתיות והעונשיות של הסמכויות הנ"ל </w:t>
      </w:r>
      <w:r>
        <w:rPr>
          <w:rFonts w:ascii="David" w:hAnsi="David"/>
          <w:b/>
          <w:bCs/>
          <w:rtl/>
        </w:rPr>
        <w:t>–</w:t>
      </w:r>
      <w:r>
        <w:rPr>
          <w:rFonts w:ascii="David" w:hAnsi="David" w:hint="cs"/>
          <w:b/>
          <w:bCs/>
          <w:rtl/>
        </w:rPr>
        <w:t xml:space="preserve"> יש לו זיקה לענייננו) </w:t>
      </w:r>
      <w:r>
        <w:rPr>
          <w:rFonts w:ascii="David" w:hAnsi="David"/>
          <w:b/>
          <w:bCs/>
          <w:rtl/>
        </w:rPr>
        <w:t>–</w:t>
      </w:r>
      <w:r>
        <w:rPr>
          <w:rFonts w:ascii="David" w:hAnsi="David" w:hint="cs"/>
          <w:b/>
          <w:bCs/>
          <w:rtl/>
        </w:rPr>
        <w:t xml:space="preserve"> את העקרון בדבר 'עצימת עיניים', שלפיו: 'רואים אדם שחשד בדבר טיב ההתנהגות או בדבר אפשרות קיום הנסיבות כמי שהיה מודע להם, אם נמנע מלבררם' (סעיף 20(ג)(1) לחוק העונשין, התשל"ז-1977; להחלה של עקרון 'עצימת העיניים' במשפט האזרחי </w:t>
      </w:r>
      <w:r>
        <w:rPr>
          <w:rFonts w:ascii="David" w:hAnsi="David"/>
          <w:b/>
          <w:bCs/>
          <w:rtl/>
        </w:rPr>
        <w:t>–</w:t>
      </w:r>
      <w:r>
        <w:rPr>
          <w:rFonts w:ascii="David" w:hAnsi="David" w:hint="cs"/>
          <w:b/>
          <w:bCs/>
          <w:rtl/>
        </w:rPr>
        <w:t xml:space="preserve"> ראו: ע"א 7785/99 ארוך נ' פאריינטי, פ"ד נה(3) 85, פיסקה 11 (2001))</w:t>
      </w:r>
      <w:r>
        <w:rPr>
          <w:rFonts w:ascii="David" w:hAnsi="David" w:hint="cs"/>
          <w:rtl/>
        </w:rPr>
        <w:t xml:space="preserve">". </w:t>
      </w:r>
    </w:p>
    <w:p w:rsidR="00F67A71" w:rsidRPr="00D426C5" w:rsidRDefault="00F67A71" w:rsidP="00F67A71">
      <w:pPr>
        <w:spacing w:line="360" w:lineRule="auto"/>
        <w:ind w:left="1440" w:right="1418"/>
        <w:jc w:val="both"/>
        <w:rPr>
          <w:rtl/>
        </w:rPr>
      </w:pPr>
    </w:p>
    <w:p w:rsidR="00F67A71" w:rsidRDefault="00F67A71" w:rsidP="00F67A71">
      <w:pPr>
        <w:spacing w:line="360" w:lineRule="auto"/>
        <w:ind w:left="720" w:hanging="720"/>
        <w:jc w:val="both"/>
        <w:rPr>
          <w:rFonts w:ascii="David" w:hAnsi="David"/>
          <w:rtl/>
        </w:rPr>
      </w:pPr>
      <w:r>
        <w:rPr>
          <w:rFonts w:ascii="David" w:hAnsi="David" w:hint="cs"/>
          <w:rtl/>
        </w:rPr>
        <w:t>34.</w:t>
      </w:r>
      <w:r>
        <w:rPr>
          <w:rFonts w:ascii="David" w:hAnsi="David" w:hint="cs"/>
          <w:rtl/>
        </w:rPr>
        <w:tab/>
        <w:t xml:space="preserve">לטענת המערערת, היא נהגה לבדוק אישורי ניהול ספרים ואישורי ניכוי מס במקור ואת הרישום ברשם החברות. כמו כן, נטען כי נחתמו הסכמי עבודה עם קבלני המשנה אשר צורפו לתצהיר העדות של מנהל המערערת. עוד נטען מטעם המערערת, כי היא נהגה לבצע את כל הבדיקות המצופות ממנה, ובדקה שנציג החברות הינו מוסמך מטעם החברות.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35.</w:t>
      </w:r>
      <w:r>
        <w:rPr>
          <w:rFonts w:ascii="David" w:hAnsi="David" w:hint="cs"/>
          <w:rtl/>
        </w:rPr>
        <w:tab/>
        <w:t xml:space="preserve">טענות המערערת בסוגיה זו לא הוכחו על ידה. להלן יובאו דבריו של מנהל המערערת בחקירתו מיום 1.3.16 (שורות 201-202, 223-236, 568-574):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1440" w:right="1418"/>
        <w:jc w:val="both"/>
        <w:rPr>
          <w:rFonts w:ascii="David" w:hAnsi="David"/>
          <w:b/>
          <w:bCs/>
          <w:rtl/>
        </w:rPr>
      </w:pPr>
      <w:r>
        <w:rPr>
          <w:rFonts w:ascii="David" w:hAnsi="David" w:hint="cs"/>
          <w:rtl/>
        </w:rPr>
        <w:t>"</w:t>
      </w:r>
      <w:r>
        <w:rPr>
          <w:rFonts w:ascii="David" w:hAnsi="David" w:hint="cs"/>
          <w:b/>
          <w:bCs/>
          <w:rtl/>
        </w:rPr>
        <w:t>ש. האם עשית בירור כלשהוא לאמת האם אחמד געבר הוא באמת סוכן של החברות הללו?</w:t>
      </w:r>
    </w:p>
    <w:p w:rsidR="00F67A71" w:rsidRDefault="00F67A71" w:rsidP="00F67A71">
      <w:pPr>
        <w:spacing w:line="360" w:lineRule="auto"/>
        <w:ind w:left="1440" w:right="1418"/>
        <w:jc w:val="both"/>
        <w:rPr>
          <w:rFonts w:ascii="David" w:hAnsi="David"/>
          <w:b/>
          <w:bCs/>
          <w:rtl/>
        </w:rPr>
      </w:pPr>
      <w:r>
        <w:rPr>
          <w:rFonts w:ascii="David" w:hAnsi="David" w:hint="cs"/>
          <w:b/>
          <w:bCs/>
          <w:rtl/>
        </w:rPr>
        <w:t>ת. עשינו מסמך שהוא חתום עליו שאומר שהוא הסוכן של החברות הללו</w:t>
      </w:r>
    </w:p>
    <w:p w:rsidR="00F67A71" w:rsidRDefault="00F67A71" w:rsidP="00F67A71">
      <w:pPr>
        <w:spacing w:line="360" w:lineRule="auto"/>
        <w:ind w:left="1440" w:right="1418"/>
        <w:jc w:val="both"/>
        <w:rPr>
          <w:rFonts w:ascii="David" w:hAnsi="David"/>
          <w:b/>
          <w:bCs/>
          <w:rtl/>
        </w:rPr>
      </w:pPr>
      <w:r>
        <w:rPr>
          <w:rFonts w:ascii="David" w:hAnsi="David" w:hint="cs"/>
          <w:b/>
          <w:bCs/>
          <w:rtl/>
        </w:rPr>
        <w:t>...</w:t>
      </w:r>
    </w:p>
    <w:p w:rsidR="00F67A71" w:rsidRDefault="00F67A71" w:rsidP="00F67A71">
      <w:pPr>
        <w:spacing w:line="360" w:lineRule="auto"/>
        <w:ind w:left="1440" w:right="1418"/>
        <w:jc w:val="both"/>
        <w:rPr>
          <w:rFonts w:ascii="David" w:hAnsi="David"/>
          <w:b/>
          <w:bCs/>
          <w:rtl/>
        </w:rPr>
      </w:pPr>
      <w:r>
        <w:rPr>
          <w:rFonts w:ascii="David" w:hAnsi="David" w:hint="cs"/>
          <w:b/>
          <w:bCs/>
          <w:rtl/>
        </w:rPr>
        <w:lastRenderedPageBreak/>
        <w:t>ש. מדוע לא יצרת איתם קשר כלשהו לדעת אם באמת אחמד געבר הוא סוכן של החברות הללו?</w:t>
      </w:r>
    </w:p>
    <w:p w:rsidR="00F67A71" w:rsidRDefault="00F67A71" w:rsidP="00F67A71">
      <w:pPr>
        <w:spacing w:line="360" w:lineRule="auto"/>
        <w:ind w:left="1440" w:right="1418"/>
        <w:jc w:val="both"/>
        <w:rPr>
          <w:rFonts w:ascii="David" w:hAnsi="David"/>
          <w:b/>
          <w:bCs/>
          <w:rtl/>
        </w:rPr>
      </w:pPr>
      <w:r>
        <w:rPr>
          <w:rFonts w:ascii="David" w:hAnsi="David" w:hint="cs"/>
          <w:b/>
          <w:bCs/>
          <w:rtl/>
        </w:rPr>
        <w:t xml:space="preserve">ת. לא יצרתי קשר. </w:t>
      </w:r>
    </w:p>
    <w:p w:rsidR="00F67A71" w:rsidRDefault="00F67A71" w:rsidP="00F67A71">
      <w:pPr>
        <w:spacing w:line="360" w:lineRule="auto"/>
        <w:ind w:left="1440" w:right="1418"/>
        <w:jc w:val="both"/>
        <w:rPr>
          <w:rFonts w:ascii="David" w:hAnsi="David"/>
          <w:b/>
          <w:bCs/>
          <w:rtl/>
        </w:rPr>
      </w:pPr>
      <w:r>
        <w:rPr>
          <w:rFonts w:ascii="David" w:hAnsi="David" w:hint="cs"/>
          <w:b/>
          <w:bCs/>
          <w:rtl/>
        </w:rPr>
        <w:t>ש. אז מה עדיף לעשות תצהיר וחוזים אבל לא לבדוק בדיקה פשוטה מול אותם בתי עסק אם הוא סוכן שלהם?</w:t>
      </w:r>
    </w:p>
    <w:p w:rsidR="00F67A71" w:rsidRDefault="00F67A71" w:rsidP="00F67A71">
      <w:pPr>
        <w:spacing w:line="360" w:lineRule="auto"/>
        <w:ind w:left="1440" w:right="1418"/>
        <w:jc w:val="both"/>
        <w:rPr>
          <w:rFonts w:ascii="David" w:hAnsi="David"/>
          <w:b/>
          <w:bCs/>
          <w:rtl/>
        </w:rPr>
      </w:pPr>
      <w:r>
        <w:rPr>
          <w:rFonts w:ascii="David" w:hAnsi="David" w:hint="cs"/>
          <w:b/>
          <w:bCs/>
          <w:rtl/>
        </w:rPr>
        <w:t>ת. אמרתי לך שיש מסמך שהוא הסוכן של</w:t>
      </w:r>
      <w:r w:rsidR="001E36BE">
        <w:rPr>
          <w:rFonts w:ascii="David" w:hAnsi="David" w:hint="cs"/>
          <w:b/>
          <w:bCs/>
          <w:rtl/>
        </w:rPr>
        <w:t xml:space="preserve"> </w:t>
      </w:r>
      <w:r>
        <w:rPr>
          <w:rFonts w:ascii="David" w:hAnsi="David" w:hint="cs"/>
          <w:b/>
          <w:bCs/>
          <w:rtl/>
        </w:rPr>
        <w:t xml:space="preserve">החברות האלו והוא מביא את הסחורה וזהו. </w:t>
      </w:r>
    </w:p>
    <w:p w:rsidR="00F67A71" w:rsidRDefault="00F67A71" w:rsidP="00F67A71">
      <w:pPr>
        <w:spacing w:line="360" w:lineRule="auto"/>
        <w:ind w:left="1440" w:right="1418"/>
        <w:jc w:val="both"/>
        <w:rPr>
          <w:rFonts w:ascii="David" w:hAnsi="David"/>
          <w:b/>
          <w:bCs/>
          <w:rtl/>
        </w:rPr>
      </w:pPr>
      <w:r>
        <w:rPr>
          <w:rFonts w:ascii="David" w:hAnsi="David" w:hint="cs"/>
          <w:b/>
          <w:bCs/>
          <w:rtl/>
        </w:rPr>
        <w:t>ש. למה לא לבדוק זאת?</w:t>
      </w:r>
    </w:p>
    <w:p w:rsidR="00F67A71" w:rsidRDefault="00F67A71" w:rsidP="00F67A71">
      <w:pPr>
        <w:spacing w:line="360" w:lineRule="auto"/>
        <w:ind w:left="1440" w:right="1418"/>
        <w:jc w:val="both"/>
        <w:rPr>
          <w:rFonts w:ascii="David" w:hAnsi="David"/>
          <w:b/>
          <w:bCs/>
          <w:rtl/>
        </w:rPr>
      </w:pPr>
      <w:r>
        <w:rPr>
          <w:rFonts w:ascii="David" w:hAnsi="David" w:hint="cs"/>
          <w:b/>
          <w:bCs/>
          <w:rtl/>
        </w:rPr>
        <w:t>ת. לא יודע למה לא.</w:t>
      </w:r>
    </w:p>
    <w:p w:rsidR="00F67A71" w:rsidRDefault="00F67A71" w:rsidP="00F67A71">
      <w:pPr>
        <w:spacing w:line="360" w:lineRule="auto"/>
        <w:ind w:left="1440" w:right="1418"/>
        <w:jc w:val="both"/>
        <w:rPr>
          <w:rFonts w:ascii="David" w:hAnsi="David"/>
          <w:b/>
          <w:bCs/>
          <w:rtl/>
        </w:rPr>
      </w:pPr>
      <w:r>
        <w:rPr>
          <w:rFonts w:ascii="David" w:hAnsi="David" w:hint="cs"/>
          <w:b/>
          <w:bCs/>
          <w:rtl/>
        </w:rPr>
        <w:t>ש. למה כי זה נח?</w:t>
      </w:r>
    </w:p>
    <w:p w:rsidR="00F67A71" w:rsidRDefault="00F67A71" w:rsidP="00F67A71">
      <w:pPr>
        <w:spacing w:line="360" w:lineRule="auto"/>
        <w:ind w:left="1440" w:right="1418"/>
        <w:jc w:val="both"/>
        <w:rPr>
          <w:rFonts w:ascii="David" w:hAnsi="David"/>
          <w:b/>
          <w:bCs/>
          <w:rtl/>
        </w:rPr>
      </w:pPr>
      <w:r>
        <w:rPr>
          <w:rFonts w:ascii="David" w:hAnsi="David" w:hint="cs"/>
          <w:b/>
          <w:bCs/>
          <w:rtl/>
        </w:rPr>
        <w:t xml:space="preserve">ת. לא יודע למה לא, לא ידעתי שזה חייב להתקשר, לא היה לי מושג לדעת את זה. </w:t>
      </w:r>
    </w:p>
    <w:p w:rsidR="00F67A71" w:rsidRDefault="00F67A71" w:rsidP="00F67A71">
      <w:pPr>
        <w:spacing w:line="360" w:lineRule="auto"/>
        <w:ind w:left="1440" w:right="1418"/>
        <w:jc w:val="both"/>
        <w:rPr>
          <w:rFonts w:ascii="David" w:hAnsi="David"/>
          <w:b/>
          <w:bCs/>
          <w:rtl/>
        </w:rPr>
      </w:pPr>
      <w:r>
        <w:rPr>
          <w:rFonts w:ascii="David" w:hAnsi="David" w:hint="cs"/>
          <w:b/>
          <w:bCs/>
          <w:rtl/>
        </w:rPr>
        <w:t>ש. אתה יודע מה ההיקף של החשבוניות של החברות הללו?</w:t>
      </w:r>
    </w:p>
    <w:p w:rsidR="00F67A71" w:rsidRDefault="00F67A71" w:rsidP="00F67A71">
      <w:pPr>
        <w:spacing w:line="360" w:lineRule="auto"/>
        <w:ind w:left="1440" w:right="1418"/>
        <w:jc w:val="both"/>
        <w:rPr>
          <w:rFonts w:ascii="David" w:hAnsi="David"/>
          <w:b/>
          <w:bCs/>
          <w:rtl/>
        </w:rPr>
      </w:pPr>
      <w:r>
        <w:rPr>
          <w:rFonts w:ascii="David" w:hAnsi="David" w:hint="cs"/>
          <w:b/>
          <w:bCs/>
          <w:rtl/>
        </w:rPr>
        <w:t>ת. בין 2,000,000 ₪ ל 3,000,000 ₪ פחות או יותר, לא זוכר בדיוק.</w:t>
      </w:r>
    </w:p>
    <w:p w:rsidR="00F67A71" w:rsidRDefault="00F67A71" w:rsidP="00F67A71">
      <w:pPr>
        <w:spacing w:line="360" w:lineRule="auto"/>
        <w:ind w:left="1440" w:right="1418"/>
        <w:jc w:val="both"/>
        <w:rPr>
          <w:rFonts w:ascii="David" w:hAnsi="David"/>
          <w:b/>
          <w:bCs/>
          <w:rtl/>
        </w:rPr>
      </w:pPr>
      <w:r>
        <w:rPr>
          <w:rFonts w:ascii="David" w:hAnsi="David" w:hint="cs"/>
          <w:b/>
          <w:bCs/>
          <w:rtl/>
        </w:rPr>
        <w:t>ש. ואם אומר לך שזה 9,150,000 ₪ בערך, זה נראה לך הגיוני?</w:t>
      </w:r>
    </w:p>
    <w:p w:rsidR="00F67A71" w:rsidRDefault="00F67A71" w:rsidP="00F67A71">
      <w:pPr>
        <w:spacing w:line="360" w:lineRule="auto"/>
        <w:ind w:left="1440" w:right="1418"/>
        <w:jc w:val="both"/>
        <w:rPr>
          <w:rFonts w:ascii="David" w:hAnsi="David"/>
          <w:b/>
          <w:bCs/>
          <w:rtl/>
        </w:rPr>
      </w:pPr>
      <w:r>
        <w:rPr>
          <w:rFonts w:ascii="David" w:hAnsi="David" w:hint="cs"/>
          <w:b/>
          <w:bCs/>
          <w:rtl/>
        </w:rPr>
        <w:t>ת. כל שנה 3 מיליון אז כן</w:t>
      </w:r>
    </w:p>
    <w:p w:rsidR="00F67A71" w:rsidRDefault="001E36BE" w:rsidP="00F67A71">
      <w:pPr>
        <w:spacing w:line="360" w:lineRule="auto"/>
        <w:ind w:left="1440" w:right="1418"/>
        <w:jc w:val="both"/>
        <w:rPr>
          <w:rFonts w:ascii="David" w:hAnsi="David"/>
          <w:b/>
          <w:bCs/>
          <w:rtl/>
        </w:rPr>
      </w:pPr>
      <w:r>
        <w:rPr>
          <w:rFonts w:ascii="David" w:hAnsi="David" w:hint="cs"/>
          <w:b/>
          <w:bCs/>
          <w:rtl/>
        </w:rPr>
        <w:t>...</w:t>
      </w:r>
    </w:p>
    <w:p w:rsidR="00F67A71" w:rsidRDefault="00F67A71" w:rsidP="00F67A71">
      <w:pPr>
        <w:spacing w:line="360" w:lineRule="auto"/>
        <w:ind w:left="1440" w:right="1418"/>
        <w:jc w:val="both"/>
        <w:rPr>
          <w:rFonts w:ascii="David" w:hAnsi="David"/>
          <w:b/>
          <w:bCs/>
          <w:rtl/>
        </w:rPr>
      </w:pPr>
      <w:r>
        <w:rPr>
          <w:rFonts w:ascii="David" w:hAnsi="David" w:hint="cs"/>
          <w:b/>
          <w:bCs/>
          <w:rtl/>
        </w:rPr>
        <w:t xml:space="preserve">ש. אז אני מבין שלא עשית שום פעולה על מנת לבדוק מאיפה מגיעה הסחורה שלדבריך הגיע לאתרים? </w:t>
      </w:r>
    </w:p>
    <w:p w:rsidR="00F67A71" w:rsidRDefault="00F67A71" w:rsidP="00F67A71">
      <w:pPr>
        <w:spacing w:line="360" w:lineRule="auto"/>
        <w:ind w:left="1440" w:right="1418"/>
        <w:jc w:val="both"/>
        <w:rPr>
          <w:rFonts w:ascii="David" w:hAnsi="David"/>
          <w:b/>
          <w:bCs/>
          <w:rtl/>
        </w:rPr>
      </w:pPr>
      <w:r>
        <w:rPr>
          <w:rFonts w:ascii="David" w:hAnsi="David" w:hint="cs"/>
          <w:b/>
          <w:bCs/>
          <w:rtl/>
        </w:rPr>
        <w:t xml:space="preserve">ת. לא מתעסק הייתי עם אחמד שהוא הסוכן שלהם. </w:t>
      </w:r>
    </w:p>
    <w:p w:rsidR="00F67A71" w:rsidRDefault="00F67A71" w:rsidP="00F67A71">
      <w:pPr>
        <w:spacing w:line="360" w:lineRule="auto"/>
        <w:ind w:left="1440" w:right="1418"/>
        <w:jc w:val="both"/>
        <w:rPr>
          <w:rFonts w:ascii="David" w:hAnsi="David"/>
          <w:b/>
          <w:bCs/>
          <w:rtl/>
        </w:rPr>
      </w:pPr>
      <w:r>
        <w:rPr>
          <w:rFonts w:ascii="David" w:hAnsi="David" w:hint="cs"/>
          <w:b/>
          <w:bCs/>
          <w:rtl/>
        </w:rPr>
        <w:t>ש. האם הוא הציג לך תעודה כלשהיא שהוא סוכן שלהם?</w:t>
      </w:r>
    </w:p>
    <w:p w:rsidR="00F67A71" w:rsidRDefault="00F67A71" w:rsidP="00F67A71">
      <w:pPr>
        <w:spacing w:line="360" w:lineRule="auto"/>
        <w:ind w:left="1440" w:right="1418"/>
        <w:jc w:val="both"/>
        <w:rPr>
          <w:rFonts w:ascii="David" w:hAnsi="David"/>
          <w:b/>
          <w:bCs/>
          <w:rtl/>
        </w:rPr>
      </w:pPr>
      <w:r>
        <w:rPr>
          <w:rFonts w:ascii="David" w:hAnsi="David" w:hint="cs"/>
          <w:b/>
          <w:bCs/>
          <w:rtl/>
        </w:rPr>
        <w:t>ת. לא.</w:t>
      </w:r>
    </w:p>
    <w:p w:rsidR="00F67A71" w:rsidRDefault="00F67A71" w:rsidP="00F67A71">
      <w:pPr>
        <w:spacing w:line="360" w:lineRule="auto"/>
        <w:ind w:left="1440" w:right="1418"/>
        <w:jc w:val="both"/>
        <w:rPr>
          <w:rFonts w:ascii="David" w:hAnsi="David"/>
          <w:b/>
          <w:bCs/>
          <w:rtl/>
        </w:rPr>
      </w:pPr>
      <w:r>
        <w:rPr>
          <w:rFonts w:ascii="David" w:hAnsi="David" w:hint="cs"/>
          <w:b/>
          <w:bCs/>
          <w:rtl/>
        </w:rPr>
        <w:t>ש. לא נראה לך שזה לא הגיוני שאחמד פועל מולך בשמן של כמה חברות שונות?</w:t>
      </w:r>
    </w:p>
    <w:p w:rsidR="00F67A71" w:rsidRPr="00D759BB" w:rsidRDefault="00F67A71" w:rsidP="00F67A71">
      <w:pPr>
        <w:spacing w:line="360" w:lineRule="auto"/>
        <w:ind w:left="1440" w:right="1418"/>
        <w:jc w:val="both"/>
        <w:rPr>
          <w:rFonts w:ascii="David" w:hAnsi="David"/>
          <w:rtl/>
        </w:rPr>
      </w:pPr>
      <w:r>
        <w:rPr>
          <w:rFonts w:ascii="David" w:hAnsi="David" w:hint="cs"/>
          <w:b/>
          <w:bCs/>
          <w:rtl/>
        </w:rPr>
        <w:t>ת. כן בשבילי זה היה הגיוני</w:t>
      </w:r>
      <w:r>
        <w:rPr>
          <w:rFonts w:ascii="David" w:hAnsi="David" w:hint="cs"/>
          <w:rtl/>
        </w:rPr>
        <w:t>".</w:t>
      </w:r>
    </w:p>
    <w:p w:rsidR="00F67A71" w:rsidRDefault="00F67A71" w:rsidP="00F67A71">
      <w:pPr>
        <w:spacing w:line="360" w:lineRule="auto"/>
        <w:ind w:left="720" w:hanging="720"/>
        <w:jc w:val="both"/>
        <w:rPr>
          <w:rFonts w:ascii="David" w:hAnsi="David"/>
          <w:rtl/>
        </w:rPr>
      </w:pPr>
      <w:r>
        <w:rPr>
          <w:rFonts w:ascii="David" w:hAnsi="David"/>
          <w:rtl/>
        </w:rPr>
        <w:tab/>
      </w: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hint="cs"/>
          <w:rtl/>
        </w:rPr>
        <w:t xml:space="preserve">מדברים אלה עולה כי המערערת לא ערכה בדיקה בסיסית </w:t>
      </w:r>
      <w:r w:rsidR="001E36BE">
        <w:rPr>
          <w:rFonts w:ascii="David" w:hAnsi="David" w:hint="cs"/>
          <w:rtl/>
        </w:rPr>
        <w:t xml:space="preserve">ונדרשת </w:t>
      </w:r>
      <w:r>
        <w:rPr>
          <w:rFonts w:ascii="David" w:hAnsi="David" w:hint="cs"/>
          <w:rtl/>
        </w:rPr>
        <w:t xml:space="preserve">ביחס להיותו של ג'אבר סוכן של אותן חברות. ג'אבר מסר למנהל המערערת מספר פורמטים של חשבוניות והדבר לא עורר אצל האחרון כל חשד. מנהל המערערת לא ידע להסביר מדוע החוזים עם קבלני המשנה שצורפו לתצהירו אינם מאזכרים את שם המערערת (עמ' 6 לפרוטוקול מיום 9.8.20, שורות 1-5). </w:t>
      </w:r>
      <w:r w:rsidR="001E36BE">
        <w:rPr>
          <w:rFonts w:ascii="David" w:hAnsi="David" w:hint="cs"/>
          <w:rtl/>
        </w:rPr>
        <w:t>לא מצאתי שיש לתת אמון בעדותו של מנהל המערערת בבית המשפט</w:t>
      </w:r>
      <w:r w:rsidR="0059280F">
        <w:rPr>
          <w:rFonts w:ascii="David" w:hAnsi="David" w:hint="cs"/>
          <w:rtl/>
        </w:rPr>
        <w:t xml:space="preserve"> בהקשר זה.</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36.</w:t>
      </w:r>
      <w:r>
        <w:rPr>
          <w:rFonts w:ascii="David" w:hAnsi="David" w:hint="cs"/>
          <w:rtl/>
        </w:rPr>
        <w:tab/>
        <w:t>ביחס לחשבוניות שהתקבלו מעבד אלרחמן, מדובר בחמישה/ששה פורמטים שונים של חשבוניות, על שם חברות שונות ומנהל המערערת לא סבר שהדבר מעורר קושי ו</w:t>
      </w:r>
      <w:r w:rsidR="0059280F">
        <w:rPr>
          <w:rFonts w:ascii="David" w:hAnsi="David" w:hint="cs"/>
          <w:rtl/>
        </w:rPr>
        <w:t xml:space="preserve">הצהיר </w:t>
      </w:r>
      <w:r>
        <w:rPr>
          <w:rFonts w:ascii="David" w:hAnsi="David" w:hint="cs"/>
          <w:rtl/>
        </w:rPr>
        <w:t xml:space="preserve">כי </w:t>
      </w:r>
      <w:r>
        <w:rPr>
          <w:rFonts w:ascii="David" w:hAnsi="David" w:hint="cs"/>
          <w:rtl/>
        </w:rPr>
        <w:lastRenderedPageBreak/>
        <w:t>"</w:t>
      </w:r>
      <w:r>
        <w:rPr>
          <w:rFonts w:ascii="David" w:hAnsi="David" w:hint="cs"/>
          <w:b/>
          <w:bCs/>
          <w:rtl/>
        </w:rPr>
        <w:t>לא נדלקה לנו נורת אזהרה</w:t>
      </w:r>
      <w:r>
        <w:rPr>
          <w:rFonts w:ascii="David" w:hAnsi="David" w:hint="cs"/>
          <w:rtl/>
        </w:rPr>
        <w:t xml:space="preserve">" (סעיף 14 לתצהיר מנהל המערערת). בעמ' 8 לפרוטוקול, בשורות 24-29 העיד מנהל המערערת כך: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1440" w:right="1418"/>
        <w:jc w:val="both"/>
        <w:rPr>
          <w:rFonts w:ascii="David" w:hAnsi="David"/>
          <w:b/>
          <w:bCs/>
          <w:rtl/>
        </w:rPr>
      </w:pPr>
      <w:r>
        <w:rPr>
          <w:rFonts w:ascii="David" w:hAnsi="David" w:hint="cs"/>
          <w:rtl/>
        </w:rPr>
        <w:t>"</w:t>
      </w:r>
      <w:r>
        <w:rPr>
          <w:rFonts w:ascii="David" w:hAnsi="David" w:hint="cs"/>
          <w:b/>
          <w:bCs/>
          <w:rtl/>
        </w:rPr>
        <w:t xml:space="preserve">ש. בסעיף 14 לתצהירך אתה אומר שלא נדלקה לך נורת אזהרה. היום אנו יודעים כי לפי הגרסה שלך עבד אלרחמן נתן לך 6 פורמטים שונים ולמרות זאת לא נדלקה לך נורת אזהרה. </w:t>
      </w:r>
    </w:p>
    <w:p w:rsidR="00F67A71" w:rsidRDefault="00F67A71" w:rsidP="00F67A71">
      <w:pPr>
        <w:spacing w:line="360" w:lineRule="auto"/>
        <w:ind w:left="1440" w:right="1418"/>
        <w:jc w:val="both"/>
        <w:rPr>
          <w:rFonts w:ascii="David" w:hAnsi="David"/>
          <w:b/>
          <w:bCs/>
          <w:rtl/>
        </w:rPr>
      </w:pPr>
      <w:r>
        <w:rPr>
          <w:rFonts w:ascii="David" w:hAnsi="David" w:hint="cs"/>
          <w:b/>
          <w:bCs/>
          <w:rtl/>
        </w:rPr>
        <w:t>ת. מאיזה צד? מאיזה בחינה?</w:t>
      </w:r>
    </w:p>
    <w:p w:rsidR="00F67A71" w:rsidRDefault="00F67A71" w:rsidP="00F67A71">
      <w:pPr>
        <w:spacing w:line="360" w:lineRule="auto"/>
        <w:ind w:left="1440" w:right="1418"/>
        <w:jc w:val="both"/>
        <w:rPr>
          <w:rFonts w:ascii="David" w:hAnsi="David"/>
          <w:b/>
          <w:bCs/>
          <w:rtl/>
        </w:rPr>
      </w:pPr>
      <w:r>
        <w:rPr>
          <w:rFonts w:ascii="David" w:hAnsi="David" w:hint="cs"/>
          <w:b/>
          <w:bCs/>
          <w:rtl/>
        </w:rPr>
        <w:t>ש. לא נראה לך מוזר</w:t>
      </w:r>
    </w:p>
    <w:p w:rsidR="00F67A71" w:rsidRPr="00D759BB" w:rsidRDefault="00F67A71" w:rsidP="00F67A71">
      <w:pPr>
        <w:spacing w:line="360" w:lineRule="auto"/>
        <w:ind w:left="1440" w:right="1418"/>
        <w:jc w:val="both"/>
        <w:rPr>
          <w:rFonts w:ascii="David" w:hAnsi="David"/>
          <w:rtl/>
        </w:rPr>
      </w:pPr>
      <w:r>
        <w:rPr>
          <w:rFonts w:ascii="David" w:hAnsi="David" w:hint="cs"/>
          <w:b/>
          <w:bCs/>
          <w:rtl/>
        </w:rPr>
        <w:t>ת. למה מוזר? הוא מביא לי עובדים, הייתי עובד עם חברה 3-4 חודשים, אם העובד יעלה לי 500 ₪ ואז הוא הביא לי עובדים ב-400 ₪ ליום ואחר כך ב-350 ₪ ליום</w:t>
      </w:r>
      <w:r>
        <w:rPr>
          <w:rFonts w:ascii="David" w:hAnsi="David" w:hint="cs"/>
          <w:rtl/>
        </w:rPr>
        <w:t xml:space="preserve">". </w:t>
      </w:r>
    </w:p>
    <w:p w:rsidR="00F67A71" w:rsidRDefault="00F67A71" w:rsidP="00F67A71">
      <w:pPr>
        <w:spacing w:line="360" w:lineRule="auto"/>
        <w:ind w:left="720" w:hanging="720"/>
        <w:jc w:val="both"/>
        <w:rPr>
          <w:rFonts w:ascii="David" w:hAnsi="David"/>
          <w:rtl/>
        </w:rPr>
      </w:pPr>
    </w:p>
    <w:p w:rsidR="00F67A71" w:rsidRDefault="00F67A71" w:rsidP="0059280F">
      <w:pPr>
        <w:spacing w:line="360" w:lineRule="auto"/>
        <w:ind w:left="720" w:hanging="720"/>
        <w:jc w:val="both"/>
        <w:rPr>
          <w:rFonts w:ascii="David" w:hAnsi="David"/>
          <w:rtl/>
        </w:rPr>
      </w:pPr>
      <w:r>
        <w:rPr>
          <w:rFonts w:ascii="David" w:hAnsi="David" w:hint="cs"/>
          <w:rtl/>
        </w:rPr>
        <w:t>37.</w:t>
      </w:r>
      <w:r>
        <w:rPr>
          <w:rFonts w:ascii="David" w:hAnsi="David" w:hint="cs"/>
          <w:rtl/>
        </w:rPr>
        <w:tab/>
        <w:t>המבחן הסובייקטיבי אינו מבחן רחב המקל עם העוסק אלא מבחן מצמצם לפיו על העוסק לעמוד בתנאי החוק והוראות מס הכנסה בצורה כנה ואמ</w:t>
      </w:r>
      <w:r w:rsidR="0059280F">
        <w:rPr>
          <w:rFonts w:ascii="David" w:hAnsi="David" w:hint="cs"/>
          <w:rtl/>
        </w:rPr>
        <w:t>י</w:t>
      </w:r>
      <w:r>
        <w:rPr>
          <w:rFonts w:ascii="David" w:hAnsi="David" w:hint="cs"/>
          <w:rtl/>
        </w:rPr>
        <w:t>תית ולא רק "למראית העין"</w:t>
      </w:r>
      <w:r w:rsidR="0059280F">
        <w:rPr>
          <w:rFonts w:ascii="David" w:hAnsi="David" w:hint="cs"/>
          <w:rtl/>
        </w:rPr>
        <w:t>,</w:t>
      </w:r>
      <w:r>
        <w:rPr>
          <w:rFonts w:ascii="David" w:hAnsi="David" w:hint="cs"/>
          <w:rtl/>
        </w:rPr>
        <w:t xml:space="preserve"> וכי עליו לפעול </w:t>
      </w:r>
      <w:r>
        <w:rPr>
          <w:rFonts w:ascii="David" w:hAnsi="David"/>
          <w:rtl/>
        </w:rPr>
        <w:t>–</w:t>
      </w:r>
      <w:r>
        <w:rPr>
          <w:rFonts w:ascii="David" w:hAnsi="David" w:hint="cs"/>
          <w:rtl/>
        </w:rPr>
        <w:t xml:space="preserve"> בבחינת "קום ועשה" </w:t>
      </w:r>
      <w:r>
        <w:rPr>
          <w:rFonts w:ascii="David" w:hAnsi="David"/>
          <w:rtl/>
        </w:rPr>
        <w:t>–</w:t>
      </w:r>
      <w:r>
        <w:rPr>
          <w:rFonts w:ascii="David" w:hAnsi="David" w:hint="cs"/>
          <w:rtl/>
        </w:rPr>
        <w:t xml:space="preserve"> ולוודא כי החשבוניות אותנטיות והינן כדין (ראו: ע"מ 58611-05-15 </w:t>
      </w:r>
      <w:r>
        <w:rPr>
          <w:rFonts w:ascii="David" w:hAnsi="David" w:hint="cs"/>
          <w:b/>
          <w:bCs/>
          <w:rtl/>
        </w:rPr>
        <w:t>קיי.בי. שיווק נעליים בע"מ נ' מס הכנסה ירושלים</w:t>
      </w:r>
      <w:r>
        <w:rPr>
          <w:rFonts w:ascii="David" w:hAnsi="David" w:hint="cs"/>
          <w:rtl/>
        </w:rPr>
        <w:t xml:space="preserve"> (13.8.2017), ע"מ 49874-08-15 </w:t>
      </w:r>
      <w:r>
        <w:rPr>
          <w:rFonts w:ascii="David" w:hAnsi="David" w:hint="cs"/>
          <w:b/>
          <w:bCs/>
          <w:rtl/>
        </w:rPr>
        <w:t>אביוב גולד בע"מ נ' יחידת ביקורת פשיעה חמורה</w:t>
      </w:r>
      <w:r>
        <w:rPr>
          <w:rFonts w:ascii="David" w:hAnsi="David" w:hint="cs"/>
          <w:rtl/>
        </w:rPr>
        <w:t xml:space="preserve"> (27.6.2018), ע"מ 22481-08-18 </w:t>
      </w:r>
      <w:r>
        <w:rPr>
          <w:rFonts w:ascii="David" w:hAnsi="David" w:hint="cs"/>
          <w:b/>
          <w:bCs/>
          <w:rtl/>
        </w:rPr>
        <w:t xml:space="preserve">יחזקאל ארגי נ' מנהל מס ערך מוסף גוש דן </w:t>
      </w:r>
      <w:r>
        <w:rPr>
          <w:rFonts w:ascii="David" w:hAnsi="David" w:hint="cs"/>
          <w:rtl/>
        </w:rPr>
        <w:t xml:space="preserve">(12.12.2019).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rtl/>
        </w:rPr>
        <w:tab/>
      </w:r>
      <w:r>
        <w:rPr>
          <w:rFonts w:ascii="David" w:hAnsi="David" w:hint="cs"/>
          <w:rtl/>
        </w:rPr>
        <w:t xml:space="preserve">במקרה זה לא שוכנעתי כי המערערת הוכיחה כי היא לא התרשלה וכי היא נקטה בכל האמצעים הסבירים לוודא כי החשבוניות הוצאו כדין. המערערת יכולה הייתה לגלות ללא מאמץ רב את הפסול שנפל בחשבוניות </w:t>
      </w:r>
      <w:r w:rsidR="0059280F">
        <w:rPr>
          <w:rFonts w:ascii="David" w:hAnsi="David" w:hint="cs"/>
          <w:rtl/>
        </w:rPr>
        <w:t xml:space="preserve">והטענה כי לא נדלקה נורית אזהרה היא טענה מתממת שאין לקבלה. התמונה המצטיירת בענייננו היא כי, לכול הפחות, היה על המערערת לדעת כי מדובר בחשבוניות </w:t>
      </w:r>
      <w:r>
        <w:rPr>
          <w:rFonts w:ascii="David" w:hAnsi="David" w:hint="cs"/>
          <w:rtl/>
        </w:rPr>
        <w:t xml:space="preserve">מס שהוצאו שלא כדין, וכי היא נמנעה, במופגן,  לברר ולבדוק את תקינות החשבוניות. </w:t>
      </w:r>
    </w:p>
    <w:p w:rsidR="00F67A71" w:rsidRDefault="00F67A71" w:rsidP="0059280F">
      <w:pPr>
        <w:spacing w:line="360" w:lineRule="auto"/>
        <w:ind w:left="720"/>
        <w:jc w:val="both"/>
        <w:rPr>
          <w:rFonts w:ascii="David" w:hAnsi="David"/>
          <w:rtl/>
        </w:rPr>
      </w:pPr>
      <w:r>
        <w:rPr>
          <w:rFonts w:ascii="David" w:hAnsi="David" w:hint="cs"/>
          <w:rtl/>
        </w:rPr>
        <w:t xml:space="preserve">משום כך, נקבע בזאת כי לא עלה בידי המערערת להוכיח את עמידתה בתנאי המבחן הסובייקטיבי.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b/>
          <w:bCs/>
          <w:u w:val="single"/>
          <w:rtl/>
        </w:rPr>
        <w:t>סוף דבר</w:t>
      </w:r>
    </w:p>
    <w:p w:rsidR="002F7DC4" w:rsidRDefault="002F7DC4" w:rsidP="00F67A71">
      <w:pPr>
        <w:spacing w:line="360" w:lineRule="auto"/>
        <w:ind w:left="720" w:hanging="720"/>
        <w:jc w:val="both"/>
        <w:rPr>
          <w:rFonts w:ascii="David" w:hAnsi="David"/>
          <w:rtl/>
        </w:rPr>
      </w:pPr>
    </w:p>
    <w:p w:rsidR="00F67A71" w:rsidRDefault="00F67A71" w:rsidP="0059280F">
      <w:pPr>
        <w:spacing w:line="360" w:lineRule="auto"/>
        <w:ind w:left="720" w:hanging="720"/>
        <w:jc w:val="both"/>
        <w:rPr>
          <w:rFonts w:ascii="David" w:hAnsi="David"/>
          <w:rtl/>
        </w:rPr>
      </w:pPr>
      <w:r>
        <w:rPr>
          <w:rFonts w:ascii="David" w:hAnsi="David" w:hint="cs"/>
          <w:rtl/>
        </w:rPr>
        <w:t>38.</w:t>
      </w:r>
      <w:r>
        <w:rPr>
          <w:rFonts w:ascii="David" w:hAnsi="David" w:hint="cs"/>
          <w:rtl/>
        </w:rPr>
        <w:tab/>
        <w:t xml:space="preserve">לאור כל האמור לעיל, באתי לכלל מסקנה כי יש לדחות את הערעור </w:t>
      </w:r>
      <w:r w:rsidR="0059280F">
        <w:rPr>
          <w:rFonts w:ascii="David" w:hAnsi="David" w:hint="cs"/>
          <w:rtl/>
        </w:rPr>
        <w:t>ו</w:t>
      </w:r>
      <w:r>
        <w:rPr>
          <w:rFonts w:ascii="David" w:hAnsi="David" w:hint="cs"/>
          <w:rtl/>
        </w:rPr>
        <w:t>ע</w:t>
      </w:r>
      <w:r w:rsidR="0059280F">
        <w:rPr>
          <w:rFonts w:ascii="David" w:hAnsi="David" w:hint="cs"/>
          <w:rtl/>
        </w:rPr>
        <w:t>ל</w:t>
      </w:r>
      <w:r>
        <w:rPr>
          <w:rFonts w:ascii="David" w:hAnsi="David" w:hint="cs"/>
          <w:rtl/>
        </w:rPr>
        <w:t xml:space="preserve"> כן, הוא נדחה בזאת.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rtl/>
        </w:rPr>
        <w:t>39.</w:t>
      </w:r>
      <w:r>
        <w:rPr>
          <w:rFonts w:ascii="David" w:hAnsi="David" w:hint="cs"/>
          <w:rtl/>
        </w:rPr>
        <w:tab/>
        <w:t xml:space="preserve">המערערת תשלם למשיב הוצאות ושכ"ט עו"ד בסכום כולל של 40,000 ₪ וזאת תוך 45 ימים מהיום. לאחר מועד זה יתווספו לסכום החיוב הפרשי הצמדה וריבית כדין, עד למועד התשלום בפועל. </w:t>
      </w:r>
    </w:p>
    <w:p w:rsidR="00F67A71" w:rsidRDefault="00F67A71" w:rsidP="00F67A71">
      <w:pPr>
        <w:spacing w:line="360" w:lineRule="auto"/>
        <w:ind w:left="720" w:hanging="720"/>
        <w:jc w:val="both"/>
        <w:rPr>
          <w:rFonts w:ascii="David" w:hAnsi="David"/>
          <w:rtl/>
        </w:rPr>
      </w:pPr>
    </w:p>
    <w:p w:rsidR="00F67A71" w:rsidRDefault="00F67A71" w:rsidP="00F67A71">
      <w:pPr>
        <w:spacing w:line="360" w:lineRule="auto"/>
        <w:ind w:left="720" w:hanging="720"/>
        <w:jc w:val="both"/>
        <w:rPr>
          <w:rFonts w:ascii="David" w:hAnsi="David"/>
          <w:rtl/>
        </w:rPr>
      </w:pPr>
      <w:r>
        <w:rPr>
          <w:rFonts w:ascii="David" w:hAnsi="David" w:hint="cs"/>
          <w:b/>
          <w:bCs/>
          <w:rtl/>
        </w:rPr>
        <w:t>המזכירות תמציא את פסק הדין לב"כ הצדדים</w:t>
      </w:r>
      <w:r>
        <w:rPr>
          <w:rFonts w:ascii="David" w:hAnsi="David" w:hint="cs"/>
          <w:rtl/>
        </w:rPr>
        <w:t xml:space="preserve">. </w:t>
      </w:r>
    </w:p>
    <w:p w:rsidR="00F67A71" w:rsidRDefault="00F67A71" w:rsidP="00F67A71">
      <w:pPr>
        <w:spacing w:line="360" w:lineRule="auto"/>
        <w:ind w:left="720" w:hanging="720"/>
        <w:jc w:val="both"/>
        <w:rPr>
          <w:rFonts w:ascii="David" w:hAnsi="David"/>
          <w:rtl/>
        </w:rPr>
      </w:pPr>
    </w:p>
    <w:p w:rsidR="00694556" w:rsidRPr="0059280F" w:rsidRDefault="00005C8B" w:rsidP="0059280F">
      <w:pPr>
        <w:spacing w:line="360" w:lineRule="auto"/>
        <w:jc w:val="both"/>
        <w:rPr>
          <w:rFonts w:ascii="David" w:hAnsi="David"/>
          <w:rtl/>
        </w:rPr>
      </w:pPr>
      <w:r>
        <w:rPr>
          <w:rFonts w:ascii="Arial" w:hAnsi="Arial"/>
          <w:noProof w:val="0"/>
          <w:rtl/>
        </w:rPr>
        <w:t xml:space="preserve">ניתן היום,  </w:t>
      </w:r>
      <w:sdt>
        <w:sdtPr>
          <w:rPr>
            <w:rtl/>
          </w:rPr>
          <w:alias w:val="1455"/>
          <w:tag w:val="1455"/>
          <w:id w:val="-1292132187"/>
          <w:text w:multiLine="1"/>
        </w:sdtPr>
        <w:sdtEndPr/>
        <w:sdtContent>
          <w:r>
            <w:rPr>
              <w:rFonts w:ascii="Arial" w:hAnsi="Arial"/>
              <w:noProof w:val="0"/>
              <w:rtl/>
            </w:rPr>
            <w:t>כ"ט טבת תשפ"ד</w:t>
          </w:r>
        </w:sdtContent>
      </w:sdt>
      <w:r>
        <w:rPr>
          <w:rFonts w:ascii="Arial" w:hAnsi="Arial"/>
          <w:noProof w:val="0"/>
          <w:rtl/>
        </w:rPr>
        <w:t xml:space="preserve">, </w:t>
      </w:r>
      <w:sdt>
        <w:sdtPr>
          <w:rPr>
            <w:rtl/>
          </w:rPr>
          <w:alias w:val="1456"/>
          <w:tag w:val="1456"/>
          <w:id w:val="1108006587"/>
          <w:text w:multiLine="1"/>
        </w:sdtPr>
        <w:sdtEndPr/>
        <w:sdtContent>
          <w:r>
            <w:rPr>
              <w:rFonts w:ascii="Arial" w:hAnsi="Arial"/>
              <w:noProof w:val="0"/>
              <w:rtl/>
            </w:rPr>
            <w:t>10 ינואר 2024</w:t>
          </w:r>
        </w:sdtContent>
      </w:sdt>
      <w:r>
        <w:rPr>
          <w:rFonts w:ascii="Arial" w:hAnsi="Arial"/>
          <w:noProof w:val="0"/>
          <w:rtl/>
        </w:rPr>
        <w:t>, בהעדר הצדדים.</w:t>
      </w:r>
    </w:p>
    <w:p w:rsidR="00694556" w:rsidRDefault="00694556" w:rsidP="00F67A71">
      <w:pPr>
        <w:spacing w:line="360" w:lineRule="auto"/>
        <w:jc w:val="both"/>
        <w:rPr>
          <w:rFonts w:ascii="Arial" w:hAnsi="Arial"/>
          <w:noProof w:val="0"/>
          <w:rtl/>
        </w:rPr>
      </w:pPr>
    </w:p>
    <w:p w:rsidR="00694556" w:rsidRDefault="00D9593F" w:rsidP="00F67A71">
      <w:pPr>
        <w:spacing w:line="360" w:lineRule="auto"/>
        <w:ind w:left="3600" w:firstLine="720"/>
        <w:jc w:val="both"/>
      </w:pPr>
      <w:sdt>
        <w:sdtPr>
          <w:rPr>
            <w:rtl/>
          </w:rPr>
          <w:alias w:val="MergeField"/>
          <w:tag w:val="1237"/>
          <w:id w:val="1711916067"/>
        </w:sdtPr>
        <w:sdtEndPr/>
        <w:sdtContent>
          <w:r w:rsidR="00AC0C06">
            <w:drawing>
              <wp:inline distT="0" distB="0" distL="0" distR="0" wp14:editId="50D07946">
                <wp:extent cx="1514475"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514475" cy="742950"/>
                        </a:xfrm>
                        <a:prstGeom prst="rect">
                          <a:avLst/>
                        </a:prstGeom>
                      </pic:spPr>
                    </pic:pic>
                  </a:graphicData>
                </a:graphic>
              </wp:inline>
            </w:drawing>
          </w:r>
        </w:sdtContent>
      </w:sdt>
    </w:p>
    <w:p w:rsidR="00694556" w:rsidRDefault="00694556" w:rsidP="00F67A71">
      <w:pPr>
        <w:spacing w:line="360" w:lineRule="auto"/>
        <w:ind w:left="3600" w:firstLine="720"/>
        <w:jc w:val="both"/>
        <w:rPr>
          <w:rFonts w:ascii="Arial" w:hAnsi="Arial"/>
          <w:noProof w:val="0"/>
          <w:rtl/>
        </w:rPr>
      </w:pPr>
    </w:p>
    <w:p w:rsidR="00694556" w:rsidRDefault="00694556" w:rsidP="00F67A71">
      <w:pPr>
        <w:spacing w:line="360" w:lineRule="auto"/>
        <w:jc w:val="both"/>
        <w:rPr>
          <w:rFonts w:ascii="Arial" w:hAnsi="Arial"/>
          <w:noProof w:val="0"/>
          <w:rtl/>
        </w:rPr>
      </w:pPr>
    </w:p>
    <w:p w:rsidR="00694556" w:rsidRDefault="00694556" w:rsidP="00F67A71">
      <w:pPr>
        <w:spacing w:line="360" w:lineRule="auto"/>
        <w:jc w:val="both"/>
        <w:rPr>
          <w:rFonts w:ascii="Arial" w:hAnsi="Arial"/>
          <w:noProof w:val="0"/>
          <w:rtl/>
        </w:rPr>
      </w:pPr>
    </w:p>
    <w:p w:rsidR="00694556" w:rsidRDefault="00694556" w:rsidP="00F67A71">
      <w:pPr>
        <w:spacing w:line="360" w:lineRule="auto"/>
        <w:jc w:val="both"/>
        <w:rPr>
          <w:rFonts w:ascii="Arial" w:hAnsi="Arial"/>
          <w:noProof w:val="0"/>
          <w:rtl/>
        </w:rPr>
      </w:pPr>
    </w:p>
    <w:p w:rsidR="00694556" w:rsidRDefault="00694556" w:rsidP="00F67A71">
      <w:pPr>
        <w:spacing w:line="360" w:lineRule="auto"/>
        <w:jc w:val="both"/>
        <w:rPr>
          <w:rFonts w:ascii="Arial" w:hAnsi="Arial"/>
          <w:noProof w:val="0"/>
          <w:rtl/>
        </w:rPr>
      </w:pPr>
    </w:p>
    <w:p w:rsidR="00694556" w:rsidRDefault="00694556" w:rsidP="00F67A71">
      <w:pPr>
        <w:spacing w:line="360" w:lineRule="auto"/>
        <w:jc w:val="both"/>
        <w:rPr>
          <w:rFonts w:ascii="Arial" w:hAnsi="Arial"/>
          <w:noProof w:val="0"/>
          <w:rtl/>
        </w:rPr>
      </w:pPr>
    </w:p>
    <w:sectPr w:rsidR="00694556" w:rsidSect="00903896">
      <w:headerReference w:type="even" r:id="rId9"/>
      <w:headerReference w:type="default" r:id="rId10"/>
      <w:footerReference w:type="even" r:id="rId11"/>
      <w:footerReference w:type="default" r:id="rId12"/>
      <w:headerReference w:type="first" r:id="rId13"/>
      <w:footerReference w:type="first" r:id="rId14"/>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93F" w:rsidRDefault="00D9593F">
      <w:r>
        <w:separator/>
      </w:r>
    </w:p>
  </w:endnote>
  <w:endnote w:type="continuationSeparator" w:id="0">
    <w:p w:rsidR="00D9593F" w:rsidRDefault="00D95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E2F" w:rsidRDefault="004D2E2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3944DB">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87893">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87893">
      <w:rPr>
        <w:rStyle w:val="ab"/>
        <w:rtl/>
      </w:rPr>
      <w:t>14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E2F" w:rsidRDefault="004D2E2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93F" w:rsidRDefault="00D9593F">
      <w:r>
        <w:separator/>
      </w:r>
    </w:p>
  </w:footnote>
  <w:footnote w:type="continuationSeparator" w:id="0">
    <w:p w:rsidR="00D9593F" w:rsidRDefault="00D95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E2F" w:rsidRDefault="004D2E2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6B23BF">
    <w:pPr>
      <w:pStyle w:val="a3"/>
      <w:jc w:val="center"/>
      <w:rPr>
        <w:rFonts w:cs="FrankRuehl"/>
        <w:noProof w:val="0"/>
        <w:sz w:val="28"/>
        <w:szCs w:val="28"/>
        <w:rtl/>
      </w:rPr>
    </w:pPr>
    <w:r>
      <w:rPr>
        <w:rFonts w:cs="FrankRuehl"/>
        <w:sz w:val="28"/>
        <w:szCs w:val="28"/>
      </w:rPr>
      <w:drawing>
        <wp:inline distT="0" distB="0" distL="0" distR="0" wp14:anchorId="1968DCB3" wp14:editId="66E76CBB">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3"/>
      <w:gridCol w:w="3592"/>
    </w:tblGrid>
    <w:tr w:rsidR="00694556">
      <w:trPr>
        <w:trHeight w:hRule="exact" w:val="418"/>
        <w:jc w:val="center"/>
      </w:trPr>
      <w:tc>
        <w:tcPr>
          <w:tcW w:w="8721" w:type="dxa"/>
          <w:gridSpan w:val="2"/>
        </w:tcPr>
        <w:p w:rsidR="00694556" w:rsidRDefault="00185DB8">
          <w:pPr>
            <w:pStyle w:val="a3"/>
            <w:jc w:val="center"/>
            <w:rPr>
              <w:rFonts w:ascii="Tahoma" w:hAnsi="Tahoma" w:cs="Tahoma"/>
              <w:noProof w:val="0"/>
              <w:color w:val="000080"/>
              <w:rtl/>
            </w:rPr>
          </w:pPr>
          <w:r>
            <w:rPr>
              <w:rFonts w:ascii="Tahoma" w:hAnsi="Tahoma" w:cs="Tahoma" w:hint="cs"/>
              <w:b/>
              <w:bCs/>
              <w:noProof w:val="0"/>
              <w:color w:val="000080"/>
              <w:rtl/>
            </w:rPr>
            <w:t>בית המשפט המחוזי בירושלים</w:t>
          </w:r>
        </w:p>
      </w:tc>
    </w:tr>
    <w:tr w:rsidR="00694556">
      <w:trPr>
        <w:trHeight w:val="337"/>
        <w:jc w:val="center"/>
      </w:trPr>
      <w:tc>
        <w:tcPr>
          <w:tcW w:w="5047" w:type="dxa"/>
        </w:tcPr>
        <w:p w:rsidR="00694556" w:rsidRDefault="00694556">
          <w:pPr>
            <w:rPr>
              <w:b/>
              <w:bCs/>
              <w:noProof w:val="0"/>
              <w:sz w:val="26"/>
              <w:szCs w:val="26"/>
              <w:rtl/>
            </w:rPr>
          </w:pPr>
        </w:p>
      </w:tc>
      <w:sdt>
        <w:sdtPr>
          <w:rPr>
            <w:rtl/>
          </w:rPr>
          <w:alias w:val="1456"/>
          <w:tag w:val="1456"/>
          <w:id w:val="-607579908"/>
          <w:text/>
        </w:sdtPr>
        <w:sdtEndPr/>
        <w:sdtContent>
          <w:tc>
            <w:tcPr>
              <w:tcW w:w="3674" w:type="dxa"/>
            </w:tcPr>
            <w:p w:rsidR="00694556" w:rsidRDefault="00005C8B">
              <w:pPr>
                <w:pStyle w:val="a3"/>
                <w:jc w:val="right"/>
                <w:rPr>
                  <w:b/>
                  <w:bCs/>
                  <w:noProof w:val="0"/>
                  <w:sz w:val="26"/>
                  <w:szCs w:val="26"/>
                  <w:rtl/>
                </w:rPr>
              </w:pPr>
              <w:r>
                <w:rPr>
                  <w:b/>
                  <w:bCs/>
                  <w:noProof w:val="0"/>
                  <w:sz w:val="26"/>
                  <w:szCs w:val="26"/>
                  <w:rtl/>
                </w:rPr>
                <w:t>10 ינואר 2024</w:t>
              </w:r>
            </w:p>
          </w:tc>
        </w:sdtContent>
      </w:sdt>
    </w:tr>
    <w:tr w:rsidR="00694556">
      <w:trPr>
        <w:trHeight w:val="337"/>
        <w:jc w:val="center"/>
      </w:trPr>
      <w:tc>
        <w:tcPr>
          <w:tcW w:w="8721" w:type="dxa"/>
          <w:gridSpan w:val="2"/>
        </w:tcPr>
        <w:p w:rsidR="00694556" w:rsidRDefault="00D9593F">
          <w:pPr>
            <w:rPr>
              <w:b/>
              <w:bCs/>
              <w:noProof w:val="0"/>
              <w:sz w:val="26"/>
              <w:szCs w:val="26"/>
              <w:rtl/>
            </w:rPr>
          </w:pPr>
          <w:sdt>
            <w:sdtPr>
              <w:rPr>
                <w:rtl/>
              </w:rPr>
              <w:alias w:val="1170"/>
              <w:tag w:val="1170"/>
              <w:id w:val="-439763973"/>
              <w:text w:multiLine="1"/>
            </w:sdtPr>
            <w:sdtEndPr/>
            <w:sdtContent>
              <w:r w:rsidR="00986101">
                <w:rPr>
                  <w:b/>
                  <w:bCs/>
                  <w:noProof w:val="0"/>
                  <w:sz w:val="26"/>
                  <w:szCs w:val="26"/>
                  <w:rtl/>
                </w:rPr>
                <w:t>ע"מ</w:t>
              </w:r>
            </w:sdtContent>
          </w:sdt>
          <w:r w:rsidR="00005C8B">
            <w:rPr>
              <w:b/>
              <w:bCs/>
              <w:noProof w:val="0"/>
              <w:sz w:val="26"/>
              <w:szCs w:val="26"/>
              <w:rtl/>
            </w:rPr>
            <w:t xml:space="preserve"> </w:t>
          </w:r>
          <w:sdt>
            <w:sdtPr>
              <w:rPr>
                <w:rtl/>
              </w:rPr>
              <w:alias w:val="1171"/>
              <w:tag w:val="1171"/>
              <w:id w:val="-418721140"/>
              <w:text w:multiLine="1"/>
            </w:sdtPr>
            <w:sdtEndPr/>
            <w:sdtContent>
              <w:r w:rsidR="00986101">
                <w:rPr>
                  <w:b/>
                  <w:bCs/>
                  <w:noProof w:val="0"/>
                  <w:sz w:val="26"/>
                  <w:szCs w:val="26"/>
                  <w:rtl/>
                </w:rPr>
                <w:t>11168-10-18</w:t>
              </w:r>
            </w:sdtContent>
          </w:sdt>
          <w:r w:rsidR="00005C8B">
            <w:rPr>
              <w:b/>
              <w:bCs/>
              <w:noProof w:val="0"/>
              <w:sz w:val="26"/>
              <w:szCs w:val="26"/>
              <w:rtl/>
            </w:rPr>
            <w:t xml:space="preserve"> </w:t>
          </w:r>
          <w:sdt>
            <w:sdtPr>
              <w:rPr>
                <w:rtl/>
              </w:rPr>
              <w:alias w:val="1172"/>
              <w:tag w:val="1172"/>
              <w:id w:val="-1527558386"/>
              <w:text w:multiLine="1"/>
            </w:sdtPr>
            <w:sdtEndPr/>
            <w:sdtContent>
              <w:r w:rsidR="00986101">
                <w:rPr>
                  <w:b/>
                  <w:bCs/>
                  <w:noProof w:val="0"/>
                  <w:sz w:val="26"/>
                  <w:szCs w:val="26"/>
                  <w:rtl/>
                </w:rPr>
                <w:t>שערי ירושלים בע"מ נ' יחידת ביקורת פשיעה חמורה</w:t>
              </w:r>
            </w:sdtContent>
          </w:sdt>
        </w:p>
        <w:p w:rsidR="00694556" w:rsidRDefault="00694556">
          <w:pPr>
            <w:rPr>
              <w:rtl/>
            </w:rPr>
          </w:pPr>
        </w:p>
        <w:p w:rsidR="0046756C" w:rsidRDefault="0046756C">
          <w:pPr>
            <w:rPr>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E2F" w:rsidRDefault="004D2E2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81912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5819121&amp;lt;/CaseID&amp;gt;_x000d__x000a_        &amp;lt;CaseMonth&amp;gt;10&amp;lt;/CaseMonth&amp;gt;_x000d__x000a_        &amp;lt;CaseYear&amp;gt;2018&amp;lt;/CaseYear&amp;gt;_x000d__x000a_        &amp;lt;CaseNumber&amp;gt;11168&amp;lt;/CaseNumber&amp;gt;_x000d__x000a_        &amp;lt;NumeratorGroupID&amp;gt;1&amp;lt;/NumeratorGroupID&amp;gt;_x000d__x000a_        &amp;lt;CaseName&amp;gt;שערי ירושלים בע&amp;quot;מ נ&amp;#39; יחידת ביקורת פשיעה חמורה&amp;lt;/CaseName&amp;gt;_x000d__x000a_        &amp;lt;CourtID&amp;gt;14&amp;lt;/CourtID&amp;gt;_x000d__x000a_        &amp;lt;CaseTypeID&amp;gt;10113&amp;lt;/CaseTypeID&amp;gt;_x000d__x000a_        &amp;lt;CaseInterestID&amp;gt;66&amp;lt;/CaseInterestID&amp;gt;_x000d__x000a_        &amp;lt;CaseJudgeName&amp;gt;אביגדור דורות&amp;lt;/CaseJudgeName&amp;gt;_x000d__x000a_        &amp;lt;ProcedureID&amp;gt;1&amp;lt;/ProcedureID&amp;gt;_x000d__x000a_        &amp;lt;CaseStatusID&amp;gt;1&amp;lt;/CaseStatusID&amp;gt;_x000d__x000a_        &amp;lt;ProceedingID&amp;gt;4&amp;lt;/ProceedingID&amp;gt;_x000d__x000a_        &amp;lt;IsCaseLinked&amp;gt;false&amp;lt;/IsCaseLinked&amp;gt;_x000d__x000a_        &amp;lt;PrivilegeID&amp;gt;2&amp;lt;/PrivilegeID&amp;gt;_x000d__x000a_        &amp;lt;IsAppealingCaseExist&amp;gt;false&amp;lt;/IsAppealingCaseExist&amp;gt;_x000d__x000a_        &amp;lt;CaseDisplayIdentifier&amp;gt;11168-10-18&amp;lt;/CaseDisplayIdentifier&amp;gt;_x000d__x000a_        &amp;lt;CaseTypeDesc&amp;gt;ע&amp;quot;מ&amp;lt;/CaseTypeDesc&amp;gt;_x000d__x000a_        &amp;lt;CourtDesc&amp;gt;המחוזי ירושלים&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18-10-07T07:00:00+03:00&amp;lt;/CaseOpenDate&amp;gt;_x000d__x000a_        &amp;lt;PleaTypeID&amp;gt;6&amp;lt;/PleaTypeID&amp;gt;_x000d__x000a_        &amp;lt;CourtLevelID&amp;gt;2&amp;lt;/CourtLevelID&amp;gt;_x000d__x000a_        &amp;lt;CourtLevelCaseTypeInterestID&amp;gt;1154&amp;lt;/CourtLevelCaseTypeInterestID&amp;gt;_x000d__x000a_        &amp;lt;CaseJudgeFirstName&amp;gt;אביגדור&amp;lt;/CaseJudgeFirstName&amp;gt;_x000d__x000a_        &amp;lt;CaseJudgeLastName&amp;gt;דורות&amp;lt;/CaseJudgeLastName&amp;gt;_x000d__x000a_        &amp;lt;JudicalPersonID&amp;gt;055121115@GOV.IL&amp;lt;/JudicalPersonID&amp;gt;_x000d__x000a_        &amp;lt;IsJudicalPanel&amp;gt;false&amp;lt;/IsJudicalPanel&amp;gt;_x000d__x000a_        &amp;lt;CourtDisplayName&amp;gt;בית המשפט המחוזי בירושלים בשבתו כבית-משפט לעניינים מנהליים&amp;lt;/CourtDisplayName&amp;gt;_x000d__x000a_        &amp;lt;IsAllStartDataCollected&amp;gt;true&amp;lt;/IsAllStartDataCollected&amp;gt;_x000d__x000a_        &amp;lt;CaseDesc&amp;gt;בארון&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5819121&amp;lt;/CaseID&amp;gt;_x000d__x000a_        &amp;lt;CaseMonth&amp;gt;10&amp;lt;/CaseMonth&amp;gt;_x000d__x000a_        &amp;lt;CaseYear&amp;gt;2018&amp;lt;/CaseYear&amp;gt;_x000d__x000a_        &amp;lt;CaseNumber&amp;gt;11168&amp;lt;/CaseNumber&amp;gt;_x000d__x000a_        &amp;lt;NumeratorGroupID&amp;gt;1&amp;lt;/NumeratorGroupID&amp;gt;_x000d__x000a_        &amp;lt;CaseName&amp;gt;שערי ירושלים בע&amp;quot;מ נ&amp;#39; יחידת ביקורת פשיעה חמורה&amp;lt;/CaseName&amp;gt;_x000d__x000a_        &amp;lt;CourtID&amp;gt;14&amp;lt;/CourtID&amp;gt;_x000d__x000a_        &amp;lt;CaseTypeID&amp;gt;10113&amp;lt;/CaseTypeID&amp;gt;_x000d__x000a_        &amp;lt;CaseInterestID&amp;gt;66&amp;lt;/CaseInterestID&amp;gt;_x000d__x000a_        &amp;lt;CaseJudgeName&amp;gt;אביגדור דורות&amp;lt;/CaseJudgeName&amp;gt;_x000d__x000a_        &amp;lt;ProcedureID&amp;gt;1&amp;lt;/ProcedureID&amp;gt;_x000d__x000a_        &amp;lt;CaseStatusID&amp;gt;1&amp;lt;/CaseStatusID&amp;gt;_x000d__x000a_        &amp;lt;ProceedingID&amp;gt;4&amp;lt;/ProceedingID&amp;gt;_x000d__x000a_        &amp;lt;IsCaseLinked&amp;gt;false&amp;lt;/IsCaseLinked&amp;gt;_x000d__x000a_        &amp;lt;PrivilegeID&amp;gt;2&amp;lt;/PrivilegeID&amp;gt;_x000d__x000a_        &amp;lt;IsAppealingCaseExist&amp;gt;false&amp;lt;/IsAppealingCaseExist&amp;gt;_x000d__x000a_        &amp;lt;CaseDisplayIdentifier&amp;gt;11168-10-18&amp;lt;/CaseDisplayIdentifier&amp;gt;_x000d__x000a_        &amp;lt;CaseTypeDesc&amp;gt;ע&amp;quot;מ&amp;lt;/CaseTypeDesc&amp;gt;_x000d__x000a_        &amp;lt;CourtDesc&amp;gt;המחוזי ירושלים&amp;lt;/CourtDesc&amp;gt;_x000d__x000a_        &amp;lt;CaseStageDesc&amp;gt;תיק אלקטרוני&amp;lt;/CaseStageDesc&amp;gt;_x000d__x000a_        &amp;lt;CaseNextDeterminingTask&amp;gt;34&amp;lt;/CaseNextDeterminingTask&amp;gt;_x000d__x000a_        &amp;lt;CaseOpenDate&amp;gt;2018-10-07T07:00:00+03:00&amp;lt;/CaseOpenDate&amp;gt;_x000d__x000a_        &amp;lt;PleaTypeID&amp;gt;6&amp;lt;/PleaTypeID&amp;gt;_x000d__x000a_        &amp;lt;CourtLevelID&amp;gt;2&amp;lt;/CourtLevelID&amp;gt;_x000d__x000a_        &amp;lt;CourtLevelCaseTypeInterestID&amp;gt;1154&amp;lt;/CourtLevelCaseTypeInterestID&amp;gt;_x000d__x000a_        &amp;lt;CaseJudgeFirstName&amp;gt;אביגדור&amp;lt;/CaseJudgeFirstName&amp;gt;_x000d__x000a_        &amp;lt;CaseJudgeLastName&amp;gt;דורות&amp;lt;/CaseJudgeLastName&amp;gt;_x000d__x000a_        &amp;lt;JudicalPersonID&amp;gt;055121115@GOV.IL&amp;lt;/JudicalPersonID&amp;gt;_x000d__x000a_        &amp;lt;IsJudicalPanel&amp;gt;false&amp;lt;/IsJudicalPanel&amp;gt;_x000d__x000a_        &amp;lt;CourtDisplayName&amp;gt;בית המשפט המחוזי בירושלים בשבתו כבית-משפט לעניינים מנהליים&amp;lt;/CourtDisplayName&amp;gt;_x000d__x000a_        &amp;lt;IsAllStartDataCollected&amp;gt;true&amp;lt;/IsAllStartDataCollected&amp;gt;_x000d__x000a_        &amp;lt;CaseDesc&amp;gt;בארון&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4"/>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9126730&amp;lt;/DecisionID&amp;gt;_x000d__x000a_        &amp;lt;DecisionName&amp;gt;פסק דין  שניתנה ע&amp;quot;י  אביגדור דורות&amp;lt;/DecisionName&amp;gt;_x000d__x000a_        &amp;lt;DecisionStatusID&amp;gt;1&amp;lt;/DecisionStatusID&amp;gt;_x000d__x000a_        &amp;lt;DecisionStatusChangeDate&amp;gt;2024-01-10T14:45:59.41+02:00&amp;lt;/DecisionStatusChangeDate&amp;gt;_x000d__x000a_        &amp;lt;DecisionSignatureDate&amp;gt;2024-01-10T10:43:29.893+02:00&amp;lt;/DecisionSignatureDate&amp;gt;_x000d__x000a_        &amp;lt;DecisionSignatureUserID&amp;gt;055121115@GOV.IL&amp;lt;/DecisionSignatureUserID&amp;gt;_x000d__x000a_        &amp;lt;DecisionCreateDate&amp;gt;2024-01-10T09:10:01.68+02:00&amp;lt;/DecisionCreateDate&amp;gt;_x000d__x000a_        &amp;lt;DecisionChangeDate&amp;gt;2024-01-10T14:46:00.217+02:00&amp;lt;/DecisionChangeDate&amp;gt;_x000d__x000a_        &amp;lt;DecisionChangeUserID&amp;gt;05512111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31057216&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512111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9767848@GOV.IL&amp;lt;/DecisionCreationUserID&amp;gt;_x000d__x000a_        &amp;lt;DecisionDisplayName&amp;gt;פסק דין  שניתנה ע&amp;quot;י  אביגדור דורות&amp;lt;/DecisionDisplayName&amp;gt;_x000d__x000a_        &amp;lt;IsScanned&amp;gt;false&amp;lt;/IsScanned&amp;gt;_x000d__x000a_        &amp;lt;DecisionSignatureUserName&amp;gt;אביגדור דורות&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amp;lt;/DecisionNumberInCase&amp;gt;_x000d__x000a_      &amp;lt;/dt_Decision&amp;gt;_x000d__x000a_      &amp;lt;dt_DecisionCase diffgr:id=&amp;quot;dt_DecisionCase1&amp;quot; msdata:rowOrder=&amp;quot;0&amp;quot;&amp;gt;_x000d__x000a_        &amp;lt;DecisionID&amp;gt;149126730&amp;lt;/DecisionID&amp;gt;_x000d__x000a_        &amp;lt;CaseID&amp;gt;75819121&amp;lt;/CaseID&amp;gt;_x000d__x000a_        &amp;lt;IsOriginal&amp;gt;true&amp;lt;/IsOriginal&amp;gt;_x000d__x000a_        &amp;lt;IsDeleted&amp;gt;false&amp;lt;/IsDeleted&amp;gt;_x000d__x000a_        &amp;lt;CaseName&amp;gt;שערי ירושלים בע&amp;quot;מ נ&amp;#39; יחידת ביקורת פשיעה חמורה&amp;lt;/CaseName&amp;gt;_x000d__x000a_        &amp;lt;CaseDisplayIdentifier&amp;gt;11168-10-18 ע&amp;quot;מ&amp;lt;/CaseDisplayIdentifier&amp;gt;_x000d__x000a_      &amp;lt;/dt_DecisionCase&amp;gt;_x000d__x000a_    &amp;lt;/DecisionDS&amp;gt;_x000d__x000a_  &amp;lt;/diffgr:diffgram&amp;gt;_x000d__x000a_&amp;lt;/DecisionDS&amp;gt;"/>
    <w:docVar w:name="DecisionID" w:val="149126730"/>
    <w:docVar w:name="WordClientAssemblyName" w:val="NGCS.Decision.ClientWordBL"/>
    <w:docVar w:name="WordClientClassName" w:val="NGCS.Decision.ClientWordBL.DecisionClient"/>
  </w:docVars>
  <w:rsids>
    <w:rsidRoot w:val="00694556"/>
    <w:rsid w:val="00003126"/>
    <w:rsid w:val="00005C8B"/>
    <w:rsid w:val="00016C35"/>
    <w:rsid w:val="000564AB"/>
    <w:rsid w:val="00060C9D"/>
    <w:rsid w:val="0014234E"/>
    <w:rsid w:val="00144D6D"/>
    <w:rsid w:val="0018010A"/>
    <w:rsid w:val="00185DB8"/>
    <w:rsid w:val="0019734B"/>
    <w:rsid w:val="001C4003"/>
    <w:rsid w:val="001E36BE"/>
    <w:rsid w:val="002010EB"/>
    <w:rsid w:val="002C070D"/>
    <w:rsid w:val="002F7DC4"/>
    <w:rsid w:val="00317316"/>
    <w:rsid w:val="003944DB"/>
    <w:rsid w:val="00411BFE"/>
    <w:rsid w:val="0046756C"/>
    <w:rsid w:val="004D2E2F"/>
    <w:rsid w:val="004E6E3C"/>
    <w:rsid w:val="00522EF8"/>
    <w:rsid w:val="00547DB7"/>
    <w:rsid w:val="005701BC"/>
    <w:rsid w:val="0059280F"/>
    <w:rsid w:val="005C3B46"/>
    <w:rsid w:val="00622BAA"/>
    <w:rsid w:val="00625C89"/>
    <w:rsid w:val="00671BD5"/>
    <w:rsid w:val="006805C1"/>
    <w:rsid w:val="00694556"/>
    <w:rsid w:val="006B23BF"/>
    <w:rsid w:val="006B5595"/>
    <w:rsid w:val="006E1A53"/>
    <w:rsid w:val="006F4C23"/>
    <w:rsid w:val="0070303C"/>
    <w:rsid w:val="007056AA"/>
    <w:rsid w:val="00740B9A"/>
    <w:rsid w:val="0079031E"/>
    <w:rsid w:val="007A24FE"/>
    <w:rsid w:val="00820005"/>
    <w:rsid w:val="00846D27"/>
    <w:rsid w:val="00865886"/>
    <w:rsid w:val="00880E5E"/>
    <w:rsid w:val="00903896"/>
    <w:rsid w:val="00910591"/>
    <w:rsid w:val="00924C89"/>
    <w:rsid w:val="00986101"/>
    <w:rsid w:val="00AC0C06"/>
    <w:rsid w:val="00AF1ED6"/>
    <w:rsid w:val="00B215D3"/>
    <w:rsid w:val="00B80CBD"/>
    <w:rsid w:val="00BC37E8"/>
    <w:rsid w:val="00C33B6B"/>
    <w:rsid w:val="00C71794"/>
    <w:rsid w:val="00CE1C67"/>
    <w:rsid w:val="00CF1B01"/>
    <w:rsid w:val="00D53924"/>
    <w:rsid w:val="00D9593F"/>
    <w:rsid w:val="00D96D8C"/>
    <w:rsid w:val="00E54642"/>
    <w:rsid w:val="00E87893"/>
    <w:rsid w:val="00E97908"/>
    <w:rsid w:val="00F44EB7"/>
    <w:rsid w:val="00F567E2"/>
    <w:rsid w:val="00F64BC8"/>
    <w:rsid w:val="00F67A71"/>
    <w:rsid w:val="00F70BEC"/>
    <w:rsid w:val="00F94463"/>
    <w:rsid w:val="00F96C82"/>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0C0E23-A83D-41A8-917A-092666C3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86101"/>
    <w:rPr>
      <w:color w:val="808080"/>
    </w:rPr>
  </w:style>
  <w:style w:type="paragraph" w:styleId="ad">
    <w:name w:val="List Paragraph"/>
    <w:basedOn w:val="a"/>
    <w:uiPriority w:val="34"/>
    <w:qFormat/>
    <w:rsid w:val="00740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iesSelectionDS>
      <CaseParties>
        <PartyTypeName>עד</PartyTypeName>
        <ProceedingType>בית משפט</ProceedingType>
        <PleaName>הודעת ערעור</PleaName>
        <PartyBelonging> - </PartyBelonging>
        <RoleName>עד בית משפט </RoleName>
        <IsSubProceeding>FALSE</IsSubProceeding>
        <FullName>עו"ד מדחת דיבה</FullName>
        <FirstName>עו"ד מדחת</FirstName>
        <LastName>דיבה</LastName>
        <PartyPropertyName/>
        <AuthenticationTypeAndNumber>ת"ז </AuthenticationTypeAndNumber>
        <RepresentatedOrRepresentativesNames/>
        <RepresentatedOrRepresentativesCount>0</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215347495</CasePartyID>
        <PartyTypeID>4</PartyTypeID>
        <ActivityStatusID>1</ActivityStatusID>
        <PartyAliasID>101</PartyAliasID>
        <PartyAliasName>עד בית משפט</PartyAliasName>
        <LegalEntityID>79169257</LegalEntityID>
        <CaseLegalEntityID>112044732</CaseLegalEntityID>
        <AuthenticationTypeID>1</AuthenticationTypeID>
        <AuthenticationTypeName>ת"ז</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בית חנינה ירושלים </FullAddress>
        <MotionID>0</MotionID>
        <CasePleaID>0</CasePleaID>
        <LinkedCaseID>0</LinkedCaseID>
        <CasePartyCategoryID>1</CasePartyCategoryID>
        <LegalEntityAddressID>84233570</LegalEntityAddressID>
        <PleaTypeID>6</PleaTypeID>
        <GroupPartyAlias/>
        <IsConverted>false</IsConverted>
        <LegalEntityNameID>90074609</LegalEntityNameID>
        <RepresentatedNamesOfAssistant/>
        <LegalEntityTypeID>1</LegalEntityTypeID>
        <IsVerdictExists>false</IsVerdictExists>
        <IsAsirAzir>false</IsAsirAzir>
        <IsPublicationProhibited>false</IsPublicationProhibited>
        <PublicationProhibitedFullName>עו"ד מדחת דיבה</PublicationProhibitedFullName>
      </CaseParties>
      <CaseParties>
        <PartyTypeName>עד</PartyTypeName>
        <ProceedingType>בית משפט</ProceedingType>
        <PleaName>הודעת ערעור</PleaName>
        <PartyBelonging> - </PartyBelonging>
        <RoleName>עד בית משפט </RoleName>
        <IsSubProceeding>FALSE</IsSubProceeding>
        <FullName>יגאל דרייגור</FullName>
        <FirstName>יגאל</FirstName>
        <LastName>דרייגור</LastName>
        <PartyPropertyName/>
        <AuthenticationTypeAndNumber>ת"ז </AuthenticationTypeAndNumber>
        <RepresentatedOrRepresentativesNames/>
        <RepresentatedOrRepresentativesCount>0</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215347584</CasePartyID>
        <PartyTypeID>4</PartyTypeID>
        <ActivityStatusID>1</ActivityStatusID>
        <PartyAliasID>101</PartyAliasID>
        <PartyAliasName>עד בית משפט</PartyAliasName>
        <LegalEntityID>79169260</LegalEntityID>
        <CaseLegalEntityID>112044755</CaseLegalEntityID>
        <AuthenticationTypeID>1</AuthenticationTypeID>
        <AuthenticationTypeName>ת"ז</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ירושלים </FullAddress>
        <MotionID>0</MotionID>
        <CasePleaID>0</CasePleaID>
        <LinkedCaseID>0</LinkedCaseID>
        <CasePartyCategoryID>1</CasePartyCategoryID>
        <LegalEntityAddressID>84233576</LegalEntityAddressID>
        <PleaTypeID>6</PleaTypeID>
        <GroupPartyAlias/>
        <IsConverted>false</IsConverted>
        <LegalEntityNameID>90074618</LegalEntityNameID>
        <RepresentatedNamesOfAssistant/>
        <LegalEntityTypeID>1</LegalEntityTypeID>
        <IsVerdictExists>false</IsVerdictExists>
        <IsAsirAzir>false</IsAsirAzir>
        <IsPublicationProhibited>false</IsPublicationProhibited>
        <PublicationProhibitedFullName>יגאל דרייגור</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קרן יוסט</FullName>
        <FirstName>קרן</FirstName>
        <LastName>יוסט</LastName>
        <PartyPropertyName/>
        <AuthenticationTypeAndNumber>מ.ר. 23388</AuthenticationTypeAndNumber>
        <RepresentatedOrRepresentativesNames> יחידת ביקורת פשיעה חמורה</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260961337</CasePartyID>
        <PartyTypeID>2</PartyTypeID>
        <ActivityStatusID>1</ActivityStatusID>
        <PartyAliasID>23</PartyAliasID>
        <PartyAliasName>בא כוח משיבים</PartyAliasName>
        <LegalEntityID>401563</LegalEntityID>
        <CaseLegalEntityID>126067904</CaseLegalEntityID>
        <AuthenticationTypeID>4</AuthenticationTypeID>
        <AuthenticationTypeName>מ.ר.</AuthenticationTypeName>
        <LegalEntityNumber>23388</LegalEntityNumber>
        <IsMainPartyType>true</IsMainPartyType>
        <CaseDisplayIdentifier>11168-10-18</CaseDisplayIdentifier>
        <CaseTypeID>10113</CaseTypeID>
        <CaseTypeName>ערעור מסים (ע"מ)</CaseTypeName>
        <CaseName>שערי ירושלים בע"מ נ' יחידת ביקורת פשיעה חמורה</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6</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ג'ריס דחדולה</FullName>
        <FirstName>ג'ריס</FirstName>
        <LastName>דחדולה</LastName>
        <PartyPropertyName/>
        <AuthenticationTypeAndNumber>מ.ר. 33873</AuthenticationTypeAndNumber>
        <RepresentatedOrRepresentativesNames> שערי ירושלים בע"מ</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187240076</CasePartyID>
        <PartyTypeID>2</PartyTypeID>
        <ActivityStatusID>1</ActivityStatusID>
        <PartyAliasID>24</PartyAliasID>
        <PartyAliasName>בא כוח מערערים</PartyAliasName>
        <OrdinalNumber>1</OrdinalNumber>
        <LegalEntityID>406829</LegalEntityID>
        <CaseLegalEntityID>103770920</CaseLegalEntityID>
        <AuthenticationTypeID>4</AuthenticationTypeID>
        <AuthenticationTypeName>מ.ר.</AuthenticationTypeName>
        <LegalEntityNumber>33873</LegalEntityNumber>
        <IsMainPartyType>true</IsMainPartyType>
        <CaseDisplayIdentifier>11168-10-18</CaseDisplayIdentifier>
        <CaseTypeID>10113</CaseTypeID>
        <CaseTypeName>ערעור מסים (ע"מ)</CaseTypeName>
        <CaseName>שערי ירושלים בע"מ נ' יחידת ביקורת פשיעה חמורה</CaseName>
        <FullAddress>החטיבות 1 נוף הגליל </FullAddress>
        <EmailAddress>jeriesdahdole.law@gmail.com</EmailAddress>
        <MotionID>0</MotionID>
        <CasePleaID>0</CasePleaID>
        <FatherName xml:space="preserve">        </FatherName>
        <LinkedCaseID>0</LinkedCaseID>
        <PartyID>1</PartyID>
        <CasePartyCategoryID>2</CasePartyCategoryID>
        <LegalEntityAddressID>82055028</LegalEntityAddressID>
        <LegalEntityEmailAddressID>67946090</LegalEntityEmailAddressID>
        <PleaTypeID>6</PleaTypeID>
        <LawyerOfficeName>משרד עו"ד: ג'ריס דחדולה</LawyerOfficeName>
        <LawyerOfficeID>447473</LawyerOfficeID>
        <GroupPartyAlias/>
        <IsConverted>false</IsConverted>
        <LegalEntityNameID>27813</LegalEntityNameID>
        <RepresentatedNamesOfAssistant/>
        <LegalEntityTypeID>4</LegalEntityTypeID>
        <IsVerdictExists>false</IsVerdictExists>
        <IsAsirAzir>false</IsAsirAzir>
        <IsPublicationProhibited>false</IsPublicationProhibited>
        <PublicationProhibitedFullName>ג'ריס דחדולה</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שערי ירושלים בע"מ</FullName>
        <LastName>שערי ירושלים בע"מ</LastName>
        <PartyPropertyName/>
        <AuthenticationTypeAndNumber>עמותות </AuthenticationTypeAndNumber>
        <RepresentatedOrRepresentativesNames>ג'ריס דחדולה</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187240077</CasePartyID>
        <PartyTypeID>1</PartyTypeID>
        <ActivityStatusID>1</ActivityStatusID>
        <PartyAliasID>5</PartyAliasID>
        <PartyAliasName>מערער</PartyAliasName>
        <OrdinalNumber>1</OrdinalNumber>
        <LegalEntityID>77548318</LegalEntityID>
        <CaseLegalEntityID>103770921</CaseLegalEntityID>
        <AuthenticationTypeID>8</AuthenticationTypeID>
        <AuthenticationTypeName>עמותות</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MotionID>0</MotionID>
        <CasePleaID>0</CasePleaID>
        <BirthDate>1955-01-01T00:00:00+02:00</BirthDate>
        <FatherName>ויקטור חיים</FatherName>
        <LinkedCaseID>0</LinkedCaseID>
        <PartyID>1</PartyID>
        <CasePartyCategoryID>2</CasePartyCategoryID>
        <PleaTypeID>6</PleaTypeID>
        <GroupPartyAlias>מערערים</GroupPartyAlias>
        <IsConverted>false</IsConverted>
        <LegalEntityNameID>86473007</LegalEntityNameID>
        <RepresentatedNamesOfAssistant/>
        <LegalEntityTypeID>3</LegalEntityTypeID>
        <IsVerdictExists>false</IsVerdictExists>
        <IsAsirAzir>false</IsAsirAzir>
        <IsPublicationProhibited>false</IsPublicationProhibited>
        <PublicationProhibitedFullName>שערי ירושלים בע"מ</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יחידת ביקורת פשיעה חמורה</FullName>
        <LastName>יחידת ביקורת פשיעה חמורה</LastName>
        <PartyPropertyName/>
        <AuthenticationTypeAndNumber>חברות </AuthenticationTypeAndNumber>
        <RepresentatedOrRepresentativesNames>קרן יוסט</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187240078</CasePartyID>
        <PartyTypeID>1</PartyTypeID>
        <ActivityStatusID>1</ActivityStatusID>
        <PartyAliasID>4</PartyAliasID>
        <PartyAliasName>משיב</PartyAliasName>
        <OrdinalNumber>1</OrdinalNumber>
        <LegalEntityID>77548319</LegalEntityID>
        <CaseLegalEntityID>103770922</CaseLegalEntityID>
        <AuthenticationTypeID>3</AuthenticationTypeID>
        <AuthenticationTypeName>חברות</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NameID>86473008</LegalEntityNameID>
        <RepresentatedNamesOfAssistant/>
        <LegalEntityTypeID>3</LegalEntityTypeID>
        <IsVerdictExists>false</IsVerdictExists>
        <IsAsirAzir>false</IsAsirAzir>
        <IsPublicationProhibited>false</IsPublicationProhibited>
        <PublicationProhibitedFullName>יחידת ביקורת פשיעה חמורה</PublicationProhibitedFullName>
      </CaseParties>
    </CasePartiesSelectionDS>
    <DecisionName>פסק דין  שניתנה ע"י  אביגדור דורות</DecisionName>
    <CourtDisplayName>בית המשפט המחוזי בירושלים בשבתו כבית-משפט לעניינים מנהליים</CourtDisplayName>
    <IsCaseJudgePanel>false</IsCaseJudgePanel>
    <DecisionSignatureDate>2024-01-10T09:04:04.131008+02:00</DecisionSignatureDate>
    <OpenCaseDate>2018-10-07T07:00:00+03:00</OpenCaseDate>
    <DecisionTypeID>2</DecisionTypeID>
    <DecisionSignatureUserName>אביגדור דורות</DecisionSignatureUserName>
    <DecisionSignatureDateHebrew>2024-01-10T09:04:04.131008+02:00</DecisionSignatureDateHebrew>
    <DecisionWriterID>055121115@GOV.IL</DecisionWriterID>
    <CourtAddress>רח'  צאלח-א-דין  40, ירושלים 9711060</CourtAddress>
    <IsAutoTextInCaseExist>false</IsAutoTextInCaseExist>
    <DecisionSignatureRoleName>שופט</DecisionSignatureRoleName>
    <DecisionSignatureUserTitleName>שופט</DecisionSignatureUserTitleName>
    <CaseName>שערי ירושלים בע"מ נ' יחידת ביקורת פשיעה חמורה</CaseName>
    <DecisionNumberInCase>1</DecisionNumberInCase>
  </dt_Decision>
  <dt_DecisionCase>
    <DecisionID>0</DecisionID>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iesSelectionDS>
      <CaseParties>
        <PartyTypeName>עד</PartyTypeName>
        <ProceedingType>בית משפט</ProceedingType>
        <PleaName>הודעת ערעור</PleaName>
        <PartyBelonging> - </PartyBelonging>
        <RoleName>עד בית משפט </RoleName>
        <IsSubProceeding>FALSE</IsSubProceeding>
        <FullName>עו"ד מדחת דיבה</FullName>
        <FirstName>עו"ד מדחת</FirstName>
        <LastName>דיבה</LastName>
        <PartyPropertyName/>
        <AuthenticationTypeAndNumber>ת"ז </AuthenticationTypeAndNumber>
        <RepresentatedOrRepresentativesNames/>
        <RepresentatedOrRepresentativesCount>0</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215347495</CasePartyID>
        <PartyTypeID>4</PartyTypeID>
        <ActivityStatusID>1</ActivityStatusID>
        <PartyAliasID>101</PartyAliasID>
        <PartyAliasName>עד בית משפט</PartyAliasName>
        <LegalEntityID>79169257</LegalEntityID>
        <CaseLegalEntityID>112044732</CaseLegalEntityID>
        <AuthenticationTypeID>1</AuthenticationTypeID>
        <AuthenticationTypeName>ת"ז</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בית חנינה ירושלים </FullAddress>
        <MotionID>0</MotionID>
        <CasePleaID>0</CasePleaID>
        <LinkedCaseID>0</LinkedCaseID>
        <CasePartyCategoryID>1</CasePartyCategoryID>
        <LegalEntityAddressID>84233570</LegalEntityAddressID>
        <PleaTypeID>6</PleaTypeID>
        <GroupPartyAlias/>
        <IsConverted>false</IsConverted>
        <LegalEntityNameID>90074609</LegalEntityNameID>
        <RepresentatedNamesOfAssistant/>
        <LegalEntityTypeID>1</LegalEntityTypeID>
        <IsVerdictExists>false</IsVerdictExists>
        <IsAsirAzir>false</IsAsirAzir>
        <IsPublicationProhibited>false</IsPublicationProhibited>
        <PublicationProhibitedFullName>עו"ד מדחת דיבה</PublicationProhibitedFullName>
      </CaseParties>
      <CaseParties>
        <PartyTypeName>עד</PartyTypeName>
        <ProceedingType>בית משפט</ProceedingType>
        <PleaName>הודעת ערעור</PleaName>
        <PartyBelonging> - </PartyBelonging>
        <RoleName>עד בית משפט </RoleName>
        <IsSubProceeding>FALSE</IsSubProceeding>
        <FullName>יגאל דרייגור</FullName>
        <FirstName>יגאל</FirstName>
        <LastName>דרייגור</LastName>
        <PartyPropertyName/>
        <AuthenticationTypeAndNumber>ת"ז </AuthenticationTypeAndNumber>
        <RepresentatedOrRepresentativesNames/>
        <RepresentatedOrRepresentativesCount>0</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215347584</CasePartyID>
        <PartyTypeID>4</PartyTypeID>
        <ActivityStatusID>1</ActivityStatusID>
        <PartyAliasID>101</PartyAliasID>
        <PartyAliasName>עד בית משפט</PartyAliasName>
        <LegalEntityID>79169260</LegalEntityID>
        <CaseLegalEntityID>112044755</CaseLegalEntityID>
        <AuthenticationTypeID>1</AuthenticationTypeID>
        <AuthenticationTypeName>ת"ז</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ירושלים </FullAddress>
        <MotionID>0</MotionID>
        <CasePleaID>0</CasePleaID>
        <LinkedCaseID>0</LinkedCaseID>
        <CasePartyCategoryID>1</CasePartyCategoryID>
        <LegalEntityAddressID>84233576</LegalEntityAddressID>
        <PleaTypeID>6</PleaTypeID>
        <GroupPartyAlias/>
        <IsConverted>false</IsConverted>
        <LegalEntityNameID>90074618</LegalEntityNameID>
        <RepresentatedNamesOfAssistant/>
        <LegalEntityTypeID>1</LegalEntityTypeID>
        <IsVerdictExists>false</IsVerdictExists>
        <IsAsirAzir>false</IsAsirAzir>
        <IsPublicationProhibited>false</IsPublicationProhibited>
        <PublicationProhibitedFullName>יגאל דרייגור</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קרן יוסט</FullName>
        <FirstName>קרן</FirstName>
        <LastName>יוסט</LastName>
        <PartyPropertyName/>
        <AuthenticationTypeAndNumber>מ.ר. 23388</AuthenticationTypeAndNumber>
        <RepresentatedOrRepresentativesNames> יחידת ביקורת פשיעה חמורה</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260961337</CasePartyID>
        <PartyTypeID>2</PartyTypeID>
        <ActivityStatusID>1</ActivityStatusID>
        <PartyAliasID>23</PartyAliasID>
        <PartyAliasName>בא כוח משיבים</PartyAliasName>
        <LegalEntityID>401563</LegalEntityID>
        <CaseLegalEntityID>126067904</CaseLegalEntityID>
        <AuthenticationTypeID>4</AuthenticationTypeID>
        <AuthenticationTypeName>מ.ר.</AuthenticationTypeName>
        <LegalEntityNumber>23388</LegalEntityNumber>
        <IsMainPartyType>true</IsMainPartyType>
        <CaseDisplayIdentifier>11168-10-18</CaseDisplayIdentifier>
        <CaseTypeID>10113</CaseTypeID>
        <CaseTypeName>ערעור מסים (ע"מ)</CaseTypeName>
        <CaseName>שערי ירושלים בע"מ נ' יחידת ביקורת פשיעה חמורה</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6</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ג'ריס דחדולה</FullName>
        <FirstName>ג'ריס</FirstName>
        <LastName>דחדולה</LastName>
        <PartyPropertyName/>
        <AuthenticationTypeAndNumber>מ.ר. 33873</AuthenticationTypeAndNumber>
        <RepresentatedOrRepresentativesNames> שערי ירושלים בע"מ</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187240076</CasePartyID>
        <PartyTypeID>2</PartyTypeID>
        <ActivityStatusID>1</ActivityStatusID>
        <PartyAliasID>24</PartyAliasID>
        <PartyAliasName>בא כוח מערערים</PartyAliasName>
        <OrdinalNumber>1</OrdinalNumber>
        <LegalEntityID>406829</LegalEntityID>
        <CaseLegalEntityID>103770920</CaseLegalEntityID>
        <AuthenticationTypeID>4</AuthenticationTypeID>
        <AuthenticationTypeName>מ.ר.</AuthenticationTypeName>
        <LegalEntityNumber>33873</LegalEntityNumber>
        <IsMainPartyType>true</IsMainPartyType>
        <CaseDisplayIdentifier>11168-10-18</CaseDisplayIdentifier>
        <CaseTypeID>10113</CaseTypeID>
        <CaseTypeName>ערעור מסים (ע"מ)</CaseTypeName>
        <CaseName>שערי ירושלים בע"מ נ' יחידת ביקורת פשיעה חמורה</CaseName>
        <FullAddress>החטיבות 1 נוף הגליל </FullAddress>
        <EmailAddress>jeriesdahdole.law@gmail.com</EmailAddress>
        <MotionID>0</MotionID>
        <CasePleaID>0</CasePleaID>
        <FatherName xml:space="preserve">        </FatherName>
        <LinkedCaseID>0</LinkedCaseID>
        <PartyID>1</PartyID>
        <CasePartyCategoryID>2</CasePartyCategoryID>
        <LegalEntityAddressID>82055028</LegalEntityAddressID>
        <LegalEntityEmailAddressID>67946090</LegalEntityEmailAddressID>
        <PleaTypeID>6</PleaTypeID>
        <LawyerOfficeName>משרד עו"ד: ג'ריס דחדולה</LawyerOfficeName>
        <LawyerOfficeID>447473</LawyerOfficeID>
        <GroupPartyAlias/>
        <IsConverted>false</IsConverted>
        <LegalEntityNameID>27813</LegalEntityNameID>
        <RepresentatedNamesOfAssistant/>
        <LegalEntityTypeID>4</LegalEntityTypeID>
        <IsVerdictExists>false</IsVerdictExists>
        <IsAsirAzir>false</IsAsirAzir>
        <IsPublicationProhibited>false</IsPublicationProhibited>
        <PublicationProhibitedFullName>ג'ריס דחדולה</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שערי ירושלים בע"מ</FullName>
        <LastName>שערי ירושלים בע"מ</LastName>
        <PartyPropertyName/>
        <AuthenticationTypeAndNumber>עמותות </AuthenticationTypeAndNumber>
        <RepresentatedOrRepresentativesNames>ג'ריס דחדולה</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187240077</CasePartyID>
        <PartyTypeID>1</PartyTypeID>
        <ActivityStatusID>1</ActivityStatusID>
        <PartyAliasID>5</PartyAliasID>
        <PartyAliasName>מערער</PartyAliasName>
        <OrdinalNumber>1</OrdinalNumber>
        <LegalEntityID>77548318</LegalEntityID>
        <CaseLegalEntityID>103770921</CaseLegalEntityID>
        <AuthenticationTypeID>8</AuthenticationTypeID>
        <AuthenticationTypeName>עמותות</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MotionID>0</MotionID>
        <CasePleaID>0</CasePleaID>
        <BirthDate>1955-01-01T00:00:00+02:00</BirthDate>
        <FatherName>ויקטור חיים</FatherName>
        <LinkedCaseID>0</LinkedCaseID>
        <PartyID>1</PartyID>
        <CasePartyCategoryID>2</CasePartyCategoryID>
        <PleaTypeID>6</PleaTypeID>
        <GroupPartyAlias>מערערים</GroupPartyAlias>
        <IsConverted>false</IsConverted>
        <LegalEntityNameID>86473007</LegalEntityNameID>
        <RepresentatedNamesOfAssistant/>
        <LegalEntityTypeID>3</LegalEntityTypeID>
        <IsVerdictExists>false</IsVerdictExists>
        <IsAsirAzir>false</IsAsirAzir>
        <IsPublicationProhibited>false</IsPublicationProhibited>
        <PublicationProhibitedFullName>שערי ירושלים בע"מ</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יחידת ביקורת פשיעה חמורה</FullName>
        <LastName>יחידת ביקורת פשיעה חמורה</LastName>
        <PartyPropertyName/>
        <AuthenticationTypeAndNumber>חברות </AuthenticationTypeAndNumber>
        <RepresentatedOrRepresentativesNames>קרן יוסט</RepresentatedOrRepresentativesNames>
        <RepresentatedOrRepresentativesCount>1</RepresentatedOrRepresentativesCount>
        <InvitedBy/>
        <CaseID>75819121</CaseID>
        <CaseJudicialPersonPresentationDS>
          <CaseJudicalPersonActive>
            <CaseID>75819121</CaseID>
            <JudicialPersonID>055121115@GOV.IL</JudicialPersonID>
            <JudicialPersonTypeID>1</JudicialPersonTypeID>
            <JudicialTypeID>1</JudicialTypeID>
            <IsChairman>false</IsChairman>
            <TreatmentStartDate>2018-10-10T17:42:35.327+03:00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187240078</CasePartyID>
        <PartyTypeID>1</PartyTypeID>
        <ActivityStatusID>1</ActivityStatusID>
        <PartyAliasID>4</PartyAliasID>
        <PartyAliasName>משיב</PartyAliasName>
        <OrdinalNumber>1</OrdinalNumber>
        <LegalEntityID>77548319</LegalEntityID>
        <CaseLegalEntityID>103770922</CaseLegalEntityID>
        <AuthenticationTypeID>3</AuthenticationTypeID>
        <AuthenticationTypeName>חברות</AuthenticationTypeName>
        <IsMainPartyType>true</IsMainPartyType>
        <CaseDisplayIdentifier>11168-10-18</CaseDisplayIdentifier>
        <CaseTypeID>10113</CaseTypeID>
        <CaseTypeName>ערעור מסים (ע"מ)</CaseTypeName>
        <CaseName>שערי ירושלים בע"מ נ' יחידת ביקורת פשיעה חמורה</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NameID>86473008</LegalEntityNameID>
        <RepresentatedNamesOfAssistant/>
        <LegalEntityTypeID>3</LegalEntityTypeID>
        <IsVerdictExists>false</IsVerdictExists>
        <IsAsirAzir>false</IsAsirAzir>
        <IsPublicationProhibited>false</IsPublicationProhibited>
        <PublicationProhibitedFullName>יחידת ביקורת פשיעה חמורה</PublicationProhibitedFullName>
      </CaseParties>
    </CasePartiesSelectionDS>
    <CaseName>שערי ירושלים בע"מ נ' יחידת ביקורת פשיעה חמורה</CaseName>
    <CaseDisplayIdentifier>11168-10-18</CaseDisplayIdentifier>
    <CaseInterestID>66</CaseInterestID>
    <CaseTypeShortName>ע"מ</CaseTypeShortName>
  </dt_DecisionCase>
  <dt_DecisionJudgePanel>
    <JudgeID>055121115@GOV.IL</JudgeID>
    <DisplayName>אביגדור דורות</DisplayName>
    <RoleName>שופט</RoleName>
    <UserTitleName>שופט</UserTitleName>
  </dt_DecisionJudgePanel>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Fax>02-5419581</Fax>
    <Phone>02-5419555</Phone>
    <PartyID>2</PartyID>
    <PartyTypeID>2</PartyTypeID>
    <DecisionID>0</DecisionID>
    <StreetName>מח"ל 7</StreetName>
    <CityName>ירושלים</CityName>
    <FullName>קרן יוסט</FullName>
    <Email>Ez-jer@justice.gov.il</Email>
    <IsPublicationProhibited>false</IsPublicationProhibited>
  </dt_LegalEntityDetails>
  <dt_LegalEntityDetails>
    <Fax>04-6452646</Fax>
    <Phone>04-6554341</Phone>
    <PartyID>1</PartyID>
    <PartyTypeID>2</PartyTypeID>
    <DecisionID>0</DecisionID>
    <StreetName>החטיבות 1</StreetName>
    <ZipCode>1711001</ZipCode>
    <CityName>נוף הגליל</CityName>
    <FullName>ג'ריס דחדולה</FullName>
    <Email>jeriesdahdole.law@gmail.com</Email>
    <IsPublicationProhibited>false</IsPublicationProhibited>
  </dt_LegalEntityDetails>
  <dt_LegalEntityDetails>
    <PartyID>1</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CaseJudicalPersonActive>
    <CaseJudicalPerson>שופט אביגדור דורות</CaseJudicalPerson>
  </dt_CaseJudicalPersonActive>
  <dt_Sitting>
    <PreviousMeetingDate>2021-10-06T10:00:00+03:00</PreviousMeetingDate>
    <PreviousSittingTypeID>2</PreviousSittingTypeID>
    <PreviousMeetingDisplayName>שופט אביגדור דורות</PreviousMeetingDisplayName>
    <PreviousMeetingRoleName>שופט</PreviousMeetingRoleName>
    <PreviousMeetingUserTitleName>שופט</PreviousMeetingUserTitleName>
    <PreviousMeetingUserUPN>055121115@GOV.IL</PreviousMeetingUserUPN>
  </dt_Sitting>
</DecisionTemplateDS>
</file>

<file path=customXml/itemProps1.xml><?xml version="1.0" encoding="utf-8"?>
<ds:datastoreItem xmlns:ds="http://schemas.openxmlformats.org/officeDocument/2006/customXml" ds:itemID="{B93EFD3A-F63C-433C-8C28-6C31366F96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3671</Words>
  <Characters>18357</Characters>
  <Application>Microsoft Office Word</Application>
  <DocSecurity>0</DocSecurity>
  <Lines>152</Lines>
  <Paragraphs>43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2024-01-14T08:04:00Z</dcterms:created>
  <dcterms:modified xsi:type="dcterms:W3CDTF">2024-01-14T08:04:00Z</dcterms:modified>
</cp:coreProperties>
</file>