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422" w:rsidRPr="00832AD7" w:rsidRDefault="002453CF" w:rsidP="00832AD7">
      <w:pPr>
        <w:spacing w:after="0" w:line="240" w:lineRule="auto"/>
        <w:rPr>
          <w:rFonts w:cs="David"/>
          <w:b/>
          <w:bCs/>
          <w:sz w:val="16"/>
          <w:szCs w:val="16"/>
          <w:rtl/>
        </w:rPr>
      </w:pPr>
      <w:bookmarkStart w:id="0" w:name="_GoBack"/>
      <w:bookmarkEnd w:id="0"/>
      <w:r w:rsidRPr="006C3B1F">
        <w:rPr>
          <w:rFonts w:cs="David" w:hint="cs"/>
          <w:b/>
          <w:bCs/>
          <w:sz w:val="24"/>
          <w:szCs w:val="24"/>
          <w:rtl/>
        </w:rPr>
        <w:t xml:space="preserve">                                 </w:t>
      </w:r>
      <w:r w:rsidR="006B7B96" w:rsidRPr="006C3B1F">
        <w:rPr>
          <w:rFonts w:cs="David" w:hint="cs"/>
          <w:b/>
          <w:bCs/>
          <w:sz w:val="24"/>
          <w:szCs w:val="24"/>
          <w:rtl/>
        </w:rPr>
        <w:t xml:space="preserve">           </w:t>
      </w:r>
      <w:r w:rsidR="00631744">
        <w:rPr>
          <w:rFonts w:cs="David" w:hint="cs"/>
          <w:b/>
          <w:bCs/>
          <w:sz w:val="24"/>
          <w:szCs w:val="24"/>
          <w:rtl/>
        </w:rPr>
        <w:t xml:space="preserve">           </w:t>
      </w:r>
      <w:r w:rsidR="006C3B1F">
        <w:rPr>
          <w:rFonts w:cs="David" w:hint="cs"/>
          <w:b/>
          <w:bCs/>
          <w:sz w:val="24"/>
          <w:szCs w:val="24"/>
          <w:rtl/>
        </w:rPr>
        <w:t xml:space="preserve">   </w:t>
      </w:r>
      <w:r w:rsidRPr="006C3B1F">
        <w:rPr>
          <w:rFonts w:cs="David" w:hint="cs"/>
          <w:b/>
          <w:bCs/>
          <w:sz w:val="24"/>
          <w:szCs w:val="24"/>
          <w:rtl/>
        </w:rPr>
        <w:t xml:space="preserve">  </w:t>
      </w:r>
      <w:r w:rsidR="001D42A7">
        <w:rPr>
          <w:rFonts w:hint="cs"/>
          <w:b/>
          <w:bCs/>
          <w:rtl/>
        </w:rPr>
        <w:t xml:space="preserve">  </w:t>
      </w:r>
    </w:p>
    <w:p w:rsidR="00983123" w:rsidRPr="00832AD7" w:rsidRDefault="007557C3" w:rsidP="00832AD7">
      <w:pPr>
        <w:spacing w:after="0" w:line="240" w:lineRule="auto"/>
        <w:jc w:val="right"/>
        <w:rPr>
          <w:rFonts w:ascii="Times New Roman" w:eastAsia="Times New Roman" w:hAnsi="Times New Roman" w:cs="David"/>
          <w:sz w:val="16"/>
          <w:szCs w:val="16"/>
        </w:rPr>
      </w:pPr>
      <w:r>
        <w:rPr>
          <w:rFonts w:ascii="Times New Roman" w:eastAsia="Times New Roman" w:hAnsi="Times New Roman" w:cs="David" w:hint="cs"/>
          <w:sz w:val="16"/>
          <w:szCs w:val="16"/>
          <w:rtl/>
        </w:rPr>
        <w:t>14 בינואר 2024</w:t>
      </w:r>
    </w:p>
    <w:p w:rsidR="00983123" w:rsidRPr="00832AD7" w:rsidRDefault="00983123" w:rsidP="00832AD7">
      <w:pPr>
        <w:spacing w:after="0" w:line="240" w:lineRule="auto"/>
        <w:jc w:val="right"/>
        <w:rPr>
          <w:rFonts w:ascii="Times New Roman" w:eastAsia="Times New Roman" w:hAnsi="Times New Roman" w:cs="David"/>
          <w:sz w:val="16"/>
          <w:szCs w:val="16"/>
          <w:rtl/>
        </w:rPr>
      </w:pPr>
      <w:r w:rsidRPr="00832AD7">
        <w:rPr>
          <w:rFonts w:ascii="Times New Roman" w:eastAsia="Times New Roman" w:hAnsi="Times New Roman" w:cs="David" w:hint="cs"/>
          <w:sz w:val="16"/>
          <w:szCs w:val="16"/>
          <w:rtl/>
        </w:rPr>
        <w:t xml:space="preserve">                                                                                                   </w:t>
      </w: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DocDateHeb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007557C3">
        <w:rPr>
          <w:rFonts w:ascii="Times New Roman" w:eastAsia="Times New Roman" w:hAnsi="Times New Roman" w:cs="David" w:hint="cs"/>
          <w:sz w:val="16"/>
          <w:szCs w:val="16"/>
          <w:rtl/>
        </w:rPr>
        <w:t>ד' בשבט</w:t>
      </w:r>
      <w:r w:rsidRPr="00832AD7">
        <w:rPr>
          <w:rFonts w:ascii="Times New Roman" w:eastAsia="Times New Roman" w:hAnsi="Times New Roman" w:cs="David" w:hint="cs"/>
          <w:sz w:val="16"/>
          <w:szCs w:val="16"/>
          <w:rtl/>
        </w:rPr>
        <w:t xml:space="preserve"> תשפ"ד</w:t>
      </w:r>
      <w:r w:rsidRPr="00832AD7">
        <w:rPr>
          <w:rFonts w:ascii="Times New Roman" w:eastAsia="Times New Roman" w:hAnsi="Times New Roman" w:cs="David" w:hint="cs"/>
          <w:sz w:val="16"/>
          <w:szCs w:val="16"/>
          <w:rtl/>
        </w:rPr>
        <w:fldChar w:fldCharType="end"/>
      </w:r>
    </w:p>
    <w:p w:rsidR="00541C9E" w:rsidRPr="000071E5" w:rsidRDefault="007557C3" w:rsidP="007557C3">
      <w:pPr>
        <w:spacing w:after="120" w:line="360" w:lineRule="auto"/>
        <w:jc w:val="center"/>
        <w:rPr>
          <w:rFonts w:ascii="FrankRuehl" w:hAnsi="FrankRuehl" w:cs="FrankRuehl"/>
          <w:b/>
          <w:bCs/>
          <w:color w:val="002060"/>
          <w:sz w:val="32"/>
          <w:szCs w:val="32"/>
          <w:u w:val="single"/>
          <w:rtl/>
        </w:rPr>
      </w:pPr>
      <w:r>
        <w:rPr>
          <w:rFonts w:ascii="FrankRuehl" w:hAnsi="FrankRuehl" w:cs="FrankRuehl"/>
          <w:b/>
          <w:bCs/>
          <w:color w:val="002060"/>
          <w:sz w:val="32"/>
          <w:szCs w:val="32"/>
          <w:u w:val="single"/>
          <w:rtl/>
        </w:rPr>
        <w:t xml:space="preserve">תקציר </w:t>
      </w:r>
      <w:r>
        <w:rPr>
          <w:rFonts w:ascii="FrankRuehl" w:hAnsi="FrankRuehl" w:cs="FrankRuehl" w:hint="cs"/>
          <w:b/>
          <w:bCs/>
          <w:color w:val="002060"/>
          <w:sz w:val="32"/>
          <w:szCs w:val="32"/>
          <w:u w:val="single"/>
          <w:rtl/>
        </w:rPr>
        <w:t>גזר דין</w:t>
      </w:r>
      <w:r w:rsidR="001922C3">
        <w:rPr>
          <w:rFonts w:ascii="FrankRuehl" w:hAnsi="FrankRuehl" w:cs="FrankRuehl" w:hint="cs"/>
          <w:b/>
          <w:bCs/>
          <w:color w:val="002060"/>
          <w:sz w:val="32"/>
          <w:szCs w:val="32"/>
          <w:u w:val="single"/>
          <w:rtl/>
        </w:rPr>
        <w:t xml:space="preserve"> בתיק</w:t>
      </w:r>
      <w:r>
        <w:rPr>
          <w:rFonts w:ascii="FrankRuehl" w:hAnsi="FrankRuehl" w:cs="FrankRuehl" w:hint="cs"/>
          <w:b/>
          <w:bCs/>
          <w:color w:val="002060"/>
          <w:sz w:val="32"/>
          <w:szCs w:val="32"/>
          <w:u w:val="single"/>
          <w:rtl/>
        </w:rPr>
        <w:t xml:space="preserve"> ת"פ</w:t>
      </w:r>
      <w:r w:rsidR="001922C3">
        <w:rPr>
          <w:rFonts w:ascii="FrankRuehl" w:hAnsi="FrankRuehl" w:cs="FrankRuehl" w:hint="cs"/>
          <w:b/>
          <w:bCs/>
          <w:color w:val="002060"/>
          <w:sz w:val="32"/>
          <w:szCs w:val="32"/>
          <w:u w:val="single"/>
          <w:rtl/>
        </w:rPr>
        <w:t xml:space="preserve"> </w:t>
      </w:r>
      <w:r w:rsidRPr="007557C3">
        <w:rPr>
          <w:rFonts w:ascii="FrankRuehl" w:hAnsi="FrankRuehl" w:cs="FrankRuehl"/>
          <w:b/>
          <w:bCs/>
          <w:color w:val="002060"/>
          <w:sz w:val="32"/>
          <w:szCs w:val="32"/>
          <w:u w:val="single"/>
          <w:rtl/>
        </w:rPr>
        <w:t>10555</w:t>
      </w:r>
      <w:r>
        <w:rPr>
          <w:rFonts w:ascii="FrankRuehl" w:hAnsi="FrankRuehl" w:cs="FrankRuehl" w:hint="cs"/>
          <w:b/>
          <w:bCs/>
          <w:color w:val="002060"/>
          <w:sz w:val="32"/>
          <w:szCs w:val="32"/>
          <w:u w:val="single"/>
          <w:rtl/>
        </w:rPr>
        <w:t>-10-20, השופטת עינת אבמן-מולר</w:t>
      </w:r>
    </w:p>
    <w:p w:rsidR="007557C3" w:rsidRDefault="007557C3" w:rsidP="007557C3">
      <w:pPr>
        <w:spacing w:line="360" w:lineRule="auto"/>
        <w:jc w:val="both"/>
        <w:rPr>
          <w:rFonts w:ascii="David" w:hAnsi="David" w:cs="David"/>
          <w:sz w:val="24"/>
          <w:szCs w:val="24"/>
          <w:rtl/>
        </w:rPr>
      </w:pPr>
      <w:r>
        <w:rPr>
          <w:rFonts w:ascii="David" w:hAnsi="David" w:cs="David" w:hint="cs"/>
          <w:sz w:val="24"/>
          <w:szCs w:val="24"/>
          <w:rtl/>
        </w:rPr>
        <w:t xml:space="preserve">בית המשפט המחוזי בירושלים (כבוד השופטת עינת אבמן-מולר) גזר היום את דינו של אמיר האפרתי - שהורשע בעבירות </w:t>
      </w:r>
      <w:r w:rsidRPr="007A2116">
        <w:rPr>
          <w:rFonts w:ascii="David" w:hAnsi="David" w:cs="David" w:hint="cs"/>
          <w:sz w:val="24"/>
          <w:szCs w:val="24"/>
          <w:rtl/>
        </w:rPr>
        <w:t>מס, הלבנת הון ומרמה</w:t>
      </w:r>
      <w:r>
        <w:rPr>
          <w:rFonts w:ascii="David" w:hAnsi="David" w:cs="David" w:hint="cs"/>
          <w:sz w:val="24"/>
          <w:szCs w:val="24"/>
          <w:rtl/>
        </w:rPr>
        <w:t xml:space="preserve"> - והטיל עליו עונש מאסר בפועל למשך 9 שנים. בנוסף, הופעל מאסר על תנאי בן 7 חודשים, כך שמחציתו ירוצה בחופף ומחציתו במצטבר. ובסה"כ הוטל על הנאשם עונש מאסר בפועל לתקופה של 9 שנים ו-3.5 חודשי מאסר. בנוסף הוטלו על הנאשם עונשי מאסר על תנאי וקנס בסך 2 מיליון ₪ או 8 חודשי מאסר תמורתו.</w:t>
      </w:r>
    </w:p>
    <w:p w:rsidR="007557C3" w:rsidRDefault="007557C3" w:rsidP="007557C3">
      <w:pPr>
        <w:spacing w:line="360" w:lineRule="auto"/>
        <w:jc w:val="both"/>
        <w:rPr>
          <w:rFonts w:ascii="David" w:hAnsi="David" w:cs="David"/>
          <w:sz w:val="24"/>
          <w:szCs w:val="24"/>
          <w:rtl/>
        </w:rPr>
      </w:pPr>
      <w:r>
        <w:rPr>
          <w:rFonts w:ascii="David" w:hAnsi="David" w:cs="David" w:hint="cs"/>
          <w:sz w:val="24"/>
          <w:szCs w:val="24"/>
          <w:rtl/>
        </w:rPr>
        <w:t xml:space="preserve">הנאשם הורשע בכך שבין השנים 2016 עד 2020 היה חבר </w:t>
      </w:r>
      <w:r w:rsidRPr="002D0A24">
        <w:rPr>
          <w:rFonts w:ascii="David" w:hAnsi="David" w:cs="David" w:hint="cs"/>
          <w:sz w:val="24"/>
          <w:szCs w:val="24"/>
          <w:rtl/>
        </w:rPr>
        <w:t xml:space="preserve">ברשת עבריינית </w:t>
      </w:r>
      <w:r>
        <w:rPr>
          <w:rFonts w:ascii="David" w:hAnsi="David" w:cs="David" w:hint="cs"/>
          <w:sz w:val="24"/>
          <w:szCs w:val="24"/>
          <w:rtl/>
        </w:rPr>
        <w:t xml:space="preserve">שהפיקה והפיצה </w:t>
      </w:r>
      <w:r w:rsidRPr="002D0A24">
        <w:rPr>
          <w:rFonts w:ascii="David" w:hAnsi="David" w:cs="David" w:hint="cs"/>
          <w:sz w:val="24"/>
          <w:szCs w:val="24"/>
          <w:rtl/>
        </w:rPr>
        <w:t xml:space="preserve">אלפי חשבוניות כוזבות </w:t>
      </w:r>
      <w:r>
        <w:rPr>
          <w:rFonts w:ascii="David" w:hAnsi="David" w:cs="David" w:hint="cs"/>
          <w:sz w:val="24"/>
          <w:szCs w:val="24"/>
          <w:rtl/>
        </w:rPr>
        <w:t xml:space="preserve">בהיקף של מאות מיליוני שקלים. </w:t>
      </w:r>
      <w:r w:rsidRPr="002D0A24">
        <w:rPr>
          <w:rFonts w:ascii="David" w:hAnsi="David" w:cs="David" w:hint="cs"/>
          <w:sz w:val="24"/>
          <w:szCs w:val="24"/>
          <w:rtl/>
        </w:rPr>
        <w:t xml:space="preserve">חלק ניכר מפעילותה של הרשת העבריינית </w:t>
      </w:r>
      <w:proofErr w:type="spellStart"/>
      <w:r w:rsidRPr="002D0A24">
        <w:rPr>
          <w:rFonts w:ascii="David" w:hAnsi="David" w:cs="David" w:hint="cs"/>
          <w:sz w:val="24"/>
          <w:szCs w:val="24"/>
          <w:rtl/>
        </w:rPr>
        <w:t>היתה</w:t>
      </w:r>
      <w:proofErr w:type="spellEnd"/>
      <w:r w:rsidRPr="002D0A24">
        <w:rPr>
          <w:rFonts w:ascii="David" w:hAnsi="David" w:cs="David" w:hint="cs"/>
          <w:sz w:val="24"/>
          <w:szCs w:val="24"/>
          <w:rtl/>
        </w:rPr>
        <w:t xml:space="preserve"> עם חברות בתחום הדלק והסולר, ולעתים ש</w:t>
      </w:r>
      <w:r>
        <w:rPr>
          <w:rFonts w:ascii="David" w:hAnsi="David" w:cs="David" w:hint="cs"/>
          <w:sz w:val="24"/>
          <w:szCs w:val="24"/>
          <w:rtl/>
        </w:rPr>
        <w:t>י</w:t>
      </w:r>
      <w:r w:rsidRPr="002D0A24">
        <w:rPr>
          <w:rFonts w:ascii="David" w:hAnsi="David" w:cs="David" w:hint="cs"/>
          <w:sz w:val="24"/>
          <w:szCs w:val="24"/>
          <w:rtl/>
        </w:rPr>
        <w:t xml:space="preserve">משו החשבוניות הכוזבות גם כדי להסוות וליצור כסות חשבונאית </w:t>
      </w:r>
      <w:r>
        <w:rPr>
          <w:rFonts w:ascii="David" w:hAnsi="David" w:cs="David" w:hint="cs"/>
          <w:sz w:val="24"/>
          <w:szCs w:val="24"/>
          <w:rtl/>
        </w:rPr>
        <w:t>עבור מכירת סולר או דלק מהול</w:t>
      </w:r>
      <w:r w:rsidRPr="002D0A24">
        <w:rPr>
          <w:rFonts w:ascii="David" w:hAnsi="David" w:cs="David" w:hint="cs"/>
          <w:sz w:val="24"/>
          <w:szCs w:val="24"/>
          <w:rtl/>
        </w:rPr>
        <w:t>.</w:t>
      </w:r>
    </w:p>
    <w:p w:rsidR="007557C3" w:rsidRPr="009943CB" w:rsidRDefault="007557C3" w:rsidP="007557C3">
      <w:pPr>
        <w:spacing w:line="360" w:lineRule="auto"/>
        <w:jc w:val="both"/>
        <w:rPr>
          <w:rFonts w:ascii="David" w:hAnsi="David" w:cs="David"/>
          <w:sz w:val="24"/>
          <w:szCs w:val="24"/>
          <w:rtl/>
        </w:rPr>
      </w:pPr>
      <w:r w:rsidRPr="009943CB">
        <w:rPr>
          <w:rFonts w:ascii="David" w:hAnsi="David" w:cs="David" w:hint="cs"/>
          <w:sz w:val="24"/>
          <w:szCs w:val="24"/>
          <w:rtl/>
        </w:rPr>
        <w:t xml:space="preserve">בכתב האישום פורטו שלוש שיטות פעולה עיקריות בהן פעלו אנשי הרשת, ובכללם הנאשם: </w:t>
      </w:r>
      <w:r w:rsidRPr="009943CB">
        <w:rPr>
          <w:rFonts w:ascii="Miriam" w:hAnsi="Miriam" w:cs="Miriam"/>
          <w:sz w:val="24"/>
          <w:szCs w:val="24"/>
          <w:rtl/>
        </w:rPr>
        <w:t>האחת, שיטת "חותמות ההסבה"</w:t>
      </w:r>
      <w:r w:rsidRPr="009943CB">
        <w:rPr>
          <w:rFonts w:ascii="David" w:hAnsi="David" w:cs="David" w:hint="cs"/>
          <w:sz w:val="24"/>
          <w:szCs w:val="24"/>
          <w:rtl/>
        </w:rPr>
        <w:t xml:space="preserve"> - כנגד החשבונית הכוזבת הוציאו החברות המקזזות המחאה. הנאשם חתם בגב ההמחאה בחותמת מזויפת. ההמחאה המוסבת הוחזרה לידי החברות המקזזות ואלה נהגו לפרוע אותה אצל נותני שירותי מטבע ולהשתמש במזומנים לצרכיהם;  </w:t>
      </w:r>
      <w:proofErr w:type="spellStart"/>
      <w:r w:rsidRPr="009943CB">
        <w:rPr>
          <w:rFonts w:ascii="Miriam" w:hAnsi="Miriam" w:cs="Miriam"/>
          <w:sz w:val="24"/>
          <w:szCs w:val="24"/>
          <w:rtl/>
        </w:rPr>
        <w:t>השניה</w:t>
      </w:r>
      <w:proofErr w:type="spellEnd"/>
      <w:r w:rsidRPr="009943CB">
        <w:rPr>
          <w:rFonts w:ascii="Miriam" w:hAnsi="Miriam" w:cs="Miriam"/>
          <w:sz w:val="24"/>
          <w:szCs w:val="24"/>
          <w:rtl/>
        </w:rPr>
        <w:t>, שיטת "שימוש בחברות הגנובות"</w:t>
      </w:r>
      <w:r w:rsidRPr="009943CB">
        <w:rPr>
          <w:rFonts w:ascii="David" w:hAnsi="David" w:cs="David" w:hint="cs"/>
          <w:sz w:val="24"/>
          <w:szCs w:val="24"/>
          <w:rtl/>
        </w:rPr>
        <w:t xml:space="preserve"> - </w:t>
      </w:r>
      <w:r w:rsidRPr="009943CB">
        <w:rPr>
          <w:rFonts w:ascii="David" w:hAnsi="David" w:cs="David"/>
          <w:sz w:val="24"/>
          <w:szCs w:val="24"/>
          <w:rtl/>
        </w:rPr>
        <w:t>הנאשם "גנב את זהותן" של חברות קיימות על ידי הגשת מסמכים מזויפים לרשם החברות</w:t>
      </w:r>
      <w:r w:rsidRPr="009943CB">
        <w:rPr>
          <w:rFonts w:ascii="David" w:hAnsi="David" w:cs="David" w:hint="cs"/>
          <w:sz w:val="24"/>
          <w:szCs w:val="24"/>
          <w:rtl/>
        </w:rPr>
        <w:t>,</w:t>
      </w:r>
      <w:r w:rsidRPr="009943CB">
        <w:rPr>
          <w:rFonts w:ascii="David" w:hAnsi="David" w:cs="David"/>
          <w:sz w:val="24"/>
          <w:szCs w:val="24"/>
          <w:rtl/>
        </w:rPr>
        <w:t xml:space="preserve"> </w:t>
      </w:r>
      <w:r w:rsidRPr="009943CB">
        <w:rPr>
          <w:rFonts w:ascii="David" w:hAnsi="David" w:cs="David" w:hint="cs"/>
          <w:sz w:val="24"/>
          <w:szCs w:val="24"/>
          <w:rtl/>
        </w:rPr>
        <w:t>ו</w:t>
      </w:r>
      <w:r w:rsidRPr="009943CB">
        <w:rPr>
          <w:rFonts w:ascii="David" w:hAnsi="David" w:cs="David"/>
          <w:sz w:val="24"/>
          <w:szCs w:val="24"/>
          <w:rtl/>
        </w:rPr>
        <w:t xml:space="preserve">השתמש </w:t>
      </w:r>
      <w:r w:rsidRPr="009943CB">
        <w:rPr>
          <w:rFonts w:ascii="David" w:hAnsi="David" w:cs="David" w:hint="cs"/>
          <w:sz w:val="24"/>
          <w:szCs w:val="24"/>
          <w:rtl/>
        </w:rPr>
        <w:t xml:space="preserve">בפרטי החברות הגנובות </w:t>
      </w:r>
      <w:r w:rsidRPr="009943CB">
        <w:rPr>
          <w:rFonts w:ascii="David" w:hAnsi="David" w:cs="David"/>
          <w:sz w:val="24"/>
          <w:szCs w:val="24"/>
          <w:rtl/>
        </w:rPr>
        <w:t>להנפקת חשבוניות כוזבות</w:t>
      </w:r>
      <w:r w:rsidRPr="009943CB">
        <w:rPr>
          <w:rFonts w:ascii="David" w:hAnsi="David" w:cs="David" w:hint="cs"/>
          <w:sz w:val="24"/>
          <w:szCs w:val="24"/>
          <w:rtl/>
        </w:rPr>
        <w:t xml:space="preserve"> ולביצוע פעולות פיננסיות שונות;</w:t>
      </w:r>
      <w:r w:rsidRPr="009943CB">
        <w:rPr>
          <w:rFonts w:ascii="Miriam" w:hAnsi="Miriam" w:cs="Miriam"/>
          <w:sz w:val="24"/>
          <w:szCs w:val="24"/>
          <w:rtl/>
        </w:rPr>
        <w:t xml:space="preserve"> השלישית, שיטת "חברת הקש"</w:t>
      </w:r>
      <w:r w:rsidRPr="009943CB">
        <w:rPr>
          <w:rFonts w:ascii="David" w:hAnsi="David" w:cs="David" w:hint="cs"/>
          <w:sz w:val="24"/>
          <w:szCs w:val="24"/>
          <w:rtl/>
        </w:rPr>
        <w:t xml:space="preserve"> - הנאשם, ביחד עם אחרים, הקים את חברת אלול ועשה בה שימוש להוצאת חשבוניות כוזבות ולהלבנת כספי עסקה עבור הרשת.</w:t>
      </w:r>
    </w:p>
    <w:p w:rsidR="007557C3" w:rsidRPr="002539DE" w:rsidRDefault="007557C3" w:rsidP="007557C3">
      <w:pPr>
        <w:spacing w:line="360" w:lineRule="auto"/>
        <w:jc w:val="both"/>
        <w:rPr>
          <w:rFonts w:ascii="David" w:hAnsi="David" w:cs="David"/>
          <w:sz w:val="24"/>
          <w:szCs w:val="24"/>
        </w:rPr>
      </w:pPr>
      <w:r w:rsidRPr="002539DE">
        <w:rPr>
          <w:rFonts w:ascii="David" w:hAnsi="David" w:cs="David" w:hint="cs"/>
          <w:sz w:val="24"/>
          <w:szCs w:val="24"/>
          <w:rtl/>
        </w:rPr>
        <w:t xml:space="preserve">בסך </w:t>
      </w:r>
      <w:proofErr w:type="spellStart"/>
      <w:r w:rsidRPr="002539DE">
        <w:rPr>
          <w:rFonts w:ascii="David" w:hAnsi="David" w:cs="David" w:hint="cs"/>
          <w:sz w:val="24"/>
          <w:szCs w:val="24"/>
          <w:rtl/>
        </w:rPr>
        <w:t>הכל</w:t>
      </w:r>
      <w:proofErr w:type="spellEnd"/>
      <w:r w:rsidRPr="002539DE">
        <w:rPr>
          <w:rFonts w:ascii="David" w:hAnsi="David" w:cs="David" w:hint="cs"/>
          <w:sz w:val="24"/>
          <w:szCs w:val="24"/>
          <w:rtl/>
        </w:rPr>
        <w:t xml:space="preserve"> הנפיק הנאשם במסגרת הרשת העבריינית 3,289 חשבוניות פיקטיביות בהיקף של 523,617,206 ₪. כחלק מ"השירותים הפיננסיים" שהעניק על בסיס חשבוניות אלו, העביר הנאשם כספי עסקה וכספי עמלה בגובה 9,215,631 ₪ בכרטסות הפיקטיביות ובחשבונות הבנק הפיקטיביים של החברות הגנובות, וכן כספי עסקה ועמלה בגובה של 62,234,981 ₪ בכרטסות ובחשבון הבנק של חברת אלול.</w:t>
      </w:r>
    </w:p>
    <w:p w:rsidR="007557C3" w:rsidRDefault="007557C3" w:rsidP="007557C3">
      <w:pPr>
        <w:spacing w:line="360" w:lineRule="auto"/>
        <w:jc w:val="both"/>
        <w:rPr>
          <w:rFonts w:ascii="David" w:hAnsi="David" w:cs="David"/>
          <w:sz w:val="24"/>
          <w:szCs w:val="24"/>
          <w:rtl/>
        </w:rPr>
      </w:pPr>
      <w:r>
        <w:rPr>
          <w:rFonts w:ascii="David" w:hAnsi="David" w:cs="David" w:hint="cs"/>
          <w:sz w:val="24"/>
          <w:szCs w:val="24"/>
          <w:rtl/>
        </w:rPr>
        <w:t xml:space="preserve">בית המשפט עמד על חומרתן המיוחדת של עבירות המס נוכח פגיעתן הישירה בקופה הציבורית ופגיעתן העקיפה בכיסו של כל אזרח, וכן לאור חתירתן תחת ערך השוויון בנשיאת נטל המס. הודגש כי </w:t>
      </w:r>
      <w:r w:rsidRPr="009A3E3E">
        <w:rPr>
          <w:rFonts w:ascii="David" w:hAnsi="David" w:cs="David" w:hint="cs"/>
          <w:sz w:val="24"/>
          <w:szCs w:val="24"/>
          <w:rtl/>
        </w:rPr>
        <w:t xml:space="preserve">אופיין </w:t>
      </w:r>
      <w:r>
        <w:rPr>
          <w:rFonts w:ascii="David" w:hAnsi="David" w:cs="David" w:hint="cs"/>
          <w:sz w:val="24"/>
          <w:szCs w:val="24"/>
          <w:rtl/>
        </w:rPr>
        <w:t xml:space="preserve">של עבירות המס </w:t>
      </w:r>
      <w:r w:rsidRPr="009A3E3E">
        <w:rPr>
          <w:rFonts w:ascii="David" w:hAnsi="David" w:cs="David" w:hint="cs"/>
          <w:sz w:val="24"/>
          <w:szCs w:val="24"/>
          <w:rtl/>
        </w:rPr>
        <w:t>מחייב נקיטת יד קשה כלפי מבצעיהן</w:t>
      </w:r>
      <w:r w:rsidRPr="00B259C9">
        <w:rPr>
          <w:rFonts w:ascii="David" w:hAnsi="David" w:cs="David" w:hint="cs"/>
          <w:sz w:val="24"/>
          <w:szCs w:val="24"/>
          <w:rtl/>
        </w:rPr>
        <w:t xml:space="preserve"> </w:t>
      </w:r>
      <w:r w:rsidRPr="009A3E3E">
        <w:rPr>
          <w:rFonts w:ascii="David" w:hAnsi="David" w:cs="David" w:hint="cs"/>
          <w:sz w:val="24"/>
          <w:szCs w:val="24"/>
          <w:rtl/>
        </w:rPr>
        <w:t>במטרה לשמש אמצעי הרתעתי מפני ביצוע עבירות אלה בעתיד וכן לבטא את הגמול ההו</w:t>
      </w:r>
      <w:r>
        <w:rPr>
          <w:rFonts w:ascii="David" w:hAnsi="David" w:cs="David" w:hint="cs"/>
          <w:sz w:val="24"/>
          <w:szCs w:val="24"/>
          <w:rtl/>
        </w:rPr>
        <w:t xml:space="preserve">לם על הנזק הרב שהן גורמות לקופה הציבורית ולכלכלת המדינה. בית המשפט הוסיף והתייחס לחומרה הרבה הנודעת גם לעבירות הלבנת הון, נוכח פוטנציאל ההרס עצום שיש לעבירות אלה </w:t>
      </w:r>
      <w:r w:rsidRPr="0070006C">
        <w:rPr>
          <w:rFonts w:ascii="David" w:hAnsi="David" w:cs="David" w:hint="cs"/>
          <w:sz w:val="24"/>
          <w:szCs w:val="24"/>
          <w:rtl/>
        </w:rPr>
        <w:t>מבחינה כלכלית וחברתית.</w:t>
      </w:r>
      <w:r>
        <w:rPr>
          <w:rFonts w:ascii="David" w:hAnsi="David" w:cs="David" w:hint="cs"/>
          <w:sz w:val="24"/>
          <w:szCs w:val="24"/>
          <w:rtl/>
        </w:rPr>
        <w:t xml:space="preserve"> עוד ציין בית המשפט כי במקרה זה קיימת</w:t>
      </w:r>
      <w:r w:rsidRPr="0070006C">
        <w:rPr>
          <w:rFonts w:ascii="David" w:hAnsi="David" w:cs="David" w:hint="cs"/>
          <w:sz w:val="24"/>
          <w:szCs w:val="24"/>
          <w:rtl/>
        </w:rPr>
        <w:t xml:space="preserve"> </w:t>
      </w:r>
      <w:r>
        <w:rPr>
          <w:rFonts w:ascii="David" w:hAnsi="David" w:cs="David" w:hint="cs"/>
          <w:sz w:val="24"/>
          <w:szCs w:val="24"/>
          <w:rtl/>
        </w:rPr>
        <w:t xml:space="preserve">חומרה מיוחדת </w:t>
      </w:r>
      <w:r w:rsidRPr="00B259C9">
        <w:rPr>
          <w:rFonts w:ascii="David" w:hAnsi="David" w:cs="David" w:hint="cs"/>
          <w:sz w:val="24"/>
          <w:szCs w:val="24"/>
          <w:rtl/>
        </w:rPr>
        <w:t>כאשר לעבירות המס מצטרפות גם עבירות זיוף ומרמה רחבות היקף, שנועדו לחזק את מצגי השווא ולהסוות את הפעילות העבריינית.</w:t>
      </w:r>
    </w:p>
    <w:p w:rsidR="007557C3" w:rsidRDefault="007557C3" w:rsidP="007557C3">
      <w:pPr>
        <w:spacing w:line="360" w:lineRule="auto"/>
        <w:jc w:val="both"/>
        <w:rPr>
          <w:rFonts w:ascii="David" w:hAnsi="David" w:cs="David"/>
          <w:sz w:val="24"/>
          <w:szCs w:val="24"/>
          <w:rtl/>
        </w:rPr>
      </w:pPr>
      <w:r>
        <w:rPr>
          <w:rFonts w:ascii="David" w:hAnsi="David" w:cs="David" w:hint="cs"/>
          <w:sz w:val="24"/>
          <w:szCs w:val="24"/>
          <w:rtl/>
        </w:rPr>
        <w:lastRenderedPageBreak/>
        <w:t xml:space="preserve">בית המשפט נתן דעתו להיקפן הרחב של העבירות, </w:t>
      </w:r>
      <w:r w:rsidRPr="00EF0DB3">
        <w:rPr>
          <w:rFonts w:ascii="David" w:hAnsi="David" w:cs="David" w:hint="cs"/>
          <w:sz w:val="24"/>
          <w:szCs w:val="24"/>
          <w:rtl/>
        </w:rPr>
        <w:t>לתחכום הרב שנלווה להן</w:t>
      </w:r>
      <w:r>
        <w:rPr>
          <w:rFonts w:ascii="David" w:hAnsi="David" w:cs="David" w:hint="cs"/>
          <w:sz w:val="24"/>
          <w:szCs w:val="24"/>
          <w:rtl/>
        </w:rPr>
        <w:t xml:space="preserve"> ולנזק הכלכלי הכבד שהן גרמו לקופת המדינה. בית המשפט קבע כי חלקו של הנאשם בביצוע העבירות היה משמעותי. </w:t>
      </w:r>
      <w:r w:rsidRPr="00EF0DB3">
        <w:rPr>
          <w:rFonts w:ascii="David" w:hAnsi="David" w:cs="David" w:hint="cs"/>
          <w:sz w:val="24"/>
          <w:szCs w:val="24"/>
          <w:rtl/>
        </w:rPr>
        <w:t>הנאשם הפעיל</w:t>
      </w:r>
      <w:r>
        <w:rPr>
          <w:rFonts w:ascii="David" w:hAnsi="David" w:cs="David" w:hint="cs"/>
          <w:sz w:val="24"/>
          <w:szCs w:val="24"/>
          <w:rtl/>
        </w:rPr>
        <w:t>, עם אחרים,</w:t>
      </w:r>
      <w:r w:rsidRPr="00EF0DB3">
        <w:rPr>
          <w:rFonts w:ascii="David" w:hAnsi="David" w:cs="David" w:hint="cs"/>
          <w:sz w:val="24"/>
          <w:szCs w:val="24"/>
          <w:rtl/>
        </w:rPr>
        <w:t xml:space="preserve"> מנגנון רמייה משוכלל ומתוחכם, נטל חלק פעיל בפעילות העבריינית ואף היה מרכיב יוזם של חלק לא מבוטל מהפעילות</w:t>
      </w:r>
      <w:r>
        <w:rPr>
          <w:rFonts w:ascii="David" w:hAnsi="David" w:cs="David" w:hint="cs"/>
          <w:sz w:val="24"/>
          <w:szCs w:val="24"/>
          <w:rtl/>
        </w:rPr>
        <w:t>.</w:t>
      </w:r>
    </w:p>
    <w:p w:rsidR="007557C3" w:rsidRDefault="007557C3" w:rsidP="007557C3">
      <w:pPr>
        <w:spacing w:line="360" w:lineRule="auto"/>
        <w:jc w:val="both"/>
        <w:rPr>
          <w:rFonts w:ascii="David" w:hAnsi="David" w:cs="David"/>
          <w:sz w:val="24"/>
          <w:szCs w:val="24"/>
          <w:rtl/>
        </w:rPr>
      </w:pPr>
      <w:r>
        <w:rPr>
          <w:rFonts w:ascii="David" w:hAnsi="David" w:cs="David" w:hint="cs"/>
          <w:sz w:val="24"/>
          <w:szCs w:val="24"/>
          <w:rtl/>
        </w:rPr>
        <w:t xml:space="preserve">בקביעת העונש הביא בית המשפט בחשבון את עברו הפלילי המכביד של הנאשם, הכולל הרשעות רבות בעבירות מס, מרמה וזיוף, וכן את הצורך בענישה שיהיה בה כדי להרתיע את הנאשם ואת הרבים מפני ביצוע עבירות מהסוג הנדון. כן ניתן משקל לכך שסכומי המס שנגזלו מקופת המדינה בפרשה זו לא הושבו והנאשם לא עשה דבר לתיקון, ולו במעט, של הנזק שגרם לקופת המדינה. לזכותו של הנאשם נזקף, בעיקר, </w:t>
      </w:r>
      <w:r w:rsidRPr="00CF6F68">
        <w:rPr>
          <w:rFonts w:ascii="David" w:hAnsi="David" w:cs="David" w:hint="cs"/>
          <w:sz w:val="24"/>
          <w:szCs w:val="24"/>
          <w:rtl/>
        </w:rPr>
        <w:t xml:space="preserve">שיתוף הפעולה </w:t>
      </w:r>
      <w:r>
        <w:rPr>
          <w:rFonts w:ascii="David" w:hAnsi="David" w:cs="David" w:hint="cs"/>
          <w:sz w:val="24"/>
          <w:szCs w:val="24"/>
          <w:rtl/>
        </w:rPr>
        <w:t>המלא שלו עם רשויות אכיפת החוק</w:t>
      </w:r>
      <w:r w:rsidRPr="00CF6F68">
        <w:rPr>
          <w:rFonts w:ascii="David" w:hAnsi="David" w:cs="David" w:hint="cs"/>
          <w:sz w:val="24"/>
          <w:szCs w:val="24"/>
          <w:rtl/>
        </w:rPr>
        <w:t xml:space="preserve">, </w:t>
      </w:r>
      <w:r>
        <w:rPr>
          <w:rFonts w:ascii="David" w:hAnsi="David" w:cs="David" w:hint="cs"/>
          <w:sz w:val="24"/>
          <w:szCs w:val="24"/>
          <w:rtl/>
        </w:rPr>
        <w:t xml:space="preserve">דבר </w:t>
      </w:r>
      <w:r w:rsidRPr="00CF6F68">
        <w:rPr>
          <w:rFonts w:ascii="David" w:hAnsi="David" w:cs="David" w:hint="cs"/>
          <w:sz w:val="24"/>
          <w:szCs w:val="24"/>
          <w:rtl/>
        </w:rPr>
        <w:t>שסייע בחשיפת הפרשה החמורה</w:t>
      </w:r>
      <w:r>
        <w:rPr>
          <w:rFonts w:ascii="David" w:hAnsi="David" w:cs="David" w:hint="cs"/>
          <w:sz w:val="24"/>
          <w:szCs w:val="24"/>
          <w:rtl/>
        </w:rPr>
        <w:t>, וכן הודאתו בהליך השיפוטי, באופן ש</w:t>
      </w:r>
      <w:r w:rsidRPr="00CF6F68">
        <w:rPr>
          <w:rFonts w:ascii="David" w:hAnsi="David" w:cs="David" w:hint="cs"/>
          <w:sz w:val="24"/>
          <w:szCs w:val="24"/>
          <w:rtl/>
        </w:rPr>
        <w:t>הביא לחסכון ניכר בזמן שיפוטי, במיוחד נוכח היקפו הרב של חומר הראיות.</w:t>
      </w:r>
      <w:r>
        <w:rPr>
          <w:rFonts w:ascii="David" w:hAnsi="David" w:cs="David" w:hint="cs"/>
          <w:sz w:val="24"/>
          <w:szCs w:val="24"/>
          <w:rtl/>
        </w:rPr>
        <w:t xml:space="preserve"> כן הובאו בחשבון גילו של הנאשם (68) ומצבו הבריאותי.</w:t>
      </w:r>
    </w:p>
    <w:p w:rsidR="00541C9E" w:rsidRPr="007557C3" w:rsidRDefault="007557C3" w:rsidP="007557C3">
      <w:pPr>
        <w:spacing w:line="360" w:lineRule="auto"/>
        <w:jc w:val="both"/>
        <w:rPr>
          <w:rFonts w:ascii="David" w:hAnsi="David" w:cs="David"/>
          <w:sz w:val="24"/>
          <w:szCs w:val="24"/>
          <w:rtl/>
        </w:rPr>
      </w:pPr>
      <w:r>
        <w:rPr>
          <w:rFonts w:ascii="David" w:hAnsi="David" w:cs="David" w:hint="cs"/>
          <w:sz w:val="24"/>
          <w:szCs w:val="24"/>
          <w:rtl/>
        </w:rPr>
        <w:t xml:space="preserve">לסיום עמד בית המשפט על השיקולים שהנחו אותו בהפעלת עונש המאסר המותנה בן ה-7 חודשים, כך שמחציתו תהיה בחופף ומחציתו במצטבר. </w:t>
      </w:r>
    </w:p>
    <w:p w:rsidR="002453CF" w:rsidRPr="001922C3" w:rsidRDefault="00541C9E" w:rsidP="001922C3">
      <w:pPr>
        <w:spacing w:after="120" w:line="360" w:lineRule="auto"/>
        <w:jc w:val="center"/>
        <w:rPr>
          <w:rFonts w:ascii="FrankRuehl" w:hAnsi="FrankRuehl" w:cs="FrankRuehl"/>
          <w:b/>
          <w:bCs/>
          <w:color w:val="002060"/>
          <w:sz w:val="26"/>
          <w:szCs w:val="26"/>
          <w:rtl/>
        </w:rPr>
      </w:pPr>
      <w:r w:rsidRPr="000071E5">
        <w:rPr>
          <w:rFonts w:ascii="FrankRuehl" w:hAnsi="FrankRuehl" w:cs="FrankRuehl" w:hint="cs"/>
          <w:b/>
          <w:bCs/>
          <w:color w:val="002060"/>
          <w:sz w:val="26"/>
          <w:szCs w:val="26"/>
          <w:rtl/>
        </w:rPr>
        <w:t xml:space="preserve">*** </w:t>
      </w:r>
      <w:r w:rsidRPr="000071E5">
        <w:rPr>
          <w:rFonts w:ascii="FrankRuehl" w:hAnsi="FrankRuehl" w:cs="FrankRuehl"/>
          <w:b/>
          <w:bCs/>
          <w:color w:val="002060"/>
          <w:sz w:val="26"/>
          <w:szCs w:val="26"/>
          <w:rtl/>
        </w:rPr>
        <w:t>התקציר אינו בא להחליף את פסק</w:t>
      </w:r>
      <w:r w:rsidRPr="000071E5">
        <w:rPr>
          <w:rFonts w:ascii="FrankRuehl" w:hAnsi="FrankRuehl" w:cs="FrankRuehl" w:hint="cs"/>
          <w:b/>
          <w:bCs/>
          <w:color w:val="002060"/>
          <w:sz w:val="26"/>
          <w:szCs w:val="26"/>
          <w:rtl/>
        </w:rPr>
        <w:t>-</w:t>
      </w:r>
      <w:r w:rsidRPr="000071E5">
        <w:rPr>
          <w:rFonts w:ascii="FrankRuehl" w:hAnsi="FrankRuehl" w:cs="FrankRuehl"/>
          <w:b/>
          <w:bCs/>
          <w:color w:val="002060"/>
          <w:sz w:val="26"/>
          <w:szCs w:val="26"/>
          <w:rtl/>
        </w:rPr>
        <w:t>הדין, הנוסח המחייב הוא זה של פסק-הדין המלא</w:t>
      </w:r>
      <w:r w:rsidRPr="000071E5">
        <w:rPr>
          <w:rFonts w:ascii="FrankRuehl" w:hAnsi="FrankRuehl" w:cs="FrankRuehl" w:hint="cs"/>
          <w:b/>
          <w:bCs/>
          <w:color w:val="002060"/>
          <w:sz w:val="26"/>
          <w:szCs w:val="26"/>
          <w:rtl/>
        </w:rPr>
        <w:t xml:space="preserve"> ***</w:t>
      </w:r>
    </w:p>
    <w:sectPr w:rsidR="002453CF" w:rsidRPr="001922C3" w:rsidSect="00B16422">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A19" w:rsidRDefault="005B5A19" w:rsidP="00730CA1">
      <w:pPr>
        <w:spacing w:after="0" w:line="240" w:lineRule="auto"/>
      </w:pPr>
      <w:r>
        <w:separator/>
      </w:r>
    </w:p>
  </w:endnote>
  <w:endnote w:type="continuationSeparator" w:id="0">
    <w:p w:rsidR="005B5A19" w:rsidRDefault="005B5A19"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C9E" w:rsidRPr="003C61AF" w:rsidRDefault="00541C9E" w:rsidP="00541C9E">
    <w:pPr>
      <w:tabs>
        <w:tab w:val="center" w:pos="4153"/>
        <w:tab w:val="right" w:pos="8306"/>
      </w:tabs>
      <w:spacing w:after="0" w:line="240" w:lineRule="auto"/>
      <w:rPr>
        <w:rFonts w:ascii="Times New Roman" w:eastAsia="Times New Roman" w:hAnsi="Times New Roman" w:cs="FrankRuehl"/>
        <w:b/>
        <w:bCs/>
        <w:color w:val="000080"/>
        <w:spacing w:val="6"/>
        <w:sz w:val="24"/>
        <w:szCs w:val="24"/>
        <w:rtl/>
      </w:rPr>
    </w:pPr>
    <w:r w:rsidRPr="003C61AF">
      <w:rPr>
        <w:rFonts w:ascii="Times New Roman" w:eastAsia="Times New Roman" w:hAnsi="Times New Roman" w:cs="FrankRuehl"/>
        <w:b/>
        <w:bCs/>
        <w:color w:val="000080"/>
        <w:spacing w:val="6"/>
        <w:sz w:val="24"/>
        <w:szCs w:val="24"/>
        <w:rtl/>
      </w:rPr>
      <w:t>________________________________________________________________</w:t>
    </w:r>
  </w:p>
  <w:p w:rsidR="00541C9E" w:rsidRPr="003C61AF" w:rsidRDefault="00541C9E" w:rsidP="00541C9E">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tl/>
      </w:rPr>
    </w:pPr>
    <w:r>
      <w:rPr>
        <w:rFonts w:ascii="Times New Roman" w:eastAsia="Times New Roman" w:hAnsi="Times New Roman" w:cs="FrankRuehl" w:hint="cs"/>
        <w:b/>
        <w:bCs/>
        <w:color w:val="000080"/>
        <w:spacing w:val="6"/>
        <w:sz w:val="24"/>
        <w:szCs w:val="24"/>
        <w:rtl/>
      </w:rPr>
      <w:t xml:space="preserve">בית משפט העליון | רחוב דרך השופט מאיר שמגר 1 | </w:t>
    </w:r>
    <w:proofErr w:type="spellStart"/>
    <w:r>
      <w:rPr>
        <w:rFonts w:ascii="Times New Roman" w:eastAsia="Times New Roman" w:hAnsi="Times New Roman" w:cs="FrankRuehl" w:hint="cs"/>
        <w:b/>
        <w:bCs/>
        <w:color w:val="000080"/>
        <w:spacing w:val="6"/>
        <w:sz w:val="24"/>
        <w:szCs w:val="24"/>
        <w:rtl/>
      </w:rPr>
      <w:t>קרית</w:t>
    </w:r>
    <w:proofErr w:type="spellEnd"/>
    <w:r>
      <w:rPr>
        <w:rFonts w:ascii="Times New Roman" w:eastAsia="Times New Roman" w:hAnsi="Times New Roman" w:cs="FrankRuehl" w:hint="cs"/>
        <w:b/>
        <w:bCs/>
        <w:color w:val="000080"/>
        <w:spacing w:val="6"/>
        <w:sz w:val="24"/>
        <w:szCs w:val="24"/>
        <w:rtl/>
      </w:rPr>
      <w:t xml:space="preserve"> בן גוריון |</w:t>
    </w:r>
    <w:r w:rsidRPr="003C61AF">
      <w:rPr>
        <w:rFonts w:ascii="Times New Roman" w:eastAsia="Times New Roman" w:hAnsi="Times New Roman" w:cs="FrankRuehl" w:hint="cs"/>
        <w:b/>
        <w:bCs/>
        <w:color w:val="000080"/>
        <w:spacing w:val="6"/>
        <w:sz w:val="24"/>
        <w:szCs w:val="24"/>
        <w:rtl/>
      </w:rPr>
      <w:t xml:space="preserve"> ירושלים</w:t>
    </w:r>
  </w:p>
  <w:p w:rsidR="003C61AF" w:rsidRPr="00541C9E" w:rsidRDefault="00541C9E" w:rsidP="00541C9E">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Pr>
    </w:pPr>
    <w:r w:rsidRPr="003C61AF">
      <w:rPr>
        <w:rFonts w:ascii="Times New Roman" w:eastAsia="Times New Roman" w:hAnsi="Times New Roman" w:cs="FrankRuehl" w:hint="cs"/>
        <w:b/>
        <w:bCs/>
        <w:color w:val="000080"/>
        <w:spacing w:val="6"/>
        <w:sz w:val="24"/>
        <w:szCs w:val="24"/>
        <w:rtl/>
      </w:rPr>
      <w:t xml:space="preserve">טל: </w:t>
    </w:r>
    <w:r w:rsidRPr="003C61AF">
      <w:rPr>
        <w:rFonts w:ascii="Times New Roman" w:eastAsia="Times New Roman" w:hAnsi="Times New Roman" w:cs="FrankRuehl"/>
        <w:b/>
        <w:bCs/>
        <w:color w:val="000080"/>
        <w:spacing w:val="6"/>
        <w:sz w:val="24"/>
        <w:szCs w:val="24"/>
      </w:rPr>
      <w:t>074-7480412</w:t>
    </w:r>
    <w:r w:rsidRPr="003C61AF">
      <w:rPr>
        <w:rFonts w:ascii="Times New Roman" w:eastAsia="Times New Roman" w:hAnsi="Times New Roman" w:cs="FrankRuehl" w:hint="cs"/>
        <w:b/>
        <w:bCs/>
        <w:color w:val="000080"/>
        <w:spacing w:val="6"/>
        <w:sz w:val="24"/>
        <w:szCs w:val="24"/>
        <w:rtl/>
      </w:rPr>
      <w:t xml:space="preserve">           </w:t>
    </w:r>
    <w:r>
      <w:rPr>
        <w:rFonts w:ascii="Times New Roman" w:eastAsia="Times New Roman" w:hAnsi="Times New Roman" w:cs="FrankRuehl" w:hint="cs"/>
        <w:b/>
        <w:bCs/>
        <w:color w:val="000080"/>
        <w:spacing w:val="6"/>
        <w:sz w:val="24"/>
        <w:szCs w:val="24"/>
        <w:rtl/>
      </w:rPr>
      <w:t xml:space="preserve">     </w:t>
    </w:r>
    <w:r w:rsidRPr="003C61AF">
      <w:rPr>
        <w:rFonts w:ascii="Times New Roman" w:eastAsia="Times New Roman" w:hAnsi="Times New Roman" w:cs="FrankRuehl" w:hint="cs"/>
        <w:b/>
        <w:bCs/>
        <w:color w:val="000080"/>
        <w:spacing w:val="6"/>
        <w:sz w:val="24"/>
        <w:szCs w:val="24"/>
        <w:rtl/>
      </w:rPr>
      <w:t xml:space="preserve">   </w:t>
    </w:r>
    <w:r>
      <w:rPr>
        <w:rFonts w:ascii="Times New Roman" w:eastAsia="Times New Roman" w:hAnsi="Times New Roman" w:cs="FrankRuehl" w:hint="cs"/>
        <w:b/>
        <w:bCs/>
        <w:color w:val="000080"/>
        <w:spacing w:val="6"/>
        <w:sz w:val="24"/>
        <w:szCs w:val="24"/>
        <w:rtl/>
      </w:rPr>
      <w:t xml:space="preserve">           </w:t>
    </w:r>
    <w:r w:rsidRPr="003C61AF">
      <w:rPr>
        <w:rFonts w:ascii="Times New Roman" w:eastAsia="Times New Roman" w:hAnsi="Times New Roman" w:cs="FrankRuehl" w:hint="cs"/>
        <w:b/>
        <w:bCs/>
        <w:color w:val="000080"/>
        <w:spacing w:val="6"/>
        <w:sz w:val="24"/>
        <w:szCs w:val="24"/>
        <w:rtl/>
      </w:rPr>
      <w:t xml:space="preserve">  דוא"ל</w:t>
    </w:r>
    <w:r w:rsidRPr="003C61AF">
      <w:rPr>
        <w:rFonts w:ascii="Times New Roman" w:eastAsia="Times New Roman" w:hAnsi="Times New Roman" w:cs="FrankRuehl"/>
        <w:b/>
        <w:bCs/>
        <w:color w:val="000080"/>
        <w:spacing w:val="6"/>
        <w:sz w:val="24"/>
        <w:szCs w:val="24"/>
      </w:rPr>
      <w:t>:</w:t>
    </w:r>
    <w:r w:rsidRPr="003C61AF">
      <w:rPr>
        <w:rFonts w:ascii="Times New Roman" w:eastAsia="Times New Roman" w:hAnsi="Times New Roman" w:cs="FrankRuehl" w:hint="cs"/>
        <w:b/>
        <w:bCs/>
        <w:color w:val="000080"/>
        <w:spacing w:val="6"/>
        <w:sz w:val="24"/>
        <w:szCs w:val="24"/>
        <w:rtl/>
      </w:rPr>
      <w:t xml:space="preserve">  </w:t>
    </w:r>
    <w:hyperlink r:id="rId1" w:history="1">
      <w:r w:rsidRPr="003C61AF">
        <w:rPr>
          <w:rFonts w:ascii="Times New Roman" w:eastAsia="Times New Roman" w:hAnsi="Times New Roman" w:cs="FrankRuehl"/>
          <w:b/>
          <w:bCs/>
          <w:color w:val="0000FF"/>
          <w:spacing w:val="6"/>
          <w:sz w:val="24"/>
          <w:szCs w:val="24"/>
          <w:u w:val="single"/>
        </w:rPr>
        <w:t>Dover@court.gov.il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A19" w:rsidRDefault="005B5A19" w:rsidP="00730CA1">
      <w:pPr>
        <w:spacing w:after="0" w:line="240" w:lineRule="auto"/>
      </w:pPr>
      <w:r>
        <w:separator/>
      </w:r>
    </w:p>
  </w:footnote>
  <w:footnote w:type="continuationSeparator" w:id="0">
    <w:p w:rsidR="005B5A19" w:rsidRDefault="005B5A19"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B2"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David"/>
        <w:sz w:val="20"/>
        <w:szCs w:val="24"/>
        <w:lang w:eastAsia="he-IL"/>
      </w:rPr>
    </w:pPr>
    <w:r w:rsidRPr="005253B2">
      <w:rPr>
        <w:rFonts w:ascii="Times New Roman" w:eastAsia="Times New Roman" w:hAnsi="Times New Roman" w:cs="David"/>
        <w:noProof/>
        <w:sz w:val="20"/>
        <w:szCs w:val="24"/>
      </w:rPr>
      <w:drawing>
        <wp:inline distT="0" distB="0" distL="0" distR="0">
          <wp:extent cx="523875" cy="619125"/>
          <wp:effectExtent l="0" t="0" r="9525" b="9525"/>
          <wp:docPr id="1" name="תמונה 2" descr="תיאור: 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r w:rsidRPr="005253B2">
      <w:rPr>
        <w:rFonts w:ascii="Century" w:eastAsia="Times New Roman" w:hAnsi="Century" w:cs="FrankRuehl" w:hint="cs"/>
        <w:noProof/>
        <w:spacing w:val="10"/>
        <w:sz w:val="20"/>
        <w:szCs w:val="28"/>
        <w:rtl/>
        <w:lang w:eastAsia="he-IL"/>
      </w:rPr>
      <w:t xml:space="preserve">                                            </w:t>
    </w:r>
  </w:p>
  <w:p w:rsidR="005253B2"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rtl/>
        <w:lang w:eastAsia="he-IL"/>
      </w:rPr>
    </w:pPr>
    <w:r w:rsidRPr="005253B2">
      <w:rPr>
        <w:rFonts w:ascii="Times New Roman" w:eastAsia="Times New Roman" w:hAnsi="Times New Roman" w:cs="FrankRuehl" w:hint="cs"/>
        <w:b/>
        <w:bCs/>
        <w:color w:val="000080"/>
        <w:spacing w:val="6"/>
        <w:sz w:val="28"/>
        <w:szCs w:val="28"/>
        <w:rtl/>
        <w:lang w:eastAsia="he-IL"/>
      </w:rPr>
      <w:t>מערכת בתי המשפט</w:t>
    </w:r>
  </w:p>
  <w:p w:rsidR="007007D7"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lang w:eastAsia="he-IL"/>
      </w:rPr>
    </w:pPr>
    <w:r w:rsidRPr="005253B2">
      <w:rPr>
        <w:rFonts w:ascii="Times New Roman" w:eastAsia="Times New Roman" w:hAnsi="Times New Roman" w:cs="FrankRuehl" w:hint="cs"/>
        <w:b/>
        <w:bCs/>
        <w:color w:val="000080"/>
        <w:spacing w:val="6"/>
        <w:sz w:val="28"/>
        <w:szCs w:val="28"/>
        <w:rtl/>
        <w:lang w:eastAsia="he-IL"/>
      </w:rPr>
      <w:t>דוברות והסברה</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B27"/>
    <w:multiLevelType w:val="multilevel"/>
    <w:tmpl w:val="2EA02F4A"/>
    <w:lvl w:ilvl="0">
      <w:start w:val="1"/>
      <w:numFmt w:val="decimal"/>
      <w:lvlText w:val="%1."/>
      <w:lvlJc w:val="left"/>
      <w:pPr>
        <w:tabs>
          <w:tab w:val="num" w:pos="454"/>
        </w:tabs>
        <w:ind w:left="454" w:hanging="454"/>
      </w:pPr>
      <w:rPr>
        <w:rFonts w:hint="default"/>
        <w:bCs w:val="0"/>
        <w:iCs w:val="0"/>
        <w:szCs w:val="24"/>
      </w:rPr>
    </w:lvl>
    <w:lvl w:ilvl="1">
      <w:start w:val="1"/>
      <w:numFmt w:val="hebrew1"/>
      <w:lvlText w:val="%2."/>
      <w:lvlJc w:val="left"/>
      <w:pPr>
        <w:tabs>
          <w:tab w:val="num" w:pos="907"/>
        </w:tabs>
        <w:ind w:left="908" w:hanging="454"/>
      </w:pPr>
      <w:rPr>
        <w:rFonts w:cs="David" w:hint="cs"/>
        <w:bCs w:val="0"/>
        <w:iCs w:val="0"/>
        <w:szCs w:val="26"/>
      </w:rPr>
    </w:lvl>
    <w:lvl w:ilvl="2">
      <w:start w:val="1"/>
      <w:numFmt w:val="decimal"/>
      <w:lvlText w:val="(%3)"/>
      <w:lvlJc w:val="left"/>
      <w:pPr>
        <w:tabs>
          <w:tab w:val="num" w:pos="1361"/>
        </w:tabs>
        <w:ind w:left="1362" w:hanging="454"/>
      </w:pPr>
      <w:rPr>
        <w:rFonts w:ascii="Times New Roman" w:hAnsi="Times New Roman" w:cs="David" w:hint="default"/>
        <w:b w:val="0"/>
        <w:bCs w:val="0"/>
        <w:i w:val="0"/>
        <w:iCs w:val="0"/>
        <w:sz w:val="24"/>
        <w:szCs w:val="24"/>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25761"/>
    <w:rsid w:val="000C4D75"/>
    <w:rsid w:val="001922C3"/>
    <w:rsid w:val="001D42A7"/>
    <w:rsid w:val="002453CF"/>
    <w:rsid w:val="002C0E83"/>
    <w:rsid w:val="003921C3"/>
    <w:rsid w:val="003C61AF"/>
    <w:rsid w:val="003E6E39"/>
    <w:rsid w:val="003E7EB7"/>
    <w:rsid w:val="00426AA7"/>
    <w:rsid w:val="00515986"/>
    <w:rsid w:val="005253B2"/>
    <w:rsid w:val="00541C9E"/>
    <w:rsid w:val="005B5A19"/>
    <w:rsid w:val="00600C88"/>
    <w:rsid w:val="00631744"/>
    <w:rsid w:val="00690B6F"/>
    <w:rsid w:val="006B7B96"/>
    <w:rsid w:val="006C3B1F"/>
    <w:rsid w:val="006F1E1F"/>
    <w:rsid w:val="007007D7"/>
    <w:rsid w:val="00711675"/>
    <w:rsid w:val="00730441"/>
    <w:rsid w:val="00730CA1"/>
    <w:rsid w:val="007557C3"/>
    <w:rsid w:val="007B7899"/>
    <w:rsid w:val="00832AD7"/>
    <w:rsid w:val="008C02E0"/>
    <w:rsid w:val="00983123"/>
    <w:rsid w:val="009E5C0E"/>
    <w:rsid w:val="00AD7644"/>
    <w:rsid w:val="00B16422"/>
    <w:rsid w:val="00B22AFC"/>
    <w:rsid w:val="00BA3143"/>
    <w:rsid w:val="00C22E08"/>
    <w:rsid w:val="00C37F37"/>
    <w:rsid w:val="00C50C55"/>
    <w:rsid w:val="00C529CC"/>
    <w:rsid w:val="00C842A7"/>
    <w:rsid w:val="00C85A27"/>
    <w:rsid w:val="00CA2D6A"/>
    <w:rsid w:val="00CB4940"/>
    <w:rsid w:val="00CD280B"/>
    <w:rsid w:val="00D11F77"/>
    <w:rsid w:val="00D205AB"/>
    <w:rsid w:val="00D43C0E"/>
    <w:rsid w:val="00D5319F"/>
    <w:rsid w:val="00E35DF3"/>
    <w:rsid w:val="00EB6609"/>
    <w:rsid w:val="00F36C2A"/>
    <w:rsid w:val="00F46250"/>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060">
      <w:bodyDiv w:val="1"/>
      <w:marLeft w:val="0"/>
      <w:marRight w:val="0"/>
      <w:marTop w:val="0"/>
      <w:marBottom w:val="0"/>
      <w:divBdr>
        <w:top w:val="none" w:sz="0" w:space="0" w:color="auto"/>
        <w:left w:val="none" w:sz="0" w:space="0" w:color="auto"/>
        <w:bottom w:val="none" w:sz="0" w:space="0" w:color="auto"/>
        <w:right w:val="none" w:sz="0" w:space="0" w:color="auto"/>
      </w:divBdr>
    </w:div>
    <w:div w:id="1171139320">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 w:id="206425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Dover@court.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B1FE5121-856E-4E6C-8655-49E428E3BADB}">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3065</Characters>
  <Application>Microsoft Office Word</Application>
  <DocSecurity>0</DocSecurity>
  <Lines>25</Lines>
  <Paragraphs>7</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אסתר טטרואשילי</cp:lastModifiedBy>
  <cp:revision>2</cp:revision>
  <cp:lastPrinted>2017-11-13T12:38:00Z</cp:lastPrinted>
  <dcterms:created xsi:type="dcterms:W3CDTF">2024-01-16T06:13:00Z</dcterms:created>
  <dcterms:modified xsi:type="dcterms:W3CDTF">2024-01-16T06:13:00Z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05 בדצמבר 2023</vt:lpwstr>
  </property>
  <property fmtid="{D5CDD505-2E9C-101B-9397-08002B2CF9AE}" pid="3" name="DocDateHeb">
    <vt:lpwstr>כ"ב בכסלו תשפ"ד</vt:lpwstr>
  </property>
  <property fmtid="{D5CDD505-2E9C-101B-9397-08002B2CF9AE}" pid="4" name="DocNumber">
    <vt:lpwstr>4700-1039-2023-009641</vt:lpwstr>
  </property>
  <property fmtid="{D5CDD505-2E9C-101B-9397-08002B2CF9AE}" pid="5" name="DocRecipientsName">
    <vt:lpwstr/>
  </property>
  <property fmtid="{D5CDD505-2E9C-101B-9397-08002B2CF9AE}" pid="6" name="DocToName">
    <vt:lpwstr/>
  </property>
  <property fmtid="{D5CDD505-2E9C-101B-9397-08002B2CF9AE}" pid="7" name="DocObjectName">
    <vt:lpwstr>תקציר פסק דין בתיק ע"פ 53435-08-23</vt:lpwstr>
  </property>
</Properties>
</file>