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170A" w:rsidRPr="005875A9" w:rsidRDefault="0068170A" w:rsidP="0068170A">
      <w:pPr>
        <w:shd w:val="clear" w:color="auto" w:fill="FFFFFD"/>
        <w:spacing w:after="0" w:line="240" w:lineRule="auto"/>
        <w:jc w:val="center"/>
        <w:rPr>
          <w:rFonts w:cs="FrankRuehl"/>
          <w:sz w:val="28"/>
          <w:szCs w:val="28"/>
          <w:u w:val="single"/>
          <w:rtl/>
        </w:rPr>
      </w:pPr>
      <w:r w:rsidRPr="005875A9">
        <w:rPr>
          <w:rFonts w:cs="FrankRuehl"/>
          <w:sz w:val="28"/>
          <w:szCs w:val="28"/>
          <w:rtl/>
        </w:rPr>
        <w:t xml:space="preserve">הנדון: </w:t>
      </w:r>
      <w:r>
        <w:rPr>
          <w:rFonts w:cs="FrankRuehl"/>
          <w:b/>
          <w:bCs/>
          <w:sz w:val="28"/>
          <w:szCs w:val="28"/>
          <w:u w:val="single"/>
          <w:rtl/>
        </w:rPr>
        <w:t>בקש</w:t>
      </w:r>
      <w:r>
        <w:rPr>
          <w:rFonts w:cs="FrankRuehl" w:hint="cs"/>
          <w:b/>
          <w:bCs/>
          <w:sz w:val="28"/>
          <w:szCs w:val="28"/>
          <w:u w:val="single"/>
          <w:rtl/>
        </w:rPr>
        <w:t>ה</w:t>
      </w:r>
      <w:r w:rsidRPr="005875A9">
        <w:rPr>
          <w:rFonts w:cs="FrankRuehl"/>
          <w:b/>
          <w:bCs/>
          <w:sz w:val="28"/>
          <w:szCs w:val="28"/>
          <w:u w:val="single"/>
          <w:rtl/>
        </w:rPr>
        <w:t xml:space="preserve"> לקבלת מידע לפי חוק חופש המידע, התשנ"ח-1998</w:t>
      </w:r>
    </w:p>
    <w:p w:rsidR="0068170A" w:rsidRDefault="0068170A" w:rsidP="0068170A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rtl/>
        </w:rPr>
      </w:pPr>
      <w:r w:rsidRPr="005875A9">
        <w:rPr>
          <w:rFonts w:cs="FrankRuehl"/>
          <w:sz w:val="24"/>
          <w:rtl/>
        </w:rPr>
        <w:t xml:space="preserve">סימוכין: </w:t>
      </w:r>
      <w:r>
        <w:rPr>
          <w:rFonts w:cs="FrankRuehl" w:hint="cs"/>
          <w:sz w:val="24"/>
          <w:rtl/>
        </w:rPr>
        <w:t>בקשה מיום  7.3.21</w:t>
      </w:r>
    </w:p>
    <w:p w:rsidR="0068170A" w:rsidRPr="005875A9" w:rsidRDefault="0068170A" w:rsidP="0068170A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rtl/>
        </w:rPr>
      </w:pPr>
    </w:p>
    <w:p w:rsidR="0068170A" w:rsidRPr="005875A9" w:rsidRDefault="0068170A" w:rsidP="0068170A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szCs w:val="24"/>
        </w:rPr>
      </w:pPr>
    </w:p>
    <w:p w:rsidR="0068170A" w:rsidRDefault="0068170A" w:rsidP="0068170A">
      <w:pPr>
        <w:pStyle w:val="a3"/>
        <w:numPr>
          <w:ilvl w:val="0"/>
          <w:numId w:val="1"/>
        </w:numPr>
        <w:spacing w:before="240" w:after="120" w:line="360" w:lineRule="auto"/>
        <w:jc w:val="both"/>
        <w:rPr>
          <w:rFonts w:cs="FrankRuehl"/>
          <w:sz w:val="28"/>
          <w:szCs w:val="28"/>
          <w:rtl/>
        </w:rPr>
      </w:pPr>
      <w:r>
        <w:rPr>
          <w:rFonts w:ascii="FrankRuehl" w:hAnsi="FrankRuehl" w:cs="FrankRuehl" w:hint="cs"/>
          <w:sz w:val="28"/>
          <w:szCs w:val="28"/>
          <w:rtl/>
        </w:rPr>
        <w:t>בקשתך שבסימוכין שכותרתה "</w:t>
      </w:r>
      <w:r w:rsidRPr="00A31DDE">
        <w:rPr>
          <w:rFonts w:ascii="FrankRuehl" w:hAnsi="FrankRuehl" w:cs="FrankRuehl"/>
          <w:sz w:val="28"/>
          <w:szCs w:val="28"/>
          <w:rtl/>
        </w:rPr>
        <w:t xml:space="preserve">בקשה למידע בעניין </w:t>
      </w:r>
      <w:proofErr w:type="spellStart"/>
      <w:r w:rsidRPr="00A31DDE">
        <w:rPr>
          <w:rFonts w:ascii="FrankRuehl" w:hAnsi="FrankRuehl" w:cs="FrankRuehl"/>
          <w:sz w:val="28"/>
          <w:szCs w:val="28"/>
          <w:rtl/>
        </w:rPr>
        <w:t>התקסדא</w:t>
      </w:r>
      <w:proofErr w:type="spellEnd"/>
      <w:r w:rsidRPr="00A31DDE">
        <w:rPr>
          <w:rFonts w:ascii="FrankRuehl" w:hAnsi="FrankRuehl" w:cs="FrankRuehl"/>
          <w:sz w:val="28"/>
          <w:szCs w:val="28"/>
          <w:rtl/>
        </w:rPr>
        <w:t xml:space="preserve"> החדש בעניין טופס פטור מאגרה</w:t>
      </w:r>
      <w:r>
        <w:rPr>
          <w:rFonts w:ascii="FrankRuehl" w:hAnsi="FrankRuehl" w:cs="FrankRuehl" w:hint="cs"/>
          <w:sz w:val="28"/>
          <w:szCs w:val="28"/>
          <w:rtl/>
        </w:rPr>
        <w:t>" הוגשה</w:t>
      </w:r>
      <w:r w:rsidRPr="002421E4">
        <w:rPr>
          <w:rFonts w:ascii="FrankRuehl" w:hAnsi="FrankRuehl" w:cs="FrankRuehl" w:hint="cs"/>
          <w:sz w:val="28"/>
          <w:szCs w:val="28"/>
          <w:rtl/>
        </w:rPr>
        <w:t xml:space="preserve"> ל</w:t>
      </w:r>
      <w:r w:rsidRPr="002421E4">
        <w:rPr>
          <w:rFonts w:ascii="FrankRuehl" w:hAnsi="FrankRuehl" w:cs="FrankRuehl"/>
          <w:sz w:val="28"/>
          <w:szCs w:val="28"/>
          <w:rtl/>
        </w:rPr>
        <w:t>פי חוק חופש המידע התשנ"ח-1998</w:t>
      </w:r>
      <w:r w:rsidRPr="002421E4">
        <w:rPr>
          <w:rFonts w:ascii="FrankRuehl" w:hAnsi="FrankRuehl" w:cs="FrankRuehl" w:hint="cs"/>
          <w:sz w:val="28"/>
          <w:szCs w:val="28"/>
          <w:rtl/>
        </w:rPr>
        <w:t xml:space="preserve"> (להלן: החוק)</w:t>
      </w:r>
      <w:r>
        <w:rPr>
          <w:rFonts w:ascii="FrankRuehl" w:hAnsi="FrankRuehl" w:cs="FrankRuehl" w:hint="cs"/>
          <w:sz w:val="28"/>
          <w:szCs w:val="28"/>
          <w:rtl/>
        </w:rPr>
        <w:t>. ואולם,</w:t>
      </w:r>
      <w:r w:rsidRPr="002421E4">
        <w:rPr>
          <w:rFonts w:ascii="FrankRuehl" w:hAnsi="FrankRuehl" w:cs="FrankRuehl" w:hint="cs"/>
          <w:sz w:val="28"/>
          <w:szCs w:val="28"/>
          <w:rtl/>
        </w:rPr>
        <w:t xml:space="preserve"> </w:t>
      </w:r>
      <w:r>
        <w:rPr>
          <w:rFonts w:ascii="FrankRuehl" w:hAnsi="FrankRuehl" w:cs="FrankRuehl" w:hint="cs"/>
          <w:sz w:val="28"/>
          <w:szCs w:val="28"/>
          <w:rtl/>
        </w:rPr>
        <w:t>הנשאל בה</w:t>
      </w:r>
      <w:r w:rsidRPr="002421E4">
        <w:rPr>
          <w:rFonts w:ascii="FrankRuehl" w:hAnsi="FrankRuehl" w:cs="FrankRuehl" w:hint="cs"/>
          <w:sz w:val="28"/>
          <w:szCs w:val="28"/>
          <w:rtl/>
        </w:rPr>
        <w:t xml:space="preserve"> אינ</w:t>
      </w:r>
      <w:r>
        <w:rPr>
          <w:rFonts w:ascii="FrankRuehl" w:hAnsi="FrankRuehl" w:cs="FrankRuehl" w:hint="cs"/>
          <w:sz w:val="28"/>
          <w:szCs w:val="28"/>
          <w:rtl/>
        </w:rPr>
        <w:t>ו</w:t>
      </w:r>
      <w:r w:rsidRPr="002421E4">
        <w:rPr>
          <w:rFonts w:ascii="FrankRuehl" w:hAnsi="FrankRuehl" w:cs="FrankRuehl" w:hint="cs"/>
          <w:sz w:val="28"/>
          <w:szCs w:val="28"/>
          <w:rtl/>
        </w:rPr>
        <w:t xml:space="preserve"> מתאי</w:t>
      </w:r>
      <w:r>
        <w:rPr>
          <w:rFonts w:ascii="FrankRuehl" w:hAnsi="FrankRuehl" w:cs="FrankRuehl" w:hint="cs"/>
          <w:sz w:val="28"/>
          <w:szCs w:val="28"/>
          <w:rtl/>
        </w:rPr>
        <w:t>ם</w:t>
      </w:r>
      <w:r w:rsidRPr="002421E4">
        <w:rPr>
          <w:rFonts w:ascii="FrankRuehl" w:hAnsi="FrankRuehl" w:cs="FrankRuehl" w:hint="cs"/>
          <w:sz w:val="28"/>
          <w:szCs w:val="28"/>
          <w:rtl/>
        </w:rPr>
        <w:t xml:space="preserve"> להתברר לפי הוראות החוק </w:t>
      </w:r>
      <w:r>
        <w:rPr>
          <w:rFonts w:ascii="FrankRuehl" w:hAnsi="FrankRuehl" w:cs="FrankRuehl" w:hint="cs"/>
          <w:sz w:val="28"/>
          <w:szCs w:val="28"/>
          <w:rtl/>
        </w:rPr>
        <w:t xml:space="preserve">שכן אין המדובר בבקשה </w:t>
      </w:r>
      <w:r w:rsidRPr="002421E4">
        <w:rPr>
          <w:rFonts w:ascii="FrankRuehl" w:hAnsi="FrankRuehl" w:cs="FrankRuehl" w:hint="cs"/>
          <w:sz w:val="28"/>
          <w:szCs w:val="28"/>
          <w:rtl/>
        </w:rPr>
        <w:t xml:space="preserve">לקבלת מידע </w:t>
      </w:r>
      <w:r>
        <w:rPr>
          <w:rFonts w:ascii="FrankRuehl" w:hAnsi="FrankRuehl" w:cs="FrankRuehl" w:hint="cs"/>
          <w:sz w:val="28"/>
          <w:szCs w:val="28"/>
          <w:rtl/>
        </w:rPr>
        <w:t>כ</w:t>
      </w:r>
      <w:r w:rsidRPr="002421E4">
        <w:rPr>
          <w:rFonts w:ascii="FrankRuehl" w:hAnsi="FrankRuehl" w:cs="FrankRuehl" w:hint="cs"/>
          <w:sz w:val="28"/>
          <w:szCs w:val="28"/>
          <w:rtl/>
        </w:rPr>
        <w:t>הגדרתו בסעיף 2 לחוק</w:t>
      </w:r>
      <w:r>
        <w:rPr>
          <w:rFonts w:ascii="FrankRuehl" w:hAnsi="FrankRuehl" w:cs="FrankRuehl" w:hint="cs"/>
          <w:sz w:val="28"/>
          <w:szCs w:val="28"/>
          <w:rtl/>
        </w:rPr>
        <w:t xml:space="preserve">, שלפיו "מידע" הוא </w:t>
      </w:r>
      <w:r w:rsidRPr="005978CE">
        <w:rPr>
          <w:rFonts w:cs="FrankRuehl" w:hint="cs"/>
          <w:sz w:val="28"/>
          <w:szCs w:val="28"/>
          <w:rtl/>
        </w:rPr>
        <w:t xml:space="preserve">הוא כל מידע המצוי ברשות ציבורית, והוא כתוב, מוקלט, מוסרט, מצולם או ממוחשב.  </w:t>
      </w:r>
    </w:p>
    <w:p w:rsidR="0068170A" w:rsidRDefault="0068170A" w:rsidP="0068170A">
      <w:pPr>
        <w:pStyle w:val="a3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contextualSpacing w:val="0"/>
        <w:jc w:val="both"/>
        <w:rPr>
          <w:rFonts w:ascii="FrankRuehl" w:hAnsi="FrankRuehl" w:cs="FrankRuehl"/>
          <w:sz w:val="28"/>
          <w:szCs w:val="28"/>
        </w:rPr>
      </w:pPr>
      <w:r>
        <w:rPr>
          <w:rFonts w:ascii="FrankRuehl" w:hAnsi="FrankRuehl" w:cs="FrankRuehl" w:hint="cs"/>
          <w:sz w:val="28"/>
          <w:szCs w:val="28"/>
          <w:rtl/>
        </w:rPr>
        <w:t>למעלה מן הדרוש, יובהר כי</w:t>
      </w:r>
      <w:r w:rsidRPr="002421E4">
        <w:rPr>
          <w:rFonts w:ascii="FrankRuehl" w:hAnsi="FrankRuehl" w:cs="FrankRuehl" w:hint="cs"/>
          <w:sz w:val="28"/>
          <w:szCs w:val="28"/>
          <w:rtl/>
        </w:rPr>
        <w:t xml:space="preserve"> </w:t>
      </w:r>
      <w:r w:rsidRPr="002421E4">
        <w:rPr>
          <w:rFonts w:cs="FrankRuehl"/>
          <w:color w:val="000000"/>
          <w:sz w:val="28"/>
          <w:szCs w:val="28"/>
          <w:rtl/>
        </w:rPr>
        <w:t>הנהלת</w:t>
      </w:r>
      <w:r w:rsidRPr="002421E4">
        <w:rPr>
          <w:rFonts w:cs="FrankRuehl"/>
          <w:color w:val="000000"/>
          <w:sz w:val="28"/>
          <w:szCs w:val="28"/>
        </w:rPr>
        <w:t xml:space="preserve"> </w:t>
      </w:r>
      <w:r w:rsidRPr="002421E4">
        <w:rPr>
          <w:rFonts w:cs="FrankRuehl"/>
          <w:color w:val="000000"/>
          <w:sz w:val="28"/>
          <w:szCs w:val="28"/>
          <w:rtl/>
        </w:rPr>
        <w:t>בתי</w:t>
      </w:r>
      <w:r w:rsidRPr="002421E4">
        <w:rPr>
          <w:rFonts w:cs="FrankRuehl"/>
          <w:color w:val="000000"/>
          <w:sz w:val="28"/>
          <w:szCs w:val="28"/>
        </w:rPr>
        <w:t xml:space="preserve"> </w:t>
      </w:r>
      <w:r w:rsidRPr="002421E4">
        <w:rPr>
          <w:rFonts w:cs="FrankRuehl"/>
          <w:color w:val="000000"/>
          <w:sz w:val="28"/>
          <w:szCs w:val="28"/>
          <w:rtl/>
        </w:rPr>
        <w:t>המשפט</w:t>
      </w:r>
      <w:r w:rsidRPr="002421E4">
        <w:rPr>
          <w:rFonts w:cs="FrankRuehl"/>
          <w:color w:val="000000"/>
          <w:sz w:val="28"/>
          <w:szCs w:val="28"/>
        </w:rPr>
        <w:t xml:space="preserve"> </w:t>
      </w:r>
      <w:r w:rsidRPr="002421E4">
        <w:rPr>
          <w:rFonts w:cs="FrankRuehl"/>
          <w:color w:val="000000"/>
          <w:sz w:val="28"/>
          <w:szCs w:val="28"/>
          <w:rtl/>
        </w:rPr>
        <w:t>אינה</w:t>
      </w:r>
      <w:r w:rsidRPr="002421E4">
        <w:rPr>
          <w:rFonts w:cs="FrankRuehl"/>
          <w:color w:val="000000"/>
          <w:sz w:val="28"/>
          <w:szCs w:val="28"/>
        </w:rPr>
        <w:t xml:space="preserve"> </w:t>
      </w:r>
      <w:r>
        <w:rPr>
          <w:rFonts w:cs="FrankRuehl" w:hint="cs"/>
          <w:color w:val="000000"/>
          <w:sz w:val="28"/>
          <w:szCs w:val="28"/>
          <w:rtl/>
        </w:rPr>
        <w:t>מעניקה</w:t>
      </w:r>
      <w:r w:rsidRPr="002421E4">
        <w:rPr>
          <w:rFonts w:cs="FrankRuehl"/>
          <w:color w:val="000000"/>
          <w:sz w:val="28"/>
          <w:szCs w:val="28"/>
        </w:rPr>
        <w:t xml:space="preserve"> </w:t>
      </w:r>
      <w:r w:rsidRPr="002421E4">
        <w:rPr>
          <w:rFonts w:cs="FrankRuehl"/>
          <w:color w:val="000000"/>
          <w:sz w:val="28"/>
          <w:szCs w:val="28"/>
          <w:rtl/>
        </w:rPr>
        <w:t>ייעוץ</w:t>
      </w:r>
      <w:r w:rsidRPr="002421E4">
        <w:rPr>
          <w:rFonts w:cs="FrankRuehl"/>
          <w:color w:val="000000"/>
          <w:sz w:val="28"/>
          <w:szCs w:val="28"/>
        </w:rPr>
        <w:t xml:space="preserve"> </w:t>
      </w:r>
      <w:r w:rsidRPr="002421E4">
        <w:rPr>
          <w:rFonts w:cs="FrankRuehl"/>
          <w:color w:val="000000"/>
          <w:sz w:val="28"/>
          <w:szCs w:val="28"/>
          <w:rtl/>
        </w:rPr>
        <w:t>ו</w:t>
      </w:r>
      <w:r w:rsidRPr="002421E4">
        <w:rPr>
          <w:rFonts w:cs="FrankRuehl"/>
          <w:color w:val="000000"/>
          <w:sz w:val="28"/>
          <w:szCs w:val="28"/>
        </w:rPr>
        <w:t>/</w:t>
      </w:r>
      <w:r w:rsidRPr="002421E4">
        <w:rPr>
          <w:rFonts w:cs="FrankRuehl"/>
          <w:color w:val="000000"/>
          <w:sz w:val="28"/>
          <w:szCs w:val="28"/>
          <w:rtl/>
        </w:rPr>
        <w:t>או</w:t>
      </w:r>
      <w:r w:rsidRPr="002421E4">
        <w:rPr>
          <w:rFonts w:cs="FrankRuehl"/>
          <w:color w:val="000000"/>
          <w:sz w:val="28"/>
          <w:szCs w:val="28"/>
        </w:rPr>
        <w:t xml:space="preserve"> </w:t>
      </w:r>
      <w:r w:rsidRPr="002421E4">
        <w:rPr>
          <w:rFonts w:cs="FrankRuehl"/>
          <w:color w:val="000000"/>
          <w:sz w:val="28"/>
          <w:szCs w:val="28"/>
          <w:rtl/>
        </w:rPr>
        <w:t>חיווי</w:t>
      </w:r>
      <w:r w:rsidRPr="002421E4">
        <w:rPr>
          <w:rFonts w:cs="FrankRuehl"/>
          <w:color w:val="000000"/>
          <w:sz w:val="28"/>
          <w:szCs w:val="28"/>
        </w:rPr>
        <w:t xml:space="preserve"> </w:t>
      </w:r>
      <w:r w:rsidRPr="002421E4">
        <w:rPr>
          <w:rFonts w:cs="FrankRuehl"/>
          <w:color w:val="000000"/>
          <w:sz w:val="28"/>
          <w:szCs w:val="28"/>
          <w:rtl/>
        </w:rPr>
        <w:t>דעה</w:t>
      </w:r>
      <w:r w:rsidRPr="002421E4">
        <w:rPr>
          <w:rFonts w:cs="FrankRuehl"/>
          <w:color w:val="000000"/>
          <w:sz w:val="28"/>
          <w:szCs w:val="28"/>
        </w:rPr>
        <w:t xml:space="preserve"> </w:t>
      </w:r>
      <w:r w:rsidRPr="002421E4">
        <w:rPr>
          <w:rFonts w:cs="FrankRuehl"/>
          <w:color w:val="000000"/>
          <w:sz w:val="28"/>
          <w:szCs w:val="28"/>
          <w:rtl/>
        </w:rPr>
        <w:t>משפטיים</w:t>
      </w:r>
      <w:r w:rsidRPr="002421E4">
        <w:rPr>
          <w:rFonts w:cs="FrankRuehl"/>
          <w:color w:val="000000"/>
          <w:sz w:val="28"/>
          <w:szCs w:val="28"/>
        </w:rPr>
        <w:t xml:space="preserve"> </w:t>
      </w:r>
      <w:r w:rsidRPr="002421E4">
        <w:rPr>
          <w:rFonts w:cs="FrankRuehl"/>
          <w:color w:val="000000"/>
          <w:sz w:val="28"/>
          <w:szCs w:val="28"/>
          <w:rtl/>
        </w:rPr>
        <w:t>או</w:t>
      </w:r>
      <w:r w:rsidRPr="002421E4">
        <w:rPr>
          <w:rFonts w:cs="FrankRuehl" w:hint="cs"/>
          <w:color w:val="000000"/>
          <w:sz w:val="28"/>
          <w:szCs w:val="28"/>
          <w:rtl/>
        </w:rPr>
        <w:t xml:space="preserve"> </w:t>
      </w:r>
      <w:r w:rsidRPr="002421E4">
        <w:rPr>
          <w:rFonts w:cs="FrankRuehl"/>
          <w:color w:val="000000"/>
          <w:sz w:val="28"/>
          <w:szCs w:val="28"/>
          <w:rtl/>
        </w:rPr>
        <w:t>ייעוץ</w:t>
      </w:r>
      <w:r w:rsidRPr="002421E4">
        <w:rPr>
          <w:rFonts w:cs="FrankRuehl"/>
          <w:color w:val="000000"/>
          <w:sz w:val="28"/>
          <w:szCs w:val="28"/>
        </w:rPr>
        <w:t xml:space="preserve"> </w:t>
      </w:r>
      <w:r w:rsidRPr="002421E4">
        <w:rPr>
          <w:rFonts w:cs="FrankRuehl"/>
          <w:color w:val="000000"/>
          <w:sz w:val="28"/>
          <w:szCs w:val="28"/>
          <w:rtl/>
        </w:rPr>
        <w:t>מכל</w:t>
      </w:r>
      <w:r w:rsidRPr="002421E4">
        <w:rPr>
          <w:rFonts w:cs="FrankRuehl"/>
          <w:color w:val="000000"/>
          <w:sz w:val="28"/>
          <w:szCs w:val="28"/>
        </w:rPr>
        <w:t xml:space="preserve"> </w:t>
      </w:r>
      <w:r w:rsidRPr="002421E4">
        <w:rPr>
          <w:rFonts w:cs="FrankRuehl"/>
          <w:color w:val="000000"/>
          <w:sz w:val="28"/>
          <w:szCs w:val="28"/>
          <w:rtl/>
        </w:rPr>
        <w:t>סוג</w:t>
      </w:r>
      <w:r w:rsidRPr="002421E4">
        <w:rPr>
          <w:rFonts w:cs="FrankRuehl"/>
          <w:color w:val="000000"/>
          <w:sz w:val="28"/>
          <w:szCs w:val="28"/>
        </w:rPr>
        <w:t xml:space="preserve"> </w:t>
      </w:r>
      <w:r w:rsidRPr="002421E4">
        <w:rPr>
          <w:rFonts w:cs="FrankRuehl"/>
          <w:color w:val="000000"/>
          <w:sz w:val="28"/>
          <w:szCs w:val="28"/>
          <w:rtl/>
        </w:rPr>
        <w:t>שהוא</w:t>
      </w:r>
      <w:r w:rsidRPr="002421E4">
        <w:rPr>
          <w:rFonts w:ascii="FrankRuehl" w:hAnsi="FrankRuehl" w:cs="FrankRuehl"/>
          <w:sz w:val="28"/>
          <w:szCs w:val="28"/>
        </w:rPr>
        <w:t>.</w:t>
      </w:r>
    </w:p>
    <w:p w:rsidR="00D6276D" w:rsidRPr="0068170A" w:rsidRDefault="00D6276D">
      <w:bookmarkStart w:id="0" w:name="_GoBack"/>
      <w:bookmarkEnd w:id="0"/>
    </w:p>
    <w:sectPr w:rsidR="00D6276D" w:rsidRPr="0068170A" w:rsidSect="00C374F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C30111"/>
    <w:multiLevelType w:val="hybridMultilevel"/>
    <w:tmpl w:val="511AE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70A"/>
    <w:rsid w:val="0068170A"/>
    <w:rsid w:val="00C374F7"/>
    <w:rsid w:val="00D62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6B2D545-E1CD-421F-A1B7-ED994B091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170A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17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שרון סבן-ספראי</dc:creator>
  <cp:keywords/>
  <dc:description/>
  <cp:lastModifiedBy>שרון סבן-ספראי</cp:lastModifiedBy>
  <cp:revision>1</cp:revision>
  <dcterms:created xsi:type="dcterms:W3CDTF">2021-04-19T06:08:00Z</dcterms:created>
  <dcterms:modified xsi:type="dcterms:W3CDTF">2021-04-19T06:08:00Z</dcterms:modified>
</cp:coreProperties>
</file>