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B60" w:rsidRDefault="00D03B60" w:rsidP="00D03B60">
      <w:pPr>
        <w:spacing w:after="120"/>
        <w:jc w:val="both"/>
        <w:rPr>
          <w:rFonts w:cs="David"/>
          <w:sz w:val="24"/>
          <w:szCs w:val="24"/>
          <w:rtl/>
          <w:lang w:eastAsia="en-US"/>
        </w:rPr>
      </w:pPr>
    </w:p>
    <w:p w:rsidR="00D03B60" w:rsidRDefault="00D03B60" w:rsidP="00D03B60">
      <w:pPr>
        <w:spacing w:after="120"/>
        <w:jc w:val="right"/>
        <w:rPr>
          <w:rFonts w:cs="David"/>
          <w:sz w:val="24"/>
          <w:szCs w:val="24"/>
          <w:rtl/>
          <w:lang w:eastAsia="en-US"/>
        </w:rPr>
      </w:pPr>
      <w:r>
        <w:rPr>
          <w:rFonts w:cs="David" w:hint="eastAsia"/>
          <w:sz w:val="24"/>
          <w:szCs w:val="24"/>
          <w:rtl/>
          <w:lang w:eastAsia="en-US"/>
        </w:rPr>
        <w:t>‏</w:t>
      </w:r>
      <w:r>
        <w:rPr>
          <w:rFonts w:cs="David"/>
          <w:sz w:val="24"/>
          <w:szCs w:val="24"/>
          <w:rtl/>
          <w:lang w:eastAsia="en-US"/>
        </w:rPr>
        <w:t>15 אוגוסט, 2021</w:t>
      </w:r>
    </w:p>
    <w:p w:rsidR="00D03B60" w:rsidRDefault="00D03B60" w:rsidP="00D03B60">
      <w:pPr>
        <w:spacing w:after="120"/>
        <w:jc w:val="right"/>
        <w:rPr>
          <w:rFonts w:cs="David"/>
          <w:sz w:val="24"/>
          <w:szCs w:val="24"/>
          <w:rtl/>
          <w:lang w:eastAsia="en-US"/>
        </w:rPr>
      </w:pPr>
      <w:r>
        <w:rPr>
          <w:rFonts w:cs="David" w:hint="eastAsia"/>
          <w:sz w:val="24"/>
          <w:szCs w:val="24"/>
          <w:rtl/>
          <w:lang w:eastAsia="en-US"/>
        </w:rPr>
        <w:t>‏ז</w:t>
      </w:r>
      <w:r>
        <w:rPr>
          <w:rFonts w:cs="David"/>
          <w:sz w:val="24"/>
          <w:szCs w:val="24"/>
          <w:rtl/>
          <w:lang w:eastAsia="en-US"/>
        </w:rPr>
        <w:t>' אלול, תשפ"א</w:t>
      </w:r>
    </w:p>
    <w:p w:rsidR="00D03B60" w:rsidRDefault="00D03B60" w:rsidP="00D03B60">
      <w:pPr>
        <w:spacing w:after="120"/>
        <w:jc w:val="both"/>
        <w:rPr>
          <w:rFonts w:cs="David"/>
          <w:b/>
          <w:bCs/>
          <w:sz w:val="24"/>
          <w:szCs w:val="24"/>
          <w:rtl/>
          <w:lang w:eastAsia="en-US"/>
        </w:rPr>
      </w:pPr>
    </w:p>
    <w:p w:rsidR="00D03B60" w:rsidRPr="0095740E" w:rsidRDefault="00D03B60" w:rsidP="00D03B60">
      <w:pPr>
        <w:spacing w:after="120"/>
        <w:jc w:val="both"/>
        <w:rPr>
          <w:rFonts w:cs="David"/>
          <w:b/>
          <w:bCs/>
          <w:sz w:val="24"/>
          <w:szCs w:val="24"/>
          <w:rtl/>
          <w:lang w:eastAsia="en-US"/>
        </w:rPr>
      </w:pPr>
    </w:p>
    <w:p w:rsidR="00D03B60" w:rsidRPr="001022A0" w:rsidRDefault="00D03B60" w:rsidP="00D03B60">
      <w:pPr>
        <w:jc w:val="both"/>
        <w:rPr>
          <w:rFonts w:cs="David"/>
          <w:sz w:val="24"/>
          <w:szCs w:val="24"/>
        </w:rPr>
      </w:pPr>
      <w:r w:rsidRPr="001022A0">
        <w:rPr>
          <w:rFonts w:cs="David" w:hint="cs"/>
          <w:b/>
          <w:bCs/>
          <w:sz w:val="24"/>
          <w:szCs w:val="24"/>
          <w:rtl/>
        </w:rPr>
        <w:t xml:space="preserve">הנדון: </w:t>
      </w:r>
      <w:r w:rsidRPr="001022A0">
        <w:rPr>
          <w:rFonts w:cs="David" w:hint="cs"/>
          <w:b/>
          <w:bCs/>
          <w:sz w:val="24"/>
          <w:szCs w:val="24"/>
          <w:u w:val="single"/>
          <w:rtl/>
        </w:rPr>
        <w:t>מענה לפנייתך לקבלת מידע בהתאם לחוק חופש המידע</w:t>
      </w:r>
    </w:p>
    <w:p w:rsidR="00D03B60" w:rsidRDefault="00D03B60" w:rsidP="00D03B60">
      <w:pPr>
        <w:ind w:left="360"/>
        <w:jc w:val="both"/>
        <w:rPr>
          <w:rFonts w:cs="David"/>
          <w:sz w:val="24"/>
          <w:szCs w:val="24"/>
          <w:rtl/>
        </w:rPr>
      </w:pPr>
    </w:p>
    <w:p w:rsidR="00D03B60" w:rsidRDefault="00D03B60" w:rsidP="00D03B60">
      <w:pPr>
        <w:ind w:left="360"/>
        <w:jc w:val="both"/>
        <w:rPr>
          <w:rFonts w:cs="David"/>
          <w:sz w:val="24"/>
          <w:szCs w:val="24"/>
          <w:rtl/>
        </w:rPr>
      </w:pPr>
    </w:p>
    <w:p w:rsidR="00D03B60" w:rsidRPr="00667EB6" w:rsidRDefault="00D03B60" w:rsidP="00D03B60">
      <w:pPr>
        <w:autoSpaceDE w:val="0"/>
        <w:autoSpaceDN w:val="0"/>
        <w:bidi w:val="0"/>
        <w:adjustRightInd w:val="0"/>
        <w:spacing w:line="360" w:lineRule="auto"/>
        <w:jc w:val="both"/>
        <w:rPr>
          <w:rFonts w:ascii="David" w:hAnsi="David" w:cs="David"/>
          <w:sz w:val="24"/>
          <w:szCs w:val="24"/>
          <w:rtl/>
        </w:rPr>
      </w:pPr>
    </w:p>
    <w:p w:rsidR="00D03B60" w:rsidRDefault="00D03B60" w:rsidP="00D03B60">
      <w:pPr>
        <w:pStyle w:val="a7"/>
        <w:numPr>
          <w:ilvl w:val="0"/>
          <w:numId w:val="6"/>
        </w:numPr>
        <w:autoSpaceDE w:val="0"/>
        <w:autoSpaceDN w:val="0"/>
        <w:adjustRightInd w:val="0"/>
        <w:spacing w:line="360" w:lineRule="auto"/>
        <w:contextualSpacing/>
        <w:jc w:val="both"/>
        <w:rPr>
          <w:rFonts w:ascii="David" w:hAnsi="David" w:cs="David"/>
          <w:b/>
          <w:bCs/>
          <w:sz w:val="24"/>
          <w:szCs w:val="24"/>
        </w:rPr>
      </w:pPr>
      <w:r>
        <w:rPr>
          <w:rFonts w:ascii="David" w:hAnsi="David" w:cs="David" w:hint="cs"/>
          <w:b/>
          <w:bCs/>
          <w:sz w:val="24"/>
          <w:szCs w:val="24"/>
          <w:rtl/>
        </w:rPr>
        <w:t>נהלים והנחיות כלליות בנוגע להטלת הגבלות ודיווחן לחייב ולצדדים השלישיים:</w:t>
      </w:r>
    </w:p>
    <w:p w:rsidR="00D03B60" w:rsidRPr="00B167AF" w:rsidRDefault="00D03B60" w:rsidP="00D03B60">
      <w:pPr>
        <w:pStyle w:val="a7"/>
        <w:numPr>
          <w:ilvl w:val="1"/>
          <w:numId w:val="6"/>
        </w:numPr>
        <w:autoSpaceDE w:val="0"/>
        <w:autoSpaceDN w:val="0"/>
        <w:adjustRightInd w:val="0"/>
        <w:spacing w:line="360" w:lineRule="auto"/>
        <w:contextualSpacing/>
        <w:jc w:val="both"/>
        <w:rPr>
          <w:rFonts w:ascii="David" w:hAnsi="David" w:cs="David"/>
          <w:b/>
          <w:bCs/>
          <w:sz w:val="24"/>
          <w:szCs w:val="24"/>
        </w:rPr>
      </w:pPr>
      <w:r w:rsidRPr="00B167AF">
        <w:rPr>
          <w:rFonts w:ascii="David" w:hAnsi="David" w:cs="David" w:hint="cs"/>
          <w:sz w:val="24"/>
          <w:szCs w:val="24"/>
          <w:u w:val="single"/>
          <w:rtl/>
        </w:rPr>
        <w:t>שליחת התראה לחייב על ההגבלות ומועד כניסתן לתוקף</w:t>
      </w:r>
      <w:r w:rsidRPr="00B167AF">
        <w:rPr>
          <w:rFonts w:ascii="David" w:hAnsi="David" w:cs="David" w:hint="cs"/>
          <w:b/>
          <w:bCs/>
          <w:sz w:val="24"/>
          <w:szCs w:val="24"/>
          <w:rtl/>
        </w:rPr>
        <w:t xml:space="preserve"> : </w:t>
      </w:r>
    </w:p>
    <w:p w:rsidR="00D03B60" w:rsidRDefault="00D03B60" w:rsidP="00D03B60">
      <w:pPr>
        <w:pStyle w:val="a7"/>
        <w:autoSpaceDE w:val="0"/>
        <w:autoSpaceDN w:val="0"/>
        <w:adjustRightInd w:val="0"/>
        <w:spacing w:line="360" w:lineRule="auto"/>
        <w:jc w:val="both"/>
        <w:rPr>
          <w:rFonts w:ascii="David" w:hAnsi="David" w:cs="David"/>
          <w:b/>
          <w:bCs/>
          <w:sz w:val="24"/>
          <w:szCs w:val="24"/>
          <w:rtl/>
        </w:rPr>
      </w:pPr>
      <w:r>
        <w:rPr>
          <w:rFonts w:ascii="David" w:hAnsi="David" w:cs="David" w:hint="cs"/>
          <w:sz w:val="24"/>
          <w:szCs w:val="24"/>
          <w:rtl/>
        </w:rPr>
        <w:t>בהתאם לסעיף 66 ג לחוק ההוצאה לפועל, הגבלות המוטלות על חייב נכנסות לתוקף לאחר 30 ימים מיום מסירת התראה. התראה לחייב על הגבלות נשלחת באמצעות הדואר.</w:t>
      </w:r>
      <w:r>
        <w:rPr>
          <w:rFonts w:ascii="David" w:hAnsi="David" w:cs="David" w:hint="cs"/>
          <w:b/>
          <w:bCs/>
          <w:sz w:val="24"/>
          <w:szCs w:val="24"/>
          <w:rtl/>
        </w:rPr>
        <w:t xml:space="preserve"> </w:t>
      </w:r>
    </w:p>
    <w:p w:rsidR="00D03B60" w:rsidRDefault="00D03B60" w:rsidP="00D03B60">
      <w:pPr>
        <w:pStyle w:val="a7"/>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ההגבלות נכנסות לתוקף בחלוף 45 יום ממועד שליחת ההתראה (סעיף 66 לחוק קובע כי ההגבלה תיכנס לתוקף בתוך 30 יום, הרשות מונה ימים נוספים לצרכי העברת ההחלטה לחברת הדפוס, הדפסתה, ביולה, שליחתה בדואר והגעתה לנמען). כלומר, ליתר ביטחון מונה הרשות 45 ימים ממועד מתן ההחלטה טרם כניסת ההגבלות לתוקף.</w:t>
      </w:r>
    </w:p>
    <w:p w:rsidR="00D03B60" w:rsidRDefault="00D03B60" w:rsidP="00D03B60">
      <w:pPr>
        <w:pStyle w:val="a7"/>
        <w:numPr>
          <w:ilvl w:val="1"/>
          <w:numId w:val="6"/>
        </w:numPr>
        <w:autoSpaceDE w:val="0"/>
        <w:autoSpaceDN w:val="0"/>
        <w:adjustRightInd w:val="0"/>
        <w:spacing w:line="360" w:lineRule="auto"/>
        <w:contextualSpacing/>
        <w:jc w:val="both"/>
        <w:rPr>
          <w:rFonts w:ascii="David" w:hAnsi="David" w:cs="David"/>
          <w:sz w:val="24"/>
          <w:szCs w:val="24"/>
        </w:rPr>
      </w:pPr>
      <w:r w:rsidRPr="00B167AF">
        <w:rPr>
          <w:rFonts w:ascii="David" w:hAnsi="David" w:cs="David" w:hint="cs"/>
          <w:sz w:val="24"/>
          <w:szCs w:val="24"/>
          <w:u w:val="single"/>
          <w:rtl/>
        </w:rPr>
        <w:t>מעקב אחר קבלת ההתראה ע"י החייב ופיקוח טרם כניסת ההגבלות לתוקף</w:t>
      </w:r>
      <w:r w:rsidRPr="00B167AF">
        <w:rPr>
          <w:rFonts w:ascii="David" w:hAnsi="David" w:cs="David" w:hint="cs"/>
          <w:sz w:val="24"/>
          <w:szCs w:val="24"/>
          <w:rtl/>
        </w:rPr>
        <w:t>:</w:t>
      </w:r>
    </w:p>
    <w:p w:rsidR="00D03B60" w:rsidRPr="00E52473" w:rsidRDefault="00D03B60" w:rsidP="00D03B60">
      <w:pPr>
        <w:pStyle w:val="a7"/>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 xml:space="preserve">דרך ההמצאה של כתבי בי-דין (למעט אזהרה) קבועה בתקנה 24 (א) לתקנות ההוצאה לפועל תש"ם-1979 לפיה </w:t>
      </w:r>
      <w:r w:rsidRPr="00E52473">
        <w:rPr>
          <w:rFonts w:ascii="David" w:hAnsi="David" w:cs="David" w:hint="cs"/>
          <w:b/>
          <w:bCs/>
          <w:sz w:val="24"/>
          <w:szCs w:val="24"/>
          <w:rtl/>
        </w:rPr>
        <w:t>"כתב שניתן להמציאו בדואר, יישלח בדואר שאינו רשום וללא אישור מסירה, אלא אם נאמר בתקנות אלה במפורש אחרת"</w:t>
      </w:r>
      <w:r>
        <w:rPr>
          <w:rFonts w:ascii="David" w:hAnsi="David" w:cs="David" w:hint="cs"/>
          <w:b/>
          <w:bCs/>
          <w:sz w:val="24"/>
          <w:szCs w:val="24"/>
          <w:rtl/>
        </w:rPr>
        <w:t xml:space="preserve">, </w:t>
      </w:r>
      <w:r>
        <w:rPr>
          <w:rFonts w:ascii="David" w:hAnsi="David" w:cs="David" w:hint="cs"/>
          <w:sz w:val="24"/>
          <w:szCs w:val="24"/>
          <w:rtl/>
        </w:rPr>
        <w:t xml:space="preserve">כמו-כן, תקנה 24(ב) לתקנות קובעת חזקה שבדין </w:t>
      </w:r>
      <w:r>
        <w:rPr>
          <w:rFonts w:ascii="David" w:hAnsi="David" w:cs="David"/>
          <w:sz w:val="24"/>
          <w:szCs w:val="24"/>
          <w:rtl/>
        </w:rPr>
        <w:t>–</w:t>
      </w:r>
      <w:r>
        <w:rPr>
          <w:rFonts w:ascii="David" w:hAnsi="David" w:cs="David" w:hint="cs"/>
          <w:sz w:val="24"/>
          <w:szCs w:val="24"/>
          <w:rtl/>
        </w:rPr>
        <w:t xml:space="preserve"> "חזקת המצאה בדואר", לפיה דבר דואר שנשלח בדואר (רגיל או רשום), </w:t>
      </w:r>
      <w:r w:rsidRPr="0099164D">
        <w:rPr>
          <w:rFonts w:ascii="David" w:hAnsi="David" w:cs="David" w:hint="cs"/>
          <w:b/>
          <w:bCs/>
          <w:sz w:val="24"/>
          <w:szCs w:val="24"/>
          <w:rtl/>
        </w:rPr>
        <w:t>ייראו אותו כאילו הומצא כדין ביום השישי שלאחר משלחו</w:t>
      </w:r>
      <w:r>
        <w:rPr>
          <w:rFonts w:ascii="David" w:hAnsi="David" w:cs="David" w:hint="cs"/>
          <w:sz w:val="24"/>
          <w:szCs w:val="24"/>
          <w:rtl/>
        </w:rPr>
        <w:t xml:space="preserve">. לפיכך ובהתאם ללשון התקנה ומאחר והרשות מונה ימים נוספים כפי שפורט לעיל, לא נדרש ביצוע פעולות נוספות טרם כניסתן לתוקף של ההגבלות. </w:t>
      </w:r>
    </w:p>
    <w:p w:rsidR="00D03B60" w:rsidRDefault="00D03B60" w:rsidP="00D03B60">
      <w:pPr>
        <w:pStyle w:val="a7"/>
        <w:numPr>
          <w:ilvl w:val="1"/>
          <w:numId w:val="6"/>
        </w:numPr>
        <w:autoSpaceDE w:val="0"/>
        <w:autoSpaceDN w:val="0"/>
        <w:adjustRightInd w:val="0"/>
        <w:spacing w:line="360" w:lineRule="auto"/>
        <w:contextualSpacing/>
        <w:jc w:val="both"/>
        <w:rPr>
          <w:rFonts w:ascii="David" w:hAnsi="David" w:cs="David"/>
          <w:sz w:val="24"/>
          <w:szCs w:val="24"/>
          <w:rtl/>
        </w:rPr>
      </w:pPr>
      <w:r w:rsidRPr="00E52473">
        <w:rPr>
          <w:rFonts w:ascii="David" w:hAnsi="David" w:cs="David" w:hint="cs"/>
          <w:sz w:val="24"/>
          <w:szCs w:val="24"/>
          <w:u w:val="single"/>
          <w:rtl/>
        </w:rPr>
        <w:t>אופן משלוח הודעת ההגבלות לצדדים השלישיים</w:t>
      </w:r>
      <w:r>
        <w:rPr>
          <w:rFonts w:ascii="David" w:hAnsi="David" w:cs="David" w:hint="cs"/>
          <w:sz w:val="24"/>
          <w:szCs w:val="24"/>
          <w:rtl/>
        </w:rPr>
        <w:t>:</w:t>
      </w:r>
    </w:p>
    <w:p w:rsidR="00D03B60" w:rsidRDefault="00D03B60" w:rsidP="00D03B60">
      <w:pPr>
        <w:autoSpaceDE w:val="0"/>
        <w:autoSpaceDN w:val="0"/>
        <w:adjustRightInd w:val="0"/>
        <w:spacing w:line="360" w:lineRule="auto"/>
        <w:ind w:left="720"/>
        <w:jc w:val="both"/>
        <w:rPr>
          <w:rFonts w:ascii="David" w:hAnsi="David" w:cs="David"/>
          <w:sz w:val="24"/>
          <w:szCs w:val="24"/>
          <w:highlight w:val="yellow"/>
          <w:rtl/>
        </w:rPr>
      </w:pPr>
      <w:r w:rsidRPr="00E52473">
        <w:rPr>
          <w:rFonts w:ascii="David" w:hAnsi="David" w:cs="David" w:hint="cs"/>
          <w:sz w:val="24"/>
          <w:szCs w:val="24"/>
          <w:rtl/>
        </w:rPr>
        <w:t>ההגבלות נשל</w:t>
      </w:r>
      <w:r>
        <w:rPr>
          <w:rFonts w:ascii="David" w:hAnsi="David" w:cs="David" w:hint="cs"/>
          <w:sz w:val="24"/>
          <w:szCs w:val="24"/>
          <w:rtl/>
        </w:rPr>
        <w:t>חות לצדדים השלישיים באמצעות ממשק מחשובי.</w:t>
      </w:r>
    </w:p>
    <w:p w:rsidR="00D03B60" w:rsidRDefault="00D03B60" w:rsidP="00D03B60">
      <w:pPr>
        <w:pStyle w:val="a7"/>
        <w:numPr>
          <w:ilvl w:val="1"/>
          <w:numId w:val="7"/>
        </w:numPr>
        <w:autoSpaceDE w:val="0"/>
        <w:autoSpaceDN w:val="0"/>
        <w:adjustRightInd w:val="0"/>
        <w:spacing w:line="360" w:lineRule="auto"/>
        <w:contextualSpacing/>
        <w:jc w:val="both"/>
        <w:rPr>
          <w:rFonts w:ascii="David" w:hAnsi="David" w:cs="David"/>
          <w:sz w:val="24"/>
          <w:szCs w:val="24"/>
        </w:rPr>
      </w:pPr>
      <w:r w:rsidRPr="00E52473">
        <w:rPr>
          <w:rFonts w:ascii="David" w:hAnsi="David" w:cs="David" w:hint="cs"/>
          <w:sz w:val="24"/>
          <w:szCs w:val="24"/>
          <w:u w:val="single"/>
          <w:rtl/>
        </w:rPr>
        <w:t>אופן משלוח הודעה על ביטול ההגבלות</w:t>
      </w:r>
      <w:r>
        <w:rPr>
          <w:rFonts w:ascii="David" w:hAnsi="David" w:cs="David" w:hint="cs"/>
          <w:sz w:val="24"/>
          <w:szCs w:val="24"/>
          <w:rtl/>
        </w:rPr>
        <w:t>:</w:t>
      </w:r>
    </w:p>
    <w:p w:rsidR="00D03B60" w:rsidRDefault="00D03B60" w:rsidP="00D03B60">
      <w:pPr>
        <w:pStyle w:val="a7"/>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הודעה על ביטול ההגבלות נשלחת לצדדים השלישיים בדרך בה הוצאה ההודעה על הטלת ההגבלות, כלומר, באמצעות ממשק מחשובי.</w:t>
      </w:r>
    </w:p>
    <w:p w:rsidR="00D03B60" w:rsidRDefault="00D03B60" w:rsidP="00D03B60">
      <w:pPr>
        <w:pStyle w:val="a7"/>
        <w:numPr>
          <w:ilvl w:val="1"/>
          <w:numId w:val="7"/>
        </w:numPr>
        <w:autoSpaceDE w:val="0"/>
        <w:autoSpaceDN w:val="0"/>
        <w:adjustRightInd w:val="0"/>
        <w:spacing w:line="360" w:lineRule="auto"/>
        <w:contextualSpacing/>
        <w:jc w:val="both"/>
        <w:rPr>
          <w:rFonts w:ascii="David" w:hAnsi="David" w:cs="David"/>
          <w:sz w:val="24"/>
          <w:szCs w:val="24"/>
        </w:rPr>
      </w:pPr>
      <w:r w:rsidRPr="006D2098">
        <w:rPr>
          <w:rFonts w:ascii="David" w:hAnsi="David" w:cs="David" w:hint="cs"/>
          <w:sz w:val="24"/>
          <w:szCs w:val="24"/>
          <w:u w:val="single"/>
          <w:rtl/>
        </w:rPr>
        <w:t>האופן בו נשלחות התראות חמורות (הגבלת חופש התנועה וחופש העיסוק כדוגמת צווי עיקול, הגבלת יציאה וכד') לבין התראות רגילות</w:t>
      </w:r>
      <w:r>
        <w:rPr>
          <w:rFonts w:ascii="David" w:hAnsi="David" w:cs="David" w:hint="cs"/>
          <w:sz w:val="24"/>
          <w:szCs w:val="24"/>
          <w:rtl/>
        </w:rPr>
        <w:t xml:space="preserve">: </w:t>
      </w:r>
    </w:p>
    <w:p w:rsidR="00D03B60" w:rsidRDefault="00D03B60" w:rsidP="00D03B60">
      <w:pPr>
        <w:pStyle w:val="a7"/>
        <w:autoSpaceDE w:val="0"/>
        <w:autoSpaceDN w:val="0"/>
        <w:adjustRightInd w:val="0"/>
        <w:spacing w:line="360" w:lineRule="auto"/>
        <w:jc w:val="both"/>
        <w:rPr>
          <w:rFonts w:ascii="David" w:hAnsi="David" w:cs="David"/>
          <w:sz w:val="24"/>
          <w:szCs w:val="24"/>
          <w:rtl/>
        </w:rPr>
      </w:pPr>
      <w:r>
        <w:rPr>
          <w:rFonts w:ascii="David" w:hAnsi="David" w:cs="David" w:hint="cs"/>
          <w:sz w:val="24"/>
          <w:szCs w:val="24"/>
          <w:rtl/>
        </w:rPr>
        <w:t>כפי שפורט לעיל, דרך ההמצאה של כתבי בי-דין (למעט אזהרה) קבועה בתקנות והרשות פועלת לשליחת ההתראות בהתאם לתקנות.</w:t>
      </w:r>
    </w:p>
    <w:p w:rsidR="00D03B60" w:rsidRDefault="00D03B60" w:rsidP="00D03B60">
      <w:pPr>
        <w:autoSpaceDE w:val="0"/>
        <w:autoSpaceDN w:val="0"/>
        <w:adjustRightInd w:val="0"/>
        <w:spacing w:line="360" w:lineRule="auto"/>
        <w:jc w:val="both"/>
        <w:rPr>
          <w:rFonts w:ascii="David" w:hAnsi="David" w:cs="David"/>
          <w:sz w:val="24"/>
          <w:szCs w:val="24"/>
          <w:rtl/>
        </w:rPr>
      </w:pPr>
    </w:p>
    <w:p w:rsidR="00D03B60" w:rsidRDefault="00D03B60" w:rsidP="00D03B60">
      <w:pPr>
        <w:spacing w:line="360" w:lineRule="auto"/>
        <w:jc w:val="both"/>
        <w:rPr>
          <w:rFonts w:ascii="David" w:eastAsia="Calibri" w:hAnsi="David" w:cs="David"/>
          <w:sz w:val="24"/>
          <w:szCs w:val="24"/>
          <w:rtl/>
          <w:lang w:eastAsia="en-US"/>
        </w:rPr>
      </w:pPr>
      <w:r>
        <w:rPr>
          <w:rFonts w:ascii="David" w:hAnsi="David" w:cs="David" w:hint="cs"/>
          <w:sz w:val="24"/>
          <w:szCs w:val="24"/>
          <w:rtl/>
        </w:rPr>
        <w:lastRenderedPageBreak/>
        <w:t xml:space="preserve">2. </w:t>
      </w:r>
      <w:r>
        <w:rPr>
          <w:rFonts w:ascii="David" w:eastAsia="Calibri" w:hAnsi="David" w:cs="David" w:hint="cs"/>
          <w:sz w:val="24"/>
          <w:szCs w:val="24"/>
          <w:rtl/>
          <w:lang w:eastAsia="en-US"/>
        </w:rPr>
        <w:t xml:space="preserve">לא בוצעה בקורת </w:t>
      </w:r>
      <w:r w:rsidRPr="002247EA">
        <w:rPr>
          <w:rFonts w:ascii="David" w:eastAsia="Calibri" w:hAnsi="David" w:cs="David"/>
          <w:sz w:val="24"/>
          <w:szCs w:val="24"/>
          <w:rtl/>
          <w:lang w:eastAsia="en-US"/>
        </w:rPr>
        <w:t xml:space="preserve"> בנושא "הטלת הגבלות על חייבים".</w:t>
      </w:r>
    </w:p>
    <w:p w:rsidR="00D03B60" w:rsidRPr="005E7150" w:rsidRDefault="00D03B60" w:rsidP="00D03B60">
      <w:pPr>
        <w:spacing w:line="360" w:lineRule="auto"/>
        <w:jc w:val="both"/>
        <w:rPr>
          <w:rFonts w:ascii="David" w:eastAsia="Calibri" w:hAnsi="David" w:cs="David"/>
          <w:sz w:val="24"/>
          <w:szCs w:val="24"/>
          <w:lang w:eastAsia="en-US"/>
        </w:rPr>
      </w:pPr>
      <w:r>
        <w:rPr>
          <w:rFonts w:ascii="David" w:eastAsia="Calibri" w:hAnsi="David" w:cs="David" w:hint="cs"/>
          <w:sz w:val="24"/>
          <w:szCs w:val="24"/>
          <w:rtl/>
          <w:lang w:eastAsia="en-US"/>
        </w:rPr>
        <w:t xml:space="preserve">בהתאם לסמכותי על פי סעיף 8(1) לחוק חופש המידע </w:t>
      </w:r>
      <w:proofErr w:type="spellStart"/>
      <w:r>
        <w:rPr>
          <w:rFonts w:ascii="David" w:eastAsia="Calibri" w:hAnsi="David" w:cs="David" w:hint="cs"/>
          <w:sz w:val="24"/>
          <w:szCs w:val="24"/>
          <w:rtl/>
          <w:lang w:eastAsia="en-US"/>
        </w:rPr>
        <w:t>התשנ"ח</w:t>
      </w:r>
      <w:proofErr w:type="spellEnd"/>
      <w:r>
        <w:rPr>
          <w:rFonts w:ascii="David" w:eastAsia="Calibri" w:hAnsi="David" w:cs="David" w:hint="cs"/>
          <w:sz w:val="24"/>
          <w:szCs w:val="24"/>
          <w:rtl/>
          <w:lang w:eastAsia="en-US"/>
        </w:rPr>
        <w:t xml:space="preserve"> 1998, בשל הקצאת משאבים בלתי סבירה, אני דוחה את בקשתך לקבל העתקי תלונות הנוגעות להטלת הגבלות על חייבים והתרשלות הרשות במשלוח הודעות לחייבים, שכן המערכת המשמשת את הרשות </w:t>
      </w:r>
      <w:r w:rsidRPr="005E7150">
        <w:rPr>
          <w:rFonts w:ascii="David" w:eastAsia="Calibri" w:hAnsi="David" w:cs="David"/>
          <w:sz w:val="24"/>
          <w:szCs w:val="24"/>
          <w:rtl/>
          <w:lang w:eastAsia="en-US"/>
        </w:rPr>
        <w:t>לטיפול ולניהול תלונות הציבור מאפשרת לבצע ניתוח ושליפה של תלונות עפ"י מחוזות, לשכות הוצל"פ, מרכז לגביית קנסות, יחידות מטה, רשות השידור וכו'</w:t>
      </w:r>
      <w:r>
        <w:rPr>
          <w:rFonts w:ascii="David" w:eastAsia="Calibri" w:hAnsi="David" w:cs="David" w:hint="cs"/>
          <w:sz w:val="24"/>
          <w:szCs w:val="24"/>
          <w:rtl/>
          <w:lang w:eastAsia="en-US"/>
        </w:rPr>
        <w:t xml:space="preserve"> ואין אפשרות שליפה על פי נושא התלונה</w:t>
      </w:r>
      <w:r w:rsidRPr="005E7150">
        <w:rPr>
          <w:rFonts w:ascii="David" w:eastAsia="Calibri" w:hAnsi="David" w:cs="David"/>
          <w:sz w:val="24"/>
          <w:szCs w:val="24"/>
          <w:rtl/>
          <w:lang w:eastAsia="en-US"/>
        </w:rPr>
        <w:t>.</w:t>
      </w:r>
      <w:r>
        <w:rPr>
          <w:rFonts w:ascii="David" w:eastAsia="Calibri" w:hAnsi="David" w:cs="David" w:hint="cs"/>
          <w:sz w:val="24"/>
          <w:szCs w:val="24"/>
          <w:rtl/>
          <w:lang w:eastAsia="en-US"/>
        </w:rPr>
        <w:t xml:space="preserve"> </w:t>
      </w:r>
    </w:p>
    <w:p w:rsidR="00D03B60" w:rsidRPr="002247EA" w:rsidRDefault="00D03B60" w:rsidP="00D03B60">
      <w:pPr>
        <w:spacing w:line="360" w:lineRule="auto"/>
        <w:jc w:val="both"/>
        <w:rPr>
          <w:rFonts w:ascii="David" w:eastAsia="Calibri" w:hAnsi="David" w:cs="David"/>
          <w:sz w:val="24"/>
          <w:szCs w:val="24"/>
          <w:rtl/>
          <w:lang w:eastAsia="en-US"/>
        </w:rPr>
      </w:pPr>
    </w:p>
    <w:p w:rsidR="00D03B60" w:rsidRDefault="00D03B60" w:rsidP="00D03B60">
      <w:pPr>
        <w:spacing w:line="360" w:lineRule="auto"/>
        <w:jc w:val="both"/>
        <w:rPr>
          <w:rFonts w:ascii="David" w:eastAsia="Calibri" w:hAnsi="David" w:cs="David"/>
          <w:sz w:val="24"/>
          <w:szCs w:val="24"/>
          <w:rtl/>
          <w:lang w:eastAsia="en-US"/>
        </w:rPr>
      </w:pPr>
      <w:r>
        <w:rPr>
          <w:rFonts w:ascii="David" w:hAnsi="David" w:cs="David" w:hint="cs"/>
          <w:sz w:val="24"/>
          <w:szCs w:val="24"/>
          <w:rtl/>
        </w:rPr>
        <w:t xml:space="preserve">3. </w:t>
      </w:r>
      <w:r w:rsidRPr="00CB39EF">
        <w:rPr>
          <w:rFonts w:ascii="David" w:eastAsia="Calibri" w:hAnsi="David" w:cs="David"/>
          <w:sz w:val="24"/>
          <w:szCs w:val="24"/>
          <w:rtl/>
          <w:lang w:eastAsia="en-US"/>
        </w:rPr>
        <w:t>בבקשה שבנדון, מדובר בדוח מבקר המדינה שהגורם המבוקר הוא דואר ישראל.</w:t>
      </w:r>
      <w:r>
        <w:rPr>
          <w:rFonts w:ascii="David" w:eastAsia="Calibri" w:hAnsi="David" w:cs="David" w:hint="cs"/>
          <w:sz w:val="24"/>
          <w:szCs w:val="24"/>
          <w:rtl/>
          <w:lang w:eastAsia="en-US"/>
        </w:rPr>
        <w:t xml:space="preserve"> עלייך לפנות לגורם המטפל בבקשות על פי חוק חופש המידע בדואר ישראל.</w:t>
      </w:r>
    </w:p>
    <w:p w:rsidR="00D03B60" w:rsidRDefault="00D03B60" w:rsidP="00D03B60">
      <w:pPr>
        <w:spacing w:line="360" w:lineRule="auto"/>
        <w:jc w:val="both"/>
        <w:rPr>
          <w:rFonts w:ascii="David" w:eastAsia="Calibri" w:hAnsi="David" w:cs="David"/>
          <w:sz w:val="24"/>
          <w:szCs w:val="24"/>
          <w:rtl/>
          <w:lang w:eastAsia="en-US"/>
        </w:rPr>
      </w:pPr>
    </w:p>
    <w:p w:rsidR="00D03B60" w:rsidRPr="00CB39EF" w:rsidRDefault="00D03B60" w:rsidP="00D03B60">
      <w:pPr>
        <w:spacing w:line="360" w:lineRule="auto"/>
        <w:jc w:val="both"/>
        <w:rPr>
          <w:rFonts w:ascii="David" w:eastAsia="Calibri" w:hAnsi="David" w:cs="David"/>
          <w:sz w:val="24"/>
          <w:szCs w:val="24"/>
          <w:lang w:eastAsia="en-US"/>
        </w:rPr>
      </w:pPr>
      <w:r>
        <w:rPr>
          <w:rFonts w:ascii="David" w:eastAsia="Calibri" w:hAnsi="David" w:cs="David" w:hint="cs"/>
          <w:sz w:val="24"/>
          <w:szCs w:val="24"/>
          <w:rtl/>
          <w:lang w:eastAsia="en-US"/>
        </w:rPr>
        <w:t>4.  באשר לבקשתך בסעיף 4 לפנייתך ל</w:t>
      </w:r>
      <w:bookmarkStart w:id="0" w:name="_GoBack"/>
      <w:bookmarkEnd w:id="0"/>
      <w:r>
        <w:rPr>
          <w:rFonts w:ascii="David" w:eastAsia="Calibri" w:hAnsi="David" w:cs="David" w:hint="cs"/>
          <w:sz w:val="24"/>
          <w:szCs w:val="24"/>
          <w:rtl/>
          <w:lang w:eastAsia="en-US"/>
        </w:rPr>
        <w:t xml:space="preserve">א מובנת לנו ההגדרה של מאגר מידע, אנא הבהירי את בקשתך. </w:t>
      </w:r>
    </w:p>
    <w:p w:rsidR="00D03B60" w:rsidRPr="00CB39EF" w:rsidRDefault="00D03B60" w:rsidP="00D03B60">
      <w:pPr>
        <w:autoSpaceDE w:val="0"/>
        <w:autoSpaceDN w:val="0"/>
        <w:adjustRightInd w:val="0"/>
        <w:spacing w:line="360" w:lineRule="auto"/>
        <w:jc w:val="both"/>
        <w:rPr>
          <w:rFonts w:ascii="David" w:hAnsi="David" w:cs="David"/>
          <w:sz w:val="24"/>
          <w:szCs w:val="24"/>
        </w:rPr>
      </w:pPr>
    </w:p>
    <w:p w:rsidR="00D03B60" w:rsidRPr="00E52473" w:rsidRDefault="00D03B60" w:rsidP="00D03B60">
      <w:pPr>
        <w:pStyle w:val="a7"/>
        <w:autoSpaceDE w:val="0"/>
        <w:autoSpaceDN w:val="0"/>
        <w:adjustRightInd w:val="0"/>
        <w:spacing w:line="360" w:lineRule="auto"/>
        <w:jc w:val="both"/>
        <w:rPr>
          <w:rFonts w:ascii="David" w:hAnsi="David" w:cs="David"/>
          <w:sz w:val="24"/>
          <w:szCs w:val="24"/>
          <w:rtl/>
        </w:rPr>
      </w:pPr>
    </w:p>
    <w:p w:rsidR="00D03B60" w:rsidRPr="00F9082D" w:rsidRDefault="00D03B60" w:rsidP="00D03B60">
      <w:pPr>
        <w:ind w:left="360"/>
        <w:jc w:val="both"/>
        <w:rPr>
          <w:rFonts w:cs="David"/>
          <w:sz w:val="24"/>
          <w:szCs w:val="24"/>
        </w:rPr>
      </w:pPr>
    </w:p>
    <w:p w:rsidR="00D03B60" w:rsidRPr="00BB489D" w:rsidRDefault="00D03B60" w:rsidP="00D03B60">
      <w:pPr>
        <w:spacing w:after="120"/>
        <w:jc w:val="both"/>
        <w:rPr>
          <w:rFonts w:cs="David"/>
          <w:sz w:val="24"/>
          <w:szCs w:val="24"/>
          <w:rtl/>
          <w:lang w:eastAsia="en-US"/>
        </w:rPr>
      </w:pPr>
    </w:p>
    <w:p w:rsidR="00D03B60" w:rsidRDefault="00D03B60" w:rsidP="00D03B60">
      <w:pPr>
        <w:spacing w:after="120"/>
        <w:jc w:val="center"/>
        <w:rPr>
          <w:rFonts w:cs="David"/>
          <w:sz w:val="24"/>
          <w:szCs w:val="24"/>
          <w:rtl/>
          <w:lang w:eastAsia="en-US"/>
        </w:rPr>
      </w:pPr>
    </w:p>
    <w:p w:rsidR="00D03B60" w:rsidRDefault="00D03B60" w:rsidP="00D03B60">
      <w:pPr>
        <w:jc w:val="center"/>
        <w:rPr>
          <w:rFonts w:cs="David"/>
          <w:b/>
          <w:bCs/>
          <w:sz w:val="24"/>
          <w:szCs w:val="24"/>
          <w:rtl/>
        </w:rPr>
      </w:pPr>
      <w:r w:rsidRPr="004F4FD9">
        <w:rPr>
          <w:rFonts w:cs="David" w:hint="cs"/>
          <w:b/>
          <w:bCs/>
          <w:sz w:val="24"/>
          <w:szCs w:val="24"/>
          <w:rtl/>
        </w:rPr>
        <w:t>בברכה,</w:t>
      </w:r>
    </w:p>
    <w:p w:rsidR="00D03B60" w:rsidRDefault="00D03B60" w:rsidP="00D03B60">
      <w:pPr>
        <w:jc w:val="center"/>
        <w:rPr>
          <w:rFonts w:cs="David"/>
          <w:b/>
          <w:bCs/>
          <w:sz w:val="24"/>
          <w:szCs w:val="24"/>
          <w:rtl/>
        </w:rPr>
      </w:pPr>
      <w:r>
        <w:rPr>
          <w:rFonts w:cs="David" w:hint="cs"/>
          <w:b/>
          <w:bCs/>
          <w:sz w:val="24"/>
          <w:szCs w:val="24"/>
          <w:rtl/>
        </w:rPr>
        <w:t>רבקה אהרוני</w:t>
      </w:r>
    </w:p>
    <w:p w:rsidR="00D03B60" w:rsidRDefault="00D03B60" w:rsidP="00D03B60">
      <w:pPr>
        <w:jc w:val="center"/>
        <w:rPr>
          <w:rFonts w:cs="David"/>
          <w:b/>
          <w:bCs/>
          <w:sz w:val="24"/>
          <w:szCs w:val="24"/>
          <w:rtl/>
        </w:rPr>
      </w:pPr>
      <w:r w:rsidRPr="004F4FD9">
        <w:rPr>
          <w:rFonts w:cs="David" w:hint="cs"/>
          <w:b/>
          <w:bCs/>
          <w:sz w:val="24"/>
          <w:szCs w:val="24"/>
          <w:rtl/>
        </w:rPr>
        <w:t>ממונה על חוק חופש המידע</w:t>
      </w:r>
    </w:p>
    <w:p w:rsidR="00D03B60" w:rsidRPr="005271D4" w:rsidRDefault="00D03B60" w:rsidP="00D03B60">
      <w:pPr>
        <w:jc w:val="center"/>
        <w:rPr>
          <w:rFonts w:cs="David"/>
          <w:b/>
          <w:bCs/>
          <w:sz w:val="24"/>
          <w:szCs w:val="24"/>
          <w:rtl/>
        </w:rPr>
      </w:pPr>
      <w:r w:rsidRPr="005271D4">
        <w:rPr>
          <w:rFonts w:cs="David"/>
          <w:b/>
          <w:bCs/>
          <w:sz w:val="24"/>
          <w:szCs w:val="24"/>
          <w:rtl/>
        </w:rPr>
        <w:t>האגף לתכנון מחקר וקשרי חוץ</w:t>
      </w:r>
    </w:p>
    <w:p w:rsidR="005319B9" w:rsidRPr="005271D4" w:rsidRDefault="005319B9" w:rsidP="00D03B60">
      <w:pPr>
        <w:jc w:val="center"/>
        <w:rPr>
          <w:rFonts w:cs="David"/>
          <w:b/>
          <w:bCs/>
          <w:sz w:val="24"/>
          <w:szCs w:val="24"/>
          <w:rtl/>
        </w:rPr>
      </w:pPr>
    </w:p>
    <w:sectPr w:rsidR="005319B9" w:rsidRPr="005271D4" w:rsidSect="00973401">
      <w:headerReference w:type="default" r:id="rId7"/>
      <w:footerReference w:type="even" r:id="rId8"/>
      <w:footerReference w:type="default" r:id="rId9"/>
      <w:pgSz w:w="11906" w:h="16838"/>
      <w:pgMar w:top="1440" w:right="1800" w:bottom="1440" w:left="1800"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FEF" w:rsidRDefault="00B70FEF">
      <w:r>
        <w:separator/>
      </w:r>
    </w:p>
  </w:endnote>
  <w:endnote w:type="continuationSeparator" w:id="0">
    <w:p w:rsidR="00B70FEF" w:rsidRDefault="00B70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983F4C">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983F4C"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RDefault="00D835C8"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D835C8">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D835C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FEF" w:rsidRDefault="00B70FEF">
      <w:r>
        <w:separator/>
      </w:r>
    </w:p>
  </w:footnote>
  <w:footnote w:type="continuationSeparator" w:id="0">
    <w:p w:rsidR="00B70FEF" w:rsidRDefault="00B70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D835C8" w:rsidP="00973401">
    <w:pPr>
      <w:tabs>
        <w:tab w:val="left" w:pos="3204"/>
        <w:tab w:val="center" w:pos="4465"/>
      </w:tabs>
      <w:jc w:val="right"/>
      <w:rPr>
        <w:rFonts w:cs="David"/>
        <w:b/>
        <w:bCs/>
      </w:rPr>
    </w:pPr>
  </w:p>
  <w:p w:rsidR="00562B61" w:rsidRDefault="00983F4C"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14:anchorId="4444D2F9" wp14:editId="1F5E8169">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RDefault="00D835C8"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RDefault="00983F4C" w:rsidP="00562B61">
    <w:pPr>
      <w:pStyle w:val="a3"/>
      <w:jc w:val="center"/>
      <w:rPr>
        <w:rFonts w:cs="David"/>
        <w:rtl/>
      </w:rPr>
    </w:pPr>
    <w:r w:rsidRPr="00245517">
      <w:rPr>
        <w:rFonts w:cs="David" w:hint="cs"/>
        <w:rtl/>
      </w:rPr>
      <w:t>מדינת ישראל</w:t>
    </w:r>
  </w:p>
  <w:p w:rsidR="00562B61" w:rsidRPr="00245517" w:rsidRDefault="00983F4C" w:rsidP="00562B61">
    <w:pPr>
      <w:pStyle w:val="a3"/>
      <w:jc w:val="center"/>
      <w:rPr>
        <w:rFonts w:cs="David"/>
        <w:rtl/>
      </w:rPr>
    </w:pPr>
    <w:r w:rsidRPr="00884A69">
      <w:rPr>
        <w:rFonts w:cs="Times New Roman" w:hint="cs"/>
        <w:rtl/>
      </w:rPr>
      <w:t>רשות האכיפה והגבייה</w:t>
    </w:r>
  </w:p>
  <w:p w:rsidR="00F679AA" w:rsidRPr="00B05D08" w:rsidRDefault="00983F4C"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32A0"/>
    <w:multiLevelType w:val="hybridMultilevel"/>
    <w:tmpl w:val="D73E0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0844A2"/>
    <w:multiLevelType w:val="hybridMultilevel"/>
    <w:tmpl w:val="7BB669D2"/>
    <w:lvl w:ilvl="0" w:tplc="FC96CF2A">
      <w:start w:val="1"/>
      <w:numFmt w:val="bullet"/>
      <w:lvlText w:val="•"/>
      <w:lvlJc w:val="left"/>
      <w:pPr>
        <w:tabs>
          <w:tab w:val="num" w:pos="720"/>
        </w:tabs>
        <w:ind w:left="720" w:hanging="360"/>
      </w:pPr>
      <w:rPr>
        <w:rFonts w:ascii="Arial" w:hAnsi="Arial" w:cs="Times New Roman" w:hint="default"/>
      </w:rPr>
    </w:lvl>
    <w:lvl w:ilvl="1" w:tplc="F8D0CA32">
      <w:start w:val="1"/>
      <w:numFmt w:val="bullet"/>
      <w:lvlText w:val="•"/>
      <w:lvlJc w:val="left"/>
      <w:pPr>
        <w:tabs>
          <w:tab w:val="num" w:pos="1440"/>
        </w:tabs>
        <w:ind w:left="1440" w:hanging="360"/>
      </w:pPr>
      <w:rPr>
        <w:rFonts w:ascii="Arial" w:hAnsi="Arial" w:cs="Times New Roman" w:hint="default"/>
      </w:rPr>
    </w:lvl>
    <w:lvl w:ilvl="2" w:tplc="6CF8FA6A">
      <w:start w:val="1"/>
      <w:numFmt w:val="bullet"/>
      <w:lvlText w:val="•"/>
      <w:lvlJc w:val="left"/>
      <w:pPr>
        <w:tabs>
          <w:tab w:val="num" w:pos="2160"/>
        </w:tabs>
        <w:ind w:left="2160" w:hanging="360"/>
      </w:pPr>
      <w:rPr>
        <w:rFonts w:ascii="Arial" w:hAnsi="Arial" w:cs="Times New Roman" w:hint="default"/>
      </w:rPr>
    </w:lvl>
    <w:lvl w:ilvl="3" w:tplc="55CC0EB6">
      <w:start w:val="1"/>
      <w:numFmt w:val="bullet"/>
      <w:lvlText w:val="•"/>
      <w:lvlJc w:val="left"/>
      <w:pPr>
        <w:tabs>
          <w:tab w:val="num" w:pos="2880"/>
        </w:tabs>
        <w:ind w:left="2880" w:hanging="360"/>
      </w:pPr>
      <w:rPr>
        <w:rFonts w:ascii="Arial" w:hAnsi="Arial" w:cs="Times New Roman" w:hint="default"/>
      </w:rPr>
    </w:lvl>
    <w:lvl w:ilvl="4" w:tplc="B2C0F28C">
      <w:start w:val="1"/>
      <w:numFmt w:val="bullet"/>
      <w:lvlText w:val="•"/>
      <w:lvlJc w:val="left"/>
      <w:pPr>
        <w:tabs>
          <w:tab w:val="num" w:pos="3600"/>
        </w:tabs>
        <w:ind w:left="3600" w:hanging="360"/>
      </w:pPr>
      <w:rPr>
        <w:rFonts w:ascii="Arial" w:hAnsi="Arial" w:cs="Times New Roman" w:hint="default"/>
      </w:rPr>
    </w:lvl>
    <w:lvl w:ilvl="5" w:tplc="9EC0D8EA">
      <w:start w:val="1"/>
      <w:numFmt w:val="bullet"/>
      <w:lvlText w:val="•"/>
      <w:lvlJc w:val="left"/>
      <w:pPr>
        <w:tabs>
          <w:tab w:val="num" w:pos="4320"/>
        </w:tabs>
        <w:ind w:left="4320" w:hanging="360"/>
      </w:pPr>
      <w:rPr>
        <w:rFonts w:ascii="Arial" w:hAnsi="Arial" w:cs="Times New Roman" w:hint="default"/>
      </w:rPr>
    </w:lvl>
    <w:lvl w:ilvl="6" w:tplc="44FAA87A">
      <w:start w:val="1"/>
      <w:numFmt w:val="bullet"/>
      <w:lvlText w:val="•"/>
      <w:lvlJc w:val="left"/>
      <w:pPr>
        <w:tabs>
          <w:tab w:val="num" w:pos="5040"/>
        </w:tabs>
        <w:ind w:left="5040" w:hanging="360"/>
      </w:pPr>
      <w:rPr>
        <w:rFonts w:ascii="Arial" w:hAnsi="Arial" w:cs="Times New Roman" w:hint="default"/>
      </w:rPr>
    </w:lvl>
    <w:lvl w:ilvl="7" w:tplc="E266F194">
      <w:start w:val="1"/>
      <w:numFmt w:val="bullet"/>
      <w:lvlText w:val="•"/>
      <w:lvlJc w:val="left"/>
      <w:pPr>
        <w:tabs>
          <w:tab w:val="num" w:pos="5760"/>
        </w:tabs>
        <w:ind w:left="5760" w:hanging="360"/>
      </w:pPr>
      <w:rPr>
        <w:rFonts w:ascii="Arial" w:hAnsi="Arial" w:cs="Times New Roman" w:hint="default"/>
      </w:rPr>
    </w:lvl>
    <w:lvl w:ilvl="8" w:tplc="45B47190">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8DB331C"/>
    <w:multiLevelType w:val="hybridMultilevel"/>
    <w:tmpl w:val="FB2C5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3E27597"/>
    <w:multiLevelType w:val="multilevel"/>
    <w:tmpl w:val="D4A4246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B02AD"/>
    <w:multiLevelType w:val="multilevel"/>
    <w:tmpl w:val="FC4A4E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7C0432B"/>
    <w:multiLevelType w:val="hybridMultilevel"/>
    <w:tmpl w:val="7AC8B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0B374E"/>
    <w:rsid w:val="00172F60"/>
    <w:rsid w:val="001924C2"/>
    <w:rsid w:val="00197668"/>
    <w:rsid w:val="0020347B"/>
    <w:rsid w:val="002247EA"/>
    <w:rsid w:val="00364C2B"/>
    <w:rsid w:val="00417A5D"/>
    <w:rsid w:val="00453E3B"/>
    <w:rsid w:val="004B4FA0"/>
    <w:rsid w:val="005319B9"/>
    <w:rsid w:val="0058517C"/>
    <w:rsid w:val="005E7150"/>
    <w:rsid w:val="005F00DF"/>
    <w:rsid w:val="00662001"/>
    <w:rsid w:val="0068271C"/>
    <w:rsid w:val="00717BAE"/>
    <w:rsid w:val="00802F05"/>
    <w:rsid w:val="00842A12"/>
    <w:rsid w:val="0094659C"/>
    <w:rsid w:val="0095740E"/>
    <w:rsid w:val="00983F4C"/>
    <w:rsid w:val="009F0DA7"/>
    <w:rsid w:val="00A11F87"/>
    <w:rsid w:val="00B27C65"/>
    <w:rsid w:val="00B70FEF"/>
    <w:rsid w:val="00BB489D"/>
    <w:rsid w:val="00BF7E3F"/>
    <w:rsid w:val="00CB39EF"/>
    <w:rsid w:val="00D03B60"/>
    <w:rsid w:val="00D14218"/>
    <w:rsid w:val="00D66CB0"/>
    <w:rsid w:val="00D835C8"/>
    <w:rsid w:val="00DD6665"/>
    <w:rsid w:val="00ED595E"/>
    <w:rsid w:val="00F349E6"/>
    <w:rsid w:val="00F801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6DF64"/>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83F4C"/>
    <w:pPr>
      <w:tabs>
        <w:tab w:val="center" w:pos="4153"/>
        <w:tab w:val="right" w:pos="8306"/>
      </w:tabs>
    </w:pPr>
  </w:style>
  <w:style w:type="character" w:customStyle="1" w:styleId="a4">
    <w:name w:val="כותרת עליונה תו"/>
    <w:basedOn w:val="a0"/>
    <w:link w:val="a3"/>
    <w:uiPriority w:val="99"/>
    <w:rsid w:val="00983F4C"/>
    <w:rPr>
      <w:rFonts w:ascii="Times New Roman" w:eastAsia="Times New Roman" w:hAnsi="Times New Roman" w:cs="FrankRuehl"/>
      <w:sz w:val="28"/>
      <w:szCs w:val="28"/>
      <w:lang w:eastAsia="he-IL"/>
    </w:rPr>
  </w:style>
  <w:style w:type="paragraph" w:styleId="a5">
    <w:name w:val="footer"/>
    <w:basedOn w:val="a"/>
    <w:link w:val="a6"/>
    <w:rsid w:val="00983F4C"/>
    <w:pPr>
      <w:tabs>
        <w:tab w:val="center" w:pos="4153"/>
        <w:tab w:val="right" w:pos="8306"/>
      </w:tabs>
    </w:pPr>
  </w:style>
  <w:style w:type="character" w:customStyle="1" w:styleId="a6">
    <w:name w:val="כותרת תחתונה תו"/>
    <w:basedOn w:val="a0"/>
    <w:link w:val="a5"/>
    <w:rsid w:val="00983F4C"/>
    <w:rPr>
      <w:rFonts w:ascii="Times New Roman" w:eastAsia="Times New Roman" w:hAnsi="Times New Roman" w:cs="FrankRuehl"/>
      <w:sz w:val="28"/>
      <w:szCs w:val="28"/>
      <w:lang w:eastAsia="he-IL"/>
    </w:rPr>
  </w:style>
  <w:style w:type="paragraph" w:styleId="a7">
    <w:name w:val="List Paragraph"/>
    <w:basedOn w:val="a"/>
    <w:link w:val="a8"/>
    <w:uiPriority w:val="34"/>
    <w:qFormat/>
    <w:rsid w:val="00983F4C"/>
    <w:pPr>
      <w:ind w:left="720"/>
    </w:pPr>
    <w:rPr>
      <w:rFonts w:ascii="Calibri" w:eastAsia="Calibri" w:hAnsi="Calibri" w:cs="Calibri"/>
      <w:sz w:val="22"/>
      <w:szCs w:val="22"/>
      <w:lang w:eastAsia="en-US"/>
    </w:rPr>
  </w:style>
  <w:style w:type="character" w:customStyle="1" w:styleId="a8">
    <w:name w:val="פיסקת רשימה תו"/>
    <w:link w:val="a7"/>
    <w:uiPriority w:val="34"/>
    <w:locked/>
    <w:rsid w:val="00983F4C"/>
    <w:rPr>
      <w:rFonts w:ascii="Calibri" w:eastAsia="Calibri" w:hAnsi="Calibri" w:cs="Calibri"/>
    </w:rPr>
  </w:style>
  <w:style w:type="character" w:styleId="Hyperlink">
    <w:name w:val="Hyperlink"/>
    <w:basedOn w:val="a0"/>
    <w:uiPriority w:val="99"/>
    <w:unhideWhenUsed/>
    <w:rsid w:val="0095740E"/>
    <w:rPr>
      <w:color w:val="0563C1" w:themeColor="hyperlink"/>
      <w:u w:val="single"/>
    </w:rPr>
  </w:style>
  <w:style w:type="paragraph" w:styleId="a9">
    <w:name w:val="Balloon Text"/>
    <w:basedOn w:val="a"/>
    <w:link w:val="aa"/>
    <w:uiPriority w:val="99"/>
    <w:semiHidden/>
    <w:unhideWhenUsed/>
    <w:rsid w:val="00BB489D"/>
    <w:rPr>
      <w:rFonts w:ascii="Tahoma" w:hAnsi="Tahoma" w:cs="Tahoma"/>
      <w:sz w:val="18"/>
      <w:szCs w:val="18"/>
    </w:rPr>
  </w:style>
  <w:style w:type="character" w:customStyle="1" w:styleId="aa">
    <w:name w:val="טקסט בלונים תו"/>
    <w:basedOn w:val="a0"/>
    <w:link w:val="a9"/>
    <w:uiPriority w:val="99"/>
    <w:semiHidden/>
    <w:rsid w:val="00BB489D"/>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29075">
      <w:bodyDiv w:val="1"/>
      <w:marLeft w:val="0"/>
      <w:marRight w:val="0"/>
      <w:marTop w:val="0"/>
      <w:marBottom w:val="0"/>
      <w:divBdr>
        <w:top w:val="none" w:sz="0" w:space="0" w:color="auto"/>
        <w:left w:val="none" w:sz="0" w:space="0" w:color="auto"/>
        <w:bottom w:val="none" w:sz="0" w:space="0" w:color="auto"/>
        <w:right w:val="none" w:sz="0" w:space="0" w:color="auto"/>
      </w:divBdr>
    </w:div>
    <w:div w:id="800465123">
      <w:bodyDiv w:val="1"/>
      <w:marLeft w:val="0"/>
      <w:marRight w:val="0"/>
      <w:marTop w:val="0"/>
      <w:marBottom w:val="0"/>
      <w:divBdr>
        <w:top w:val="none" w:sz="0" w:space="0" w:color="auto"/>
        <w:left w:val="none" w:sz="0" w:space="0" w:color="auto"/>
        <w:bottom w:val="none" w:sz="0" w:space="0" w:color="auto"/>
        <w:right w:val="none" w:sz="0" w:space="0" w:color="auto"/>
      </w:divBdr>
    </w:div>
    <w:div w:id="1175611777">
      <w:bodyDiv w:val="1"/>
      <w:marLeft w:val="0"/>
      <w:marRight w:val="0"/>
      <w:marTop w:val="0"/>
      <w:marBottom w:val="0"/>
      <w:divBdr>
        <w:top w:val="none" w:sz="0" w:space="0" w:color="auto"/>
        <w:left w:val="none" w:sz="0" w:space="0" w:color="auto"/>
        <w:bottom w:val="none" w:sz="0" w:space="0" w:color="auto"/>
        <w:right w:val="none" w:sz="0" w:space="0" w:color="auto"/>
      </w:divBdr>
    </w:div>
    <w:div w:id="176249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2012</Characters>
  <Application>Microsoft Office Word</Application>
  <DocSecurity>4</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 </cp:lastModifiedBy>
  <cp:revision>2</cp:revision>
  <cp:lastPrinted>2021-08-09T07:16:00Z</cp:lastPrinted>
  <dcterms:created xsi:type="dcterms:W3CDTF">2022-01-20T07:11:00Z</dcterms:created>
  <dcterms:modified xsi:type="dcterms:W3CDTF">2022-01-20T07:11:00Z</dcterms:modified>
</cp:coreProperties>
</file>