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FC34742" w14:textId="77777777" w:rsidR="009E3870" w:rsidRPr="00224E35" w:rsidRDefault="00A3623C" w:rsidP="005B5765">
      <w:pPr>
        <w:overflowPunct w:val="0"/>
        <w:autoSpaceDE w:val="0"/>
        <w:autoSpaceDN w:val="0"/>
        <w:adjustRightInd w:val="0"/>
        <w:spacing w:after="0" w:line="240" w:lineRule="auto"/>
        <w:ind w:left="5040" w:right="-567"/>
        <w:rPr>
          <w:rFonts w:ascii="Times New Roman" w:eastAsia="Times New Roman" w:hAnsi="Times New Roman" w:cs="FrankRuehl"/>
          <w:sz w:val="24"/>
          <w:szCs w:val="24"/>
          <w:rtl/>
        </w:rPr>
      </w:pPr>
      <w:r w:rsidRPr="00224E35">
        <w:rPr>
          <w:rFonts w:ascii="Times New Roman" w:eastAsia="Times New Roman" w:hAnsi="Times New Roman" w:cs="FrankRuehl"/>
          <w:sz w:val="24"/>
          <w:szCs w:val="24"/>
          <w:rtl/>
        </w:rPr>
        <w:fldChar w:fldCharType="begin"/>
      </w:r>
      <w:r w:rsidRPr="00224E35">
        <w:rPr>
          <w:rFonts w:ascii="Times New Roman" w:eastAsia="Times New Roman" w:hAnsi="Times New Roman" w:cs="FrankRuehl"/>
          <w:sz w:val="24"/>
          <w:szCs w:val="24"/>
          <w:rtl/>
        </w:rPr>
        <w:instrText xml:space="preserve"> </w:instrText>
      </w:r>
      <w:r w:rsidRPr="00224E35">
        <w:rPr>
          <w:rFonts w:ascii="Times New Roman" w:eastAsia="Times New Roman" w:hAnsi="Times New Roman" w:cs="FrankRuehl" w:hint="cs"/>
          <w:sz w:val="24"/>
          <w:szCs w:val="24"/>
        </w:rPr>
        <w:instrText>DOCPROPERTY  DocDateHebB  \* MERGEFORMAT</w:instrText>
      </w:r>
      <w:r w:rsidRPr="00224E35">
        <w:rPr>
          <w:rFonts w:ascii="Times New Roman" w:eastAsia="Times New Roman" w:hAnsi="Times New Roman" w:cs="FrankRuehl"/>
          <w:sz w:val="24"/>
          <w:szCs w:val="24"/>
          <w:rtl/>
        </w:rPr>
        <w:instrText xml:space="preserve"> </w:instrText>
      </w:r>
      <w:r w:rsidRPr="00224E35">
        <w:rPr>
          <w:rFonts w:ascii="Times New Roman" w:eastAsia="Times New Roman" w:hAnsi="Times New Roman" w:cs="FrankRuehl"/>
          <w:sz w:val="24"/>
          <w:szCs w:val="24"/>
          <w:rtl/>
        </w:rPr>
        <w:fldChar w:fldCharType="separate"/>
      </w:r>
      <w:r w:rsidRPr="00224E35">
        <w:rPr>
          <w:rFonts w:ascii="Times New Roman" w:eastAsia="Times New Roman" w:hAnsi="Times New Roman" w:cs="FrankRuehl"/>
          <w:sz w:val="24"/>
          <w:szCs w:val="24"/>
          <w:rtl/>
        </w:rPr>
        <w:t xml:space="preserve">כ"ג בסיוון </w:t>
      </w:r>
      <w:proofErr w:type="spellStart"/>
      <w:r w:rsidRPr="00224E35">
        <w:rPr>
          <w:rFonts w:ascii="Times New Roman" w:eastAsia="Times New Roman" w:hAnsi="Times New Roman" w:cs="FrankRuehl"/>
          <w:sz w:val="24"/>
          <w:szCs w:val="24"/>
          <w:rtl/>
        </w:rPr>
        <w:t>התשפ"ה</w:t>
      </w:r>
      <w:proofErr w:type="spellEnd"/>
      <w:r w:rsidRPr="00224E35">
        <w:rPr>
          <w:rFonts w:ascii="Times New Roman" w:eastAsia="Times New Roman" w:hAnsi="Times New Roman" w:cs="FrankRuehl"/>
          <w:sz w:val="24"/>
          <w:szCs w:val="24"/>
          <w:rtl/>
        </w:rPr>
        <w:fldChar w:fldCharType="end"/>
      </w:r>
    </w:p>
    <w:p w14:paraId="41918140" w14:textId="77777777" w:rsidR="009E3870" w:rsidRDefault="009E3870" w:rsidP="005B5765">
      <w:pPr>
        <w:overflowPunct w:val="0"/>
        <w:autoSpaceDE w:val="0"/>
        <w:autoSpaceDN w:val="0"/>
        <w:adjustRightInd w:val="0"/>
        <w:spacing w:after="0" w:line="240" w:lineRule="auto"/>
        <w:ind w:left="5040" w:right="-567"/>
        <w:rPr>
          <w:rFonts w:ascii="Times New Roman" w:eastAsia="Times New Roman" w:hAnsi="Times New Roman" w:cs="FrankRuehl"/>
          <w:sz w:val="24"/>
          <w:szCs w:val="24"/>
          <w:rtl/>
        </w:rPr>
      </w:pPr>
      <w:r w:rsidRPr="00224E35">
        <w:rPr>
          <w:rFonts w:ascii="Times New Roman" w:eastAsia="Times New Roman" w:hAnsi="Times New Roman" w:cs="FrankRuehl" w:hint="cs"/>
          <w:sz w:val="24"/>
          <w:szCs w:val="24"/>
          <w:rtl/>
        </w:rPr>
        <w:fldChar w:fldCharType="begin"/>
      </w:r>
      <w:r w:rsidRPr="00224E35">
        <w:rPr>
          <w:rFonts w:ascii="Times New Roman" w:eastAsia="Times New Roman" w:hAnsi="Times New Roman" w:cs="FrankRuehl" w:hint="cs"/>
          <w:sz w:val="24"/>
          <w:szCs w:val="24"/>
          <w:rtl/>
        </w:rPr>
        <w:instrText xml:space="preserve"> </w:instrText>
      </w:r>
      <w:r w:rsidRPr="00224E35">
        <w:rPr>
          <w:rFonts w:ascii="Times New Roman" w:eastAsia="Times New Roman" w:hAnsi="Times New Roman" w:cs="FrankRuehl"/>
          <w:sz w:val="24"/>
          <w:szCs w:val="24"/>
        </w:rPr>
        <w:instrText>DOCPROPERTY  DocDateEng  \* MERGEFORMAT</w:instrText>
      </w:r>
      <w:r w:rsidRPr="00224E35">
        <w:rPr>
          <w:rFonts w:ascii="Times New Roman" w:eastAsia="Times New Roman" w:hAnsi="Times New Roman" w:cs="FrankRuehl" w:hint="cs"/>
          <w:sz w:val="24"/>
          <w:szCs w:val="24"/>
          <w:rtl/>
        </w:rPr>
        <w:instrText xml:space="preserve"> </w:instrText>
      </w:r>
      <w:r w:rsidRPr="00224E35">
        <w:rPr>
          <w:rFonts w:ascii="Times New Roman" w:eastAsia="Times New Roman" w:hAnsi="Times New Roman" w:cs="FrankRuehl" w:hint="cs"/>
          <w:sz w:val="24"/>
          <w:szCs w:val="24"/>
          <w:rtl/>
        </w:rPr>
        <w:fldChar w:fldCharType="separate"/>
      </w:r>
      <w:r w:rsidRPr="00224E35">
        <w:rPr>
          <w:rFonts w:ascii="Times New Roman" w:eastAsia="Times New Roman" w:hAnsi="Times New Roman" w:cs="FrankRuehl" w:hint="cs"/>
          <w:sz w:val="24"/>
          <w:szCs w:val="24"/>
          <w:rtl/>
        </w:rPr>
        <w:t>19 ביוני 2025</w:t>
      </w:r>
      <w:r w:rsidRPr="00224E35">
        <w:rPr>
          <w:rFonts w:ascii="Times New Roman" w:eastAsia="Times New Roman" w:hAnsi="Times New Roman" w:cs="FrankRuehl" w:hint="cs"/>
          <w:sz w:val="24"/>
          <w:szCs w:val="24"/>
          <w:rtl/>
        </w:rPr>
        <w:fldChar w:fldCharType="end"/>
      </w:r>
    </w:p>
    <w:p w14:paraId="061838AA" w14:textId="77777777" w:rsidR="0073315C" w:rsidRDefault="0073315C" w:rsidP="0073315C">
      <w:pPr>
        <w:overflowPunct w:val="0"/>
        <w:autoSpaceDE w:val="0"/>
        <w:autoSpaceDN w:val="0"/>
        <w:adjustRightInd w:val="0"/>
        <w:spacing w:after="0" w:line="240" w:lineRule="auto"/>
        <w:ind w:left="5040" w:right="-567"/>
        <w:rPr>
          <w:rFonts w:ascii="Times New Roman" w:eastAsia="Times New Roman" w:hAnsi="Times New Roman" w:cs="FrankRuehl"/>
          <w:sz w:val="24"/>
          <w:szCs w:val="24"/>
        </w:rPr>
      </w:pPr>
      <w:r>
        <w:rPr>
          <w:rFonts w:ascii="Times New Roman" w:eastAsia="Times New Roman" w:hAnsi="Times New Roman" w:cs="FrankRuehl"/>
          <w:sz w:val="24"/>
          <w:szCs w:val="24"/>
          <w:rtl/>
        </w:rPr>
        <w:fldChar w:fldCharType="begin"/>
      </w:r>
      <w:r>
        <w:rPr>
          <w:rFonts w:ascii="Times New Roman" w:eastAsia="Times New Roman" w:hAnsi="Times New Roman" w:cs="FrankRuehl"/>
          <w:sz w:val="24"/>
          <w:szCs w:val="24"/>
          <w:rtl/>
        </w:rPr>
        <w:instrText xml:space="preserve"> </w:instrText>
      </w:r>
      <w:r>
        <w:rPr>
          <w:rFonts w:ascii="Times New Roman" w:eastAsia="Times New Roman" w:hAnsi="Times New Roman" w:cs="FrankRuehl"/>
          <w:sz w:val="24"/>
          <w:szCs w:val="24"/>
        </w:rPr>
        <w:instrText>DOCPROPERTY  DocNumber  \* MERGEFORMAT</w:instrText>
      </w:r>
      <w:r>
        <w:rPr>
          <w:rFonts w:ascii="Times New Roman" w:eastAsia="Times New Roman" w:hAnsi="Times New Roman" w:cs="FrankRuehl"/>
          <w:sz w:val="24"/>
          <w:szCs w:val="24"/>
          <w:rtl/>
        </w:rPr>
        <w:instrText xml:space="preserve"> </w:instrText>
      </w:r>
      <w:r>
        <w:rPr>
          <w:rFonts w:ascii="Times New Roman" w:eastAsia="Times New Roman" w:hAnsi="Times New Roman" w:cs="FrankRuehl"/>
          <w:sz w:val="24"/>
          <w:szCs w:val="24"/>
          <w:rtl/>
        </w:rPr>
        <w:fldChar w:fldCharType="separate"/>
      </w:r>
      <w:r>
        <w:rPr>
          <w:rFonts w:ascii="Times New Roman" w:eastAsia="Times New Roman" w:hAnsi="Times New Roman" w:cs="FrankRuehl"/>
          <w:sz w:val="24"/>
          <w:szCs w:val="24"/>
          <w:rtl/>
        </w:rPr>
        <w:t>4700-1012-2025-001768</w:t>
      </w:r>
      <w:r>
        <w:rPr>
          <w:rFonts w:ascii="Times New Roman" w:eastAsia="Times New Roman" w:hAnsi="Times New Roman" w:cs="FrankRuehl"/>
          <w:sz w:val="24"/>
          <w:szCs w:val="24"/>
          <w:rtl/>
        </w:rPr>
        <w:fldChar w:fldCharType="end"/>
      </w:r>
    </w:p>
    <w:p w14:paraId="6A427F03" w14:textId="77777777" w:rsidR="00224E35" w:rsidRPr="00224E35" w:rsidRDefault="0073315C" w:rsidP="0073315C">
      <w:pPr>
        <w:overflowPunct w:val="0"/>
        <w:autoSpaceDE w:val="0"/>
        <w:autoSpaceDN w:val="0"/>
        <w:adjustRightInd w:val="0"/>
        <w:spacing w:after="0" w:line="240" w:lineRule="auto"/>
        <w:ind w:left="5040" w:right="-567"/>
        <w:rPr>
          <w:rFonts w:ascii="Times New Roman" w:eastAsia="Times New Roman" w:hAnsi="Times New Roman" w:cs="FrankRuehl"/>
          <w:sz w:val="24"/>
          <w:szCs w:val="24"/>
        </w:rPr>
      </w:pPr>
      <w:r w:rsidRPr="00224E35">
        <w:rPr>
          <w:rFonts w:ascii="Times New Roman" w:eastAsia="Times New Roman" w:hAnsi="Times New Roman" w:cs="FrankRuehl" w:hint="cs"/>
          <w:sz w:val="24"/>
          <w:szCs w:val="24"/>
          <w:rtl/>
        </w:rPr>
        <w:t xml:space="preserve"> </w:t>
      </w:r>
      <w:r w:rsidR="00224E35" w:rsidRPr="00224E35">
        <w:rPr>
          <w:rFonts w:ascii="Times New Roman" w:eastAsia="Times New Roman" w:hAnsi="Times New Roman" w:cs="FrankRuehl" w:hint="cs"/>
          <w:sz w:val="24"/>
          <w:szCs w:val="24"/>
          <w:rtl/>
        </w:rPr>
        <w:t>(בתשובה נא לציין מס')</w:t>
      </w:r>
    </w:p>
    <w:p w14:paraId="140F8B35" w14:textId="77777777" w:rsidR="005B5765" w:rsidRDefault="005B5765" w:rsidP="00224E35">
      <w:pPr>
        <w:spacing w:after="0" w:line="240" w:lineRule="auto"/>
        <w:rPr>
          <w:rFonts w:ascii="FrankRuehl" w:eastAsia="Times New Roman" w:hAnsi="FrankRuehl" w:cs="FrankRuehl"/>
          <w:sz w:val="28"/>
          <w:szCs w:val="28"/>
          <w:rtl/>
        </w:rPr>
      </w:pPr>
    </w:p>
    <w:p w14:paraId="335C200F" w14:textId="77777777" w:rsidR="00012FAF" w:rsidRDefault="00012FAF" w:rsidP="005B5765">
      <w:pPr>
        <w:spacing w:after="0" w:line="240" w:lineRule="auto"/>
        <w:rPr>
          <w:rFonts w:ascii="FrankRuehl" w:eastAsia="Times New Roman" w:hAnsi="FrankRuehl" w:cs="FrankRuehl"/>
          <w:sz w:val="28"/>
          <w:szCs w:val="28"/>
          <w:rtl/>
        </w:rPr>
      </w:pPr>
    </w:p>
    <w:p w14:paraId="7046B4F1" w14:textId="77777777" w:rsidR="00012FAF" w:rsidRDefault="00012FAF" w:rsidP="00012FAF">
      <w:pPr>
        <w:spacing w:after="0"/>
        <w:jc w:val="both"/>
        <w:rPr>
          <w:rFonts w:cs="FrankRuehl"/>
          <w:sz w:val="28"/>
          <w:szCs w:val="28"/>
        </w:rPr>
      </w:pPr>
      <w:r>
        <w:rPr>
          <w:rFonts w:cs="FrankRuehl"/>
          <w:sz w:val="28"/>
          <w:szCs w:val="28"/>
          <w:rtl/>
        </w:rPr>
        <w:t>לכבוד</w:t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  <w:r>
        <w:rPr>
          <w:rFonts w:cs="FrankRuehl"/>
          <w:sz w:val="28"/>
          <w:szCs w:val="28"/>
          <w:rtl/>
        </w:rPr>
        <w:tab/>
      </w:r>
    </w:p>
    <w:p w14:paraId="6869AC51" w14:textId="1F1CB906" w:rsidR="00012FAF" w:rsidRPr="00D25880" w:rsidRDefault="00D25880" w:rsidP="00012FA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FrankRuehl" w:eastAsia="Times New Roman" w:hAnsi="FrankRuehl" w:cs="FrankRuehl"/>
          <w:szCs w:val="24"/>
          <w:u w:val="single"/>
          <w:rtl/>
        </w:rPr>
      </w:pPr>
      <w:r>
        <w:rPr>
          <w:rFonts w:cs="FrankRuehl"/>
          <w:sz w:val="28"/>
          <w:szCs w:val="28"/>
        </w:rPr>
        <w:t>*</w:t>
      </w:r>
      <w:r w:rsidRPr="00D25880">
        <w:rPr>
          <w:rFonts w:cs="FrankRuehl"/>
          <w:sz w:val="28"/>
          <w:szCs w:val="28"/>
        </w:rPr>
        <w:t>**</w:t>
      </w:r>
    </w:p>
    <w:p w14:paraId="39047E49" w14:textId="481925DA" w:rsidR="00012FAF" w:rsidRPr="00D25880" w:rsidRDefault="00D25880" w:rsidP="00012FAF">
      <w:pPr>
        <w:overflowPunct w:val="0"/>
        <w:autoSpaceDE w:val="0"/>
        <w:autoSpaceDN w:val="0"/>
        <w:adjustRightInd w:val="0"/>
        <w:spacing w:after="0" w:line="240" w:lineRule="auto"/>
        <w:ind w:left="680" w:hanging="680"/>
        <w:jc w:val="both"/>
        <w:rPr>
          <w:rFonts w:ascii="FrankRuehl" w:eastAsia="Times New Roman" w:hAnsi="FrankRuehl" w:cs="FrankRuehl"/>
          <w:sz w:val="20"/>
          <w:rtl/>
        </w:rPr>
      </w:pPr>
      <w:r w:rsidRPr="00D25880">
        <w:rPr>
          <w:rFonts w:ascii="FrankRuehl" w:eastAsia="Times New Roman" w:hAnsi="FrankRuehl" w:cs="FrankRuehl" w:hint="cs"/>
          <w:sz w:val="20"/>
          <w:rtl/>
        </w:rPr>
        <w:t>***</w:t>
      </w:r>
    </w:p>
    <w:p w14:paraId="7C6D8EB5" w14:textId="77777777" w:rsidR="00012FAF" w:rsidRPr="00F65AAA" w:rsidRDefault="00012FAF" w:rsidP="00012FAF">
      <w:pPr>
        <w:overflowPunct w:val="0"/>
        <w:autoSpaceDE w:val="0"/>
        <w:autoSpaceDN w:val="0"/>
        <w:adjustRightInd w:val="0"/>
        <w:spacing w:after="0" w:line="240" w:lineRule="auto"/>
        <w:ind w:left="680" w:hanging="680"/>
        <w:jc w:val="both"/>
        <w:rPr>
          <w:rFonts w:ascii="FrankRuehl" w:eastAsia="Times New Roman" w:hAnsi="FrankRuehl" w:cs="FrankRuehl"/>
          <w:sz w:val="20"/>
          <w:rtl/>
        </w:rPr>
      </w:pPr>
    </w:p>
    <w:p w14:paraId="1208ADF1" w14:textId="77777777" w:rsidR="00012FAF" w:rsidRPr="00F65AAA" w:rsidRDefault="00012FAF" w:rsidP="00012FAF">
      <w:pPr>
        <w:overflowPunct w:val="0"/>
        <w:autoSpaceDE w:val="0"/>
        <w:autoSpaceDN w:val="0"/>
        <w:adjustRightInd w:val="0"/>
        <w:spacing w:after="0" w:line="240" w:lineRule="auto"/>
        <w:ind w:left="680" w:hanging="680"/>
        <w:jc w:val="both"/>
        <w:rPr>
          <w:rFonts w:ascii="FrankRuehl" w:eastAsia="Times New Roman" w:hAnsi="FrankRuehl" w:cs="FrankRuehl"/>
          <w:sz w:val="28"/>
          <w:szCs w:val="28"/>
          <w:rtl/>
        </w:rPr>
      </w:pPr>
      <w:r w:rsidRPr="00F65AAA">
        <w:rPr>
          <w:rFonts w:ascii="FrankRuehl" w:eastAsia="Times New Roman" w:hAnsi="FrankRuehl" w:cs="FrankRuehl"/>
          <w:sz w:val="28"/>
          <w:szCs w:val="28"/>
          <w:rtl/>
        </w:rPr>
        <w:t xml:space="preserve">שלום רב, </w:t>
      </w:r>
    </w:p>
    <w:p w14:paraId="7205B783" w14:textId="77777777" w:rsidR="00012FAF" w:rsidRPr="00F65AAA" w:rsidRDefault="00012FAF" w:rsidP="00012FAF">
      <w:pPr>
        <w:spacing w:line="192" w:lineRule="auto"/>
        <w:rPr>
          <w:rFonts w:ascii="FrankRuehl" w:hAnsi="FrankRuehl" w:cs="FrankRuehl"/>
          <w:b/>
          <w:bCs/>
          <w:rtl/>
        </w:rPr>
      </w:pPr>
    </w:p>
    <w:p w14:paraId="605E08EF" w14:textId="77777777" w:rsidR="00012FAF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b/>
          <w:bCs/>
          <w:sz w:val="28"/>
          <w:szCs w:val="28"/>
          <w:u w:val="single"/>
          <w:rtl/>
        </w:rPr>
      </w:pPr>
      <w:r w:rsidRPr="00F65AAA">
        <w:rPr>
          <w:rFonts w:ascii="FrankRuehl" w:hAnsi="FrankRuehl" w:cs="FrankRuehl"/>
          <w:sz w:val="28"/>
          <w:szCs w:val="28"/>
          <w:rtl/>
        </w:rPr>
        <w:t xml:space="preserve">הנדון: </w:t>
      </w:r>
      <w:r w:rsidRPr="00F65AAA">
        <w:rPr>
          <w:rFonts w:ascii="FrankRuehl" w:hAnsi="FrankRuehl" w:cs="FrankRuehl"/>
          <w:b/>
          <w:bCs/>
          <w:sz w:val="28"/>
          <w:szCs w:val="28"/>
          <w:u w:val="single"/>
          <w:rtl/>
        </w:rPr>
        <w:t>בקשה לקבלת מידע לפי חוק חופש המידע</w:t>
      </w:r>
    </w:p>
    <w:p w14:paraId="1289ABD8" w14:textId="77777777" w:rsidR="00012FAF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rtl/>
        </w:rPr>
      </w:pPr>
      <w:r>
        <w:rPr>
          <w:rFonts w:ascii="FrankRuehl" w:hAnsi="FrankRuehl" w:cs="FrankRuehl" w:hint="cs"/>
          <w:rtl/>
        </w:rPr>
        <w:t xml:space="preserve">סימוכין: </w:t>
      </w:r>
    </w:p>
    <w:p w14:paraId="469229FA" w14:textId="77777777" w:rsidR="00012FAF" w:rsidRPr="00BE28FB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rtl/>
        </w:rPr>
      </w:pPr>
      <w:r w:rsidRPr="008C2987">
        <w:rPr>
          <w:rFonts w:ascii="FrankRuehl" w:hAnsi="FrankRuehl" w:cs="FrankRuehl" w:hint="eastAsia"/>
          <w:rtl/>
        </w:rPr>
        <w:t>פניית</w:t>
      </w:r>
      <w:r w:rsidRPr="008C2987">
        <w:rPr>
          <w:rFonts w:ascii="FrankRuehl" w:hAnsi="FrankRuehl" w:cs="FrankRuehl"/>
          <w:rtl/>
        </w:rPr>
        <w:t xml:space="preserve"> </w:t>
      </w:r>
      <w:r w:rsidRPr="008C2987">
        <w:rPr>
          <w:rFonts w:ascii="FrankRuehl" w:hAnsi="FrankRuehl" w:cs="FrankRuehl" w:hint="eastAsia"/>
          <w:rtl/>
        </w:rPr>
        <w:t>הבהרה</w:t>
      </w:r>
      <w:r w:rsidRPr="008C2987">
        <w:rPr>
          <w:rFonts w:ascii="FrankRuehl" w:hAnsi="FrankRuehl" w:cs="FrankRuehl"/>
          <w:rtl/>
        </w:rPr>
        <w:t xml:space="preserve"> </w:t>
      </w:r>
      <w:r w:rsidRPr="008C2987">
        <w:rPr>
          <w:rFonts w:ascii="FrankRuehl" w:hAnsi="FrankRuehl" w:cs="FrankRuehl" w:hint="eastAsia"/>
          <w:rtl/>
        </w:rPr>
        <w:t>מיום</w:t>
      </w:r>
      <w:r w:rsidRPr="008C2987">
        <w:rPr>
          <w:rFonts w:ascii="FrankRuehl" w:hAnsi="FrankRuehl" w:cs="FrankRuehl"/>
          <w:rtl/>
        </w:rPr>
        <w:t xml:space="preserve"> 15.5.2025</w:t>
      </w:r>
    </w:p>
    <w:p w14:paraId="7061319C" w14:textId="77777777" w:rsidR="00012FAF" w:rsidRPr="00BE28FB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rtl/>
        </w:rPr>
      </w:pPr>
      <w:r w:rsidRPr="00BE28FB">
        <w:rPr>
          <w:rFonts w:ascii="FrankRuehl" w:hAnsi="FrankRuehl" w:cs="FrankRuehl" w:hint="cs"/>
          <w:rtl/>
        </w:rPr>
        <w:t xml:space="preserve">מכתב </w:t>
      </w:r>
      <w:r w:rsidRPr="00BE28FB">
        <w:rPr>
          <w:rFonts w:ascii="FrankRuehl" w:hAnsi="FrankRuehl" w:cs="FrankRuehl"/>
          <w:rtl/>
        </w:rPr>
        <w:t>ארכת</w:t>
      </w:r>
      <w:r w:rsidRPr="00BE28FB">
        <w:rPr>
          <w:rFonts w:ascii="FrankRuehl" w:hAnsi="FrankRuehl" w:cs="FrankRuehl" w:hint="cs"/>
          <w:rtl/>
        </w:rPr>
        <w:t xml:space="preserve"> </w:t>
      </w:r>
      <w:r w:rsidRPr="00BE28FB">
        <w:rPr>
          <w:rFonts w:ascii="FrankRuehl" w:hAnsi="FrankRuehl" w:cs="FrankRuehl"/>
          <w:rtl/>
        </w:rPr>
        <w:t>מנהל</w:t>
      </w:r>
      <w:r w:rsidRPr="00BE28FB">
        <w:rPr>
          <w:rFonts w:ascii="FrankRuehl" w:hAnsi="FrankRuehl" w:cs="FrankRuehl" w:hint="cs"/>
          <w:rtl/>
        </w:rPr>
        <w:t xml:space="preserve"> בתי המשפט</w:t>
      </w:r>
      <w:r w:rsidRPr="00BE28FB">
        <w:rPr>
          <w:rFonts w:ascii="FrankRuehl" w:hAnsi="FrankRuehl" w:cs="FrankRuehl"/>
        </w:rPr>
        <w:t xml:space="preserve"> </w:t>
      </w:r>
      <w:r w:rsidRPr="00BE28FB">
        <w:rPr>
          <w:rFonts w:ascii="FrankRuehl" w:hAnsi="FrankRuehl" w:cs="FrankRuehl"/>
          <w:rtl/>
        </w:rPr>
        <w:t>מיו</w:t>
      </w:r>
      <w:r w:rsidRPr="00BE28FB">
        <w:rPr>
          <w:rFonts w:ascii="FrankRuehl" w:hAnsi="FrankRuehl" w:cs="FrankRuehl" w:hint="cs"/>
          <w:rtl/>
        </w:rPr>
        <w:t xml:space="preserve">ם </w:t>
      </w:r>
      <w:r w:rsidRPr="00BE28FB">
        <w:rPr>
          <w:rFonts w:ascii="FrankRuehl" w:hAnsi="FrankRuehl" w:cs="FrankRuehl"/>
        </w:rPr>
        <w:t xml:space="preserve"> 4.5.25</w:t>
      </w:r>
    </w:p>
    <w:p w14:paraId="5BB92D0C" w14:textId="77777777" w:rsidR="00012FAF" w:rsidRPr="00BE28FB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rtl/>
        </w:rPr>
      </w:pPr>
      <w:r w:rsidRPr="00BE28FB">
        <w:rPr>
          <w:rFonts w:ascii="FrankRuehl" w:hAnsi="FrankRuehl" w:cs="FrankRuehl"/>
          <w:rtl/>
        </w:rPr>
        <w:t>מכתב</w:t>
      </w:r>
      <w:r w:rsidRPr="00BE28FB">
        <w:rPr>
          <w:rFonts w:ascii="FrankRuehl" w:hAnsi="FrankRuehl" w:cs="FrankRuehl"/>
        </w:rPr>
        <w:t xml:space="preserve"> </w:t>
      </w:r>
      <w:r w:rsidRPr="00BE28FB">
        <w:rPr>
          <w:rFonts w:ascii="FrankRuehl" w:hAnsi="FrankRuehl" w:cs="FrankRuehl"/>
          <w:rtl/>
        </w:rPr>
        <w:t>ארכת</w:t>
      </w:r>
      <w:r w:rsidRPr="00BE28FB">
        <w:rPr>
          <w:rFonts w:ascii="FrankRuehl" w:hAnsi="FrankRuehl" w:cs="FrankRuehl"/>
        </w:rPr>
        <w:t xml:space="preserve"> </w:t>
      </w:r>
      <w:r w:rsidRPr="00BE28FB">
        <w:rPr>
          <w:rFonts w:ascii="FrankRuehl" w:hAnsi="FrankRuehl" w:cs="FrankRuehl"/>
          <w:rtl/>
        </w:rPr>
        <w:t>ממונה</w:t>
      </w:r>
      <w:r w:rsidRPr="00BE28FB">
        <w:rPr>
          <w:rFonts w:ascii="FrankRuehl" w:hAnsi="FrankRuehl" w:cs="FrankRuehl"/>
        </w:rPr>
        <w:t xml:space="preserve"> </w:t>
      </w:r>
      <w:r w:rsidRPr="00BE28FB">
        <w:rPr>
          <w:rFonts w:ascii="FrankRuehl" w:hAnsi="FrankRuehl" w:cs="FrankRuehl"/>
          <w:rtl/>
        </w:rPr>
        <w:t>מיום</w:t>
      </w:r>
      <w:r w:rsidRPr="00BE28FB">
        <w:rPr>
          <w:rFonts w:ascii="FrankRuehl" w:hAnsi="FrankRuehl" w:cs="FrankRuehl"/>
        </w:rPr>
        <w:t xml:space="preserve"> 7.4.25 </w:t>
      </w:r>
    </w:p>
    <w:p w14:paraId="6A021D78" w14:textId="77777777" w:rsidR="00012FAF" w:rsidRPr="00BE28FB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rtl/>
        </w:rPr>
      </w:pPr>
      <w:r w:rsidRPr="00BE28FB">
        <w:rPr>
          <w:rFonts w:ascii="FrankRuehl" w:hAnsi="FrankRuehl" w:cs="FrankRuehl" w:hint="cs"/>
          <w:rtl/>
        </w:rPr>
        <w:t>מכתבנו מיום 7.5.25</w:t>
      </w:r>
      <w:r w:rsidRPr="00BE28FB">
        <w:rPr>
          <w:rFonts w:ascii="FrankRuehl" w:hAnsi="FrankRuehl" w:cs="FrankRuehl"/>
          <w:rtl/>
        </w:rPr>
        <w:t xml:space="preserve"> </w:t>
      </w:r>
    </w:p>
    <w:p w14:paraId="6E3164F3" w14:textId="77777777" w:rsidR="00012FAF" w:rsidRPr="00BE28FB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rtl/>
        </w:rPr>
      </w:pPr>
      <w:r w:rsidRPr="00BE28FB">
        <w:rPr>
          <w:rFonts w:ascii="FrankRuehl" w:hAnsi="FrankRuehl" w:cs="FrankRuehl" w:hint="cs"/>
          <w:rtl/>
        </w:rPr>
        <w:t>פניותי</w:t>
      </w:r>
      <w:r w:rsidRPr="00BE28FB">
        <w:rPr>
          <w:rFonts w:ascii="FrankRuehl" w:hAnsi="FrankRuehl" w:cs="FrankRuehl" w:hint="eastAsia"/>
          <w:rtl/>
        </w:rPr>
        <w:t>ך</w:t>
      </w:r>
      <w:r w:rsidRPr="00BE28FB">
        <w:rPr>
          <w:rFonts w:ascii="FrankRuehl" w:hAnsi="FrankRuehl" w:cs="FrankRuehl"/>
        </w:rPr>
        <w:t xml:space="preserve"> </w:t>
      </w:r>
      <w:r w:rsidRPr="00BE28FB">
        <w:rPr>
          <w:rFonts w:ascii="FrankRuehl" w:hAnsi="FrankRuehl" w:cs="FrankRuehl"/>
          <w:rtl/>
        </w:rPr>
        <w:t>מיום</w:t>
      </w:r>
      <w:r w:rsidRPr="00BE28FB">
        <w:rPr>
          <w:rFonts w:ascii="FrankRuehl" w:hAnsi="FrankRuehl" w:cs="FrankRuehl"/>
        </w:rPr>
        <w:t xml:space="preserve"> 29.4.25 </w:t>
      </w:r>
      <w:r w:rsidRPr="00BE28FB">
        <w:rPr>
          <w:rFonts w:ascii="FrankRuehl" w:hAnsi="FrankRuehl" w:cs="FrankRuehl"/>
          <w:rtl/>
        </w:rPr>
        <w:t>ומיום</w:t>
      </w:r>
      <w:r w:rsidRPr="00BE28FB">
        <w:rPr>
          <w:rFonts w:ascii="FrankRuehl" w:hAnsi="FrankRuehl" w:cs="FrankRuehl"/>
        </w:rPr>
        <w:t xml:space="preserve"> 5.5.25 </w:t>
      </w:r>
    </w:p>
    <w:p w14:paraId="77FAAEBE" w14:textId="77777777" w:rsidR="00012FAF" w:rsidRPr="00BE28FB" w:rsidRDefault="00012FAF" w:rsidP="00012FAF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rtl/>
        </w:rPr>
      </w:pPr>
      <w:r w:rsidRPr="00BE28FB">
        <w:rPr>
          <w:rFonts w:ascii="FrankRuehl" w:hAnsi="FrankRuehl" w:cs="FrankRuehl" w:hint="cs"/>
          <w:rtl/>
        </w:rPr>
        <w:t>בקשת לפי חוק חופש המידע מיום 8.3.25</w:t>
      </w:r>
    </w:p>
    <w:p w14:paraId="670EA196" w14:textId="77777777" w:rsidR="00012FAF" w:rsidRPr="00BE28FB" w:rsidRDefault="00012FAF" w:rsidP="00012FAF">
      <w:pPr>
        <w:tabs>
          <w:tab w:val="center" w:pos="6321"/>
        </w:tabs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759ED5B" w14:textId="77777777" w:rsidR="00012FAF" w:rsidRPr="00BE28FB" w:rsidRDefault="00012FAF" w:rsidP="00012FAF">
      <w:pPr>
        <w:spacing w:line="360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  <w:r w:rsidRPr="00BE28FB">
        <w:rPr>
          <w:rFonts w:ascii="FrankRuehl" w:hAnsi="FrankRuehl" w:cs="FrankRuehl" w:hint="cs"/>
          <w:sz w:val="28"/>
          <w:szCs w:val="28"/>
          <w:rtl/>
        </w:rPr>
        <w:t>במענה לבקשתך שבסימוכין לפי חוק חופש המידע</w:t>
      </w:r>
      <w:r w:rsidRPr="00BE28FB">
        <w:rPr>
          <w:rFonts w:ascii="FrankRuehl" w:hAnsi="FrankRuehl" w:cs="FrankRuehl" w:hint="cs"/>
          <w:color w:val="000000" w:themeColor="text1"/>
          <w:sz w:val="28"/>
          <w:szCs w:val="28"/>
          <w:rtl/>
        </w:rPr>
        <w:t xml:space="preserve"> התשנ"ח-1998 (להלן - "</w:t>
      </w:r>
      <w:r w:rsidRPr="00BE28FB">
        <w:rPr>
          <w:rFonts w:ascii="FrankRuehl" w:hAnsi="FrankRuehl" w:cs="FrankRuehl" w:hint="cs"/>
          <w:b/>
          <w:bCs/>
          <w:color w:val="000000" w:themeColor="text1"/>
          <w:sz w:val="28"/>
          <w:szCs w:val="28"/>
          <w:rtl/>
        </w:rPr>
        <w:t>חוק חופש המידע</w:t>
      </w:r>
      <w:r w:rsidRPr="00BE28FB">
        <w:rPr>
          <w:rFonts w:ascii="FrankRuehl" w:hAnsi="FrankRuehl" w:cs="FrankRuehl" w:hint="cs"/>
          <w:color w:val="000000" w:themeColor="text1"/>
          <w:sz w:val="28"/>
          <w:szCs w:val="28"/>
          <w:rtl/>
        </w:rPr>
        <w:t xml:space="preserve">") ולאחר בירור מול הגורמים הרלבנטיים, הריני להשיבך:  </w:t>
      </w:r>
    </w:p>
    <w:p w14:paraId="0FF38B30" w14:textId="77777777" w:rsidR="00012FAF" w:rsidRPr="00BE28FB" w:rsidRDefault="00012FAF" w:rsidP="00012FAF">
      <w:pPr>
        <w:pStyle w:val="a9"/>
        <w:numPr>
          <w:ilvl w:val="0"/>
          <w:numId w:val="3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BE28FB">
        <w:rPr>
          <w:rFonts w:ascii="FrankRuehl" w:hAnsi="FrankRuehl" w:cs="FrankRuehl" w:hint="eastAsia"/>
          <w:sz w:val="28"/>
          <w:szCs w:val="28"/>
          <w:rtl/>
        </w:rPr>
        <w:t>בבקשתך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שבסימוכין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הנך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מבקשת</w:t>
      </w:r>
      <w:r w:rsidRPr="00BE28FB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/>
          <w:sz w:val="28"/>
          <w:szCs w:val="28"/>
          <w:rtl/>
        </w:rPr>
        <w:t>"</w:t>
      </w:r>
      <w:r w:rsidRPr="00BE28FB">
        <w:rPr>
          <w:rFonts w:ascii="FrankRuehl" w:hAnsi="FrankRuehl" w:cs="FrankRuehl" w:hint="eastAsia"/>
          <w:sz w:val="28"/>
          <w:szCs w:val="28"/>
          <w:rtl/>
        </w:rPr>
        <w:t>לדעת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מהם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ה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הנחיות/נהלים של הנהלת בתי המשפט בעניין הקצאת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גורם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שיפוטי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בתיק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בבתי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המשפט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.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מרגע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שנפתח תיק והוגש במזכירות בית המשפט: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מי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הגורם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ש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אחראי על הקצאת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שופט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לתיק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;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האם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מדובר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בשופט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ממיין כלשהו או בעובדי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מזכירות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? תוך כמה זמן מרגע פתיחת התיק במזכירות הקצאת הגורם השיפוטי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אמורה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להיעשות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?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האם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יש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מגבלת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זמן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לכך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?" </w:t>
      </w:r>
    </w:p>
    <w:p w14:paraId="0D2F5CB9" w14:textId="77777777" w:rsidR="00012FAF" w:rsidRPr="00BE28FB" w:rsidRDefault="00012FAF" w:rsidP="00012FAF">
      <w:pPr>
        <w:pStyle w:val="a9"/>
        <w:spacing w:line="360" w:lineRule="auto"/>
        <w:ind w:left="360"/>
        <w:jc w:val="both"/>
        <w:rPr>
          <w:rFonts w:ascii="FrankRuehl" w:hAnsi="FrankRuehl" w:cs="FrankRuehl"/>
          <w:sz w:val="28"/>
          <w:szCs w:val="28"/>
        </w:rPr>
      </w:pPr>
    </w:p>
    <w:p w14:paraId="6D04E618" w14:textId="77777777" w:rsidR="00012FAF" w:rsidRPr="00BE28FB" w:rsidRDefault="00012FAF" w:rsidP="00012FAF">
      <w:pPr>
        <w:pStyle w:val="a9"/>
        <w:numPr>
          <w:ilvl w:val="0"/>
          <w:numId w:val="3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BE28FB">
        <w:rPr>
          <w:rFonts w:ascii="FrankRuehl" w:hAnsi="FrankRuehl" w:cs="FrankRuehl" w:hint="cs"/>
          <w:sz w:val="28"/>
          <w:szCs w:val="28"/>
          <w:rtl/>
        </w:rPr>
        <w:t>בפניית הבהרה מטעמך מיום 15.5.2025 הבהרת כי אינך מבקשת מידע על כל בתי המשפט, אלא רק על "בית משפט השלום בתל אביב".</w:t>
      </w:r>
    </w:p>
    <w:p w14:paraId="6FFC0C18" w14:textId="77777777" w:rsidR="00012FAF" w:rsidRPr="00BE28FB" w:rsidRDefault="00012FAF" w:rsidP="00012FAF">
      <w:pPr>
        <w:pStyle w:val="a9"/>
        <w:rPr>
          <w:rFonts w:ascii="FrankRuehl" w:hAnsi="FrankRuehl" w:cs="FrankRuehl"/>
          <w:sz w:val="28"/>
          <w:szCs w:val="28"/>
          <w:rtl/>
        </w:rPr>
      </w:pPr>
    </w:p>
    <w:p w14:paraId="3368EBC8" w14:textId="77777777" w:rsidR="00012FAF" w:rsidRDefault="00012FAF" w:rsidP="00012FAF">
      <w:pPr>
        <w:pStyle w:val="a9"/>
        <w:numPr>
          <w:ilvl w:val="0"/>
          <w:numId w:val="3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BE28FB">
        <w:rPr>
          <w:rFonts w:ascii="FrankRuehl" w:hAnsi="FrankRuehl" w:cs="FrankRuehl" w:hint="eastAsia"/>
          <w:sz w:val="28"/>
          <w:szCs w:val="28"/>
          <w:rtl/>
        </w:rPr>
        <w:t>הליך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קביעת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cs"/>
          <w:sz w:val="28"/>
          <w:szCs w:val="28"/>
          <w:rtl/>
        </w:rPr>
        <w:t>מותבים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ב</w:t>
      </w:r>
      <w:r w:rsidRPr="00BE28FB">
        <w:rPr>
          <w:rFonts w:ascii="FrankRuehl" w:hAnsi="FrankRuehl" w:cs="FrankRuehl" w:hint="cs"/>
          <w:sz w:val="28"/>
          <w:szCs w:val="28"/>
          <w:rtl/>
        </w:rPr>
        <w:t xml:space="preserve">תיקי </w:t>
      </w:r>
      <w:r w:rsidRPr="00BE28FB">
        <w:rPr>
          <w:rFonts w:ascii="FrankRuehl" w:hAnsi="FrankRuehl" w:cs="FrankRuehl"/>
          <w:sz w:val="28"/>
          <w:szCs w:val="28"/>
          <w:rtl/>
        </w:rPr>
        <w:t>בת</w:t>
      </w:r>
      <w:r w:rsidRPr="00BE28FB">
        <w:rPr>
          <w:rFonts w:ascii="FrankRuehl" w:hAnsi="FrankRuehl" w:cs="FrankRuehl" w:hint="cs"/>
          <w:sz w:val="28"/>
          <w:szCs w:val="28"/>
          <w:rtl/>
        </w:rPr>
        <w:t xml:space="preserve">י 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המשפט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מעוגן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בחוק בתי המשפט [נוסח משולב], </w:t>
      </w:r>
      <w:proofErr w:type="spellStart"/>
      <w:r w:rsidRPr="00BE28FB">
        <w:rPr>
          <w:rFonts w:ascii="FrankRuehl" w:hAnsi="FrankRuehl" w:cs="FrankRuehl" w:hint="eastAsia"/>
          <w:sz w:val="28"/>
          <w:szCs w:val="28"/>
          <w:rtl/>
        </w:rPr>
        <w:t>ה</w:t>
      </w:r>
      <w:r w:rsidRPr="00BE28FB">
        <w:rPr>
          <w:rFonts w:ascii="FrankRuehl" w:hAnsi="FrankRuehl" w:cs="FrankRuehl"/>
          <w:sz w:val="28"/>
          <w:szCs w:val="28"/>
          <w:rtl/>
        </w:rPr>
        <w:t>תשמ"ד</w:t>
      </w:r>
      <w:proofErr w:type="spellEnd"/>
      <w:r w:rsidRPr="00BE28FB">
        <w:rPr>
          <w:rFonts w:ascii="FrankRuehl" w:hAnsi="FrankRuehl" w:cs="FrankRuehl"/>
          <w:sz w:val="28"/>
          <w:szCs w:val="28"/>
          <w:rtl/>
        </w:rPr>
        <w:t xml:space="preserve"> 1984 (להלן - "</w:t>
      </w:r>
      <w:r w:rsidRPr="00BE28FB">
        <w:rPr>
          <w:rFonts w:ascii="FrankRuehl" w:hAnsi="FrankRuehl" w:cs="FrankRuehl" w:hint="eastAsia"/>
          <w:b/>
          <w:bCs/>
          <w:sz w:val="28"/>
          <w:szCs w:val="28"/>
          <w:rtl/>
        </w:rPr>
        <w:t>חוק</w:t>
      </w:r>
      <w:r w:rsidRPr="00BE2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b/>
          <w:bCs/>
          <w:sz w:val="28"/>
          <w:szCs w:val="28"/>
          <w:rtl/>
        </w:rPr>
        <w:t>בתי</w:t>
      </w:r>
      <w:r w:rsidRPr="00BE2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b/>
          <w:bCs/>
          <w:sz w:val="28"/>
          <w:szCs w:val="28"/>
          <w:rtl/>
        </w:rPr>
        <w:t>המשפט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").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כך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,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ביחס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לערכאות בתי משפט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המחוז</w:t>
      </w:r>
      <w:r w:rsidRPr="00BE28FB">
        <w:rPr>
          <w:rFonts w:ascii="FrankRuehl" w:hAnsi="FrankRuehl" w:cs="FrankRuehl" w:hint="cs"/>
          <w:sz w:val="28"/>
          <w:szCs w:val="28"/>
          <w:rtl/>
        </w:rPr>
        <w:t>י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ו</w:t>
      </w:r>
      <w:r w:rsidRPr="00BE28FB">
        <w:rPr>
          <w:rFonts w:ascii="FrankRuehl" w:hAnsi="FrankRuehl" w:cs="FrankRuehl" w:hint="eastAsia"/>
          <w:sz w:val="28"/>
          <w:szCs w:val="28"/>
          <w:rtl/>
        </w:rPr>
        <w:t>השלום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נקבע</w:t>
      </w:r>
      <w:r w:rsidRPr="00BE28FB">
        <w:rPr>
          <w:rFonts w:ascii="FrankRuehl" w:hAnsi="FrankRuehl" w:cs="FrankRuehl"/>
          <w:sz w:val="28"/>
          <w:szCs w:val="28"/>
          <w:rtl/>
        </w:rPr>
        <w:t xml:space="preserve"> </w:t>
      </w:r>
      <w:r w:rsidRPr="00BE28FB">
        <w:rPr>
          <w:rFonts w:ascii="FrankRuehl" w:hAnsi="FrankRuehl" w:cs="FrankRuehl" w:hint="eastAsia"/>
          <w:sz w:val="28"/>
          <w:szCs w:val="28"/>
          <w:rtl/>
        </w:rPr>
        <w:t>כי</w:t>
      </w:r>
      <w:r w:rsidRPr="00B1539D">
        <w:rPr>
          <w:rFonts w:ascii="FrankRuehl" w:hAnsi="FrankRuehl" w:cs="FrankRuehl"/>
          <w:sz w:val="28"/>
          <w:szCs w:val="28"/>
          <w:rtl/>
        </w:rPr>
        <w:t xml:space="preserve"> </w:t>
      </w:r>
      <w:r w:rsidRPr="00B1539D">
        <w:rPr>
          <w:rFonts w:ascii="FrankRuehl" w:hAnsi="FrankRuehl" w:cs="FrankRuehl" w:hint="eastAsia"/>
          <w:sz w:val="28"/>
          <w:szCs w:val="28"/>
          <w:rtl/>
        </w:rPr>
        <w:t>השופט</w:t>
      </w:r>
      <w:r w:rsidRPr="00B1539D">
        <w:rPr>
          <w:rFonts w:ascii="FrankRuehl" w:hAnsi="FrankRuehl" w:cs="FrankRuehl"/>
          <w:sz w:val="28"/>
          <w:szCs w:val="28"/>
          <w:rtl/>
        </w:rPr>
        <w:t xml:space="preserve"> או השופטים אשר ידונו </w:t>
      </w:r>
      <w:proofErr w:type="spellStart"/>
      <w:r w:rsidRPr="00B1539D">
        <w:rPr>
          <w:rFonts w:ascii="FrankRuehl" w:hAnsi="FrankRuehl" w:cs="FrankRuehl" w:hint="eastAsia"/>
          <w:sz w:val="28"/>
          <w:szCs w:val="28"/>
          <w:rtl/>
        </w:rPr>
        <w:t>בענין</w:t>
      </w:r>
      <w:proofErr w:type="spellEnd"/>
      <w:r w:rsidRPr="00B1539D">
        <w:rPr>
          <w:rFonts w:ascii="FrankRuehl" w:hAnsi="FrankRuehl" w:cs="FrankRuehl"/>
          <w:sz w:val="28"/>
          <w:szCs w:val="28"/>
          <w:rtl/>
        </w:rPr>
        <w:t xml:space="preserve"> פלוני ייקבעו בידי נשיא בית המשפט או </w:t>
      </w:r>
      <w:proofErr w:type="spellStart"/>
      <w:r w:rsidRPr="00B1539D">
        <w:rPr>
          <w:rFonts w:ascii="FrankRuehl" w:hAnsi="FrankRuehl" w:cs="FrankRuehl" w:hint="eastAsia"/>
          <w:sz w:val="28"/>
          <w:szCs w:val="28"/>
          <w:rtl/>
        </w:rPr>
        <w:t>סגניו</w:t>
      </w:r>
      <w:proofErr w:type="spellEnd"/>
      <w:r w:rsidRPr="00B1539D">
        <w:rPr>
          <w:rFonts w:ascii="FrankRuehl" w:hAnsi="FrankRuehl" w:cs="FrankRuehl"/>
          <w:sz w:val="28"/>
          <w:szCs w:val="28"/>
          <w:rtl/>
        </w:rPr>
        <w:t xml:space="preserve"> ובאין </w:t>
      </w:r>
      <w:r w:rsidRPr="00B1539D">
        <w:rPr>
          <w:rFonts w:ascii="FrankRuehl" w:hAnsi="FrankRuehl" w:cs="FrankRuehl"/>
          <w:sz w:val="28"/>
          <w:szCs w:val="28"/>
          <w:rtl/>
        </w:rPr>
        <w:lastRenderedPageBreak/>
        <w:t>קביעה כאמור - לפי סדר שקבע מזמן לזמן נשיא בית המשפט (סעיפים 38 ו- 48 לחוק בתי המשפט).</w:t>
      </w:r>
    </w:p>
    <w:p w14:paraId="5B2A2342" w14:textId="77777777" w:rsidR="00012FAF" w:rsidRPr="001013A0" w:rsidRDefault="00012FAF" w:rsidP="00012FAF">
      <w:pPr>
        <w:pStyle w:val="a9"/>
        <w:spacing w:line="360" w:lineRule="auto"/>
        <w:ind w:left="360"/>
        <w:jc w:val="both"/>
        <w:rPr>
          <w:rFonts w:ascii="FrankRuehl" w:hAnsi="FrankRuehl" w:cs="FrankRuehl"/>
          <w:sz w:val="28"/>
          <w:szCs w:val="28"/>
        </w:rPr>
      </w:pPr>
    </w:p>
    <w:p w14:paraId="7A977F61" w14:textId="77777777" w:rsidR="00012FAF" w:rsidRDefault="00012FAF" w:rsidP="00012FAF">
      <w:pPr>
        <w:pStyle w:val="a9"/>
        <w:numPr>
          <w:ilvl w:val="0"/>
          <w:numId w:val="3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1013A0">
        <w:rPr>
          <w:rFonts w:ascii="FrankRuehl" w:hAnsi="FrankRuehl" w:cs="FrankRuehl" w:hint="eastAsia"/>
          <w:sz w:val="28"/>
          <w:szCs w:val="28"/>
          <w:rtl/>
        </w:rPr>
        <w:t>לעניין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המועדים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נקבע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כי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המועד אשר בו יתחיל בית המשפט לדון </w:t>
      </w:r>
      <w:proofErr w:type="spellStart"/>
      <w:r w:rsidRPr="001013A0">
        <w:rPr>
          <w:rFonts w:ascii="FrankRuehl" w:hAnsi="FrankRuehl" w:cs="FrankRuehl"/>
          <w:sz w:val="28"/>
          <w:szCs w:val="28"/>
          <w:rtl/>
        </w:rPr>
        <w:t>בענין</w:t>
      </w:r>
      <w:proofErr w:type="spellEnd"/>
      <w:r w:rsidRPr="001013A0">
        <w:rPr>
          <w:rFonts w:ascii="FrankRuehl" w:hAnsi="FrankRuehl" w:cs="FrankRuehl"/>
          <w:sz w:val="28"/>
          <w:szCs w:val="28"/>
          <w:rtl/>
        </w:rPr>
        <w:t xml:space="preserve"> פלוני ייקבע בידי השופט או השופטים אשר ידונו בו, בהתאם לכללים שקבע נשיא בית המשפט, ואם טרם נקבע המותב שידון בו – בידי נשיא בית המשפט או </w:t>
      </w:r>
      <w:proofErr w:type="spellStart"/>
      <w:r w:rsidRPr="001013A0">
        <w:rPr>
          <w:rFonts w:ascii="FrankRuehl" w:hAnsi="FrankRuehl" w:cs="FrankRuehl" w:hint="eastAsia"/>
          <w:sz w:val="28"/>
          <w:szCs w:val="28"/>
          <w:rtl/>
        </w:rPr>
        <w:t>סגנו</w:t>
      </w:r>
      <w:proofErr w:type="spellEnd"/>
      <w:r w:rsidRPr="001013A0">
        <w:rPr>
          <w:rFonts w:ascii="FrankRuehl" w:hAnsi="FrankRuehl" w:cs="FrankRuehl"/>
          <w:sz w:val="28"/>
          <w:szCs w:val="28"/>
        </w:rPr>
        <w:t xml:space="preserve"> 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(סעיפים 38 (ב)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ו</w:t>
      </w:r>
      <w:r w:rsidRPr="001013A0">
        <w:rPr>
          <w:rFonts w:ascii="FrankRuehl" w:hAnsi="FrankRuehl" w:cs="FrankRuehl"/>
          <w:sz w:val="28"/>
          <w:szCs w:val="28"/>
          <w:rtl/>
        </w:rPr>
        <w:t>- 48 (ב) לחוק בתי המשפט)</w:t>
      </w:r>
      <w:r w:rsidRPr="001013A0">
        <w:rPr>
          <w:rFonts w:ascii="FrankRuehl" w:hAnsi="FrankRuehl" w:cs="FrankRuehl"/>
          <w:sz w:val="28"/>
          <w:szCs w:val="28"/>
        </w:rPr>
        <w:t>.</w:t>
      </w:r>
    </w:p>
    <w:p w14:paraId="20FE955D" w14:textId="77777777" w:rsidR="00012FAF" w:rsidRDefault="00012FAF" w:rsidP="00012FAF">
      <w:pPr>
        <w:pStyle w:val="a9"/>
        <w:spacing w:line="360" w:lineRule="auto"/>
        <w:ind w:left="360"/>
        <w:jc w:val="both"/>
        <w:rPr>
          <w:rFonts w:ascii="FrankRuehl" w:hAnsi="FrankRuehl" w:cs="FrankRuehl"/>
          <w:sz w:val="28"/>
          <w:szCs w:val="28"/>
        </w:rPr>
      </w:pPr>
    </w:p>
    <w:p w14:paraId="61B4E4A1" w14:textId="77777777" w:rsidR="00012FAF" w:rsidRPr="008C2987" w:rsidRDefault="00012FAF" w:rsidP="00012FAF">
      <w:pPr>
        <w:pStyle w:val="a9"/>
        <w:numPr>
          <w:ilvl w:val="0"/>
          <w:numId w:val="3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1013A0">
        <w:rPr>
          <w:rFonts w:ascii="FrankRuehl" w:hAnsi="FrankRuehl" w:cs="FrankRuehl"/>
          <w:sz w:val="28"/>
          <w:szCs w:val="28"/>
          <w:rtl/>
        </w:rPr>
        <w:t>אופן יישום סמכות ז</w:t>
      </w:r>
      <w:r w:rsidRPr="001013A0">
        <w:rPr>
          <w:rFonts w:ascii="FrankRuehl" w:hAnsi="FrankRuehl" w:cs="FrankRuehl" w:hint="eastAsia"/>
          <w:sz w:val="28"/>
          <w:szCs w:val="28"/>
          <w:rtl/>
        </w:rPr>
        <w:t>ו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על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ידי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נשיאי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בתי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המשפט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נעשה ככלל</w:t>
      </w:r>
      <w:r>
        <w:rPr>
          <w:rFonts w:ascii="FrankRuehl" w:hAnsi="FrankRuehl" w:cs="FrankRuehl" w:hint="cs"/>
          <w:sz w:val="28"/>
          <w:szCs w:val="28"/>
          <w:rtl/>
        </w:rPr>
        <w:t xml:space="preserve"> על ידי 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קביעת כללי שיבוץ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מוגדרים</w:t>
      </w:r>
      <w:r>
        <w:rPr>
          <w:rFonts w:ascii="FrankRuehl" w:hAnsi="FrankRuehl" w:cs="FrankRuehl"/>
          <w:sz w:val="28"/>
          <w:szCs w:val="28"/>
          <w:rtl/>
        </w:rPr>
        <w:t xml:space="preserve">, ממוחשבים ואוטומטיים </w:t>
      </w:r>
      <w:r w:rsidRPr="001013A0">
        <w:rPr>
          <w:rFonts w:ascii="FrankRuehl" w:hAnsi="FrankRuehl" w:cs="FrankRuehl"/>
          <w:sz w:val="28"/>
          <w:szCs w:val="28"/>
          <w:rtl/>
        </w:rPr>
        <w:t>בהתאם לת</w:t>
      </w:r>
      <w:r>
        <w:rPr>
          <w:rFonts w:ascii="FrankRuehl" w:hAnsi="FrankRuehl" w:cs="FrankRuehl"/>
          <w:sz w:val="28"/>
          <w:szCs w:val="28"/>
          <w:rtl/>
        </w:rPr>
        <w:t>חום העיסוק של הגורמים השיפוטים</w:t>
      </w:r>
      <w:r>
        <w:rPr>
          <w:rFonts w:ascii="FrankRuehl" w:hAnsi="FrankRuehl" w:cs="FrankRuehl" w:hint="cs"/>
          <w:sz w:val="28"/>
          <w:szCs w:val="28"/>
          <w:rtl/>
        </w:rPr>
        <w:t xml:space="preserve"> ו</w:t>
      </w:r>
      <w:r w:rsidRPr="001013A0">
        <w:rPr>
          <w:rFonts w:ascii="FrankRuehl" w:hAnsi="FrankRuehl" w:cs="FrankRuehl" w:hint="eastAsia"/>
          <w:sz w:val="28"/>
          <w:szCs w:val="28"/>
          <w:rtl/>
        </w:rPr>
        <w:t>ל</w:t>
      </w:r>
      <w:r w:rsidRPr="001013A0">
        <w:rPr>
          <w:rFonts w:ascii="FrankRuehl" w:hAnsi="FrankRuehl" w:cs="FrankRuehl"/>
          <w:sz w:val="28"/>
          <w:szCs w:val="28"/>
          <w:rtl/>
        </w:rPr>
        <w:t>סדרי העבודה</w:t>
      </w:r>
      <w:r>
        <w:rPr>
          <w:rFonts w:ascii="FrankRuehl" w:hAnsi="FrankRuehl" w:cs="FrankRuehl" w:hint="cs"/>
          <w:sz w:val="28"/>
          <w:szCs w:val="28"/>
          <w:rtl/>
        </w:rPr>
        <w:t>.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באשר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 w:hint="eastAsia"/>
          <w:sz w:val="28"/>
          <w:szCs w:val="28"/>
          <w:rtl/>
        </w:rPr>
        <w:t>ל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פרק הזמן </w:t>
      </w:r>
      <w:r>
        <w:rPr>
          <w:rFonts w:ascii="FrankRuehl" w:hAnsi="FrankRuehl" w:cs="FrankRuehl" w:hint="cs"/>
          <w:sz w:val="28"/>
          <w:szCs w:val="28"/>
          <w:rtl/>
        </w:rPr>
        <w:t>הנדרש ל</w:t>
      </w:r>
      <w:r>
        <w:rPr>
          <w:rFonts w:ascii="FrankRuehl" w:hAnsi="FrankRuehl" w:cs="FrankRuehl"/>
          <w:sz w:val="28"/>
          <w:szCs w:val="28"/>
          <w:rtl/>
        </w:rPr>
        <w:t>הקצאת התיקים מרגע פתיחתם</w:t>
      </w:r>
      <w:r>
        <w:rPr>
          <w:rFonts w:ascii="FrankRuehl" w:hAnsi="FrankRuehl" w:cs="FrankRuehl" w:hint="cs"/>
          <w:sz w:val="28"/>
          <w:szCs w:val="28"/>
          <w:rtl/>
        </w:rPr>
        <w:t xml:space="preserve"> - </w:t>
      </w:r>
      <w:r w:rsidRPr="001013A0">
        <w:rPr>
          <w:rFonts w:ascii="FrankRuehl" w:hAnsi="FrankRuehl" w:cs="FrankRuehl"/>
          <w:sz w:val="28"/>
          <w:szCs w:val="28"/>
          <w:rtl/>
        </w:rPr>
        <w:t xml:space="preserve">פרק הזמן </w:t>
      </w:r>
      <w:r>
        <w:rPr>
          <w:rFonts w:ascii="FrankRuehl" w:hAnsi="FrankRuehl" w:cs="FrankRuehl"/>
          <w:sz w:val="28"/>
          <w:szCs w:val="28"/>
          <w:rtl/>
        </w:rPr>
        <w:t>נקבע בהתאם לסוג ההליך ודחיפותו</w:t>
      </w:r>
      <w:r>
        <w:rPr>
          <w:rFonts w:ascii="FrankRuehl" w:hAnsi="FrankRuehl" w:cs="FrankRuehl" w:hint="cs"/>
          <w:sz w:val="28"/>
          <w:szCs w:val="28"/>
          <w:rtl/>
        </w:rPr>
        <w:t xml:space="preserve">, והכל בהתאם </w:t>
      </w:r>
      <w:r w:rsidRPr="001013A0">
        <w:rPr>
          <w:rFonts w:ascii="FrankRuehl" w:hAnsi="FrankRuehl" w:cs="FrankRuehl"/>
          <w:sz w:val="28"/>
          <w:szCs w:val="28"/>
          <w:rtl/>
        </w:rPr>
        <w:t>לשיקול דעת</w:t>
      </w:r>
      <w:r>
        <w:rPr>
          <w:rFonts w:ascii="FrankRuehl" w:hAnsi="FrankRuehl" w:cs="FrankRuehl" w:hint="cs"/>
          <w:sz w:val="28"/>
          <w:szCs w:val="28"/>
          <w:rtl/>
        </w:rPr>
        <w:t>ו של כל</w:t>
      </w:r>
      <w:r>
        <w:rPr>
          <w:rFonts w:ascii="FrankRuehl" w:hAnsi="FrankRuehl" w:cs="FrankRuehl"/>
          <w:sz w:val="28"/>
          <w:szCs w:val="28"/>
          <w:rtl/>
        </w:rPr>
        <w:t xml:space="preserve"> נשיא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1013A0">
        <w:rPr>
          <w:rFonts w:ascii="FrankRuehl" w:hAnsi="FrankRuehl" w:cs="FrankRuehl"/>
          <w:sz w:val="28"/>
          <w:szCs w:val="28"/>
          <w:rtl/>
        </w:rPr>
        <w:t>או סגן הנשיא שהוסמך לכך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14:paraId="73B3D824" w14:textId="77777777" w:rsidR="00012FAF" w:rsidRPr="00420D66" w:rsidRDefault="00012FAF" w:rsidP="00012FAF">
      <w:pPr>
        <w:pStyle w:val="a9"/>
        <w:rPr>
          <w:rFonts w:ascii="FrankRuehl" w:hAnsi="FrankRuehl" w:cs="FrankRuehl"/>
          <w:sz w:val="28"/>
          <w:szCs w:val="28"/>
          <w:rtl/>
        </w:rPr>
      </w:pPr>
    </w:p>
    <w:p w14:paraId="5577CD3F" w14:textId="77777777" w:rsidR="00012FAF" w:rsidRDefault="00012FAF" w:rsidP="00012FAF">
      <w:pPr>
        <w:pStyle w:val="a9"/>
        <w:numPr>
          <w:ilvl w:val="0"/>
          <w:numId w:val="3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עוד יצוין כי במחוז תל אביב קיים נוהל "עבודת צוות סעדים זמניים" של נשיאת בתי משפט השלום במחוז תל אביב הכולל גם הוראות הנוגעות להקצאת תיקים. </w:t>
      </w:r>
      <w:r w:rsidRPr="004C5F3A">
        <w:rPr>
          <w:rFonts w:ascii="FrankRuehl" w:hAnsi="FrankRuehl" w:cs="FrankRuehl" w:hint="cs"/>
          <w:sz w:val="28"/>
          <w:szCs w:val="28"/>
          <w:u w:val="single"/>
          <w:rtl/>
        </w:rPr>
        <w:t xml:space="preserve">הנוהל מצ"ב כנספח </w:t>
      </w:r>
      <w:r>
        <w:rPr>
          <w:rFonts w:ascii="FrankRuehl" w:hAnsi="FrankRuehl" w:cs="FrankRuehl" w:hint="cs"/>
          <w:sz w:val="28"/>
          <w:szCs w:val="28"/>
          <w:u w:val="single"/>
          <w:rtl/>
        </w:rPr>
        <w:t>א</w:t>
      </w:r>
      <w:r w:rsidRPr="004C5F3A">
        <w:rPr>
          <w:rFonts w:ascii="FrankRuehl" w:hAnsi="FrankRuehl" w:cs="FrankRuehl" w:hint="cs"/>
          <w:sz w:val="28"/>
          <w:szCs w:val="28"/>
          <w:u w:val="single"/>
          <w:rtl/>
        </w:rPr>
        <w:t>' למענה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14:paraId="7009C093" w14:textId="77777777" w:rsidR="00012FAF" w:rsidRPr="001013A0" w:rsidRDefault="00012FAF" w:rsidP="00012FAF">
      <w:pPr>
        <w:pStyle w:val="a9"/>
        <w:spacing w:line="360" w:lineRule="auto"/>
        <w:ind w:left="360"/>
        <w:jc w:val="both"/>
        <w:rPr>
          <w:rFonts w:ascii="FrankRuehl" w:hAnsi="FrankRuehl" w:cs="FrankRuehl"/>
          <w:sz w:val="28"/>
          <w:szCs w:val="28"/>
        </w:rPr>
      </w:pPr>
    </w:p>
    <w:p w14:paraId="412DCDAD" w14:textId="77777777" w:rsidR="00012FAF" w:rsidRPr="008C2987" w:rsidRDefault="00012FAF" w:rsidP="00012FAF">
      <w:pPr>
        <w:pStyle w:val="a9"/>
        <w:numPr>
          <w:ilvl w:val="0"/>
          <w:numId w:val="3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8C2987">
        <w:rPr>
          <w:rFonts w:ascii="FrankRuehl" w:hAnsi="FrankRuehl" w:cs="FrankRuehl"/>
          <w:sz w:val="28"/>
          <w:szCs w:val="28"/>
          <w:rtl/>
        </w:rPr>
        <w:t>כנגד החלטה זו הנך רשאי להגיש עתירה מנהלית לבית המשפט לעניינים מנהליים בירושלים, וזאת בהתאם להוראות סעיף 7(ו) לחוק.</w:t>
      </w:r>
    </w:p>
    <w:p w14:paraId="15382C82" w14:textId="77777777" w:rsidR="00012FAF" w:rsidRPr="00A9215F" w:rsidRDefault="00012FAF" w:rsidP="00012FAF">
      <w:pPr>
        <w:spacing w:before="120" w:after="120" w:line="360" w:lineRule="auto"/>
        <w:ind w:left="368"/>
        <w:jc w:val="both"/>
        <w:rPr>
          <w:rFonts w:ascii="FrankRuehl" w:hAnsi="FrankRuehl" w:cs="FrankRuehl"/>
          <w:sz w:val="28"/>
          <w:szCs w:val="28"/>
        </w:rPr>
      </w:pPr>
    </w:p>
    <w:p w14:paraId="271035B8" w14:textId="77777777" w:rsidR="00012FAF" w:rsidRPr="005A5A8C" w:rsidRDefault="00012FAF" w:rsidP="00012FAF">
      <w:pPr>
        <w:overflowPunct w:val="0"/>
        <w:autoSpaceDE w:val="0"/>
        <w:autoSpaceDN w:val="0"/>
        <w:spacing w:after="0" w:line="240" w:lineRule="auto"/>
        <w:ind w:left="5760"/>
        <w:rPr>
          <w:rFonts w:ascii="FrankRuehl" w:hAnsi="FrankRuehl" w:cs="FrankRuehl"/>
          <w:sz w:val="28"/>
          <w:szCs w:val="28"/>
          <w:lang w:eastAsia="he-IL"/>
        </w:rPr>
      </w:pPr>
    </w:p>
    <w:p w14:paraId="33E99A0D" w14:textId="77777777" w:rsidR="00012FAF" w:rsidRPr="005A5A8C" w:rsidRDefault="00012FAF" w:rsidP="00012FAF">
      <w:pPr>
        <w:overflowPunct w:val="0"/>
        <w:autoSpaceDE w:val="0"/>
        <w:autoSpaceDN w:val="0"/>
        <w:spacing w:after="0" w:line="240" w:lineRule="auto"/>
        <w:ind w:left="5760"/>
        <w:rPr>
          <w:rFonts w:ascii="FrankRuehl" w:hAnsi="FrankRuehl" w:cs="FrankRuehl"/>
          <w:sz w:val="28"/>
          <w:szCs w:val="28"/>
          <w:rtl/>
          <w:lang w:eastAsia="he-IL"/>
        </w:rPr>
      </w:pPr>
      <w:r w:rsidRPr="005A5A8C">
        <w:rPr>
          <w:rFonts w:ascii="FrankRuehl" w:hAnsi="FrankRuehl" w:cs="FrankRueh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37185DE" wp14:editId="452973FC">
            <wp:simplePos x="0" y="0"/>
            <wp:positionH relativeFrom="column">
              <wp:posOffset>816429</wp:posOffset>
            </wp:positionH>
            <wp:positionV relativeFrom="paragraph">
              <wp:posOffset>134785</wp:posOffset>
            </wp:positionV>
            <wp:extent cx="1021277" cy="581891"/>
            <wp:effectExtent l="0" t="0" r="7620" b="8890"/>
            <wp:wrapNone/>
            <wp:docPr id="3" name="תמונה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5" t="32714" r="43835" b="44515"/>
                    <a:stretch/>
                  </pic:blipFill>
                  <pic:spPr bwMode="auto">
                    <a:xfrm>
                      <a:off x="0" y="0"/>
                      <a:ext cx="1024330" cy="583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A5A8C">
        <w:rPr>
          <w:rFonts w:ascii="FrankRuehl" w:hAnsi="FrankRuehl" w:cs="FrankRuehl"/>
          <w:sz w:val="28"/>
          <w:szCs w:val="28"/>
          <w:rtl/>
          <w:lang w:eastAsia="he-IL"/>
        </w:rPr>
        <w:t>בכבוד רב,</w:t>
      </w:r>
    </w:p>
    <w:p w14:paraId="23C7C622" w14:textId="77777777" w:rsidR="00012FAF" w:rsidRPr="005A5A8C" w:rsidRDefault="00012FAF" w:rsidP="00012FAF">
      <w:pPr>
        <w:overflowPunct w:val="0"/>
        <w:autoSpaceDE w:val="0"/>
        <w:autoSpaceDN w:val="0"/>
        <w:spacing w:after="0" w:line="240" w:lineRule="auto"/>
        <w:ind w:left="5760"/>
        <w:rPr>
          <w:rFonts w:ascii="FrankRuehl" w:hAnsi="FrankRuehl" w:cs="FrankRuehl"/>
          <w:sz w:val="28"/>
          <w:szCs w:val="28"/>
          <w:rtl/>
          <w:lang w:eastAsia="he-IL"/>
        </w:rPr>
      </w:pPr>
      <w:r w:rsidRPr="005A5A8C">
        <w:rPr>
          <w:rFonts w:ascii="FrankRuehl" w:hAnsi="FrankRuehl" w:cs="FrankRuehl"/>
          <w:sz w:val="28"/>
          <w:szCs w:val="28"/>
          <w:rtl/>
          <w:lang w:eastAsia="he-IL"/>
        </w:rPr>
        <w:t>מרי פרח מטר , עו"ד</w:t>
      </w:r>
    </w:p>
    <w:p w14:paraId="4208BEEC" w14:textId="77777777" w:rsidR="00012FAF" w:rsidRPr="005A5A8C" w:rsidRDefault="00012FAF" w:rsidP="00012FAF">
      <w:pPr>
        <w:overflowPunct w:val="0"/>
        <w:autoSpaceDE w:val="0"/>
        <w:autoSpaceDN w:val="0"/>
        <w:spacing w:after="0" w:line="240" w:lineRule="auto"/>
        <w:ind w:left="5760"/>
        <w:jc w:val="center"/>
        <w:rPr>
          <w:rFonts w:ascii="FrankRuehl" w:hAnsi="FrankRuehl" w:cs="FrankRuehl"/>
          <w:sz w:val="28"/>
          <w:szCs w:val="28"/>
          <w:rtl/>
          <w:lang w:eastAsia="he-IL"/>
        </w:rPr>
      </w:pPr>
    </w:p>
    <w:p w14:paraId="649142E4" w14:textId="77777777" w:rsidR="00012FAF" w:rsidRPr="005A5A8C" w:rsidRDefault="00012FAF" w:rsidP="00012FAF">
      <w:pPr>
        <w:overflowPunct w:val="0"/>
        <w:autoSpaceDE w:val="0"/>
        <w:autoSpaceDN w:val="0"/>
        <w:spacing w:after="0" w:line="240" w:lineRule="auto"/>
        <w:ind w:left="5760"/>
        <w:rPr>
          <w:rFonts w:ascii="FrankRuehl" w:hAnsi="FrankRuehl" w:cs="FrankRuehl"/>
          <w:sz w:val="28"/>
          <w:szCs w:val="28"/>
          <w:rtl/>
          <w:lang w:eastAsia="he-IL"/>
        </w:rPr>
      </w:pPr>
    </w:p>
    <w:p w14:paraId="33C018E5" w14:textId="77777777" w:rsidR="00012FAF" w:rsidRPr="005A5A8C" w:rsidRDefault="00012FAF" w:rsidP="00012FAF">
      <w:pPr>
        <w:overflowPunct w:val="0"/>
        <w:autoSpaceDE w:val="0"/>
        <w:autoSpaceDN w:val="0"/>
        <w:spacing w:after="0" w:line="240" w:lineRule="auto"/>
        <w:ind w:left="5760"/>
        <w:rPr>
          <w:rFonts w:ascii="FrankRuehl" w:hAnsi="FrankRuehl" w:cs="FrankRuehl"/>
          <w:sz w:val="28"/>
          <w:szCs w:val="28"/>
          <w:rtl/>
          <w:lang w:eastAsia="he-IL"/>
        </w:rPr>
      </w:pPr>
      <w:r w:rsidRPr="005A5A8C">
        <w:rPr>
          <w:rFonts w:ascii="FrankRuehl" w:hAnsi="FrankRuehl" w:cs="FrankRuehl"/>
          <w:sz w:val="28"/>
          <w:szCs w:val="28"/>
          <w:rtl/>
          <w:lang w:eastAsia="he-IL"/>
        </w:rPr>
        <w:t>היחידה לחופש המידע</w:t>
      </w:r>
    </w:p>
    <w:p w14:paraId="6B87CA87" w14:textId="77777777" w:rsidR="002453CF" w:rsidRPr="00F65AAA" w:rsidRDefault="00012FAF" w:rsidP="00012FAF">
      <w:pPr>
        <w:overflowPunct w:val="0"/>
        <w:autoSpaceDE w:val="0"/>
        <w:autoSpaceDN w:val="0"/>
        <w:spacing w:after="0" w:line="240" w:lineRule="auto"/>
        <w:ind w:left="5760"/>
        <w:rPr>
          <w:rFonts w:cs="FrankRuehl"/>
          <w:sz w:val="24"/>
          <w:szCs w:val="24"/>
          <w:rtl/>
        </w:rPr>
      </w:pPr>
      <w:r w:rsidRPr="005A5A8C">
        <w:rPr>
          <w:rFonts w:ascii="FrankRuehl" w:hAnsi="FrankRuehl" w:cs="FrankRuehl"/>
          <w:sz w:val="28"/>
          <w:szCs w:val="28"/>
          <w:rtl/>
          <w:lang w:eastAsia="he-IL"/>
        </w:rPr>
        <w:t>הלשכה המשפטית</w:t>
      </w:r>
    </w:p>
    <w:sectPr w:rsidR="002453CF" w:rsidRPr="00F65AAA" w:rsidSect="00B1642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284B8" w14:textId="77777777" w:rsidR="00730CA1" w:rsidRDefault="00730CA1" w:rsidP="00730CA1">
      <w:pPr>
        <w:spacing w:after="0" w:line="240" w:lineRule="auto"/>
      </w:pPr>
      <w:r>
        <w:separator/>
      </w:r>
    </w:p>
  </w:endnote>
  <w:endnote w:type="continuationSeparator" w:id="0">
    <w:p w14:paraId="7E6635E7" w14:textId="77777777" w:rsidR="00730CA1" w:rsidRDefault="00730CA1" w:rsidP="0073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0225F" w14:textId="77777777" w:rsidR="00110462" w:rsidRPr="003D0834" w:rsidRDefault="00110462" w:rsidP="00110462">
    <w:pPr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David"/>
        <w:szCs w:val="24"/>
        <w:lang w:eastAsia="he-IL"/>
      </w:rPr>
    </w:pPr>
  </w:p>
  <w:p w14:paraId="0D737034" w14:textId="77777777" w:rsidR="00110462" w:rsidRPr="005875A9" w:rsidRDefault="00110462" w:rsidP="00110462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5875A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5875A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5875A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14:paraId="20A43EA1" w14:textId="77777777" w:rsidR="00110462" w:rsidRPr="00A5166A" w:rsidRDefault="00110462" w:rsidP="00110462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rtl/>
        <w:lang w:eastAsia="he-IL"/>
      </w:rPr>
    </w:pPr>
    <w:r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hofesh-hamida@court.gov.il</w:t>
    </w:r>
    <w:r w:rsidRPr="005875A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5875A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E-mail:</w:t>
    </w:r>
    <w:r w:rsidRPr="005875A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  <w:p w14:paraId="580361C1" w14:textId="77777777" w:rsidR="007007D7" w:rsidRPr="00224E35" w:rsidRDefault="007007D7" w:rsidP="00224E35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David"/>
        <w:color w:val="000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03076" w14:textId="77777777" w:rsidR="00730CA1" w:rsidRDefault="00730CA1" w:rsidP="00730CA1">
      <w:pPr>
        <w:spacing w:after="0" w:line="240" w:lineRule="auto"/>
      </w:pPr>
      <w:r>
        <w:separator/>
      </w:r>
    </w:p>
  </w:footnote>
  <w:footnote w:type="continuationSeparator" w:id="0">
    <w:p w14:paraId="36D618E4" w14:textId="77777777" w:rsidR="00730CA1" w:rsidRDefault="00730CA1" w:rsidP="0073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688A0" w14:textId="77777777" w:rsidR="00110462" w:rsidRPr="009C1E49" w:rsidRDefault="00110462" w:rsidP="00110462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 wp14:anchorId="3E1C8A83" wp14:editId="67FAA0B9">
          <wp:extent cx="523875" cy="619125"/>
          <wp:effectExtent l="0" t="0" r="9525" b="9525"/>
          <wp:docPr id="2" name="תמונה 2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A43633" w14:textId="77777777" w:rsidR="00110462" w:rsidRPr="009C1E49" w:rsidRDefault="00110462" w:rsidP="00110462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14:paraId="63BFEE5C" w14:textId="77777777" w:rsidR="00110462" w:rsidRPr="009C1E49" w:rsidRDefault="00110462" w:rsidP="00110462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14:paraId="5528233A" w14:textId="77777777" w:rsidR="00110462" w:rsidRPr="009C1E49" w:rsidRDefault="00110462" w:rsidP="00110462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14:paraId="7FDC3FCF" w14:textId="77777777" w:rsidR="00224E35" w:rsidRDefault="00110462" w:rsidP="0061352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14:paraId="3F88DCF0" w14:textId="77777777" w:rsidR="00176AEC" w:rsidRDefault="00176AEC" w:rsidP="0061352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</w:p>
  <w:p w14:paraId="0090BD08" w14:textId="77777777" w:rsidR="00176AEC" w:rsidRPr="00110462" w:rsidRDefault="00176AEC" w:rsidP="0061352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17673"/>
    <w:multiLevelType w:val="hybridMultilevel"/>
    <w:tmpl w:val="2F52DDFA"/>
    <w:lvl w:ilvl="0" w:tplc="61AECB2E">
      <w:start w:val="1"/>
      <w:numFmt w:val="decimal"/>
      <w:lvlText w:val="%1."/>
      <w:lvlJc w:val="left"/>
      <w:pPr>
        <w:ind w:left="720" w:hanging="360"/>
      </w:pPr>
      <w:rPr>
        <w:rFonts w:ascii="FrankRuehl" w:hAnsi="FrankRuehl" w:cs="FrankRueh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172F7"/>
    <w:multiLevelType w:val="hybridMultilevel"/>
    <w:tmpl w:val="BC6893CE"/>
    <w:lvl w:ilvl="0" w:tplc="61AECB2E">
      <w:start w:val="1"/>
      <w:numFmt w:val="decimal"/>
      <w:lvlText w:val="%1."/>
      <w:lvlJc w:val="left"/>
      <w:pPr>
        <w:ind w:left="360" w:hanging="360"/>
      </w:pPr>
      <w:rPr>
        <w:rFonts w:ascii="FrankRuehl" w:hAnsi="FrankRuehl" w:cs="FrankRueh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FD16E1"/>
    <w:multiLevelType w:val="hybridMultilevel"/>
    <w:tmpl w:val="71D80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CF"/>
    <w:rsid w:val="000011AE"/>
    <w:rsid w:val="00012FAF"/>
    <w:rsid w:val="00025761"/>
    <w:rsid w:val="0004521B"/>
    <w:rsid w:val="000808FD"/>
    <w:rsid w:val="00110462"/>
    <w:rsid w:val="00176AEC"/>
    <w:rsid w:val="001B48FE"/>
    <w:rsid w:val="001D42A7"/>
    <w:rsid w:val="00224E35"/>
    <w:rsid w:val="00240CE9"/>
    <w:rsid w:val="002453CF"/>
    <w:rsid w:val="002C0E83"/>
    <w:rsid w:val="00343DAB"/>
    <w:rsid w:val="003921C3"/>
    <w:rsid w:val="003E6E39"/>
    <w:rsid w:val="00426AA7"/>
    <w:rsid w:val="0043127A"/>
    <w:rsid w:val="00527841"/>
    <w:rsid w:val="00544711"/>
    <w:rsid w:val="005B5765"/>
    <w:rsid w:val="005E640C"/>
    <w:rsid w:val="00613524"/>
    <w:rsid w:val="00690B6F"/>
    <w:rsid w:val="006B7B96"/>
    <w:rsid w:val="006C3B1F"/>
    <w:rsid w:val="006F1E1F"/>
    <w:rsid w:val="007007D7"/>
    <w:rsid w:val="00711675"/>
    <w:rsid w:val="00730CA1"/>
    <w:rsid w:val="0073315C"/>
    <w:rsid w:val="008C02E0"/>
    <w:rsid w:val="00916321"/>
    <w:rsid w:val="00983123"/>
    <w:rsid w:val="00997D20"/>
    <w:rsid w:val="009B1E78"/>
    <w:rsid w:val="009E3870"/>
    <w:rsid w:val="009E5C0E"/>
    <w:rsid w:val="00A3623C"/>
    <w:rsid w:val="00A87508"/>
    <w:rsid w:val="00AD7644"/>
    <w:rsid w:val="00B16422"/>
    <w:rsid w:val="00B4147A"/>
    <w:rsid w:val="00B85461"/>
    <w:rsid w:val="00BA3143"/>
    <w:rsid w:val="00BE142A"/>
    <w:rsid w:val="00C22E08"/>
    <w:rsid w:val="00C37F37"/>
    <w:rsid w:val="00C50C55"/>
    <w:rsid w:val="00C529CC"/>
    <w:rsid w:val="00C826EB"/>
    <w:rsid w:val="00C842A7"/>
    <w:rsid w:val="00C85A27"/>
    <w:rsid w:val="00CA2D6A"/>
    <w:rsid w:val="00CB4940"/>
    <w:rsid w:val="00CF31A7"/>
    <w:rsid w:val="00D11F77"/>
    <w:rsid w:val="00D205AB"/>
    <w:rsid w:val="00D25880"/>
    <w:rsid w:val="00D43C0E"/>
    <w:rsid w:val="00E35DF3"/>
    <w:rsid w:val="00E62F37"/>
    <w:rsid w:val="00EB6609"/>
    <w:rsid w:val="00EC2EA1"/>
    <w:rsid w:val="00F46250"/>
    <w:rsid w:val="00F65AAA"/>
    <w:rsid w:val="00FC5D46"/>
    <w:rsid w:val="00FD6EF5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916F"/>
  <w15:chartTrackingRefBased/>
  <w15:docId w15:val="{73C43B57-6867-4F06-9DF1-55588D3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AA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26AA7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35DF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0CA1"/>
  </w:style>
  <w:style w:type="paragraph" w:styleId="a7">
    <w:name w:val="footer"/>
    <w:basedOn w:val="a"/>
    <w:link w:val="a8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0CA1"/>
  </w:style>
  <w:style w:type="paragraph" w:styleId="NormalWeb">
    <w:name w:val="Normal (Web)"/>
    <w:basedOn w:val="a"/>
    <w:uiPriority w:val="99"/>
    <w:semiHidden/>
    <w:unhideWhenUsed/>
    <w:rsid w:val="00224E3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61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7352F0B0-9819-4CA1-ACBF-B6EEA3BB218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לזימי</dc:creator>
  <cp:keywords/>
  <dc:description/>
  <cp:lastModifiedBy>איסרא אקעיק</cp:lastModifiedBy>
  <cp:revision>2</cp:revision>
  <cp:lastPrinted>2017-11-13T12:38:00Z</cp:lastPrinted>
  <dcterms:created xsi:type="dcterms:W3CDTF">2025-08-14T08:54:00Z</dcterms:created>
  <dcterms:modified xsi:type="dcterms:W3CDTF">2025-08-14T08:54:00Z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19 ביוני 2025</vt:lpwstr>
  </property>
  <property fmtid="{D5CDD505-2E9C-101B-9397-08002B2CF9AE}" pid="3" name="DocNumber">
    <vt:lpwstr>4700-1012-2025-001768</vt:lpwstr>
  </property>
  <property fmtid="{D5CDD505-2E9C-101B-9397-08002B2CF9AE}" pid="4" name="DocRecipientsName">
    <vt:lpwstr/>
  </property>
  <property fmtid="{D5CDD505-2E9C-101B-9397-08002B2CF9AE}" pid="5" name="DocToName">
    <vt:lpwstr/>
  </property>
  <property fmtid="{D5CDD505-2E9C-101B-9397-08002B2CF9AE}" pid="6" name="DocObjectName">
    <vt:lpwstr>להפצה: עדי חגבי - הנחיות ונהלים בעניין הקצאת תיקים לגורם שיפוטי 472093</vt:lpwstr>
  </property>
  <property fmtid="{D5CDD505-2E9C-101B-9397-08002B2CF9AE}" pid="7" name="DocDateHebB">
    <vt:lpwstr>כ"ג בסיוון התשפ"ה</vt:lpwstr>
  </property>
</Properties>
</file>