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780FCC" w:rsidRPr="00780FCC" w:rsidP="00780FCC">
      <w:pPr>
        <w:ind w:left="720" w:hanging="360"/>
        <w:rPr>
          <w:b/>
          <w:bCs/>
        </w:rPr>
      </w:pPr>
      <w:bookmarkStart w:id="0" w:name="_GoBack"/>
      <w:r w:rsidRPr="00780FCC">
        <w:rPr>
          <w:rFonts w:hint="cs"/>
          <w:b/>
          <w:bCs/>
          <w:rtl/>
        </w:rPr>
        <w:t xml:space="preserve">בקשת חופש מידע 3056-21-0011 </w:t>
      </w:r>
      <w:r w:rsidRPr="00780FCC">
        <w:rPr>
          <w:b/>
          <w:bCs/>
          <w:rtl/>
        </w:rPr>
        <w:t>–</w:t>
      </w:r>
      <w:r w:rsidRPr="00780FCC">
        <w:rPr>
          <w:rFonts w:hint="cs"/>
          <w:b/>
          <w:bCs/>
          <w:rtl/>
        </w:rPr>
        <w:t xml:space="preserve"> </w:t>
      </w:r>
      <w:r w:rsidRPr="00780FCC">
        <w:rPr>
          <w:rFonts w:hint="cs"/>
          <w:b/>
          <w:bCs/>
          <w:rtl/>
        </w:rPr>
        <w:t>דלקים</w:t>
      </w:r>
      <w:r w:rsidRPr="00780FCC">
        <w:rPr>
          <w:rFonts w:hint="cs"/>
          <w:b/>
          <w:bCs/>
          <w:rtl/>
        </w:rPr>
        <w:t xml:space="preserve"> </w:t>
      </w:r>
      <w:r w:rsidRPr="00780FCC">
        <w:rPr>
          <w:rFonts w:hint="cs"/>
          <w:b/>
          <w:bCs/>
          <w:rtl/>
        </w:rPr>
        <w:t>פוסיליים</w:t>
      </w:r>
    </w:p>
    <w:bookmarkEnd w:id="0"/>
    <w:p w:rsidR="00780FCC" w:rsidP="00780FCC">
      <w:pPr>
        <w:pStyle w:val="ListParagraph"/>
        <w:numPr>
          <w:ilvl w:val="0"/>
          <w:numId w:val="1"/>
        </w:numPr>
      </w:pPr>
      <w:r>
        <w:rPr>
          <w:rtl/>
        </w:rPr>
        <w:t>רקע</w:t>
      </w:r>
      <w:r>
        <w:t>: 1</w:t>
      </w:r>
    </w:p>
    <w:p w:rsidR="00780FCC" w:rsidP="00780FCC">
      <w:pPr>
        <w:pStyle w:val="ListParagraph"/>
        <w:rPr>
          <w:rtl/>
        </w:rPr>
      </w:pPr>
      <w:r>
        <w:t xml:space="preserve"> </w:t>
      </w:r>
      <w:r>
        <w:t>.</w:t>
      </w:r>
      <w:r>
        <w:rPr>
          <w:rtl/>
        </w:rPr>
        <w:t>ב</w:t>
      </w:r>
      <w:r>
        <w:rPr>
          <w:rtl/>
        </w:rPr>
        <w:t xml:space="preserve">-14 בדצמבר התקיים </w:t>
      </w:r>
      <w:r>
        <w:rPr>
          <w:rtl/>
        </w:rPr>
        <w:t>בועדת</w:t>
      </w:r>
      <w:r>
        <w:rPr>
          <w:rtl/>
        </w:rPr>
        <w:t xml:space="preserve"> הכספים של הכנסת דיון מהיר בנושא השקעת הממשלה </w:t>
      </w:r>
      <w:r>
        <w:t>1</w:t>
      </w:r>
    </w:p>
    <w:p w:rsidR="00E945A0" w:rsidP="00780FCC">
      <w:pPr>
        <w:pStyle w:val="ListParagraph"/>
      </w:pPr>
      <w:r>
        <w:t xml:space="preserve"> </w:t>
      </w:r>
      <w:r>
        <w:rPr>
          <w:rtl/>
        </w:rPr>
        <w:t xml:space="preserve">בתשתיות </w:t>
      </w:r>
      <w:r>
        <w:rPr>
          <w:rtl/>
        </w:rPr>
        <w:t>דלקים</w:t>
      </w:r>
      <w:r>
        <w:rPr>
          <w:rtl/>
        </w:rPr>
        <w:t xml:space="preserve"> מזהמים</w:t>
      </w:r>
      <w:r>
        <w:t xml:space="preserve">. </w:t>
      </w:r>
      <w:r>
        <w:rPr>
          <w:rtl/>
        </w:rPr>
        <w:t xml:space="preserve">בהמשך לבקשת יו"ר הועדה, ב-1.3 הגיש המשרד להגנת הסביבה </w:t>
      </w:r>
      <w:r>
        <w:rPr>
          <w:rtl/>
        </w:rPr>
        <w:t>לועדת</w:t>
      </w:r>
      <w:r>
        <w:rPr>
          <w:rtl/>
        </w:rPr>
        <w:t xml:space="preserve"> הכספים של הכנסת רשימת פרויקטים בתחום תשתיות הנפט והגז. הרשימה מצורפת למייל הפנייה בנספח נפרד. רבים מהפרויקטים מתייחסים לתשתיות הולכה וחלוקה של גז, וכן למערכי גיבוי בסולר עבור תחנות הגז הפרטיות</w:t>
      </w:r>
      <w:r>
        <w:t xml:space="preserve">. </w:t>
      </w:r>
      <w:r>
        <w:t>2 .</w:t>
      </w:r>
      <w:r>
        <w:rPr>
          <w:rtl/>
        </w:rPr>
        <w:t>עולה</w:t>
      </w:r>
      <w:r>
        <w:rPr>
          <w:rtl/>
        </w:rPr>
        <w:t xml:space="preserve"> חשש כי פרויקטים אלו, באם יתוקצבו מתקציב המדינה, מהווים למעשה סבסוד של תעשיית הגז על ידי הממשלה. סבסוד זה גובה מחיר בעלות הישירה לתקציב המדינה, וכן ביצירת עיוות שוק, אשר מאפשר מיצג שווא לפיו הפקת החשמל מגז זולה ממחירה </w:t>
      </w:r>
      <w:r>
        <w:rPr>
          <w:rtl/>
        </w:rPr>
        <w:t>האמיתי</w:t>
      </w:r>
      <w:r>
        <w:t xml:space="preserve"> - </w:t>
      </w:r>
      <w:r>
        <w:rPr>
          <w:rtl/>
        </w:rPr>
        <w:t>לדוגמא בהשוואה לאנרגיות מתחדשות</w:t>
      </w:r>
      <w:r>
        <w:t xml:space="preserve">. </w:t>
      </w:r>
      <w:r>
        <w:t>3 .</w:t>
      </w:r>
      <w:r>
        <w:rPr>
          <w:rtl/>
        </w:rPr>
        <w:t>נציין</w:t>
      </w:r>
      <w:r>
        <w:rPr>
          <w:rtl/>
        </w:rPr>
        <w:t xml:space="preserve"> כי בקשה דומה הוגשה גם למשרד האנרגיה</w:t>
      </w:r>
      <w:r>
        <w:t xml:space="preserve">. </w:t>
      </w:r>
      <w:r>
        <w:rPr>
          <w:rtl/>
        </w:rPr>
        <w:t>ב. המידע הדרוש</w:t>
      </w:r>
      <w:r>
        <w:t>: 4 .</w:t>
      </w:r>
      <w:r>
        <w:rPr>
          <w:rtl/>
        </w:rPr>
        <w:t>כל מסמך המתאר ומפרט את מערכי הגיבוי של תחנות הגז, ואת תחומי האחריות של משרדי הממשלה השונים בעניין זה</w:t>
      </w:r>
      <w:r>
        <w:t xml:space="preserve">. </w:t>
      </w:r>
      <w:r>
        <w:t>5 .</w:t>
      </w:r>
      <w:r>
        <w:rPr>
          <w:rtl/>
        </w:rPr>
        <w:t>מסמך</w:t>
      </w:r>
      <w:r>
        <w:rPr>
          <w:rtl/>
        </w:rPr>
        <w:t xml:space="preserve">, מצגת או פרוטוקול בו מתוארת העלות הכספית של תשתיות הולכת גז ודלק, תשתיות חלוקת גז, ומערכי הגיבוי עבור תחנות הגז הפרטיות. לרבות מסמך המפרט את המקורות </w:t>
      </w:r>
      <w:r>
        <w:t xml:space="preserve">1https://main.knesset.gov.il/Activity/Committees/Finance/Pages/CommitteeAgenda.aspx?tab=3&amp;ItemID=2150829 </w:t>
      </w:r>
      <w:r>
        <w:rPr>
          <w:rtl/>
        </w:rPr>
        <w:t>התקציביים )האם מתקציב משרד האנרגיה, ממשרד הפנים או ממשרד אחר(, את התקציב הכולל למערך הגיבוי, אומדנים של משרד האנרגיה או משרד אחר לעלויות המערכים השונים</w:t>
      </w:r>
      <w:r>
        <w:t xml:space="preserve">. </w:t>
      </w:r>
      <w:r>
        <w:t>6 .</w:t>
      </w:r>
      <w:r>
        <w:rPr>
          <w:rtl/>
        </w:rPr>
        <w:t>עבור</w:t>
      </w:r>
      <w:r>
        <w:rPr>
          <w:rtl/>
        </w:rPr>
        <w:t xml:space="preserve"> הפרויקטים המפורטים בטבלה שבנספח למייל, נבקש מסמכים, טבלאות, מצגות פרוטוקולים המפרטים את העלות התקציבית המשוערת של התכניות; את המקורות התקציביים; את הכספים ששולמו ואלו שטרם שולמו</w:t>
      </w:r>
      <w:r>
        <w:t xml:space="preserve">. **** </w:t>
      </w:r>
      <w:r>
        <w:t>7 .</w:t>
      </w:r>
      <w:r>
        <w:rPr>
          <w:rtl/>
        </w:rPr>
        <w:t>בהתאם</w:t>
      </w:r>
      <w:r>
        <w:rPr>
          <w:rtl/>
        </w:rPr>
        <w:t xml:space="preserve"> לסעיף 6(ב( לתקנות חופש המידע )אגרות(, התשנ"ט-1999 ,עמותה העונה על האמור בסעיף פטורה מתשלום אגרת הבקשה. על כן, כיוון שלובי 99 היא חברה לתועלת הציבור כמשמעותה בחוק העמותות, התש"ם-1980 ,שתציג להלן בנספח ב' אישור ניהול תקין ופועלת לקידום מטרות ציבוריות, היא פטורה מתשלום אגרת הבקשה. מכל מקום, ככל שיידרש, אנו מתחייבים לשלם אגרת טיפול והפקה עד לסכום של 250 ,₪ ובכל מקרה שיידרש סכום גבוה יותר, נדרשת מראש הסכמתנו להמשך הטיפול בבקשה</w:t>
      </w:r>
      <w:r>
        <w:t xml:space="preserve">. </w:t>
      </w:r>
      <w:r>
        <w:rPr>
          <w:rtl/>
        </w:rPr>
        <w:t>א. אישור ניהול תקין לשנת 2021 ורשימת העמותות הפועלות לקידום מטרות ציבוריות מאתר משרד המשפטים, רצ"ב בהמשך לבקשה זו בנספחים ב' ו-ג</w:t>
      </w:r>
      <w:r>
        <w:t xml:space="preserve">'. </w:t>
      </w:r>
      <w:r>
        <w:t>8 .</w:t>
      </w:r>
      <w:r>
        <w:rPr>
          <w:rtl/>
        </w:rPr>
        <w:t>בהתאם</w:t>
      </w:r>
      <w:r>
        <w:rPr>
          <w:rtl/>
        </w:rPr>
        <w:t xml:space="preserve"> לסעיף 11 לחוק חופש המידע, במידה שקיימים סייגים להעברת פריט מן המידע המבוקש בשלמותו, נבקש לקבלו לאחר עריכתו על ידכם, או השחרת פרטים בו – תוך מתן בכורה לעיקרון הקבוע בסעיף 1 לחוק חופש המידע, לפיו לכל אזרח ישראלי או תושב, הזכות לקבל מידע מרשות ציבורית</w:t>
      </w:r>
      <w:r>
        <w:t xml:space="preserve">. </w:t>
      </w:r>
      <w:r>
        <w:t>9 .</w:t>
      </w:r>
      <w:r>
        <w:rPr>
          <w:rtl/>
        </w:rPr>
        <w:t>על</w:t>
      </w:r>
      <w:r>
        <w:rPr>
          <w:rtl/>
        </w:rPr>
        <w:t xml:space="preserve"> פי סעיף 7(ב( לחוק חופש המידע, על הרשות לתת מענה ללא שיהוי, ולא יאוחר מ-30 ימים מיום קבלת הבקשה. בהתאם, נבקשכם להעביר אלינו את המידע המבוקש בהקדם האפשרי</w:t>
      </w:r>
      <w:r>
        <w:t xml:space="preserve">, </w:t>
      </w:r>
      <w:r>
        <w:rPr>
          <w:rtl/>
        </w:rPr>
        <w:t>אף אם מדובר במידע חלקי ונדרש זמן נוסף לאיסוף שאר המידע המבוקש</w:t>
      </w:r>
      <w:r>
        <w:t>.</w:t>
      </w:r>
    </w:p>
    <w:sectPr w:rsidSect="002F710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1605116"/>
    <w:multiLevelType w:val="hybridMultilevel"/>
    <w:tmpl w:val="C7C670D0"/>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780FCC"/>
    <w:rsid w:val="002F7104"/>
    <w:rsid w:val="00780FCC"/>
    <w:rsid w:val="00E945A0"/>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2161F945-49C8-4BA6-AA6A-19226F1AE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