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983F4C" w:rsidP="00983F4C">
      <w:pPr>
        <w:spacing w:after="120"/>
        <w:jc w:val="right"/>
        <w:rPr>
          <w:rFonts w:cs="David"/>
          <w:sz w:val="24"/>
          <w:szCs w:val="24"/>
          <w:rtl/>
          <w:lang w:eastAsia="en-US"/>
        </w:rPr>
      </w:pPr>
    </w:p>
    <w:p w:rsidR="00983F4C" w:rsidP="00983F4C">
      <w:pPr>
        <w:spacing w:after="120"/>
        <w:jc w:val="right"/>
        <w:rPr>
          <w:rFonts w:cs="David"/>
          <w:sz w:val="24"/>
          <w:szCs w:val="24"/>
          <w:rtl/>
          <w:lang w:eastAsia="en-US"/>
        </w:rPr>
      </w:pPr>
      <w:r>
        <w:rPr>
          <w:rFonts w:cs="David" w:hint="cs"/>
          <w:sz w:val="24"/>
          <w:szCs w:val="24"/>
          <w:rtl/>
          <w:lang w:eastAsia="en-US"/>
        </w:rPr>
        <w:t>20/01/21</w:t>
      </w:r>
    </w:p>
    <w:p w:rsidR="00E440AC" w:rsidP="00A5074E">
      <w:pPr>
        <w:spacing w:after="120"/>
        <w:jc w:val="right"/>
        <w:rPr>
          <w:rFonts w:cs="David"/>
          <w:sz w:val="24"/>
          <w:szCs w:val="24"/>
          <w:rtl/>
          <w:lang w:eastAsia="en-US"/>
        </w:rPr>
      </w:pPr>
      <w:r>
        <w:rPr>
          <w:rFonts w:cs="David" w:hint="cs"/>
          <w:sz w:val="24"/>
          <w:szCs w:val="24"/>
          <w:rtl/>
          <w:lang w:eastAsia="en-US"/>
        </w:rPr>
        <w:t>ז'</w:t>
      </w:r>
      <w:r>
        <w:rPr>
          <w:rFonts w:cs="David" w:hint="cs"/>
          <w:sz w:val="24"/>
          <w:szCs w:val="24"/>
          <w:rtl/>
          <w:lang w:eastAsia="en-US"/>
        </w:rPr>
        <w:t xml:space="preserve"> ב</w:t>
      </w:r>
      <w:r>
        <w:rPr>
          <w:rFonts w:cs="David" w:hint="cs"/>
          <w:sz w:val="24"/>
          <w:szCs w:val="24"/>
          <w:rtl/>
          <w:lang w:eastAsia="en-US"/>
        </w:rPr>
        <w:t>שבט</w:t>
      </w:r>
      <w:r>
        <w:rPr>
          <w:rFonts w:cs="David" w:hint="cs"/>
          <w:sz w:val="24"/>
          <w:szCs w:val="24"/>
          <w:rtl/>
          <w:lang w:eastAsia="en-US"/>
        </w:rPr>
        <w:t xml:space="preserve"> תשפ"א</w:t>
      </w:r>
    </w:p>
    <w:p w:rsidR="00983F4C" w:rsidP="00983F4C">
      <w:pPr>
        <w:spacing w:after="120"/>
        <w:rPr>
          <w:rFonts w:cs="David"/>
          <w:b/>
          <w:bCs/>
          <w:sz w:val="24"/>
          <w:szCs w:val="24"/>
          <w:rtl/>
          <w:lang w:eastAsia="en-US"/>
        </w:rPr>
      </w:pPr>
    </w:p>
    <w:p w:rsidR="00983F4C" w:rsidP="00983F4C">
      <w:pPr>
        <w:spacing w:after="120"/>
        <w:rPr>
          <w:rFonts w:cs="David"/>
          <w:b/>
          <w:bCs/>
          <w:sz w:val="24"/>
          <w:szCs w:val="24"/>
          <w:rtl/>
          <w:lang w:eastAsia="en-US"/>
        </w:rPr>
      </w:pPr>
    </w:p>
    <w:p w:rsidR="00667D9D" w:rsidP="00983F4C">
      <w:pPr>
        <w:spacing w:after="120"/>
        <w:rPr>
          <w:rFonts w:cs="David"/>
          <w:b/>
          <w:bCs/>
          <w:sz w:val="24"/>
          <w:szCs w:val="24"/>
          <w:rtl/>
          <w:lang w:eastAsia="en-US"/>
        </w:rPr>
      </w:pPr>
    </w:p>
    <w:p w:rsidR="00667D9D" w:rsidP="00983F4C">
      <w:pPr>
        <w:spacing w:after="120"/>
        <w:rPr>
          <w:rFonts w:cs="David"/>
          <w:b/>
          <w:bCs/>
          <w:sz w:val="24"/>
          <w:szCs w:val="24"/>
          <w:rtl/>
          <w:lang w:eastAsia="en-US"/>
        </w:rPr>
      </w:pPr>
      <w:r>
        <w:rPr>
          <w:rFonts w:cs="David" w:hint="cs"/>
          <w:b/>
          <w:bCs/>
          <w:sz w:val="24"/>
          <w:szCs w:val="24"/>
          <w:rtl/>
          <w:lang w:eastAsia="en-US"/>
        </w:rPr>
        <w:t xml:space="preserve">שלום רב, </w:t>
      </w:r>
    </w:p>
    <w:p w:rsidR="00667D9D" w:rsidP="00983F4C">
      <w:pPr>
        <w:spacing w:after="120"/>
        <w:rPr>
          <w:rFonts w:cs="David"/>
          <w:b/>
          <w:bCs/>
          <w:sz w:val="24"/>
          <w:szCs w:val="24"/>
          <w:rtl/>
          <w:lang w:eastAsia="en-US"/>
        </w:rPr>
      </w:pPr>
    </w:p>
    <w:p w:rsidR="00983F4C" w:rsidP="00E440AC">
      <w:pPr>
        <w:spacing w:after="120"/>
        <w:jc w:val="center"/>
        <w:rPr>
          <w:rFonts w:cs="David"/>
          <w:b/>
          <w:bCs/>
          <w:sz w:val="24"/>
          <w:szCs w:val="24"/>
          <w:u w:val="single"/>
          <w:rtl/>
          <w:lang w:eastAsia="en-US"/>
        </w:rPr>
      </w:pPr>
      <w:r w:rsidRPr="00762F88">
        <w:rPr>
          <w:rFonts w:cs="David" w:hint="cs"/>
          <w:b/>
          <w:bCs/>
          <w:sz w:val="24"/>
          <w:szCs w:val="24"/>
          <w:rtl/>
          <w:lang w:eastAsia="en-US"/>
        </w:rPr>
        <w:t xml:space="preserve">הנדון: </w:t>
      </w:r>
      <w:r w:rsidRPr="00762F88">
        <w:rPr>
          <w:rFonts w:cs="David" w:hint="cs"/>
          <w:b/>
          <w:bCs/>
          <w:sz w:val="24"/>
          <w:szCs w:val="24"/>
          <w:u w:val="single"/>
          <w:rtl/>
          <w:lang w:eastAsia="en-US"/>
        </w:rPr>
        <w:t>מענה לפנייתך לקבלת מידע בהתאם לחוק חופש המידע</w:t>
      </w:r>
      <w:r w:rsidR="00DF41E8">
        <w:rPr>
          <w:rFonts w:cs="David" w:hint="cs"/>
          <w:b/>
          <w:bCs/>
          <w:sz w:val="24"/>
          <w:szCs w:val="24"/>
          <w:u w:val="single"/>
          <w:rtl/>
          <w:lang w:eastAsia="en-US"/>
        </w:rPr>
        <w:t xml:space="preserve"> מתאריך </w:t>
      </w:r>
    </w:p>
    <w:p w:rsidR="00983F4C" w:rsidP="00983F4C">
      <w:pPr>
        <w:spacing w:after="120"/>
        <w:rPr>
          <w:rFonts w:cs="David"/>
          <w:sz w:val="24"/>
          <w:szCs w:val="24"/>
          <w:rtl/>
          <w:lang w:eastAsia="en-US"/>
        </w:rPr>
      </w:pPr>
    </w:p>
    <w:p w:rsidR="00E440AC" w:rsidP="00A5074E">
      <w:pPr>
        <w:spacing w:after="120" w:line="276" w:lineRule="auto"/>
        <w:jc w:val="both"/>
        <w:rPr>
          <w:rFonts w:ascii="Arial" w:hAnsi="Arial" w:cs="David"/>
          <w:sz w:val="24"/>
          <w:szCs w:val="24"/>
          <w:rtl/>
        </w:rPr>
      </w:pPr>
      <w:r w:rsidRPr="00DF41E8">
        <w:rPr>
          <w:rFonts w:ascii="Arial" w:hAnsi="Arial" w:cs="David" w:hint="cs"/>
          <w:sz w:val="24"/>
          <w:szCs w:val="24"/>
          <w:rtl/>
        </w:rPr>
        <w:t>בפנייתך</w:t>
      </w:r>
      <w:r w:rsidRPr="00DF41E8">
        <w:rPr>
          <w:rFonts w:cs="David" w:hint="cs"/>
          <w:sz w:val="24"/>
          <w:szCs w:val="24"/>
          <w:rtl/>
        </w:rPr>
        <w:t xml:space="preserve"> </w:t>
      </w:r>
      <w:r w:rsidRPr="00DF41E8">
        <w:rPr>
          <w:rFonts w:ascii="Arial" w:hAnsi="Arial" w:cs="David" w:hint="cs"/>
          <w:sz w:val="24"/>
          <w:szCs w:val="24"/>
          <w:rtl/>
        </w:rPr>
        <w:t>הנך</w:t>
      </w:r>
      <w:r w:rsidRPr="00DF41E8">
        <w:rPr>
          <w:rFonts w:cs="David" w:hint="cs"/>
          <w:sz w:val="24"/>
          <w:szCs w:val="24"/>
          <w:rtl/>
        </w:rPr>
        <w:t xml:space="preserve"> </w:t>
      </w:r>
      <w:r w:rsidRPr="00DF41E8">
        <w:rPr>
          <w:rFonts w:ascii="Arial" w:hAnsi="Arial" w:cs="David" w:hint="cs"/>
          <w:sz w:val="24"/>
          <w:szCs w:val="24"/>
          <w:rtl/>
        </w:rPr>
        <w:t>מבקש</w:t>
      </w:r>
      <w:r w:rsidRPr="00DF41E8">
        <w:rPr>
          <w:rFonts w:cs="David" w:hint="cs"/>
          <w:sz w:val="24"/>
          <w:szCs w:val="24"/>
          <w:rtl/>
        </w:rPr>
        <w:t xml:space="preserve"> </w:t>
      </w:r>
      <w:r w:rsidRPr="00DF41E8">
        <w:rPr>
          <w:rFonts w:ascii="Arial" w:hAnsi="Arial" w:cs="David" w:hint="cs"/>
          <w:sz w:val="24"/>
          <w:szCs w:val="24"/>
          <w:rtl/>
        </w:rPr>
        <w:t xml:space="preserve">לקבל מידע </w:t>
      </w:r>
      <w:r w:rsidR="00DF41E8">
        <w:rPr>
          <w:rFonts w:ascii="Arial" w:hAnsi="Arial" w:cs="David" w:hint="cs"/>
          <w:sz w:val="24"/>
          <w:szCs w:val="24"/>
          <w:rtl/>
        </w:rPr>
        <w:t xml:space="preserve">על </w:t>
      </w:r>
      <w:r>
        <w:rPr>
          <w:rFonts w:ascii="Arial" w:hAnsi="Arial" w:cs="David" w:hint="cs"/>
          <w:sz w:val="24"/>
          <w:szCs w:val="24"/>
          <w:rtl/>
        </w:rPr>
        <w:t xml:space="preserve">מספר </w:t>
      </w:r>
      <w:r w:rsidR="00A5074E">
        <w:rPr>
          <w:rFonts w:ascii="Arial" w:hAnsi="Arial" w:cs="David" w:hint="cs"/>
          <w:sz w:val="24"/>
          <w:szCs w:val="24"/>
          <w:rtl/>
        </w:rPr>
        <w:t xml:space="preserve">התיקים הפתוחים ומספר החייבים בהוצאה לפועל, </w:t>
      </w:r>
      <w:r>
        <w:rPr>
          <w:rFonts w:ascii="Arial" w:hAnsi="Arial" w:cs="David" w:hint="cs"/>
          <w:sz w:val="24"/>
          <w:szCs w:val="24"/>
          <w:rtl/>
        </w:rPr>
        <w:t>המידע המבוקש מפורסם מידי שבוע באתר רשות האכיפה והגבייה בתמונת מצב.</w:t>
      </w:r>
    </w:p>
    <w:p w:rsidR="00E440AC" w:rsidP="00E440AC">
      <w:pPr>
        <w:bidi w:val="0"/>
        <w:spacing w:after="120" w:line="276" w:lineRule="auto"/>
        <w:jc w:val="both"/>
        <w:rPr>
          <w:rFonts w:ascii="Arial" w:hAnsi="Arial" w:cs="David"/>
          <w:sz w:val="24"/>
          <w:szCs w:val="24"/>
          <w:rtl/>
        </w:rPr>
      </w:pPr>
      <w:hyperlink r:id="rId4" w:history="1">
        <w:r w:rsidRPr="00A570A1">
          <w:rPr>
            <w:rStyle w:val="Hyperlink"/>
            <w:rFonts w:ascii="Arial" w:hAnsi="Arial" w:cs="David"/>
            <w:sz w:val="24"/>
            <w:szCs w:val="24"/>
          </w:rPr>
          <w:t>https://www.gov.il/BlobFolder/generalpage/eca-reports-dashboard/he/reports_eca-dashboard.pdf</w:t>
        </w:r>
      </w:hyperlink>
    </w:p>
    <w:p w:rsidR="00E440AC" w:rsidP="00A5074E">
      <w:pPr>
        <w:spacing w:after="120" w:line="276" w:lineRule="auto"/>
        <w:jc w:val="both"/>
        <w:rPr>
          <w:rFonts w:ascii="Arial" w:hAnsi="Arial" w:cs="David"/>
          <w:sz w:val="24"/>
          <w:szCs w:val="24"/>
          <w:rtl/>
        </w:rPr>
      </w:pPr>
      <w:r>
        <w:rPr>
          <w:rFonts w:ascii="Arial" w:hAnsi="Arial" w:cs="David" w:hint="cs"/>
          <w:sz w:val="24"/>
          <w:szCs w:val="24"/>
          <w:rtl/>
        </w:rPr>
        <w:t xml:space="preserve">המידע </w:t>
      </w:r>
      <w:r w:rsidR="00A5074E">
        <w:rPr>
          <w:rFonts w:ascii="Arial" w:hAnsi="Arial" w:cs="David" w:hint="cs"/>
          <w:sz w:val="24"/>
          <w:szCs w:val="24"/>
          <w:rtl/>
        </w:rPr>
        <w:t xml:space="preserve">נמצא בדף הראשון </w:t>
      </w:r>
      <w:r>
        <w:rPr>
          <w:rFonts w:ascii="Arial" w:hAnsi="Arial" w:cs="David" w:hint="cs"/>
          <w:sz w:val="24"/>
          <w:szCs w:val="24"/>
          <w:rtl/>
        </w:rPr>
        <w:t xml:space="preserve">מפורסם תחת </w:t>
      </w:r>
      <w:r w:rsidR="00A5074E">
        <w:rPr>
          <w:rFonts w:ascii="Arial" w:hAnsi="Arial" w:cs="David" w:hint="cs"/>
          <w:sz w:val="24"/>
          <w:szCs w:val="24"/>
          <w:rtl/>
        </w:rPr>
        <w:t>נתוני ההוצאה לפועל</w:t>
      </w:r>
      <w:r>
        <w:rPr>
          <w:rFonts w:ascii="Arial" w:hAnsi="Arial" w:cs="David" w:hint="cs"/>
          <w:sz w:val="24"/>
          <w:szCs w:val="24"/>
          <w:rtl/>
        </w:rPr>
        <w:t>.</w:t>
      </w:r>
    </w:p>
    <w:p w:rsidR="00A5074E" w:rsidP="00D01221">
      <w:pPr>
        <w:spacing w:after="120"/>
        <w:jc w:val="both"/>
        <w:rPr>
          <w:rFonts w:cs="David"/>
          <w:sz w:val="24"/>
          <w:szCs w:val="24"/>
          <w:rtl/>
          <w:lang w:eastAsia="en-US"/>
        </w:rPr>
      </w:pPr>
      <w:r>
        <w:rPr>
          <w:rFonts w:cs="David" w:hint="cs"/>
          <w:sz w:val="24"/>
          <w:szCs w:val="24"/>
          <w:rtl/>
          <w:lang w:eastAsia="en-US"/>
        </w:rPr>
        <w:t xml:space="preserve">לגבי מידע על </w:t>
      </w:r>
      <w:r w:rsidR="005E1615">
        <w:rPr>
          <w:rFonts w:cs="David" w:hint="cs"/>
          <w:sz w:val="24"/>
          <w:szCs w:val="24"/>
          <w:rtl/>
          <w:lang w:eastAsia="en-US"/>
        </w:rPr>
        <w:t xml:space="preserve"> </w:t>
      </w:r>
      <w:r>
        <w:rPr>
          <w:rFonts w:cs="David" w:hint="cs"/>
          <w:sz w:val="24"/>
          <w:szCs w:val="24"/>
          <w:rtl/>
          <w:lang w:eastAsia="en-US"/>
        </w:rPr>
        <w:t>כמות תיקי חדלות פירעון שהוגשו בהוצאה לפועל עד היום לפי תאריך פתיחה של התיק, להלן המידע:</w:t>
      </w:r>
    </w:p>
    <w:tbl>
      <w:tblPr>
        <w:tblW w:w="2120" w:type="dxa"/>
        <w:jc w:val="center"/>
        <w:tblLook w:val="04A0"/>
      </w:tblPr>
      <w:tblGrid>
        <w:gridCol w:w="1060"/>
        <w:gridCol w:w="1060"/>
      </w:tblGrid>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5B9BD5" w:fill="5B9BD5"/>
            <w:noWrap/>
            <w:vAlign w:val="bottom"/>
            <w:hideMark/>
          </w:tcPr>
          <w:p w:rsidR="00D01221" w:rsidRPr="00D01221" w:rsidP="00D01221">
            <w:pPr>
              <w:jc w:val="center"/>
              <w:rPr>
                <w:rFonts w:ascii="Arial" w:hAnsi="Arial" w:cs="Arial"/>
                <w:b/>
                <w:bCs/>
                <w:color w:val="FFFFFF"/>
                <w:sz w:val="22"/>
                <w:szCs w:val="22"/>
                <w:rtl/>
                <w:lang w:eastAsia="en-US"/>
              </w:rPr>
            </w:pPr>
            <w:r w:rsidRPr="00D01221">
              <w:rPr>
                <w:rFonts w:ascii="Arial" w:hAnsi="Arial" w:cs="Arial"/>
                <w:b/>
                <w:bCs/>
                <w:color w:val="FFFFFF"/>
                <w:sz w:val="22"/>
                <w:szCs w:val="22"/>
                <w:rtl/>
                <w:lang w:eastAsia="en-US"/>
              </w:rPr>
              <w:t>כמות התיקים</w:t>
            </w:r>
            <w:r>
              <w:rPr>
                <w:rFonts w:ascii="Arial" w:hAnsi="Arial" w:cs="Arial" w:hint="cs"/>
                <w:b/>
                <w:bCs/>
                <w:color w:val="FFFFFF"/>
                <w:sz w:val="22"/>
                <w:szCs w:val="22"/>
                <w:rtl/>
                <w:lang w:eastAsia="en-US"/>
              </w:rPr>
              <w:t xml:space="preserve"> שנפתחו</w:t>
            </w:r>
          </w:p>
        </w:tc>
        <w:tc>
          <w:tcPr>
            <w:tcW w:w="1060" w:type="dxa"/>
            <w:tcBorders>
              <w:top w:val="single" w:sz="4" w:space="0" w:color="9BC2E6"/>
              <w:left w:val="nil"/>
              <w:bottom w:val="single" w:sz="4" w:space="0" w:color="9BC2E6"/>
              <w:right w:val="nil"/>
            </w:tcBorders>
            <w:shd w:val="clear" w:color="5B9BD5" w:fill="5B9BD5"/>
            <w:vAlign w:val="bottom"/>
          </w:tcPr>
          <w:p w:rsidR="00D01221" w:rsidRPr="00D01221" w:rsidP="00D01221">
            <w:pPr>
              <w:rPr>
                <w:rFonts w:ascii="Arial" w:hAnsi="Arial" w:cs="Arial"/>
                <w:b/>
                <w:bCs/>
                <w:color w:val="FFFFFF"/>
                <w:sz w:val="22"/>
                <w:szCs w:val="22"/>
                <w:lang w:eastAsia="en-US"/>
              </w:rPr>
            </w:pPr>
            <w:r w:rsidRPr="00D01221">
              <w:rPr>
                <w:rFonts w:ascii="Arial" w:hAnsi="Arial" w:cs="Arial"/>
                <w:b/>
                <w:bCs/>
                <w:color w:val="FFFFFF"/>
                <w:sz w:val="22"/>
                <w:szCs w:val="22"/>
                <w:rtl/>
                <w:lang w:eastAsia="en-US"/>
              </w:rPr>
              <w:t>שנה וחודש</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DDEBF7" w:fill="DDEBF7"/>
            <w:noWrap/>
            <w:vAlign w:val="bottom"/>
            <w:hideMark/>
          </w:tcPr>
          <w:p w:rsidR="00D01221" w:rsidP="00D01221">
            <w:pPr>
              <w:bidi w:val="0"/>
              <w:jc w:val="right"/>
              <w:rPr>
                <w:rFonts w:ascii="Arial" w:hAnsi="Arial" w:cs="Arial"/>
                <w:color w:val="000000"/>
                <w:sz w:val="22"/>
                <w:szCs w:val="22"/>
                <w:lang w:eastAsia="en-US"/>
              </w:rPr>
            </w:pPr>
            <w:r>
              <w:rPr>
                <w:rFonts w:ascii="Arial" w:hAnsi="Arial" w:cs="Arial"/>
                <w:color w:val="000000"/>
                <w:sz w:val="22"/>
                <w:szCs w:val="22"/>
              </w:rPr>
              <w:t>4</w:t>
            </w:r>
          </w:p>
        </w:tc>
        <w:tc>
          <w:tcPr>
            <w:tcW w:w="1060" w:type="dxa"/>
            <w:tcBorders>
              <w:top w:val="single" w:sz="4" w:space="0" w:color="9BC2E6"/>
              <w:left w:val="nil"/>
              <w:bottom w:val="single" w:sz="4" w:space="0" w:color="9BC2E6"/>
              <w:right w:val="nil"/>
            </w:tcBorders>
            <w:shd w:val="clear" w:color="DDEBF7" w:fill="DDEBF7"/>
            <w:vAlign w:val="bottom"/>
          </w:tcPr>
          <w:p w:rsidR="00D01221" w:rsidRPr="00D01221" w:rsidP="00D01221">
            <w:pPr>
              <w:rPr>
                <w:rFonts w:ascii="Arial" w:hAnsi="Arial" w:cs="Arial"/>
                <w:color w:val="000000"/>
                <w:sz w:val="22"/>
                <w:szCs w:val="22"/>
                <w:rtl/>
                <w:lang w:eastAsia="en-US"/>
              </w:rPr>
            </w:pPr>
            <w:r w:rsidRPr="00D01221">
              <w:rPr>
                <w:rFonts w:ascii="Arial" w:hAnsi="Arial" w:cs="Arial"/>
                <w:color w:val="000000"/>
                <w:sz w:val="22"/>
                <w:szCs w:val="22"/>
                <w:rtl/>
                <w:lang w:eastAsia="en-US"/>
              </w:rPr>
              <w:t>ספט-19</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auto" w:fill="auto"/>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6</w:t>
            </w:r>
          </w:p>
        </w:tc>
        <w:tc>
          <w:tcPr>
            <w:tcW w:w="1060" w:type="dxa"/>
            <w:tcBorders>
              <w:top w:val="single" w:sz="4" w:space="0" w:color="9BC2E6"/>
              <w:left w:val="nil"/>
              <w:bottom w:val="single" w:sz="4" w:space="0" w:color="9BC2E6"/>
              <w:right w:val="nil"/>
            </w:tcBorders>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אוק-19</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DDEBF7" w:fill="DDEBF7"/>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228</w:t>
            </w:r>
          </w:p>
        </w:tc>
        <w:tc>
          <w:tcPr>
            <w:tcW w:w="1060" w:type="dxa"/>
            <w:tcBorders>
              <w:top w:val="single" w:sz="4" w:space="0" w:color="9BC2E6"/>
              <w:left w:val="nil"/>
              <w:bottom w:val="single" w:sz="4" w:space="0" w:color="9BC2E6"/>
              <w:right w:val="nil"/>
            </w:tcBorders>
            <w:shd w:val="clear" w:color="DDEBF7" w:fill="DDEBF7"/>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נוב-19</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auto" w:fill="auto"/>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358</w:t>
            </w:r>
          </w:p>
        </w:tc>
        <w:tc>
          <w:tcPr>
            <w:tcW w:w="1060" w:type="dxa"/>
            <w:tcBorders>
              <w:top w:val="single" w:sz="4" w:space="0" w:color="9BC2E6"/>
              <w:left w:val="nil"/>
              <w:bottom w:val="single" w:sz="4" w:space="0" w:color="9BC2E6"/>
              <w:right w:val="nil"/>
            </w:tcBorders>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דצמ-19</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DDEBF7" w:fill="DDEBF7"/>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489</w:t>
            </w:r>
          </w:p>
        </w:tc>
        <w:tc>
          <w:tcPr>
            <w:tcW w:w="1060" w:type="dxa"/>
            <w:tcBorders>
              <w:top w:val="single" w:sz="4" w:space="0" w:color="9BC2E6"/>
              <w:left w:val="nil"/>
              <w:bottom w:val="single" w:sz="4" w:space="0" w:color="9BC2E6"/>
              <w:right w:val="nil"/>
            </w:tcBorders>
            <w:shd w:val="clear" w:color="DDEBF7" w:fill="DDEBF7"/>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ינו-20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auto" w:fill="auto"/>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446</w:t>
            </w:r>
          </w:p>
        </w:tc>
        <w:tc>
          <w:tcPr>
            <w:tcW w:w="1060" w:type="dxa"/>
            <w:tcBorders>
              <w:top w:val="single" w:sz="4" w:space="0" w:color="9BC2E6"/>
              <w:left w:val="nil"/>
              <w:bottom w:val="single" w:sz="4" w:space="0" w:color="9BC2E6"/>
              <w:right w:val="nil"/>
            </w:tcBorders>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פבר-20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DDEBF7" w:fill="DDEBF7"/>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374</w:t>
            </w:r>
          </w:p>
        </w:tc>
        <w:tc>
          <w:tcPr>
            <w:tcW w:w="1060" w:type="dxa"/>
            <w:tcBorders>
              <w:top w:val="single" w:sz="4" w:space="0" w:color="9BC2E6"/>
              <w:left w:val="nil"/>
              <w:bottom w:val="single" w:sz="4" w:space="0" w:color="9BC2E6"/>
              <w:right w:val="nil"/>
            </w:tcBorders>
            <w:shd w:val="clear" w:color="DDEBF7" w:fill="DDEBF7"/>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מרץ-20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auto" w:fill="auto"/>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273</w:t>
            </w:r>
          </w:p>
        </w:tc>
        <w:tc>
          <w:tcPr>
            <w:tcW w:w="1060" w:type="dxa"/>
            <w:tcBorders>
              <w:top w:val="single" w:sz="4" w:space="0" w:color="9BC2E6"/>
              <w:left w:val="nil"/>
              <w:bottom w:val="single" w:sz="4" w:space="0" w:color="9BC2E6"/>
              <w:right w:val="nil"/>
            </w:tcBorders>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אפר-20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DDEBF7" w:fill="DDEBF7"/>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343</w:t>
            </w:r>
          </w:p>
        </w:tc>
        <w:tc>
          <w:tcPr>
            <w:tcW w:w="1060" w:type="dxa"/>
            <w:tcBorders>
              <w:top w:val="single" w:sz="4" w:space="0" w:color="9BC2E6"/>
              <w:left w:val="nil"/>
              <w:bottom w:val="single" w:sz="4" w:space="0" w:color="9BC2E6"/>
              <w:right w:val="nil"/>
            </w:tcBorders>
            <w:shd w:val="clear" w:color="DDEBF7" w:fill="DDEBF7"/>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מאי-20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auto" w:fill="auto"/>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498</w:t>
            </w:r>
          </w:p>
        </w:tc>
        <w:tc>
          <w:tcPr>
            <w:tcW w:w="1060" w:type="dxa"/>
            <w:tcBorders>
              <w:top w:val="single" w:sz="4" w:space="0" w:color="9BC2E6"/>
              <w:left w:val="nil"/>
              <w:bottom w:val="single" w:sz="4" w:space="0" w:color="9BC2E6"/>
              <w:right w:val="nil"/>
            </w:tcBorders>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יונ-20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DDEBF7" w:fill="DDEBF7"/>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570</w:t>
            </w:r>
          </w:p>
        </w:tc>
        <w:tc>
          <w:tcPr>
            <w:tcW w:w="1060" w:type="dxa"/>
            <w:tcBorders>
              <w:top w:val="single" w:sz="4" w:space="0" w:color="9BC2E6"/>
              <w:left w:val="nil"/>
              <w:bottom w:val="single" w:sz="4" w:space="0" w:color="9BC2E6"/>
              <w:right w:val="nil"/>
            </w:tcBorders>
            <w:shd w:val="clear" w:color="DDEBF7" w:fill="DDEBF7"/>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יול-20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auto" w:fill="auto"/>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497</w:t>
            </w:r>
          </w:p>
        </w:tc>
        <w:tc>
          <w:tcPr>
            <w:tcW w:w="1060" w:type="dxa"/>
            <w:tcBorders>
              <w:top w:val="single" w:sz="4" w:space="0" w:color="9BC2E6"/>
              <w:left w:val="nil"/>
              <w:bottom w:val="single" w:sz="4" w:space="0" w:color="9BC2E6"/>
              <w:right w:val="nil"/>
            </w:tcBorders>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אוג-20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DDEBF7" w:fill="DDEBF7"/>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495</w:t>
            </w:r>
          </w:p>
        </w:tc>
        <w:tc>
          <w:tcPr>
            <w:tcW w:w="1060" w:type="dxa"/>
            <w:tcBorders>
              <w:top w:val="single" w:sz="4" w:space="0" w:color="9BC2E6"/>
              <w:left w:val="nil"/>
              <w:bottom w:val="single" w:sz="4" w:space="0" w:color="9BC2E6"/>
              <w:right w:val="nil"/>
            </w:tcBorders>
            <w:shd w:val="clear" w:color="DDEBF7" w:fill="DDEBF7"/>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ספט-20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auto" w:fill="auto"/>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369</w:t>
            </w:r>
          </w:p>
        </w:tc>
        <w:tc>
          <w:tcPr>
            <w:tcW w:w="1060" w:type="dxa"/>
            <w:tcBorders>
              <w:top w:val="single" w:sz="4" w:space="0" w:color="9BC2E6"/>
              <w:left w:val="nil"/>
              <w:bottom w:val="single" w:sz="4" w:space="0" w:color="9BC2E6"/>
              <w:right w:val="nil"/>
            </w:tcBorders>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אוק-20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DDEBF7" w:fill="DDEBF7"/>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529</w:t>
            </w:r>
          </w:p>
        </w:tc>
        <w:tc>
          <w:tcPr>
            <w:tcW w:w="1060" w:type="dxa"/>
            <w:tcBorders>
              <w:top w:val="single" w:sz="4" w:space="0" w:color="9BC2E6"/>
              <w:left w:val="nil"/>
              <w:bottom w:val="single" w:sz="4" w:space="0" w:color="9BC2E6"/>
              <w:right w:val="nil"/>
            </w:tcBorders>
            <w:shd w:val="clear" w:color="DDEBF7" w:fill="DDEBF7"/>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נוב-20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auto" w:fill="auto"/>
            <w:noWrap/>
            <w:vAlign w:val="bottom"/>
            <w:hideMark/>
          </w:tcPr>
          <w:p w:rsidR="00D01221" w:rsidP="00D01221">
            <w:pPr>
              <w:bidi w:val="0"/>
              <w:jc w:val="right"/>
              <w:rPr>
                <w:rFonts w:ascii="Arial" w:hAnsi="Arial" w:cs="Arial"/>
                <w:color w:val="000000"/>
                <w:sz w:val="22"/>
                <w:szCs w:val="22"/>
              </w:rPr>
            </w:pPr>
            <w:r>
              <w:rPr>
                <w:rFonts w:ascii="Arial" w:hAnsi="Arial" w:cs="Arial"/>
                <w:color w:val="000000"/>
                <w:sz w:val="22"/>
                <w:szCs w:val="22"/>
              </w:rPr>
              <w:t>485</w:t>
            </w:r>
          </w:p>
        </w:tc>
        <w:tc>
          <w:tcPr>
            <w:tcW w:w="1060" w:type="dxa"/>
            <w:tcBorders>
              <w:top w:val="single" w:sz="4" w:space="0" w:color="9BC2E6"/>
              <w:left w:val="nil"/>
              <w:bottom w:val="single" w:sz="4" w:space="0" w:color="9BC2E6"/>
              <w:right w:val="nil"/>
            </w:tcBorders>
            <w:vAlign w:val="bottom"/>
          </w:tcPr>
          <w:p w:rsidR="00D01221" w:rsidRPr="00D01221" w:rsidP="00D01221">
            <w:pPr>
              <w:rPr>
                <w:rFonts w:ascii="Arial" w:hAnsi="Arial" w:cs="Arial"/>
                <w:color w:val="000000"/>
                <w:sz w:val="22"/>
                <w:szCs w:val="22"/>
                <w:lang w:eastAsia="en-US"/>
              </w:rPr>
            </w:pPr>
            <w:r w:rsidRPr="00D01221">
              <w:rPr>
                <w:rFonts w:ascii="Arial" w:hAnsi="Arial" w:cs="Arial"/>
                <w:color w:val="000000"/>
                <w:sz w:val="22"/>
                <w:szCs w:val="22"/>
                <w:rtl/>
                <w:lang w:eastAsia="en-US"/>
              </w:rPr>
              <w:t>דצמ-20</w:t>
            </w:r>
          </w:p>
        </w:tc>
      </w:tr>
      <w:tr w:rsidTr="00D01221">
        <w:tblPrEx>
          <w:tblW w:w="2120" w:type="dxa"/>
          <w:jc w:val="center"/>
          <w:tblLook w:val="04A0"/>
        </w:tblPrEx>
        <w:trPr>
          <w:trHeight w:val="276"/>
          <w:jc w:val="center"/>
        </w:trPr>
        <w:tc>
          <w:tcPr>
            <w:tcW w:w="1060" w:type="dxa"/>
            <w:tcBorders>
              <w:top w:val="single" w:sz="4" w:space="0" w:color="9BC2E6"/>
              <w:left w:val="nil"/>
              <w:bottom w:val="single" w:sz="4" w:space="0" w:color="9BC2E6"/>
              <w:right w:val="single" w:sz="4" w:space="0" w:color="9BC2E6"/>
            </w:tcBorders>
            <w:shd w:val="clear" w:color="auto" w:fill="auto"/>
            <w:noWrap/>
            <w:vAlign w:val="bottom"/>
          </w:tcPr>
          <w:p w:rsidR="00D01221" w:rsidP="00D01221">
            <w:pPr>
              <w:bidi w:val="0"/>
              <w:jc w:val="right"/>
              <w:rPr>
                <w:rFonts w:ascii="Arial" w:hAnsi="Arial" w:cs="Arial"/>
                <w:color w:val="000000"/>
                <w:sz w:val="22"/>
                <w:szCs w:val="22"/>
              </w:rPr>
            </w:pPr>
            <w:r>
              <w:rPr>
                <w:rFonts w:ascii="Arial" w:hAnsi="Arial" w:cs="Arial"/>
                <w:color w:val="000000"/>
                <w:sz w:val="22"/>
                <w:szCs w:val="22"/>
              </w:rPr>
              <w:t>249</w:t>
            </w:r>
          </w:p>
        </w:tc>
        <w:tc>
          <w:tcPr>
            <w:tcW w:w="1060" w:type="dxa"/>
            <w:tcBorders>
              <w:top w:val="single" w:sz="4" w:space="0" w:color="9BC2E6"/>
              <w:left w:val="nil"/>
              <w:bottom w:val="single" w:sz="4" w:space="0" w:color="9BC2E6"/>
              <w:right w:val="nil"/>
            </w:tcBorders>
            <w:vAlign w:val="bottom"/>
          </w:tcPr>
          <w:p w:rsidR="00D01221" w:rsidRPr="00D01221" w:rsidP="00D01221">
            <w:pPr>
              <w:rPr>
                <w:rFonts w:ascii="Arial" w:hAnsi="Arial" w:cs="Arial" w:hint="cs"/>
                <w:color w:val="000000"/>
                <w:sz w:val="22"/>
                <w:szCs w:val="22"/>
                <w:rtl/>
                <w:lang w:eastAsia="en-US"/>
              </w:rPr>
            </w:pPr>
            <w:r>
              <w:rPr>
                <w:rFonts w:ascii="Arial" w:hAnsi="Arial" w:cs="Arial" w:hint="cs"/>
                <w:color w:val="000000"/>
                <w:sz w:val="22"/>
                <w:szCs w:val="22"/>
                <w:rtl/>
                <w:lang w:eastAsia="en-US"/>
              </w:rPr>
              <w:t>ינו-21</w:t>
            </w:r>
          </w:p>
        </w:tc>
      </w:tr>
    </w:tbl>
    <w:p w:rsidR="00A5074E" w:rsidP="00D01221">
      <w:pPr>
        <w:spacing w:after="120"/>
        <w:jc w:val="both"/>
        <w:rPr>
          <w:rFonts w:cs="David"/>
          <w:sz w:val="24"/>
          <w:szCs w:val="24"/>
          <w:rtl/>
          <w:lang w:eastAsia="en-US"/>
        </w:rPr>
      </w:pPr>
      <w:r>
        <w:rPr>
          <w:rFonts w:cs="David" w:hint="cs"/>
          <w:sz w:val="24"/>
          <w:szCs w:val="24"/>
          <w:rtl/>
          <w:lang w:eastAsia="en-US"/>
        </w:rPr>
        <w:t>יובהר, כי התיקים שנפתחו כולל תיקים שהסטטוס הנוכחי שלהם הוא פתוח או סגור</w:t>
      </w:r>
      <w:r>
        <w:rPr>
          <w:rFonts w:cs="David" w:hint="cs"/>
          <w:sz w:val="24"/>
          <w:szCs w:val="24"/>
          <w:lang w:eastAsia="en-US"/>
        </w:rPr>
        <w:t xml:space="preserve"> </w:t>
      </w:r>
      <w:r>
        <w:rPr>
          <w:rFonts w:cs="David"/>
          <w:sz w:val="24"/>
          <w:szCs w:val="24"/>
          <w:lang w:eastAsia="en-US"/>
        </w:rPr>
        <w:t>.</w:t>
      </w:r>
    </w:p>
    <w:p w:rsidR="00D756BC" w:rsidP="00A5074E">
      <w:pPr>
        <w:autoSpaceDE w:val="0"/>
        <w:autoSpaceDN w:val="0"/>
        <w:adjustRightInd w:val="0"/>
        <w:rPr>
          <w:rFonts w:ascii="ArialMT" w:cs="ArialMT"/>
          <w:sz w:val="32"/>
          <w:szCs w:val="32"/>
          <w:rtl/>
        </w:rPr>
      </w:pPr>
    </w:p>
    <w:p w:rsidR="00A5074E" w:rsidRPr="006D6B63" w:rsidP="00D756BC">
      <w:pPr>
        <w:autoSpaceDE w:val="0"/>
        <w:autoSpaceDN w:val="0"/>
        <w:adjustRightInd w:val="0"/>
        <w:spacing w:line="360" w:lineRule="auto"/>
        <w:jc w:val="both"/>
        <w:rPr>
          <w:rFonts w:ascii="ArialMT" w:cs="ArialMT"/>
          <w:sz w:val="32"/>
          <w:szCs w:val="32"/>
        </w:rPr>
      </w:pPr>
      <w:r>
        <w:rPr>
          <w:rFonts w:ascii="Arial" w:hAnsi="Arial" w:cs="David" w:hint="cs"/>
          <w:sz w:val="24"/>
          <w:szCs w:val="24"/>
          <w:rtl/>
        </w:rPr>
        <w:t>לגבי אופן הגשת הבקשה לפתיחת הליכי חדלות פירעון, הבקשה מוגשת באמצעות טופס מקוון הנמצא באתר רשות האכיפה והגבייה. גם במקרים של הגשה ידנית בלשכות, פקידי ההוצאה לפועל מקלידים את הבקשה באתר האינטרנט. ל</w:t>
      </w:r>
      <w:bookmarkStart w:id="0" w:name="_GoBack"/>
      <w:bookmarkEnd w:id="0"/>
      <w:r>
        <w:rPr>
          <w:rFonts w:ascii="Arial" w:hAnsi="Arial" w:cs="David" w:hint="cs"/>
          <w:sz w:val="24"/>
          <w:szCs w:val="24"/>
          <w:rtl/>
        </w:rPr>
        <w:t xml:space="preserve">פיכך,  לא ניתן להפיק את הפילוח של אופן הגשת הבקשה. </w:t>
      </w:r>
    </w:p>
    <w:p w:rsidR="00A5074E" w:rsidRPr="00A5074E" w:rsidP="00D756BC">
      <w:pPr>
        <w:spacing w:after="120" w:line="360" w:lineRule="auto"/>
        <w:jc w:val="both"/>
        <w:rPr>
          <w:rFonts w:cs="David"/>
          <w:sz w:val="24"/>
          <w:szCs w:val="24"/>
          <w:rtl/>
          <w:lang w:eastAsia="en-US"/>
        </w:rPr>
      </w:pPr>
    </w:p>
    <w:p w:rsidR="005E1615" w:rsidP="00983F4C">
      <w:pPr>
        <w:jc w:val="center"/>
        <w:rPr>
          <w:rFonts w:cs="David"/>
          <w:b/>
          <w:bCs/>
          <w:sz w:val="24"/>
          <w:szCs w:val="24"/>
          <w:rtl/>
        </w:rPr>
      </w:pPr>
    </w:p>
    <w:p w:rsidR="005E1615" w:rsidP="00983F4C">
      <w:pPr>
        <w:jc w:val="center"/>
        <w:rPr>
          <w:rFonts w:cs="David"/>
          <w:b/>
          <w:bCs/>
          <w:sz w:val="24"/>
          <w:szCs w:val="24"/>
          <w:rtl/>
        </w:rPr>
      </w:pPr>
    </w:p>
    <w:p w:rsidR="00983F4C" w:rsidP="00983F4C">
      <w:pPr>
        <w:jc w:val="center"/>
        <w:rPr>
          <w:rFonts w:cs="David"/>
          <w:b/>
          <w:bCs/>
          <w:sz w:val="24"/>
          <w:szCs w:val="24"/>
          <w:rtl/>
        </w:rPr>
      </w:pPr>
      <w:r w:rsidRPr="004F4FD9">
        <w:rPr>
          <w:rFonts w:cs="David" w:hint="cs"/>
          <w:b/>
          <w:bCs/>
          <w:sz w:val="24"/>
          <w:szCs w:val="24"/>
          <w:rtl/>
        </w:rPr>
        <w:t>בברכה,</w:t>
      </w:r>
    </w:p>
    <w:p w:rsidR="00983F4C" w:rsidP="00983F4C">
      <w:pPr>
        <w:jc w:val="center"/>
        <w:rPr>
          <w:rFonts w:cs="David"/>
          <w:b/>
          <w:bCs/>
          <w:sz w:val="24"/>
          <w:szCs w:val="24"/>
          <w:rtl/>
        </w:rPr>
      </w:pPr>
      <w:r>
        <w:rPr>
          <w:rFonts w:cs="David" w:hint="cs"/>
          <w:b/>
          <w:bCs/>
          <w:sz w:val="24"/>
          <w:szCs w:val="24"/>
          <w:rtl/>
        </w:rPr>
        <w:t>יולנדה גולן</w:t>
      </w:r>
    </w:p>
    <w:p w:rsidR="00983F4C" w:rsidP="00A5074E">
      <w:pPr>
        <w:jc w:val="center"/>
        <w:rPr>
          <w:rFonts w:cs="David"/>
          <w:b/>
          <w:bCs/>
          <w:sz w:val="24"/>
          <w:szCs w:val="24"/>
          <w:rtl/>
        </w:rPr>
      </w:pPr>
      <w:r w:rsidRPr="004F4FD9">
        <w:rPr>
          <w:rFonts w:cs="David" w:hint="cs"/>
          <w:b/>
          <w:bCs/>
          <w:sz w:val="24"/>
          <w:szCs w:val="24"/>
          <w:rtl/>
        </w:rPr>
        <w:t xml:space="preserve">ממונה על </w:t>
      </w:r>
      <w:r w:rsidR="00A5074E">
        <w:rPr>
          <w:rFonts w:cs="David" w:hint="cs"/>
          <w:b/>
          <w:bCs/>
          <w:sz w:val="24"/>
          <w:szCs w:val="24"/>
          <w:rtl/>
        </w:rPr>
        <w:t>העמדת המידע לציבור</w:t>
      </w:r>
    </w:p>
    <w:p w:rsidR="00983F4C" w:rsidP="00A5074E">
      <w:pPr>
        <w:jc w:val="center"/>
      </w:pPr>
      <w:r>
        <w:rPr>
          <w:rFonts w:cs="David" w:hint="cs"/>
          <w:b/>
          <w:bCs/>
          <w:sz w:val="24"/>
          <w:szCs w:val="24"/>
          <w:rtl/>
        </w:rPr>
        <w:t>רשות האכיפה והגבייה</w:t>
      </w:r>
    </w:p>
    <w:p w:rsidR="00417A5D"/>
    <w:sectPr w:rsidSect="00973401">
      <w:headerReference w:type="default" r:id="rId5"/>
      <w:footerReference w:type="even" r:id="rId6"/>
      <w:footerReference w:type="default" r:id="rId7"/>
      <w:pgSz w:w="11906" w:h="16838"/>
      <w:pgMar w:top="1440" w:right="1800" w:bottom="1440" w:left="1800" w:header="567" w:footer="0" w:gutter="0"/>
      <w:cols w:space="708"/>
      <w:bidi/>
      <w:rtlGutter/>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MT">
    <w:panose1 w:val="00000000000000000000"/>
    <w:charset w:val="B1"/>
    <w:family w:val="auto"/>
    <w:notTrueType/>
    <w:pitch w:val="default"/>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rsidR="00F679AA" w:rsidRPr="00B05D08"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sidP="00973401">
    <w:pPr>
      <w:tabs>
        <w:tab w:val="left" w:pos="3204"/>
        <w:tab w:val="center" w:pos="4465"/>
      </w:tabs>
      <w:jc w:val="right"/>
      <w:rPr>
        <w:rFonts w:cs="David"/>
        <w:b/>
        <w:bCs/>
      </w:rPr>
    </w:pPr>
  </w:p>
  <w:p w:rsidR="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r>
      <w:rPr>
        <w:noProof/>
        <w:lang w:eastAsia="en-US"/>
      </w:rPr>
      <w:drawing>
        <wp:inline distT="0" distB="0" distL="0" distR="0">
          <wp:extent cx="574158" cy="6916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7836" name="סמל מדינת ישראל.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5251" cy="692943"/>
                  </a:xfrm>
                  <a:prstGeom prst="rect">
                    <a:avLst/>
                  </a:prstGeom>
                </pic:spPr>
              </pic:pic>
            </a:graphicData>
          </a:graphic>
        </wp:inline>
      </w:drawing>
    </w:r>
  </w:p>
  <w:p w:rsidR="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562B61" w:rsidP="00562B61">
    <w:pPr>
      <w:pStyle w:val="Header"/>
      <w:jc w:val="center"/>
      <w:rPr>
        <w:rFonts w:cs="David"/>
        <w:rtl/>
      </w:rPr>
    </w:pPr>
    <w:r w:rsidRPr="00245517">
      <w:rPr>
        <w:rFonts w:cs="David" w:hint="cs"/>
        <w:rtl/>
      </w:rPr>
      <w:t>מדינת ישראל</w:t>
    </w:r>
  </w:p>
  <w:p w:rsidR="00562B61" w:rsidRPr="00245517" w:rsidP="00562B61">
    <w:pPr>
      <w:pStyle w:val="Header"/>
      <w:jc w:val="center"/>
      <w:rPr>
        <w:rFonts w:cs="David"/>
        <w:rtl/>
      </w:rPr>
    </w:pPr>
    <w:r w:rsidRPr="00884A69">
      <w:rPr>
        <w:rFonts w:cs="Times New Roman" w:hint="cs"/>
        <w:rtl/>
      </w:rPr>
      <w:t>רשות האכיפה והגבייה</w:t>
    </w:r>
  </w:p>
  <w:p w:rsidR="00F679AA" w:rsidRPr="00B05D08" w:rsidP="009116F4">
    <w:pPr>
      <w:tabs>
        <w:tab w:val="left" w:pos="3204"/>
        <w:tab w:val="center" w:pos="4465"/>
      </w:tabs>
      <w:jc w:val="center"/>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sidRPr="00B05D08">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5DB72F8"/>
    <w:multiLevelType w:val="hybridMultilevel"/>
    <w:tmpl w:val="796ECD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F4C"/>
    <w:rsid w:val="00100BD5"/>
    <w:rsid w:val="00101E20"/>
    <w:rsid w:val="00197668"/>
    <w:rsid w:val="00245517"/>
    <w:rsid w:val="00417A5D"/>
    <w:rsid w:val="00455FF7"/>
    <w:rsid w:val="004B4FA0"/>
    <w:rsid w:val="004F4FD9"/>
    <w:rsid w:val="00562B61"/>
    <w:rsid w:val="0058517C"/>
    <w:rsid w:val="005E1615"/>
    <w:rsid w:val="00667D9D"/>
    <w:rsid w:val="00690592"/>
    <w:rsid w:val="006D6B63"/>
    <w:rsid w:val="00762F88"/>
    <w:rsid w:val="00842A12"/>
    <w:rsid w:val="00884A69"/>
    <w:rsid w:val="008B2A9B"/>
    <w:rsid w:val="009116F4"/>
    <w:rsid w:val="00973401"/>
    <w:rsid w:val="00983F4C"/>
    <w:rsid w:val="00A12410"/>
    <w:rsid w:val="00A145E2"/>
    <w:rsid w:val="00A5074E"/>
    <w:rsid w:val="00A570A1"/>
    <w:rsid w:val="00B05D08"/>
    <w:rsid w:val="00B27C65"/>
    <w:rsid w:val="00BF7E3F"/>
    <w:rsid w:val="00D01221"/>
    <w:rsid w:val="00D66CB0"/>
    <w:rsid w:val="00D756BC"/>
    <w:rsid w:val="00D839C5"/>
    <w:rsid w:val="00DF41E8"/>
    <w:rsid w:val="00E440AC"/>
    <w:rsid w:val="00E86B7B"/>
    <w:rsid w:val="00F679AA"/>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8A8EC690-514F-47D6-91E4-8E1393AA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F4C"/>
    <w:pPr>
      <w:bidi/>
      <w:spacing w:after="0" w:line="240" w:lineRule="auto"/>
    </w:pPr>
    <w:rPr>
      <w:rFonts w:ascii="Times New Roman" w:eastAsia="Times New Roman" w:hAnsi="Times New Roman" w:cs="FrankRuehl"/>
      <w:sz w:val="2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983F4C"/>
    <w:pPr>
      <w:tabs>
        <w:tab w:val="center" w:pos="4153"/>
        <w:tab w:val="right" w:pos="8306"/>
      </w:tabs>
    </w:pPr>
  </w:style>
  <w:style w:type="character" w:customStyle="1" w:styleId="a">
    <w:name w:val="כותרת עליונה תו"/>
    <w:basedOn w:val="DefaultParagraphFont"/>
    <w:link w:val="Header"/>
    <w:uiPriority w:val="99"/>
    <w:rsid w:val="00983F4C"/>
    <w:rPr>
      <w:rFonts w:ascii="Times New Roman" w:eastAsia="Times New Roman" w:hAnsi="Times New Roman" w:cs="FrankRuehl"/>
      <w:sz w:val="28"/>
      <w:szCs w:val="28"/>
      <w:lang w:eastAsia="he-IL"/>
    </w:rPr>
  </w:style>
  <w:style w:type="paragraph" w:styleId="Footer">
    <w:name w:val="footer"/>
    <w:basedOn w:val="Normal"/>
    <w:link w:val="a0"/>
    <w:rsid w:val="00983F4C"/>
    <w:pPr>
      <w:tabs>
        <w:tab w:val="center" w:pos="4153"/>
        <w:tab w:val="right" w:pos="8306"/>
      </w:tabs>
    </w:pPr>
  </w:style>
  <w:style w:type="character" w:customStyle="1" w:styleId="a0">
    <w:name w:val="כותרת תחתונה תו"/>
    <w:basedOn w:val="DefaultParagraphFont"/>
    <w:link w:val="Footer"/>
    <w:rsid w:val="00983F4C"/>
    <w:rPr>
      <w:rFonts w:ascii="Times New Roman" w:eastAsia="Times New Roman" w:hAnsi="Times New Roman" w:cs="FrankRuehl"/>
      <w:sz w:val="28"/>
      <w:szCs w:val="28"/>
      <w:lang w:eastAsia="he-IL"/>
    </w:rPr>
  </w:style>
  <w:style w:type="paragraph" w:styleId="ListParagraph">
    <w:name w:val="List Paragraph"/>
    <w:basedOn w:val="Normal"/>
    <w:link w:val="a1"/>
    <w:uiPriority w:val="34"/>
    <w:qFormat/>
    <w:rsid w:val="00983F4C"/>
    <w:pPr>
      <w:ind w:left="720"/>
    </w:pPr>
    <w:rPr>
      <w:rFonts w:ascii="Calibri" w:eastAsia="Calibri" w:hAnsi="Calibri" w:cs="Calibri"/>
      <w:sz w:val="22"/>
      <w:szCs w:val="22"/>
      <w:lang w:eastAsia="en-US"/>
    </w:rPr>
  </w:style>
  <w:style w:type="character" w:customStyle="1" w:styleId="a1">
    <w:name w:val="פיסקת רשימה תו"/>
    <w:link w:val="ListParagraph"/>
    <w:uiPriority w:val="34"/>
    <w:locked/>
    <w:rsid w:val="00983F4C"/>
    <w:rPr>
      <w:rFonts w:ascii="Calibri" w:eastAsia="Calibri" w:hAnsi="Calibri" w:cs="Calibri"/>
    </w:rPr>
  </w:style>
  <w:style w:type="character" w:styleId="Hyperlink">
    <w:name w:val="Hyperlink"/>
    <w:basedOn w:val="DefaultParagraphFont"/>
    <w:uiPriority w:val="99"/>
    <w:unhideWhenUsed/>
    <w:rsid w:val="00E440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il/BlobFolder/generalpage/eca-reports-dashboard/he/reports_eca-dashboard.pdf"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