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AF1215" w:rsidP="00AF1215">
      <w:pPr>
        <w:pStyle w:val="Heading1"/>
        <w:ind w:left="-384" w:firstLine="384"/>
        <w:jc w:val="right"/>
        <w:rPr>
          <w:rFonts w:ascii="David" w:hAnsi="David" w:cs="David"/>
          <w:color w:val="auto"/>
          <w:sz w:val="24"/>
          <w:szCs w:val="24"/>
          <w:rtl/>
        </w:rPr>
      </w:pPr>
      <w:r>
        <w:rPr>
          <w:rFonts w:ascii="David" w:hAnsi="David" w:cs="David" w:hint="eastAsia"/>
          <w:color w:val="auto"/>
          <w:sz w:val="24"/>
          <w:szCs w:val="24"/>
          <w:rtl/>
        </w:rPr>
        <w:t>‏</w:t>
      </w:r>
    </w:p>
    <w:p w:rsidR="00AF1215" w:rsidP="00AF1215">
      <w:pPr>
        <w:pStyle w:val="Heading1"/>
        <w:ind w:left="-384" w:firstLine="384"/>
        <w:jc w:val="right"/>
        <w:rPr>
          <w:rFonts w:ascii="David" w:eastAsia="Calibri" w:hAnsi="David" w:cs="David"/>
          <w:color w:val="auto"/>
          <w:sz w:val="24"/>
          <w:szCs w:val="24"/>
          <w:rtl/>
        </w:rPr>
      </w:pPr>
      <w:r>
        <w:rPr>
          <w:rFonts w:ascii="David" w:hAnsi="David" w:cs="David"/>
          <w:color w:val="auto"/>
          <w:sz w:val="24"/>
          <w:szCs w:val="24"/>
          <w:rtl/>
        </w:rPr>
        <w:t>26.01.</w:t>
      </w:r>
      <w:r>
        <w:rPr>
          <w:rFonts w:ascii="David" w:hAnsi="David" w:cs="David" w:hint="cs"/>
          <w:color w:val="auto"/>
          <w:sz w:val="24"/>
          <w:szCs w:val="24"/>
          <w:rtl/>
        </w:rPr>
        <w:t>2021</w:t>
      </w:r>
      <w:r>
        <w:rPr>
          <w:rFonts w:ascii="David" w:eastAsia="Calibri" w:hAnsi="David" w:cs="David" w:hint="eastAsia"/>
          <w:color w:val="auto"/>
          <w:sz w:val="24"/>
          <w:szCs w:val="24"/>
          <w:rtl/>
        </w:rPr>
        <w:t>‏</w:t>
      </w:r>
    </w:p>
    <w:p w:rsidR="005426BA" w:rsidP="00AF1215">
      <w:pPr>
        <w:pStyle w:val="Heading1"/>
        <w:ind w:left="-384" w:firstLine="384"/>
        <w:jc w:val="right"/>
        <w:rPr>
          <w:rFonts w:ascii="David" w:hAnsi="David" w:cs="David"/>
          <w:sz w:val="24"/>
          <w:szCs w:val="24"/>
          <w:rtl/>
        </w:rPr>
      </w:pPr>
      <w:r>
        <w:rPr>
          <w:rFonts w:ascii="David" w:eastAsia="Calibri" w:hAnsi="David" w:cs="David" w:hint="eastAsia"/>
          <w:color w:val="auto"/>
          <w:sz w:val="24"/>
          <w:szCs w:val="24"/>
          <w:rtl/>
        </w:rPr>
        <w:t>י</w:t>
      </w:r>
      <w:r>
        <w:rPr>
          <w:rFonts w:ascii="David" w:eastAsia="Calibri" w:hAnsi="David" w:cs="David"/>
          <w:color w:val="auto"/>
          <w:sz w:val="24"/>
          <w:szCs w:val="24"/>
          <w:rtl/>
        </w:rPr>
        <w:t>"ג שבט, תשפ"א</w:t>
      </w:r>
      <w:r>
        <w:rPr>
          <w:rFonts w:ascii="David" w:eastAsia="Calibri" w:hAnsi="David" w:cs="David"/>
          <w:sz w:val="24"/>
          <w:szCs w:val="24"/>
          <w:rtl/>
        </w:rPr>
        <w:br/>
      </w:r>
    </w:p>
    <w:p w:rsidR="005426BA" w:rsidRPr="00364939" w:rsidP="005426BA">
      <w:pPr>
        <w:jc w:val="right"/>
        <w:rPr>
          <w:rFonts w:ascii="David" w:hAnsi="David" w:cs="David"/>
          <w:sz w:val="24"/>
          <w:szCs w:val="24"/>
          <w:rtl/>
        </w:rPr>
      </w:pPr>
      <w:r>
        <w:rPr>
          <w:rFonts w:ascii="David" w:hAnsi="David" w:cs="David" w:hint="cs"/>
          <w:sz w:val="24"/>
          <w:szCs w:val="24"/>
          <w:rtl/>
        </w:rPr>
        <w:t>מס' סימוכין: 3044-20-0042</w:t>
      </w:r>
    </w:p>
    <w:p w:rsidR="005426BA" w:rsidRPr="00427975" w:rsidP="005426BA">
      <w:pPr>
        <w:spacing w:after="120"/>
        <w:rPr>
          <w:rFonts w:cs="David"/>
          <w:b/>
          <w:bCs/>
          <w:sz w:val="24"/>
          <w:szCs w:val="24"/>
          <w:rtl/>
        </w:rPr>
      </w:pPr>
      <w:r>
        <w:rPr>
          <w:rFonts w:cs="David"/>
          <w:sz w:val="24"/>
          <w:szCs w:val="24"/>
          <w:rtl/>
        </w:rPr>
        <w:br/>
      </w:r>
      <w:r w:rsidRPr="00427975">
        <w:rPr>
          <w:rFonts w:cs="David" w:hint="cs"/>
          <w:b/>
          <w:bCs/>
          <w:sz w:val="24"/>
          <w:szCs w:val="24"/>
          <w:rtl/>
        </w:rPr>
        <w:t>לכבוד</w:t>
      </w:r>
      <w:r w:rsidRPr="00427975">
        <w:rPr>
          <w:rFonts w:cs="David"/>
          <w:b/>
          <w:bCs/>
          <w:sz w:val="24"/>
          <w:szCs w:val="24"/>
          <w:rtl/>
        </w:rPr>
        <w:br/>
      </w:r>
    </w:p>
    <w:p w:rsidR="005426BA" w:rsidRPr="00427975" w:rsidP="005426BA">
      <w:pPr>
        <w:spacing w:after="120"/>
        <w:rPr>
          <w:rFonts w:cs="David"/>
          <w:b/>
          <w:bCs/>
          <w:sz w:val="24"/>
          <w:szCs w:val="24"/>
          <w:rtl/>
        </w:rPr>
      </w:pPr>
      <w:r w:rsidRPr="00427975">
        <w:rPr>
          <w:rFonts w:cs="David" w:hint="cs"/>
          <w:b/>
          <w:bCs/>
          <w:sz w:val="24"/>
          <w:szCs w:val="24"/>
          <w:rtl/>
        </w:rPr>
        <w:t>ארגון לביא</w:t>
      </w:r>
    </w:p>
    <w:p w:rsidR="005426BA" w:rsidRPr="00427975" w:rsidP="005426BA">
      <w:pPr>
        <w:spacing w:after="120"/>
        <w:rPr>
          <w:rFonts w:cs="David"/>
          <w:b/>
          <w:bCs/>
          <w:sz w:val="24"/>
          <w:szCs w:val="24"/>
        </w:rPr>
      </w:pPr>
      <w:r w:rsidRPr="00427975">
        <w:rPr>
          <w:rFonts w:cs="David" w:hint="cs"/>
          <w:b/>
          <w:bCs/>
          <w:sz w:val="24"/>
          <w:szCs w:val="24"/>
          <w:rtl/>
        </w:rPr>
        <w:t xml:space="preserve">באמצעות דוא"ל: </w:t>
      </w:r>
    </w:p>
    <w:p w:rsidR="005426BA" w:rsidP="005426BA">
      <w:pPr>
        <w:spacing w:after="120"/>
        <w:rPr>
          <w:rFonts w:cs="David"/>
          <w:sz w:val="24"/>
          <w:szCs w:val="24"/>
          <w:rtl/>
        </w:rPr>
      </w:pPr>
      <w:hyperlink r:id="rId5" w:history="1">
        <w:r w:rsidRPr="007B6675">
          <w:rPr>
            <w:rStyle w:val="Hyperlink"/>
            <w:rFonts w:cs="David"/>
            <w:sz w:val="24"/>
            <w:szCs w:val="24"/>
          </w:rPr>
          <w:t>legal@lavi.org.il</w:t>
        </w:r>
      </w:hyperlink>
    </w:p>
    <w:p w:rsidR="005426BA" w:rsidP="005426BA">
      <w:pPr>
        <w:spacing w:after="120"/>
        <w:rPr>
          <w:rFonts w:cs="David"/>
          <w:b/>
          <w:bCs/>
          <w:sz w:val="24"/>
          <w:szCs w:val="24"/>
          <w:u w:val="single"/>
          <w:rtl/>
        </w:rPr>
      </w:pPr>
      <w:r>
        <w:rPr>
          <w:rFonts w:cs="David"/>
          <w:sz w:val="24"/>
          <w:szCs w:val="24"/>
          <w:rtl/>
        </w:rPr>
        <w:br/>
      </w:r>
      <w:r>
        <w:rPr>
          <w:rFonts w:cs="David"/>
          <w:b/>
          <w:bCs/>
          <w:sz w:val="24"/>
          <w:szCs w:val="24"/>
          <w:rtl/>
        </w:rPr>
        <w:br/>
      </w:r>
      <w:r>
        <w:rPr>
          <w:rFonts w:cs="David" w:hint="cs"/>
          <w:b/>
          <w:bCs/>
          <w:sz w:val="24"/>
          <w:szCs w:val="24"/>
          <w:rtl/>
        </w:rPr>
        <w:t xml:space="preserve">                          </w:t>
      </w:r>
      <w:r>
        <w:rPr>
          <w:rFonts w:cs="David"/>
          <w:sz w:val="24"/>
          <w:szCs w:val="24"/>
          <w:rtl/>
        </w:rPr>
        <w:br/>
      </w:r>
      <w:r>
        <w:rPr>
          <w:rFonts w:cs="David"/>
          <w:sz w:val="24"/>
          <w:szCs w:val="24"/>
          <w:rtl/>
        </w:rPr>
        <w:br/>
      </w:r>
      <w:r>
        <w:rPr>
          <w:rFonts w:cs="David"/>
          <w:b/>
          <w:bCs/>
          <w:sz w:val="24"/>
          <w:szCs w:val="24"/>
          <w:rtl/>
        </w:rPr>
        <w:br/>
      </w:r>
      <w:r>
        <w:rPr>
          <w:rFonts w:cs="David" w:hint="cs"/>
          <w:b/>
          <w:bCs/>
          <w:sz w:val="24"/>
          <w:szCs w:val="24"/>
          <w:rtl/>
        </w:rPr>
        <w:t xml:space="preserve">                              </w:t>
      </w:r>
      <w:r w:rsidRPr="00762F88">
        <w:rPr>
          <w:rFonts w:cs="David" w:hint="cs"/>
          <w:b/>
          <w:bCs/>
          <w:sz w:val="24"/>
          <w:szCs w:val="24"/>
          <w:rtl/>
        </w:rPr>
        <w:t xml:space="preserve">הנדון: </w:t>
      </w:r>
      <w:r w:rsidRPr="003C021B">
        <w:rPr>
          <w:rFonts w:cs="David" w:hint="cs"/>
          <w:b/>
          <w:bCs/>
          <w:sz w:val="24"/>
          <w:szCs w:val="24"/>
          <w:u w:val="single"/>
          <w:rtl/>
        </w:rPr>
        <w:t>תוספת למענה לפנייתך לקבלת מידע בהתאם לחוק חופש המידע</w:t>
      </w:r>
    </w:p>
    <w:p w:rsidR="005426BA" w:rsidP="005426BA">
      <w:pPr>
        <w:spacing w:after="120"/>
        <w:rPr>
          <w:rFonts w:cs="David"/>
          <w:b/>
          <w:bCs/>
          <w:sz w:val="24"/>
          <w:szCs w:val="24"/>
          <w:u w:val="single"/>
          <w:rtl/>
        </w:rPr>
      </w:pPr>
    </w:p>
    <w:p w:rsidR="005426BA" w:rsidP="005426BA">
      <w:pPr>
        <w:spacing w:after="120"/>
        <w:rPr>
          <w:rFonts w:cs="David"/>
          <w:b/>
          <w:bCs/>
          <w:sz w:val="24"/>
          <w:szCs w:val="24"/>
          <w:u w:val="single"/>
          <w:rtl/>
        </w:rPr>
      </w:pPr>
    </w:p>
    <w:p w:rsidR="005426BA" w:rsidRPr="00AF1215" w:rsidP="00A50E92">
      <w:pPr>
        <w:spacing w:line="360" w:lineRule="auto"/>
        <w:rPr>
          <w:rFonts w:ascii="David" w:hAnsi="David" w:cs="David"/>
          <w:b/>
          <w:bCs/>
          <w:sz w:val="24"/>
          <w:szCs w:val="24"/>
        </w:rPr>
      </w:pPr>
      <w:r w:rsidRPr="003C021B">
        <w:rPr>
          <w:rFonts w:ascii="David" w:hAnsi="David" w:cs="David"/>
          <w:b/>
          <w:bCs/>
          <w:sz w:val="24"/>
          <w:szCs w:val="24"/>
          <w:rtl/>
        </w:rPr>
        <w:t xml:space="preserve">א. </w:t>
      </w:r>
      <w:r w:rsidRPr="00AF1215">
        <w:rPr>
          <w:rFonts w:ascii="David" w:hAnsi="David" w:cs="David"/>
          <w:b/>
          <w:bCs/>
          <w:sz w:val="24"/>
          <w:szCs w:val="24"/>
          <w:rtl/>
        </w:rPr>
        <w:t xml:space="preserve">בתשובתכן נכתב כי: "יובהר כי  לרשות האכיפה והגבייה אין סמכות חילוט" [עמ' 1 לתשובתך], מי היא אם כן הרשות שיש בידיה את סמכות החילוט כנגד הרש"פ?  </w:t>
      </w:r>
    </w:p>
    <w:p w:rsidR="005426BA" w:rsidRPr="00AF1215" w:rsidP="005426BA">
      <w:pPr>
        <w:spacing w:line="360" w:lineRule="auto"/>
        <w:rPr>
          <w:rFonts w:ascii="David" w:hAnsi="David" w:cs="David"/>
          <w:b/>
          <w:bCs/>
          <w:sz w:val="24"/>
          <w:szCs w:val="24"/>
          <w:rtl/>
        </w:rPr>
      </w:pPr>
      <w:r w:rsidRPr="00AF1215">
        <w:rPr>
          <w:rFonts w:ascii="David" w:hAnsi="David" w:cs="David"/>
          <w:b/>
          <w:bCs/>
          <w:sz w:val="24"/>
          <w:szCs w:val="24"/>
          <w:rtl/>
        </w:rPr>
        <w:t xml:space="preserve">ב. עוד נכתב בתשובתכן כי: "גביית חובות כנגד מחבלים שנשפטו בבתי משפט צבאיים אינה בסמכותנו" [עמ' 2 לתשובתך], מי היא הרשות שבידיה הסמכות לגבות חובות כנגד מחבלים שנשפטו בבתי משפט צבאיים? </w:t>
      </w:r>
    </w:p>
    <w:p w:rsidR="00DD7F59" w:rsidRPr="00AF1215" w:rsidP="00AF1215">
      <w:pPr>
        <w:spacing w:line="360" w:lineRule="auto"/>
        <w:jc w:val="both"/>
        <w:rPr>
          <w:rFonts w:ascii="David" w:hAnsi="David" w:cs="David"/>
          <w:sz w:val="24"/>
          <w:szCs w:val="24"/>
          <w:rtl/>
        </w:rPr>
      </w:pPr>
      <w:r w:rsidRPr="00AF1215">
        <w:rPr>
          <w:rFonts w:ascii="David" w:hAnsi="David" w:cs="David"/>
          <w:sz w:val="24"/>
          <w:szCs w:val="24"/>
          <w:rtl/>
        </w:rPr>
        <w:t xml:space="preserve">לעניין סמכות חילוט, נפנה </w:t>
      </w:r>
      <w:r w:rsidR="00AF1215">
        <w:rPr>
          <w:rFonts w:ascii="David" w:hAnsi="David" w:cs="David" w:hint="cs"/>
          <w:sz w:val="24"/>
          <w:szCs w:val="24"/>
          <w:rtl/>
        </w:rPr>
        <w:t>לחוק</w:t>
      </w:r>
      <w:r w:rsidRPr="00AF1215">
        <w:rPr>
          <w:rFonts w:ascii="David" w:hAnsi="David" w:cs="David"/>
          <w:sz w:val="24"/>
          <w:szCs w:val="24"/>
          <w:rtl/>
        </w:rPr>
        <w:t xml:space="preserve"> המאבק בטרור, </w:t>
      </w:r>
      <w:r w:rsidRPr="00AF1215">
        <w:rPr>
          <w:rFonts w:ascii="David" w:hAnsi="David" w:cs="David"/>
          <w:sz w:val="24"/>
          <w:szCs w:val="24"/>
          <w:rtl/>
        </w:rPr>
        <w:t>התשע"ו</w:t>
      </w:r>
      <w:r w:rsidRPr="00AF1215">
        <w:rPr>
          <w:rFonts w:ascii="David" w:hAnsi="David" w:cs="David"/>
          <w:sz w:val="24"/>
          <w:szCs w:val="24"/>
          <w:rtl/>
        </w:rPr>
        <w:t>- 2016, סעיף 66. העניין אינו בסמכות רשות האכיפה והגבייה, ואין במענה זה כדי למצות, משום שיכול להיות שיש עוד סמכויות חילוט ביחס לרש"פ בחוקים אחרים (ראו למשל, חוק להקפאת כספים ששילמה הרשות הפלסטינית בזיקה לטרור מהכספים המועברים אליה מממשלת ישראל, תשע"ח-2018</w:t>
      </w:r>
      <w:r w:rsidR="00AF1215">
        <w:rPr>
          <w:rFonts w:ascii="David" w:hAnsi="David" w:cs="David" w:hint="cs"/>
          <w:sz w:val="24"/>
          <w:szCs w:val="24"/>
          <w:rtl/>
        </w:rPr>
        <w:t xml:space="preserve">). </w:t>
      </w:r>
    </w:p>
    <w:p w:rsidR="005426BA" w:rsidRPr="00AF1215" w:rsidP="00E03D10">
      <w:pPr>
        <w:spacing w:line="360" w:lineRule="auto"/>
        <w:jc w:val="both"/>
        <w:rPr>
          <w:rFonts w:ascii="David" w:hAnsi="David" w:cs="David"/>
          <w:sz w:val="24"/>
          <w:szCs w:val="24"/>
          <w:rtl/>
        </w:rPr>
      </w:pPr>
      <w:r w:rsidRPr="00AF1215">
        <w:rPr>
          <w:rFonts w:ascii="David" w:hAnsi="David" w:cs="David"/>
          <w:sz w:val="24"/>
          <w:szCs w:val="24"/>
          <w:rtl/>
        </w:rPr>
        <w:t xml:space="preserve">לעניין סמכויות גביה נגד מחבלים שנשפטו בבתי משפט צבאיים, </w:t>
      </w:r>
      <w:r w:rsidRPr="00AF1215">
        <w:rPr>
          <w:rFonts w:ascii="David" w:hAnsi="David" w:cs="David"/>
          <w:sz w:val="24"/>
          <w:szCs w:val="24"/>
          <w:rtl/>
        </w:rPr>
        <w:t>יובהר כי תשובתנו התבססה על החובות ה</w:t>
      </w:r>
      <w:r w:rsidRPr="00AF1215">
        <w:rPr>
          <w:rFonts w:ascii="David" w:hAnsi="David" w:cs="David"/>
          <w:sz w:val="24"/>
          <w:szCs w:val="24"/>
          <w:rtl/>
        </w:rPr>
        <w:t>נגבי</w:t>
      </w:r>
      <w:r w:rsidRPr="00AF1215">
        <w:rPr>
          <w:rFonts w:ascii="David" w:hAnsi="David" w:cs="David"/>
          <w:sz w:val="24"/>
          <w:szCs w:val="24"/>
          <w:rtl/>
        </w:rPr>
        <w:t>ם במרכז לגביית קנסות אגרות והוצאות כנגד הרש"פ ואין בה כדי לכלול חובות, אם קיימים, בהוצאה לפועל (שם פועל הזוכה בחובות אזרחיים והרשות אינה צד להליך) או במקומות אחרים</w:t>
      </w:r>
      <w:r w:rsidRPr="00AF1215">
        <w:rPr>
          <w:rFonts w:ascii="David" w:hAnsi="David" w:cs="David"/>
          <w:sz w:val="24"/>
          <w:szCs w:val="24"/>
          <w:rtl/>
        </w:rPr>
        <w:t>.</w:t>
      </w:r>
      <w:r w:rsidRPr="00AF1215">
        <w:rPr>
          <w:rFonts w:ascii="David" w:hAnsi="David" w:cs="David"/>
          <w:sz w:val="24"/>
          <w:szCs w:val="24"/>
          <w:rtl/>
        </w:rPr>
        <w:t xml:space="preserve"> באשר לחובות כנגד מחבלים שנפסקו בבית משפט צבאי</w:t>
      </w:r>
      <w:r w:rsidR="00AF1215">
        <w:rPr>
          <w:rFonts w:ascii="David" w:hAnsi="David" w:cs="David" w:hint="cs"/>
          <w:sz w:val="24"/>
          <w:szCs w:val="24"/>
          <w:rtl/>
        </w:rPr>
        <w:t>,</w:t>
      </w:r>
      <w:r w:rsidRPr="00AF1215">
        <w:rPr>
          <w:rFonts w:ascii="David" w:hAnsi="David" w:cs="David"/>
          <w:sz w:val="24"/>
          <w:szCs w:val="24"/>
          <w:rtl/>
        </w:rPr>
        <w:t xml:space="preserve"> אין למרכז לגביית קנסות סמכות לגבות חובות שפסק בית משפט צבאי. יחד עם זאת ככל שמדובר בחוב שנפסק לטובת נפגע העבירה, הרי שנפגע העבירה יכול לפתוח על בסיס גזר הדין</w:t>
      </w:r>
      <w:r w:rsidRPr="00AF1215">
        <w:rPr>
          <w:rFonts w:ascii="David" w:hAnsi="David" w:cs="David"/>
          <w:sz w:val="24"/>
          <w:szCs w:val="24"/>
          <w:rtl/>
        </w:rPr>
        <w:t xml:space="preserve"> שנתן בית המשפט הצבאי,</w:t>
      </w:r>
      <w:r w:rsidRPr="00AF1215">
        <w:rPr>
          <w:rFonts w:ascii="David" w:hAnsi="David" w:cs="David"/>
          <w:sz w:val="24"/>
          <w:szCs w:val="24"/>
          <w:rtl/>
        </w:rPr>
        <w:t xml:space="preserve"> תיק בהוצאה לפועל, אלא שאז, הוא פועל בעצמו לגבייה.</w:t>
      </w:r>
    </w:p>
    <w:p w:rsidR="005426BA" w:rsidRPr="00AF1215" w:rsidP="005426BA">
      <w:pPr>
        <w:spacing w:line="360" w:lineRule="auto"/>
        <w:rPr>
          <w:rFonts w:ascii="David" w:hAnsi="David" w:cs="David"/>
          <w:sz w:val="24"/>
          <w:szCs w:val="24"/>
          <w:rtl/>
        </w:rPr>
      </w:pPr>
    </w:p>
    <w:p w:rsidR="005426BA" w:rsidRPr="00AF1215" w:rsidP="005426BA">
      <w:pPr>
        <w:spacing w:line="360" w:lineRule="auto"/>
        <w:rPr>
          <w:rFonts w:ascii="David" w:hAnsi="David" w:cs="David"/>
          <w:sz w:val="24"/>
          <w:szCs w:val="24"/>
          <w:rtl/>
        </w:rPr>
      </w:pPr>
    </w:p>
    <w:p w:rsidR="005426BA" w:rsidRPr="00AF1215" w:rsidP="005426BA">
      <w:pPr>
        <w:spacing w:line="360" w:lineRule="auto"/>
        <w:rPr>
          <w:rFonts w:ascii="David" w:hAnsi="David" w:cs="David"/>
          <w:b/>
          <w:bCs/>
          <w:sz w:val="24"/>
          <w:szCs w:val="24"/>
          <w:rtl/>
        </w:rPr>
      </w:pPr>
    </w:p>
    <w:p w:rsidR="005426BA" w:rsidRPr="00AF1215" w:rsidP="005426BA">
      <w:pPr>
        <w:spacing w:line="360" w:lineRule="auto"/>
        <w:rPr>
          <w:rFonts w:ascii="David" w:hAnsi="David" w:cs="David"/>
          <w:b/>
          <w:bCs/>
          <w:sz w:val="24"/>
          <w:szCs w:val="24"/>
          <w:rtl/>
        </w:rPr>
      </w:pPr>
      <w:r w:rsidRPr="00AF1215">
        <w:rPr>
          <w:rFonts w:ascii="David" w:hAnsi="David" w:cs="David"/>
          <w:b/>
          <w:bCs/>
          <w:sz w:val="24"/>
          <w:szCs w:val="24"/>
          <w:rtl/>
        </w:rPr>
        <w:t>כמו כן נכתב בתשובתכן כי: "לא ניתן לבודד מבין עיקולי הקנטינה עיקולים שהוטלו דווקא על אסירים ביטחוניים", אודה על הבהרתכן בהקשר זה כדלקמן:</w:t>
      </w:r>
    </w:p>
    <w:p w:rsidR="005426BA" w:rsidRPr="00AF1215" w:rsidP="005426BA">
      <w:pPr>
        <w:spacing w:line="360" w:lineRule="auto"/>
        <w:rPr>
          <w:rFonts w:ascii="David" w:hAnsi="David" w:cs="David"/>
          <w:sz w:val="24"/>
          <w:szCs w:val="24"/>
          <w:rtl/>
        </w:rPr>
      </w:pPr>
      <w:r w:rsidRPr="00AF1215">
        <w:rPr>
          <w:rFonts w:ascii="David" w:hAnsi="David" w:cs="David"/>
          <w:b/>
          <w:bCs/>
          <w:sz w:val="24"/>
          <w:szCs w:val="24"/>
          <w:rtl/>
        </w:rPr>
        <w:t>א. כמה עיקולי קנטינה בסה"כ הוטלו על ידי רשות האכיפה והגביה? מה היה היקף הכספים שעוקל על ידי רשות האכיפה והגביה בסה"כ? ב. האם יש בידי רשות האכיפה והגביה מידע בנוגע לעיקולי קנטינה אשר הוטלו על חשבונות קנטינה בבתי הכלא השונים, לדוגמא כמה עיקולים הוטלו על חשבונות קנטינה בביה"ס איילון וכדו'? </w:t>
      </w:r>
    </w:p>
    <w:p w:rsidR="005426BA" w:rsidRPr="00AF1215" w:rsidP="005426BA">
      <w:pPr>
        <w:spacing w:line="360" w:lineRule="auto"/>
        <w:rPr>
          <w:rFonts w:ascii="David" w:hAnsi="David" w:cs="David"/>
          <w:sz w:val="24"/>
          <w:szCs w:val="24"/>
          <w:rtl/>
        </w:rPr>
      </w:pPr>
      <w:r w:rsidRPr="00AF1215">
        <w:rPr>
          <w:rFonts w:ascii="David" w:hAnsi="David" w:cs="David"/>
          <w:sz w:val="24"/>
          <w:szCs w:val="24"/>
          <w:rtl/>
        </w:rPr>
        <w:t>בשנת 2020 נשלחו 174 עיקולים לחשבונות קנטינה לשב"ס, בחלק מהמקרים מדובר בחידוש עיקול מאחר והעיקול תקף רק לשלושה חודשים. יובהר כי אין  לנו מידע האם מדובר בתיקים של אסירים בטחונים או אסירים רגילים.</w:t>
      </w:r>
    </w:p>
    <w:p w:rsidR="00E03D10" w:rsidRPr="00AF1215" w:rsidP="00E03D10">
      <w:pPr>
        <w:rPr>
          <w:rFonts w:ascii="David" w:hAnsi="David" w:cs="David"/>
          <w:color w:val="1F497D"/>
          <w:sz w:val="24"/>
          <w:szCs w:val="24"/>
        </w:rPr>
      </w:pPr>
      <w:r w:rsidRPr="00AF1215">
        <w:rPr>
          <w:rFonts w:ascii="David" w:hAnsi="David" w:cs="David"/>
          <w:sz w:val="24"/>
          <w:szCs w:val="24"/>
          <w:rtl/>
        </w:rPr>
        <w:t>העיקולים נשלחים במייל לאיש הקשר בשב"ס והוא זה שמנתב את העיקולים לגזברים בבתי הכלא השונים ועל כן אין לנו את המידע בפילוח לבתי הכלא</w:t>
      </w:r>
      <w:r w:rsidRPr="00AF1215" w:rsidR="00DD7F59">
        <w:rPr>
          <w:rFonts w:ascii="David" w:hAnsi="David" w:cs="David"/>
          <w:sz w:val="24"/>
          <w:szCs w:val="24"/>
          <w:rtl/>
        </w:rPr>
        <w:t>.</w:t>
      </w:r>
      <w:r w:rsidRPr="00AF1215">
        <w:rPr>
          <w:rFonts w:ascii="David" w:hAnsi="David" w:cs="David"/>
          <w:sz w:val="24"/>
          <w:szCs w:val="24"/>
          <w:rtl/>
        </w:rPr>
        <w:t xml:space="preserve">  </w:t>
      </w:r>
      <w:r w:rsidRPr="00AF1215">
        <w:rPr>
          <w:rFonts w:ascii="David" w:hAnsi="David" w:cs="David"/>
          <w:sz w:val="24"/>
          <w:szCs w:val="24"/>
          <w:rtl/>
        </w:rPr>
        <w:t xml:space="preserve">סה"כ  התקבלו 174,737 ₪ בגין עיקול כספי אסיר (קנטינה) בחובות של  68 אסירים </w:t>
      </w:r>
      <w:r w:rsidRPr="00AF1215">
        <w:rPr>
          <w:rFonts w:ascii="David" w:hAnsi="David" w:cs="David"/>
          <w:color w:val="1F497D"/>
          <w:sz w:val="24"/>
          <w:szCs w:val="24"/>
          <w:rtl/>
        </w:rPr>
        <w:t>.</w:t>
      </w:r>
    </w:p>
    <w:p w:rsidR="00E03D10" w:rsidRPr="00AF1215" w:rsidP="00E03D10">
      <w:pPr>
        <w:rPr>
          <w:rFonts w:ascii="David" w:hAnsi="David" w:cs="David"/>
          <w:color w:val="1F497D"/>
          <w:sz w:val="24"/>
          <w:szCs w:val="24"/>
        </w:rPr>
      </w:pPr>
    </w:p>
    <w:p w:rsidR="005426BA" w:rsidRPr="00AF1215" w:rsidP="005426BA">
      <w:pPr>
        <w:spacing w:line="360" w:lineRule="auto"/>
        <w:rPr>
          <w:rFonts w:ascii="David" w:hAnsi="David" w:cs="David"/>
          <w:sz w:val="24"/>
          <w:szCs w:val="24"/>
          <w:rtl/>
        </w:rPr>
      </w:pPr>
    </w:p>
    <w:p w:rsidR="005426BA" w:rsidRPr="003C021B" w:rsidP="005426BA">
      <w:pPr>
        <w:spacing w:line="360" w:lineRule="auto"/>
        <w:rPr>
          <w:rFonts w:ascii="David" w:hAnsi="David" w:cs="David"/>
          <w:sz w:val="24"/>
          <w:szCs w:val="24"/>
          <w:rtl/>
        </w:rPr>
      </w:pPr>
    </w:p>
    <w:p w:rsidR="005426BA" w:rsidP="005426BA">
      <w:pPr>
        <w:overflowPunct w:val="0"/>
        <w:autoSpaceDE w:val="0"/>
        <w:autoSpaceDN w:val="0"/>
        <w:adjustRightInd w:val="0"/>
        <w:spacing w:line="360" w:lineRule="auto"/>
        <w:rPr>
          <w:rFonts w:cs="David"/>
          <w:b/>
          <w:bCs/>
          <w:sz w:val="24"/>
          <w:szCs w:val="24"/>
          <w:rtl/>
        </w:rPr>
      </w:pPr>
      <w:bookmarkStart w:id="0" w:name="_GoBack"/>
      <w:bookmarkEnd w:id="0"/>
      <w:r>
        <w:rPr>
          <w:rFonts w:cs="David"/>
          <w:b/>
          <w:bCs/>
          <w:sz w:val="24"/>
          <w:szCs w:val="24"/>
          <w:rtl/>
        </w:rPr>
        <w:br/>
      </w:r>
    </w:p>
    <w:p w:rsidR="005426BA" w:rsidP="005426BA">
      <w:pPr>
        <w:jc w:val="center"/>
        <w:rPr>
          <w:rFonts w:cs="David"/>
          <w:b/>
          <w:bCs/>
          <w:sz w:val="24"/>
          <w:szCs w:val="24"/>
          <w:rtl/>
        </w:rPr>
      </w:pPr>
      <w:r w:rsidRPr="004F4FD9">
        <w:rPr>
          <w:rFonts w:cs="David" w:hint="cs"/>
          <w:b/>
          <w:bCs/>
          <w:sz w:val="24"/>
          <w:szCs w:val="24"/>
          <w:rtl/>
        </w:rPr>
        <w:t>בברכה,</w:t>
      </w:r>
    </w:p>
    <w:p w:rsidR="005426BA" w:rsidP="005426BA">
      <w:pPr>
        <w:jc w:val="center"/>
        <w:rPr>
          <w:rFonts w:cs="David"/>
          <w:b/>
          <w:bCs/>
          <w:sz w:val="24"/>
          <w:szCs w:val="24"/>
          <w:rtl/>
        </w:rPr>
      </w:pPr>
      <w:r>
        <w:rPr>
          <w:rFonts w:cs="David" w:hint="cs"/>
          <w:b/>
          <w:bCs/>
          <w:sz w:val="24"/>
          <w:szCs w:val="24"/>
          <w:rtl/>
        </w:rPr>
        <w:t>רבקה אהרוני</w:t>
      </w:r>
    </w:p>
    <w:p w:rsidR="005426BA" w:rsidP="005426BA">
      <w:pPr>
        <w:jc w:val="center"/>
        <w:rPr>
          <w:rFonts w:cs="David"/>
          <w:b/>
          <w:bCs/>
          <w:sz w:val="24"/>
          <w:szCs w:val="24"/>
          <w:rtl/>
        </w:rPr>
      </w:pPr>
      <w:r w:rsidRPr="004F4FD9">
        <w:rPr>
          <w:rFonts w:cs="David" w:hint="cs"/>
          <w:b/>
          <w:bCs/>
          <w:sz w:val="24"/>
          <w:szCs w:val="24"/>
          <w:rtl/>
        </w:rPr>
        <w:t>הממונה על חוק חופש המידע</w:t>
      </w:r>
    </w:p>
    <w:p w:rsidR="005426BA" w:rsidRPr="005271D4" w:rsidP="005426BA">
      <w:pPr>
        <w:rPr>
          <w:rFonts w:cs="David"/>
          <w:b/>
          <w:bCs/>
          <w:sz w:val="24"/>
          <w:szCs w:val="24"/>
          <w:rtl/>
        </w:rPr>
      </w:pPr>
      <w:r>
        <w:rPr>
          <w:rFonts w:cs="David" w:hint="cs"/>
          <w:b/>
          <w:bCs/>
          <w:sz w:val="24"/>
          <w:szCs w:val="24"/>
          <w:rtl/>
        </w:rPr>
        <w:t xml:space="preserve">                                                                 </w:t>
      </w:r>
      <w:r w:rsidRPr="005271D4">
        <w:rPr>
          <w:rFonts w:cs="David"/>
          <w:b/>
          <w:bCs/>
          <w:sz w:val="24"/>
          <w:szCs w:val="24"/>
          <w:rtl/>
        </w:rPr>
        <w:t>האגף לתכנון מחקר וקשרי חוץ</w:t>
      </w:r>
    </w:p>
    <w:p w:rsidR="005426BA" w:rsidP="005426BA">
      <w:pPr>
        <w:spacing w:line="360" w:lineRule="auto"/>
        <w:jc w:val="both"/>
        <w:rPr>
          <w:rFonts w:cs="David"/>
          <w:b/>
          <w:bCs/>
          <w:sz w:val="24"/>
          <w:szCs w:val="24"/>
          <w:rtl/>
        </w:rPr>
      </w:pPr>
    </w:p>
    <w:p w:rsidR="00CD1F87" w:rsidRPr="005426BA" w:rsidP="005426BA">
      <w:pPr>
        <w:rPr>
          <w:rtl/>
        </w:rPr>
      </w:pPr>
    </w:p>
    <w:sectPr w:rsidSect="002E67B2">
      <w:headerReference w:type="default" r:id="rId6"/>
      <w:footerReference w:type="default" r:id="rId7"/>
      <w:pgSz w:w="11906" w:h="16838"/>
      <w:pgMar w:top="2268" w:right="1133" w:bottom="992" w:left="1276" w:header="709" w:footer="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088" w:rsidRPr="00CD1F87" w:rsidP="00CD1F87">
    <w:pPr>
      <w:pStyle w:val="Footer"/>
      <w:rPr>
        <w:sz w:val="20"/>
        <w:szCs w:val="20"/>
      </w:rPr>
    </w:pPr>
    <w:r w:rsidRPr="00CD1F87">
      <w:rPr>
        <w:noProof/>
        <w:sz w:val="20"/>
        <w:szCs w:val="20"/>
        <w:rtl/>
      </w:rPr>
      <mc:AlternateContent>
        <mc:Choice Requires="wps">
          <w:drawing>
            <wp:anchor distT="0" distB="0" distL="114300" distR="114300" simplePos="0" relativeHeight="251658240"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xmlns:wps="http://schemas.microsoft.com/office/word/2010/wordprocessingShape">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1" o:spid="_x0000_s2049" style="mso-wrap-distance-bottom:0;mso-wrap-distance-left:9pt;mso-wrap-distance-right:9pt;mso-wrap-distance-top:0;mso-wrap-style:square;position:absolute;visibility:visible;z-index:251659264" from="-14pt,17.5pt" to="440.2pt,18.25pt" strokecolor="black" strokeweight="0.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6E1088" w:rsidP="00CD1F87">
    <w:pPr>
      <w:pStyle w:val="Footer"/>
      <w:rPr>
        <w:rtl/>
        <w:cs/>
      </w:rPr>
    </w:pPr>
  </w:p>
  <w:p w:rsidR="006E108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1088" w:rsidP="002E67B2">
    <w:pPr>
      <w:pStyle w:val="Header"/>
      <w:jc w:val="center"/>
      <w:rPr>
        <w:rtl/>
        <w:cs/>
      </w:rPr>
    </w:pPr>
    <w:r>
      <w:rPr>
        <w:noProof/>
      </w:rPr>
      <w:drawing>
        <wp:anchor distT="0" distB="0" distL="114300" distR="114300" simplePos="0" relativeHeight="251660288"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608504" name="סמל מדינת ישראל.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6E1088"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6E1088" w:rsidRPr="00CD1F87" w:rsidP="002E67B2">
    <w:pPr>
      <w:pStyle w:val="Header"/>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rsidR="006E1088" w:rsidRPr="00CD1F87" w:rsidP="002E67B2">
    <w:pPr>
      <w:pStyle w:val="Header"/>
      <w:jc w:val="center"/>
      <w:rPr>
        <w:rFonts w:ascii="David" w:hAnsi="David" w:cs="David"/>
        <w:b/>
        <w:bCs/>
        <w:sz w:val="24"/>
        <w:szCs w:val="24"/>
        <w:rtl/>
      </w:rPr>
    </w:pPr>
    <w:r w:rsidRPr="00CD1F87">
      <w:rPr>
        <w:rFonts w:ascii="David" w:hAnsi="David" w:cs="David"/>
        <w:b/>
        <w:bCs/>
        <w:sz w:val="24"/>
        <w:szCs w:val="24"/>
        <w:rtl/>
      </w:rPr>
      <w:t>רשות האכיפה והגבייה</w:t>
    </w:r>
  </w:p>
  <w:p w:rsidR="006E1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C14C46"/>
    <w:multiLevelType w:val="hybridMultilevel"/>
    <w:tmpl w:val="3560F334"/>
    <w:lvl w:ilvl="0">
      <w:start w:val="1"/>
      <w:numFmt w:val="bullet"/>
      <w:lvlText w:val="p"/>
      <w:lvlJc w:val="left"/>
      <w:pPr>
        <w:ind w:left="766" w:hanging="360"/>
      </w:pPr>
      <w:rPr>
        <w:rFonts w:ascii="Wingdings" w:hAnsi="Wingdings" w:hint="default"/>
      </w:rPr>
    </w:lvl>
    <w:lvl w:ilvl="1" w:tentative="1">
      <w:start w:val="1"/>
      <w:numFmt w:val="bullet"/>
      <w:lvlText w:val="o"/>
      <w:lvlJc w:val="left"/>
      <w:pPr>
        <w:ind w:left="1486" w:hanging="360"/>
      </w:pPr>
      <w:rPr>
        <w:rFonts w:ascii="Courier New" w:hAnsi="Courier New" w:cs="Courier New" w:hint="default"/>
      </w:rPr>
    </w:lvl>
    <w:lvl w:ilvl="2" w:tentative="1">
      <w:start w:val="1"/>
      <w:numFmt w:val="bullet"/>
      <w:lvlText w:val=""/>
      <w:lvlJc w:val="left"/>
      <w:pPr>
        <w:ind w:left="2206" w:hanging="360"/>
      </w:pPr>
      <w:rPr>
        <w:rFonts w:ascii="Wingdings" w:hAnsi="Wingdings" w:hint="default"/>
      </w:rPr>
    </w:lvl>
    <w:lvl w:ilvl="3" w:tentative="1">
      <w:start w:val="1"/>
      <w:numFmt w:val="bullet"/>
      <w:lvlText w:val=""/>
      <w:lvlJc w:val="left"/>
      <w:pPr>
        <w:ind w:left="2926" w:hanging="360"/>
      </w:pPr>
      <w:rPr>
        <w:rFonts w:ascii="Symbol" w:hAnsi="Symbol" w:hint="default"/>
      </w:rPr>
    </w:lvl>
    <w:lvl w:ilvl="4" w:tentative="1">
      <w:start w:val="1"/>
      <w:numFmt w:val="bullet"/>
      <w:lvlText w:val="o"/>
      <w:lvlJc w:val="left"/>
      <w:pPr>
        <w:ind w:left="3646" w:hanging="360"/>
      </w:pPr>
      <w:rPr>
        <w:rFonts w:ascii="Courier New" w:hAnsi="Courier New" w:cs="Courier New" w:hint="default"/>
      </w:rPr>
    </w:lvl>
    <w:lvl w:ilvl="5" w:tentative="1">
      <w:start w:val="1"/>
      <w:numFmt w:val="bullet"/>
      <w:lvlText w:val=""/>
      <w:lvlJc w:val="left"/>
      <w:pPr>
        <w:ind w:left="4366" w:hanging="360"/>
      </w:pPr>
      <w:rPr>
        <w:rFonts w:ascii="Wingdings" w:hAnsi="Wingdings" w:hint="default"/>
      </w:rPr>
    </w:lvl>
    <w:lvl w:ilvl="6" w:tentative="1">
      <w:start w:val="1"/>
      <w:numFmt w:val="bullet"/>
      <w:lvlText w:val=""/>
      <w:lvlJc w:val="left"/>
      <w:pPr>
        <w:ind w:left="5086" w:hanging="360"/>
      </w:pPr>
      <w:rPr>
        <w:rFonts w:ascii="Symbol" w:hAnsi="Symbol" w:hint="default"/>
      </w:rPr>
    </w:lvl>
    <w:lvl w:ilvl="7" w:tentative="1">
      <w:start w:val="1"/>
      <w:numFmt w:val="bullet"/>
      <w:lvlText w:val="o"/>
      <w:lvlJc w:val="left"/>
      <w:pPr>
        <w:ind w:left="5806" w:hanging="360"/>
      </w:pPr>
      <w:rPr>
        <w:rFonts w:ascii="Courier New" w:hAnsi="Courier New" w:cs="Courier New" w:hint="default"/>
      </w:rPr>
    </w:lvl>
    <w:lvl w:ilvl="8" w:tentative="1">
      <w:start w:val="1"/>
      <w:numFmt w:val="bullet"/>
      <w:lvlText w:val=""/>
      <w:lvlJc w:val="left"/>
      <w:pPr>
        <w:ind w:left="6526" w:hanging="360"/>
      </w:pPr>
      <w:rPr>
        <w:rFonts w:ascii="Wingdings" w:hAnsi="Wingdings" w:hint="default"/>
      </w:rPr>
    </w:lvl>
  </w:abstractNum>
  <w:abstractNum w:abstractNumId="1">
    <w:nsid w:val="29623E2F"/>
    <w:multiLevelType w:val="hybridMultilevel"/>
    <w:tmpl w:val="7F6CEAF2"/>
    <w:lvl w:ilvl="0">
      <w:start w:val="1"/>
      <w:numFmt w:val="hebrew1"/>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34A97FAC"/>
    <w:multiLevelType w:val="hybridMultilevel"/>
    <w:tmpl w:val="1DD00BBC"/>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0B10F7B"/>
    <w:multiLevelType w:val="multilevel"/>
    <w:tmpl w:val="072A40AE"/>
    <w:lvl w:ilvl="0">
      <w:start w:val="1"/>
      <w:numFmt w:val="decimal"/>
      <w:lvlText w:val="%1."/>
      <w:lvlJc w:val="left"/>
      <w:pPr>
        <w:ind w:left="720" w:hanging="360"/>
      </w:pPr>
      <w:rPr>
        <w:rFonts w:cs="David"/>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nsid w:val="73596B4F"/>
    <w:multiLevelType w:val="hybridMultilevel"/>
    <w:tmpl w:val="EB325F84"/>
    <w:lvl w:ilvl="0">
      <w:start w:val="1"/>
      <w:numFmt w:val="hebrew1"/>
      <w:lvlText w:val="%1."/>
      <w:lvlJc w:val="center"/>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B4D95"/>
    <w:rsid w:val="001227D0"/>
    <w:rsid w:val="0016469E"/>
    <w:rsid w:val="0019064E"/>
    <w:rsid w:val="001D356C"/>
    <w:rsid w:val="00235B92"/>
    <w:rsid w:val="002B1B2F"/>
    <w:rsid w:val="002E67B2"/>
    <w:rsid w:val="00306634"/>
    <w:rsid w:val="00317E96"/>
    <w:rsid w:val="003326A3"/>
    <w:rsid w:val="003441E6"/>
    <w:rsid w:val="00364939"/>
    <w:rsid w:val="00395912"/>
    <w:rsid w:val="003B12ED"/>
    <w:rsid w:val="003C021B"/>
    <w:rsid w:val="003E67AA"/>
    <w:rsid w:val="00427975"/>
    <w:rsid w:val="00445755"/>
    <w:rsid w:val="004F29B1"/>
    <w:rsid w:val="004F4FD9"/>
    <w:rsid w:val="005036B6"/>
    <w:rsid w:val="005121C4"/>
    <w:rsid w:val="005271D4"/>
    <w:rsid w:val="00541A45"/>
    <w:rsid w:val="005426BA"/>
    <w:rsid w:val="005454AC"/>
    <w:rsid w:val="00552BD0"/>
    <w:rsid w:val="00563D5E"/>
    <w:rsid w:val="005D280B"/>
    <w:rsid w:val="006121A7"/>
    <w:rsid w:val="006257BB"/>
    <w:rsid w:val="00627E15"/>
    <w:rsid w:val="0066472A"/>
    <w:rsid w:val="006C117B"/>
    <w:rsid w:val="006E1088"/>
    <w:rsid w:val="006E6D8F"/>
    <w:rsid w:val="0071422F"/>
    <w:rsid w:val="00762F88"/>
    <w:rsid w:val="007B6675"/>
    <w:rsid w:val="007E3277"/>
    <w:rsid w:val="007F1739"/>
    <w:rsid w:val="00817AFB"/>
    <w:rsid w:val="00835A6E"/>
    <w:rsid w:val="008C4368"/>
    <w:rsid w:val="009253DD"/>
    <w:rsid w:val="00943464"/>
    <w:rsid w:val="009809BF"/>
    <w:rsid w:val="00995339"/>
    <w:rsid w:val="009A11C3"/>
    <w:rsid w:val="00A1501D"/>
    <w:rsid w:val="00A15AD8"/>
    <w:rsid w:val="00A2087B"/>
    <w:rsid w:val="00A50E92"/>
    <w:rsid w:val="00A542FB"/>
    <w:rsid w:val="00AF1215"/>
    <w:rsid w:val="00C225D4"/>
    <w:rsid w:val="00C4736F"/>
    <w:rsid w:val="00C520FF"/>
    <w:rsid w:val="00C67CD5"/>
    <w:rsid w:val="00CB4DA9"/>
    <w:rsid w:val="00CD1F87"/>
    <w:rsid w:val="00D16661"/>
    <w:rsid w:val="00D3383B"/>
    <w:rsid w:val="00DD7F59"/>
    <w:rsid w:val="00DE28A7"/>
    <w:rsid w:val="00E03D10"/>
    <w:rsid w:val="00E51E91"/>
    <w:rsid w:val="00E859F0"/>
    <w:rsid w:val="00E91CBF"/>
    <w:rsid w:val="00EA30A9"/>
    <w:rsid w:val="00ED4ACE"/>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F87"/>
    <w:pPr>
      <w:bidi/>
    </w:pPr>
    <w:rPr>
      <w:rFonts w:eastAsiaTheme="minorEastAsia"/>
    </w:rPr>
  </w:style>
  <w:style w:type="paragraph" w:styleId="Heading1">
    <w:name w:val="heading 1"/>
    <w:basedOn w:val="Normal"/>
    <w:next w:val="Normal"/>
    <w:link w:val="1"/>
    <w:uiPriority w:val="9"/>
    <w:qFormat/>
    <w:rsid w:val="005426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CD1F87"/>
    <w:pPr>
      <w:tabs>
        <w:tab w:val="center" w:pos="4153"/>
        <w:tab w:val="right" w:pos="8306"/>
      </w:tabs>
      <w:spacing w:after="0" w:line="240" w:lineRule="auto"/>
    </w:pPr>
    <w:rPr>
      <w:rFonts w:eastAsiaTheme="minorHAnsi"/>
    </w:rPr>
  </w:style>
  <w:style w:type="character" w:customStyle="1" w:styleId="a">
    <w:name w:val="כותרת עליונה תו"/>
    <w:basedOn w:val="DefaultParagraphFont"/>
    <w:link w:val="Header"/>
    <w:uiPriority w:val="99"/>
    <w:rsid w:val="00CD1F87"/>
  </w:style>
  <w:style w:type="paragraph" w:styleId="Footer">
    <w:name w:val="footer"/>
    <w:basedOn w:val="Normal"/>
    <w:link w:val="a0"/>
    <w:uiPriority w:val="99"/>
    <w:unhideWhenUsed/>
    <w:rsid w:val="00CD1F87"/>
    <w:pPr>
      <w:tabs>
        <w:tab w:val="center" w:pos="4153"/>
        <w:tab w:val="right" w:pos="8306"/>
      </w:tabs>
      <w:spacing w:after="0" w:line="240" w:lineRule="auto"/>
    </w:pPr>
    <w:rPr>
      <w:rFonts w:eastAsiaTheme="minorHAnsi"/>
    </w:rPr>
  </w:style>
  <w:style w:type="character" w:customStyle="1" w:styleId="a0">
    <w:name w:val="כותרת תחתונה תו"/>
    <w:basedOn w:val="DefaultParagraphFont"/>
    <w:link w:val="Footer"/>
    <w:uiPriority w:val="99"/>
    <w:rsid w:val="00CD1F87"/>
  </w:style>
  <w:style w:type="character" w:styleId="Hyperlink">
    <w:name w:val="Hyperlink"/>
    <w:basedOn w:val="DefaultParagraphFont"/>
    <w:unhideWhenUsed/>
    <w:rsid w:val="002E67B2"/>
    <w:rPr>
      <w:color w:val="0563C1" w:themeColor="hyperlink"/>
      <w:u w:val="single"/>
    </w:rPr>
  </w:style>
  <w:style w:type="paragraph" w:styleId="ListParagraph">
    <w:name w:val="List Paragraph"/>
    <w:basedOn w:val="Normal"/>
    <w:uiPriority w:val="34"/>
    <w:qFormat/>
    <w:rsid w:val="0019064E"/>
    <w:pPr>
      <w:ind w:left="720"/>
      <w:contextualSpacing/>
    </w:pPr>
  </w:style>
  <w:style w:type="table" w:styleId="TableGrid">
    <w:name w:val="Table Grid"/>
    <w:basedOn w:val="TableNormal"/>
    <w:uiPriority w:val="39"/>
    <w:rsid w:val="001D35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כותרת 1 תו"/>
    <w:basedOn w:val="DefaultParagraphFont"/>
    <w:link w:val="Heading1"/>
    <w:uiPriority w:val="9"/>
    <w:rsid w:val="005426BA"/>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a1"/>
    <w:uiPriority w:val="99"/>
    <w:semiHidden/>
    <w:unhideWhenUsed/>
    <w:rsid w:val="00DD7F59"/>
    <w:pPr>
      <w:spacing w:after="0" w:line="240" w:lineRule="auto"/>
    </w:pPr>
    <w:rPr>
      <w:rFonts w:ascii="Tahoma" w:hAnsi="Tahoma" w:cs="Tahoma"/>
      <w:sz w:val="18"/>
      <w:szCs w:val="18"/>
    </w:rPr>
  </w:style>
  <w:style w:type="character" w:customStyle="1" w:styleId="a1">
    <w:name w:val="טקסט בלונים תו"/>
    <w:basedOn w:val="DefaultParagraphFont"/>
    <w:link w:val="BalloonText"/>
    <w:uiPriority w:val="99"/>
    <w:semiHidden/>
    <w:rsid w:val="00DD7F59"/>
    <w:rPr>
      <w:rFonts w:ascii="Tahoma" w:hAnsi="Tahoma" w:eastAsiaTheme="minorEastAsi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legal@lavi.org.il"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A886E-56CD-412E-8924-6D4961F5A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