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50811" w:rsidRPr="00FE29A0" w14:paraId="5E4F0F3C" w14:textId="2B8F204F">
      <w:pPr>
        <w:rPr>
          <w:b/>
          <w:bCs/>
          <w:sz w:val="28"/>
          <w:szCs w:val="28"/>
          <w:rtl/>
        </w:rPr>
      </w:pPr>
      <w:r w:rsidRPr="00FE29A0">
        <w:rPr>
          <w:rFonts w:hint="cs"/>
          <w:b/>
          <w:bCs/>
          <w:sz w:val="28"/>
          <w:szCs w:val="28"/>
          <w:rtl/>
        </w:rPr>
        <w:t xml:space="preserve">לפרסום - החלטה בבקשת חופש מידע </w:t>
      </w:r>
      <w:r w:rsidRPr="00FE29A0">
        <w:rPr>
          <w:b/>
          <w:bCs/>
          <w:sz w:val="28"/>
          <w:szCs w:val="28"/>
          <w:rtl/>
        </w:rPr>
        <w:t>–</w:t>
      </w:r>
      <w:r w:rsidRPr="00FE29A0">
        <w:rPr>
          <w:rFonts w:hint="cs"/>
          <w:b/>
          <w:bCs/>
          <w:sz w:val="28"/>
          <w:szCs w:val="28"/>
          <w:rtl/>
        </w:rPr>
        <w:t xml:space="preserve"> העסקת קרובי משפחה </w:t>
      </w:r>
      <w:r w:rsidRPr="00FE29A0">
        <w:rPr>
          <w:b/>
          <w:bCs/>
          <w:sz w:val="28"/>
          <w:szCs w:val="28"/>
          <w:rtl/>
        </w:rPr>
        <w:t>–</w:t>
      </w:r>
      <w:r w:rsidRPr="00FE29A0">
        <w:rPr>
          <w:rFonts w:hint="cs"/>
          <w:b/>
          <w:bCs/>
          <w:sz w:val="28"/>
          <w:szCs w:val="28"/>
          <w:rtl/>
        </w:rPr>
        <w:t xml:space="preserve"> 3056-20-0019</w:t>
      </w:r>
    </w:p>
    <w:p w:rsidR="00FE29A0" w:rsidP="00FE29A0" w14:paraId="5824372A" w14:textId="4C399AB5">
      <w:pPr>
        <w:rPr>
          <w:rtl/>
        </w:rPr>
      </w:pPr>
      <w:r>
        <w:rPr>
          <w:noProof/>
        </w:rPr>
        <w:drawing>
          <wp:inline distT="0" distB="0" distL="0" distR="0">
            <wp:extent cx="6480810" cy="304990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22142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A0" w:rsidP="00FE29A0" w14:paraId="58F0F69B" w14:textId="6AED5113">
      <w:pPr>
        <w:rPr>
          <w:rtl/>
        </w:rPr>
      </w:pPr>
      <w:r>
        <w:rPr>
          <w:noProof/>
        </w:rPr>
        <w:drawing>
          <wp:inline distT="0" distB="0" distL="0" distR="0">
            <wp:extent cx="6257925" cy="2181225"/>
            <wp:effectExtent l="0" t="0" r="9525" b="952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9359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A0" w:rsidP="00FE29A0" w14:paraId="2D4C438F" w14:textId="1C82CF56">
      <w:pPr>
        <w:rPr>
          <w:rtl/>
        </w:rPr>
      </w:pPr>
      <w:r>
        <w:rPr>
          <w:noProof/>
        </w:rPr>
        <w:drawing>
          <wp:inline distT="0" distB="0" distL="0" distR="0">
            <wp:extent cx="6200775" cy="3038475"/>
            <wp:effectExtent l="0" t="0" r="9525" b="952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2517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A0" w:rsidP="00FE29A0" w14:paraId="6158C838" w14:textId="2169328A">
      <w:pPr>
        <w:rPr>
          <w:rtl/>
        </w:rPr>
      </w:pPr>
    </w:p>
    <w:p w:rsidR="00FE29A0" w:rsidP="00FE29A0" w14:paraId="5BC49A38" w14:textId="205D3821">
      <w:pPr>
        <w:rPr>
          <w:rtl/>
        </w:rPr>
      </w:pPr>
    </w:p>
    <w:p w:rsidR="00FE29A0" w:rsidP="00FE29A0" w14:paraId="333EFF0A" w14:textId="43CBB7DB">
      <w:pPr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6480810" cy="4390390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84580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9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FE29A0">
      <w:pgSz w:w="11906" w:h="16838"/>
      <w:pgMar w:top="1440" w:right="849" w:bottom="1440" w:left="85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E9"/>
    <w:rsid w:val="00084DE9"/>
    <w:rsid w:val="009A66AB"/>
    <w:rsid w:val="00C232D8"/>
    <w:rsid w:val="00D541E4"/>
    <w:rsid w:val="00E50811"/>
    <w:rsid w:val="00FE29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B4F830B-9C54-4AF9-AE98-1BECC68B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