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rsidR="007D70F2">
      <w:pPr>
        <w:ind w:left="-1" w:right="0"/>
        <w:jc w:val="right"/>
        <w:rPr>
          <w:rFonts w:cs="David"/>
          <w:sz w:val="24"/>
          <w:szCs w:val="24"/>
          <w:rtl/>
        </w:rPr>
      </w:pPr>
      <w:r w:rsidRPr="00110FB3" w:rsidR="00477A20">
        <w:rPr>
          <w:rFonts w:cs="David"/>
          <w:sz w:val="24"/>
          <w:szCs w:val="24"/>
          <w:rtl/>
        </w:rPr>
        <w:t xml:space="preserve">ירושלים </w:t>
      </w:r>
      <w:bookmarkStart w:id="0" w:name="Date"/>
      <w:bookmarkEnd w:id="0"/>
      <w:r>
        <w:rPr>
          <w:rFonts w:cs="David"/>
          <w:sz w:val="24"/>
          <w:szCs w:val="24"/>
          <w:rtl/>
        </w:rPr>
        <w:t>י' בתמוז התשע"א</w:t>
        <w:br/>
        <w:t>12 ביולי 2011</w:t>
      </w:r>
    </w:p>
    <w:p w:rsidR="00477A20" w:rsidRPr="00110FB3">
      <w:pPr>
        <w:ind w:left="-1" w:right="0"/>
        <w:jc w:val="left"/>
        <w:rPr>
          <w:rFonts w:cs="David"/>
          <w:sz w:val="24"/>
          <w:szCs w:val="24"/>
          <w:rtl/>
        </w:rPr>
      </w:pPr>
    </w:p>
    <w:p w:rsidR="007D70F2">
      <w:pPr>
        <w:ind w:left="0" w:right="0"/>
        <w:jc w:val="right"/>
        <w:rPr>
          <w:rFonts w:cs="David"/>
          <w:sz w:val="24"/>
          <w:szCs w:val="24"/>
          <w:rtl/>
        </w:rPr>
      </w:pPr>
      <w:bookmarkStart w:id="1" w:name="DocNum"/>
      <w:bookmarkEnd w:id="1"/>
      <w:r>
        <w:rPr>
          <w:rFonts w:cs="David"/>
          <w:sz w:val="24"/>
          <w:szCs w:val="24"/>
          <w:rtl/>
        </w:rPr>
        <w:t>מש. 2011-7402</w:t>
      </w:r>
    </w:p>
    <w:p w:rsidR="007D70F2" w:rsidP="00F01004">
      <w:pPr>
        <w:tabs>
          <w:tab w:val="decimal" w:pos="3777"/>
        </w:tabs>
        <w:ind w:left="0" w:right="0"/>
        <w:jc w:val="both"/>
        <w:rPr>
          <w:rFonts w:cs="David" w:hint="cs"/>
          <w:sz w:val="24"/>
          <w:szCs w:val="24"/>
          <w:rtl/>
        </w:rPr>
      </w:pPr>
      <w:r>
        <w:rPr>
          <w:rFonts w:cs="David" w:hint="cs"/>
          <w:sz w:val="24"/>
          <w:szCs w:val="24"/>
          <w:rtl/>
        </w:rPr>
        <w:t>לכבוד</w:t>
      </w:r>
    </w:p>
    <w:p w:rsidR="007D70F2" w:rsidP="00F01004">
      <w:pPr>
        <w:tabs>
          <w:tab w:val="decimal" w:pos="3777"/>
        </w:tabs>
        <w:ind w:left="0" w:right="0"/>
        <w:jc w:val="both"/>
        <w:rPr>
          <w:rFonts w:cs="David" w:hint="cs"/>
          <w:sz w:val="24"/>
          <w:szCs w:val="24"/>
          <w:rtl/>
        </w:rPr>
      </w:pPr>
      <w:r>
        <w:rPr>
          <w:rFonts w:cs="David" w:hint="cs"/>
          <w:sz w:val="24"/>
          <w:szCs w:val="24"/>
          <w:rtl/>
        </w:rPr>
        <w:t>איילת גאדי</w:t>
      </w:r>
    </w:p>
    <w:p w:rsidR="007D70F2" w:rsidP="00F01004">
      <w:pPr>
        <w:tabs>
          <w:tab w:val="decimal" w:pos="3777"/>
        </w:tabs>
        <w:ind w:left="0" w:right="0"/>
        <w:jc w:val="both"/>
        <w:rPr>
          <w:rFonts w:cs="David" w:hint="cs"/>
          <w:sz w:val="24"/>
          <w:szCs w:val="24"/>
          <w:rtl/>
        </w:rPr>
      </w:pPr>
      <w:r>
        <w:rPr>
          <w:rFonts w:cs="David" w:hint="cs"/>
          <w:sz w:val="24"/>
          <w:szCs w:val="24"/>
          <w:rtl/>
        </w:rPr>
        <w:t>מנהלת תחום חקיקת משנה</w:t>
      </w:r>
    </w:p>
    <w:p w:rsidR="007D70F2" w:rsidRPr="007D70F2" w:rsidP="00F01004">
      <w:pPr>
        <w:tabs>
          <w:tab w:val="decimal" w:pos="3777"/>
        </w:tabs>
        <w:ind w:left="0" w:right="0"/>
        <w:jc w:val="both"/>
        <w:rPr>
          <w:rFonts w:cs="David" w:hint="cs"/>
          <w:sz w:val="24"/>
          <w:szCs w:val="24"/>
          <w:u w:val="single"/>
          <w:rtl/>
        </w:rPr>
      </w:pPr>
      <w:r w:rsidRPr="007D70F2">
        <w:rPr>
          <w:rFonts w:cs="David" w:hint="cs"/>
          <w:sz w:val="24"/>
          <w:szCs w:val="24"/>
          <w:u w:val="single"/>
          <w:rtl/>
        </w:rPr>
        <w:t>משרד המשפטים</w:t>
      </w:r>
    </w:p>
    <w:p w:rsidR="00110FB3" w:rsidRPr="00110FB3" w:rsidP="00F01004">
      <w:pPr>
        <w:tabs>
          <w:tab w:val="decimal" w:pos="3777"/>
        </w:tabs>
        <w:ind w:left="0" w:right="0"/>
        <w:jc w:val="both"/>
        <w:rPr>
          <w:rFonts w:cs="David"/>
          <w:sz w:val="24"/>
          <w:szCs w:val="24"/>
          <w:rtl/>
        </w:rPr>
      </w:pPr>
      <w:r w:rsidRPr="00110FB3">
        <w:rPr>
          <w:rFonts w:cs="David"/>
          <w:sz w:val="24"/>
          <w:szCs w:val="24"/>
          <w:rtl/>
        </w:rPr>
        <w:tab/>
        <w:tab/>
      </w:r>
    </w:p>
    <w:p w:rsidR="00AC021B" w:rsidP="00057D17">
      <w:pPr>
        <w:ind w:left="0" w:right="0"/>
        <w:jc w:val="left"/>
        <w:rPr>
          <w:rFonts w:cs="David" w:hint="cs"/>
          <w:sz w:val="24"/>
          <w:szCs w:val="24"/>
          <w:rtl/>
        </w:rPr>
      </w:pPr>
      <w:r w:rsidR="00516F07">
        <w:rPr>
          <w:rFonts w:cs="David" w:hint="cs"/>
          <w:sz w:val="24"/>
          <w:szCs w:val="24"/>
          <w:rtl/>
        </w:rPr>
        <w:t>שלום רב,</w:t>
      </w:r>
    </w:p>
    <w:p w:rsidR="00516F07" w:rsidRPr="00110FB3" w:rsidP="00057D17">
      <w:pPr>
        <w:ind w:left="0" w:right="0"/>
        <w:jc w:val="left"/>
        <w:rPr>
          <w:rFonts w:cs="David" w:hint="cs"/>
          <w:sz w:val="24"/>
          <w:szCs w:val="24"/>
          <w:rtl/>
        </w:rPr>
      </w:pPr>
    </w:p>
    <w:p w:rsidR="00477A20" w:rsidRPr="00110FB3" w:rsidP="007D70F2">
      <w:pPr>
        <w:ind w:left="651" w:right="0" w:hanging="651"/>
        <w:jc w:val="center"/>
        <w:rPr>
          <w:rFonts w:cs="David"/>
          <w:b/>
          <w:bCs/>
          <w:sz w:val="24"/>
          <w:szCs w:val="24"/>
          <w:u w:val="single"/>
          <w:rtl/>
        </w:rPr>
      </w:pPr>
      <w:r w:rsidRPr="00110FB3">
        <w:rPr>
          <w:rFonts w:cs="David"/>
          <w:sz w:val="24"/>
          <w:szCs w:val="24"/>
          <w:rtl/>
        </w:rPr>
        <w:t>הנדון:</w:t>
        <w:tab/>
      </w:r>
      <w:bookmarkStart w:id="2" w:name="About"/>
      <w:bookmarkEnd w:id="2"/>
      <w:r w:rsidR="007D70F2">
        <w:rPr>
          <w:rFonts w:cs="David"/>
          <w:b/>
          <w:bCs/>
          <w:sz w:val="24"/>
          <w:szCs w:val="24"/>
          <w:u w:val="single"/>
          <w:rtl/>
        </w:rPr>
        <w:t>תקנות העיריות (מכרזים) (תיקון), התשע"א-2011 - דברי הסבר</w:t>
      </w:r>
    </w:p>
    <w:p w:rsidR="00477A20" w:rsidRPr="00110FB3" w:rsidP="007D70F2">
      <w:pPr>
        <w:ind w:left="-1" w:right="0"/>
        <w:jc w:val="left"/>
        <w:rPr>
          <w:rFonts w:cs="David" w:hint="cs"/>
          <w:sz w:val="24"/>
          <w:szCs w:val="24"/>
          <w:rtl/>
        </w:rPr>
      </w:pPr>
      <w:r w:rsidRPr="00110FB3">
        <w:rPr>
          <w:rFonts w:cs="David"/>
          <w:sz w:val="24"/>
          <w:szCs w:val="24"/>
          <w:rtl/>
        </w:rPr>
        <w:t xml:space="preserve">            </w:t>
      </w:r>
      <w:bookmarkStart w:id="3" w:name="Reference"/>
      <w:bookmarkStart w:id="4" w:name="start"/>
      <w:bookmarkEnd w:id="3"/>
      <w:bookmarkEnd w:id="4"/>
      <w:r w:rsidR="007D70F2">
        <w:rPr>
          <w:rFonts w:cs="David"/>
          <w:sz w:val="24"/>
          <w:szCs w:val="24"/>
          <w:rtl/>
        </w:rPr>
        <w:t xml:space="preserve"> </w:t>
      </w:r>
    </w:p>
    <w:p w:rsidR="00AC021B" w:rsidRPr="00110FB3">
      <w:pPr>
        <w:ind w:left="0" w:right="0"/>
        <w:jc w:val="both"/>
        <w:rPr>
          <w:rFonts w:cs="David" w:hint="cs"/>
          <w:sz w:val="24"/>
          <w:szCs w:val="24"/>
          <w:rtl/>
        </w:rPr>
      </w:pPr>
    </w:p>
    <w:p w:rsidR="00C061AE" w:rsidP="004667B4">
      <w:pPr>
        <w:ind w:left="0" w:right="0"/>
        <w:jc w:val="both"/>
        <w:rPr>
          <w:rFonts w:cs="David" w:hint="cs"/>
          <w:sz w:val="24"/>
          <w:szCs w:val="24"/>
          <w:rtl/>
        </w:rPr>
      </w:pPr>
      <w:r w:rsidR="00110FB3">
        <w:rPr>
          <w:rFonts w:cs="David" w:hint="cs"/>
          <w:sz w:val="24"/>
          <w:szCs w:val="24"/>
          <w:rtl/>
        </w:rPr>
        <w:t xml:space="preserve">בתוקף סמכות שר הפנים לפי סעיפים 198 ו-347 לפקודת העיריות, </w:t>
      </w:r>
      <w:r w:rsidR="006D03E8">
        <w:rPr>
          <w:rFonts w:cs="David" w:hint="cs"/>
          <w:sz w:val="24"/>
          <w:szCs w:val="24"/>
          <w:rtl/>
        </w:rPr>
        <w:t xml:space="preserve">בדעת השר </w:t>
      </w:r>
      <w:r w:rsidR="00AC2999">
        <w:rPr>
          <w:rFonts w:cs="David" w:hint="cs"/>
          <w:sz w:val="24"/>
          <w:szCs w:val="24"/>
          <w:rtl/>
        </w:rPr>
        <w:t xml:space="preserve">לתקן את </w:t>
      </w:r>
      <w:r w:rsidR="00110FB3">
        <w:rPr>
          <w:rFonts w:cs="David" w:hint="cs"/>
          <w:sz w:val="24"/>
          <w:szCs w:val="24"/>
          <w:rtl/>
        </w:rPr>
        <w:t>תקנות</w:t>
      </w:r>
      <w:r w:rsidR="004667B4">
        <w:rPr>
          <w:rFonts w:cs="David" w:hint="cs"/>
          <w:sz w:val="24"/>
          <w:szCs w:val="24"/>
          <w:rtl/>
        </w:rPr>
        <w:t xml:space="preserve"> העיריות (מכרזים), התשמ"ח-1987 (להלן </w:t>
      </w:r>
      <w:r w:rsidR="004667B4">
        <w:rPr>
          <w:rFonts w:cs="David"/>
          <w:sz w:val="24"/>
          <w:szCs w:val="24"/>
          <w:rtl/>
        </w:rPr>
        <w:t>–</w:t>
      </w:r>
      <w:r w:rsidR="004667B4">
        <w:rPr>
          <w:rFonts w:cs="David" w:hint="cs"/>
          <w:sz w:val="24"/>
          <w:szCs w:val="24"/>
          <w:rtl/>
        </w:rPr>
        <w:t xml:space="preserve"> "התקנות"),</w:t>
      </w:r>
      <w:r w:rsidR="00A93388">
        <w:rPr>
          <w:rFonts w:cs="David" w:hint="cs"/>
          <w:sz w:val="24"/>
          <w:szCs w:val="24"/>
          <w:rtl/>
        </w:rPr>
        <w:t xml:space="preserve"> בהתאם לנוסח המצורף למכתבי זה.</w:t>
      </w:r>
    </w:p>
    <w:p w:rsidR="00A93388" w:rsidP="007C1125">
      <w:pPr>
        <w:ind w:left="0" w:right="0"/>
        <w:jc w:val="both"/>
        <w:rPr>
          <w:rFonts w:cs="David" w:hint="cs"/>
          <w:sz w:val="24"/>
          <w:szCs w:val="24"/>
          <w:rtl/>
        </w:rPr>
      </w:pPr>
    </w:p>
    <w:p w:rsidR="00A93388" w:rsidP="007C1125">
      <w:pPr>
        <w:ind w:left="0" w:right="0"/>
        <w:jc w:val="both"/>
        <w:rPr>
          <w:rFonts w:cs="David" w:hint="cs"/>
          <w:sz w:val="24"/>
          <w:szCs w:val="24"/>
          <w:rtl/>
        </w:rPr>
      </w:pPr>
      <w:r>
        <w:rPr>
          <w:rFonts w:cs="David" w:hint="cs"/>
          <w:sz w:val="24"/>
          <w:szCs w:val="24"/>
          <w:rtl/>
        </w:rPr>
        <w:t>להלן דברי הסבר לנוסח המוצע:</w:t>
      </w:r>
    </w:p>
    <w:p w:rsidR="00601BCC" w:rsidP="007C1125">
      <w:pPr>
        <w:ind w:left="0" w:right="0"/>
        <w:jc w:val="both"/>
        <w:rPr>
          <w:rFonts w:cs="David" w:hint="cs"/>
          <w:sz w:val="24"/>
          <w:szCs w:val="24"/>
          <w:rtl/>
        </w:rPr>
      </w:pPr>
    </w:p>
    <w:p w:rsidR="00A93388" w:rsidRPr="00A51ADB" w:rsidP="00A51ADB">
      <w:pPr>
        <w:ind w:left="0" w:right="0"/>
        <w:jc w:val="both"/>
        <w:rPr>
          <w:rFonts w:cs="David" w:hint="cs"/>
          <w:b/>
          <w:bCs/>
          <w:sz w:val="24"/>
          <w:szCs w:val="24"/>
          <w:u w:val="single"/>
          <w:rtl/>
        </w:rPr>
      </w:pPr>
      <w:r w:rsidR="00601BCC">
        <w:rPr>
          <w:rFonts w:cs="David" w:hint="cs"/>
          <w:b/>
          <w:bCs/>
          <w:sz w:val="24"/>
          <w:szCs w:val="24"/>
          <w:u w:val="single"/>
          <w:rtl/>
        </w:rPr>
        <w:t xml:space="preserve">הוספת פסקת משנה </w:t>
      </w:r>
      <w:r w:rsidR="00437688">
        <w:rPr>
          <w:rFonts w:cs="David" w:hint="cs"/>
          <w:b/>
          <w:bCs/>
          <w:sz w:val="24"/>
          <w:szCs w:val="24"/>
          <w:u w:val="single"/>
          <w:rtl/>
        </w:rPr>
        <w:t>(2)</w:t>
      </w:r>
      <w:r w:rsidR="00601BCC">
        <w:rPr>
          <w:rFonts w:cs="David" w:hint="cs"/>
          <w:b/>
          <w:bCs/>
          <w:sz w:val="24"/>
          <w:szCs w:val="24"/>
          <w:u w:val="single"/>
          <w:rtl/>
        </w:rPr>
        <w:t>(יג) -</w:t>
      </w:r>
      <w:r w:rsidR="00AC2999">
        <w:rPr>
          <w:rFonts w:cs="David" w:hint="cs"/>
          <w:sz w:val="24"/>
          <w:szCs w:val="24"/>
          <w:rtl/>
        </w:rPr>
        <w:t xml:space="preserve"> השלמה לסעיף 1(3). הסבר מפורט בהמשך. ההפרדה בין מקרקעין לבין רכישת שירותים וביצוע עבודה נובעת מההפרדה הקיימת בתקנות. פסקה 2 בתקנה 3 לתקנות עוסקת בפטור ממכרז שעניינו העברת מקרקעין ולכן </w:t>
      </w:r>
      <w:r w:rsidR="004667B4">
        <w:rPr>
          <w:rFonts w:cs="David" w:hint="cs"/>
          <w:sz w:val="24"/>
          <w:szCs w:val="24"/>
          <w:rtl/>
        </w:rPr>
        <w:t>מוקדשת פסקה נפרדת לעניין השכרת מקרקעין.</w:t>
      </w:r>
    </w:p>
    <w:p w:rsidR="004667B4" w:rsidP="00AC2999">
      <w:pPr>
        <w:ind w:left="0" w:right="0"/>
        <w:jc w:val="both"/>
        <w:rPr>
          <w:rFonts w:cs="David" w:hint="cs"/>
          <w:sz w:val="24"/>
          <w:szCs w:val="24"/>
          <w:rtl/>
        </w:rPr>
      </w:pPr>
    </w:p>
    <w:p w:rsidR="004667B4" w:rsidP="00630BF2">
      <w:pPr>
        <w:ind w:left="0" w:right="0"/>
        <w:jc w:val="both"/>
        <w:rPr>
          <w:rFonts w:cs="David" w:hint="cs"/>
          <w:sz w:val="24"/>
          <w:szCs w:val="24"/>
          <w:rtl/>
        </w:rPr>
      </w:pPr>
      <w:r w:rsidR="00601BCC">
        <w:rPr>
          <w:rFonts w:cs="David" w:hint="cs"/>
          <w:b/>
          <w:bCs/>
          <w:sz w:val="24"/>
          <w:szCs w:val="24"/>
          <w:u w:val="single"/>
          <w:rtl/>
        </w:rPr>
        <w:t>הוספת פסקה (10א</w:t>
      </w:r>
      <w:r w:rsidRPr="003E4A66">
        <w:rPr>
          <w:rFonts w:cs="David" w:hint="cs"/>
          <w:b/>
          <w:bCs/>
          <w:sz w:val="24"/>
          <w:szCs w:val="24"/>
          <w:u w:val="single"/>
          <w:rtl/>
        </w:rPr>
        <w:t xml:space="preserve">) </w:t>
      </w:r>
      <w:r w:rsidRPr="003E4A66">
        <w:rPr>
          <w:rFonts w:cs="David"/>
          <w:b/>
          <w:bCs/>
          <w:sz w:val="24"/>
          <w:szCs w:val="24"/>
          <w:u w:val="single"/>
          <w:rtl/>
        </w:rPr>
        <w:t>–</w:t>
      </w:r>
      <w:r>
        <w:rPr>
          <w:rFonts w:cs="David" w:hint="cs"/>
          <w:sz w:val="24"/>
          <w:szCs w:val="24"/>
          <w:rtl/>
        </w:rPr>
        <w:t xml:space="preserve"> </w:t>
      </w:r>
      <w:r w:rsidR="00A70ED3">
        <w:rPr>
          <w:rFonts w:cs="David" w:hint="cs"/>
          <w:sz w:val="24"/>
          <w:szCs w:val="24"/>
          <w:rtl/>
        </w:rPr>
        <w:t xml:space="preserve">ביצוע </w:t>
      </w:r>
      <w:r w:rsidR="00244187">
        <w:rPr>
          <w:rFonts w:cs="David" w:hint="cs"/>
          <w:sz w:val="24"/>
          <w:szCs w:val="24"/>
          <w:rtl/>
        </w:rPr>
        <w:t xml:space="preserve">עבודות </w:t>
      </w:r>
      <w:r w:rsidR="00A70ED3">
        <w:rPr>
          <w:rFonts w:cs="David" w:hint="cs"/>
          <w:sz w:val="24"/>
          <w:szCs w:val="24"/>
          <w:rtl/>
        </w:rPr>
        <w:t>תשתית</w:t>
      </w:r>
      <w:r w:rsidR="00244187">
        <w:rPr>
          <w:rFonts w:cs="David" w:hint="cs"/>
          <w:sz w:val="24"/>
          <w:szCs w:val="24"/>
          <w:rtl/>
        </w:rPr>
        <w:t xml:space="preserve"> </w:t>
      </w:r>
      <w:r w:rsidR="00A70ED3">
        <w:rPr>
          <w:rFonts w:cs="David" w:hint="cs"/>
          <w:sz w:val="24"/>
          <w:szCs w:val="24"/>
          <w:rtl/>
        </w:rPr>
        <w:t>ה</w:t>
      </w:r>
      <w:r w:rsidR="00244187">
        <w:rPr>
          <w:rFonts w:cs="David" w:hint="cs"/>
          <w:sz w:val="24"/>
          <w:szCs w:val="24"/>
          <w:rtl/>
        </w:rPr>
        <w:t xml:space="preserve">ינן באחריות </w:t>
      </w:r>
      <w:r w:rsidR="00630BF2">
        <w:rPr>
          <w:rFonts w:cs="David" w:hint="cs"/>
          <w:sz w:val="24"/>
          <w:szCs w:val="24"/>
          <w:rtl/>
        </w:rPr>
        <w:t>העירייה</w:t>
      </w:r>
      <w:r w:rsidR="00244187">
        <w:rPr>
          <w:rFonts w:cs="David" w:hint="cs"/>
          <w:sz w:val="24"/>
          <w:szCs w:val="24"/>
          <w:rtl/>
        </w:rPr>
        <w:t xml:space="preserve"> שבתחומה נמצאת הקרקע</w:t>
      </w:r>
      <w:r w:rsidR="00A70ED3">
        <w:rPr>
          <w:rFonts w:cs="David" w:hint="cs"/>
          <w:sz w:val="24"/>
          <w:szCs w:val="24"/>
          <w:rtl/>
        </w:rPr>
        <w:t xml:space="preserve"> בה מבוצעות העבודות</w:t>
      </w:r>
      <w:r w:rsidR="00244187">
        <w:rPr>
          <w:rFonts w:cs="David" w:hint="cs"/>
          <w:sz w:val="24"/>
          <w:szCs w:val="24"/>
          <w:rtl/>
        </w:rPr>
        <w:t xml:space="preserve">. </w:t>
      </w:r>
      <w:r>
        <w:rPr>
          <w:rFonts w:cs="David" w:hint="cs"/>
          <w:sz w:val="24"/>
          <w:szCs w:val="24"/>
          <w:rtl/>
        </w:rPr>
        <w:t>קיימים מקרים רבים בהם</w:t>
      </w:r>
      <w:r w:rsidR="00125D2F">
        <w:rPr>
          <w:rFonts w:cs="David" w:hint="cs"/>
          <w:sz w:val="24"/>
          <w:szCs w:val="24"/>
          <w:rtl/>
        </w:rPr>
        <w:t xml:space="preserve"> מינהל מקרקעי ישראל מ</w:t>
      </w:r>
      <w:r w:rsidR="00A70ED3">
        <w:rPr>
          <w:rFonts w:cs="David" w:hint="cs"/>
          <w:sz w:val="24"/>
          <w:szCs w:val="24"/>
          <w:rtl/>
        </w:rPr>
        <w:t xml:space="preserve">פתח בעצמו </w:t>
      </w:r>
      <w:r>
        <w:rPr>
          <w:rFonts w:cs="David" w:hint="cs"/>
          <w:sz w:val="24"/>
          <w:szCs w:val="24"/>
          <w:rtl/>
        </w:rPr>
        <w:t xml:space="preserve">קרקע </w:t>
      </w:r>
      <w:r w:rsidR="00D55149">
        <w:rPr>
          <w:rFonts w:cs="David" w:hint="cs"/>
          <w:sz w:val="24"/>
          <w:szCs w:val="24"/>
          <w:rtl/>
        </w:rPr>
        <w:t>של</w:t>
      </w:r>
      <w:r w:rsidR="00630BF2">
        <w:rPr>
          <w:rFonts w:cs="David" w:hint="cs"/>
          <w:sz w:val="24"/>
          <w:szCs w:val="24"/>
          <w:rtl/>
        </w:rPr>
        <w:t xml:space="preserve"> המדינה הנמצאת בתחום עירייה</w:t>
      </w:r>
      <w:r w:rsidR="00A70ED3">
        <w:rPr>
          <w:rFonts w:cs="David" w:hint="cs"/>
          <w:sz w:val="24"/>
          <w:szCs w:val="24"/>
          <w:rtl/>
        </w:rPr>
        <w:t>, לרבות ביצוע עבודת תשתית בקרקע</w:t>
      </w:r>
      <w:r w:rsidR="00D55149">
        <w:rPr>
          <w:rFonts w:cs="David" w:hint="cs"/>
          <w:sz w:val="24"/>
          <w:szCs w:val="24"/>
          <w:rtl/>
        </w:rPr>
        <w:t xml:space="preserve">. בנוסח </w:t>
      </w:r>
      <w:r w:rsidR="00A70ED3">
        <w:rPr>
          <w:rFonts w:cs="David" w:hint="cs"/>
          <w:sz w:val="24"/>
          <w:szCs w:val="24"/>
          <w:rtl/>
        </w:rPr>
        <w:t xml:space="preserve">התקנות </w:t>
      </w:r>
      <w:r w:rsidR="00D55149">
        <w:rPr>
          <w:rFonts w:cs="David" w:hint="cs"/>
          <w:sz w:val="24"/>
          <w:szCs w:val="24"/>
          <w:rtl/>
        </w:rPr>
        <w:t>הקיים</w:t>
      </w:r>
      <w:r w:rsidR="00244187">
        <w:rPr>
          <w:rFonts w:cs="David" w:hint="cs"/>
          <w:sz w:val="24"/>
          <w:szCs w:val="24"/>
          <w:rtl/>
        </w:rPr>
        <w:t xml:space="preserve"> כיום ביצוע עבודות הפיתוח טעונות מכרז, אם הן מבוצעות </w:t>
      </w:r>
      <w:r w:rsidR="00CF46F2">
        <w:rPr>
          <w:rFonts w:cs="David" w:hint="cs"/>
          <w:sz w:val="24"/>
          <w:szCs w:val="24"/>
          <w:rtl/>
        </w:rPr>
        <w:t>ביד</w:t>
      </w:r>
      <w:r w:rsidR="00125D2F">
        <w:rPr>
          <w:rFonts w:cs="David" w:hint="cs"/>
          <w:sz w:val="24"/>
          <w:szCs w:val="24"/>
          <w:rtl/>
        </w:rPr>
        <w:t xml:space="preserve">י גורם שאינו </w:t>
      </w:r>
      <w:r w:rsidR="00630BF2">
        <w:rPr>
          <w:rFonts w:cs="David" w:hint="cs"/>
          <w:sz w:val="24"/>
          <w:szCs w:val="24"/>
          <w:rtl/>
        </w:rPr>
        <w:t>העירייה</w:t>
      </w:r>
      <w:r w:rsidR="00125D2F">
        <w:rPr>
          <w:rFonts w:cs="David" w:hint="cs"/>
          <w:sz w:val="24"/>
          <w:szCs w:val="24"/>
          <w:rtl/>
        </w:rPr>
        <w:t xml:space="preserve">. התיקון המוצע יאפשר שיתוף פעולה מיטבי בין המדינה </w:t>
      </w:r>
      <w:r w:rsidR="00630BF2">
        <w:rPr>
          <w:rFonts w:cs="David" w:hint="cs"/>
          <w:sz w:val="24"/>
          <w:szCs w:val="24"/>
          <w:rtl/>
        </w:rPr>
        <w:t>לעירייה</w:t>
      </w:r>
      <w:r w:rsidR="00125D2F">
        <w:rPr>
          <w:rFonts w:cs="David" w:hint="cs"/>
          <w:sz w:val="24"/>
          <w:szCs w:val="24"/>
          <w:rtl/>
        </w:rPr>
        <w:t xml:space="preserve">, שכן המדינה כפופה לחובת מכרזים ואין כל טעם לבצע מכרז כפול, הן </w:t>
      </w:r>
      <w:r w:rsidR="00630BF2">
        <w:rPr>
          <w:rFonts w:cs="David" w:hint="cs"/>
          <w:sz w:val="24"/>
          <w:szCs w:val="24"/>
          <w:rtl/>
        </w:rPr>
        <w:t>בעירייה</w:t>
      </w:r>
      <w:r w:rsidR="00125D2F">
        <w:rPr>
          <w:rFonts w:cs="David" w:hint="cs"/>
          <w:sz w:val="24"/>
          <w:szCs w:val="24"/>
          <w:rtl/>
        </w:rPr>
        <w:t xml:space="preserve"> והן במדינה.</w:t>
      </w:r>
    </w:p>
    <w:p w:rsidR="00125D2F" w:rsidP="00A70ED3">
      <w:pPr>
        <w:ind w:left="0" w:right="0"/>
        <w:jc w:val="both"/>
        <w:rPr>
          <w:rFonts w:cs="David" w:hint="cs"/>
          <w:sz w:val="24"/>
          <w:szCs w:val="24"/>
          <w:rtl/>
        </w:rPr>
      </w:pPr>
    </w:p>
    <w:p w:rsidR="00E11438" w:rsidP="00E11438">
      <w:pPr>
        <w:ind w:left="0" w:right="0"/>
        <w:jc w:val="both"/>
        <w:rPr>
          <w:rFonts w:cs="David" w:hint="cs"/>
          <w:sz w:val="24"/>
          <w:szCs w:val="24"/>
          <w:rtl/>
        </w:rPr>
      </w:pPr>
      <w:r w:rsidR="00437688">
        <w:rPr>
          <w:rFonts w:cs="David" w:hint="cs"/>
          <w:b/>
          <w:bCs/>
          <w:sz w:val="24"/>
          <w:szCs w:val="24"/>
          <w:u w:val="single"/>
          <w:rtl/>
        </w:rPr>
        <w:t>הוספת פסקה (14)</w:t>
      </w:r>
      <w:r w:rsidRPr="003E4A66" w:rsidR="00125D2F">
        <w:rPr>
          <w:rFonts w:cs="David" w:hint="cs"/>
          <w:b/>
          <w:bCs/>
          <w:sz w:val="24"/>
          <w:szCs w:val="24"/>
          <w:u w:val="single"/>
          <w:rtl/>
        </w:rPr>
        <w:t xml:space="preserve"> - </w:t>
      </w:r>
      <w:r w:rsidRPr="00110FB3" w:rsidR="00F01004">
        <w:rPr>
          <w:rFonts w:cs="David" w:hint="cs"/>
          <w:sz w:val="24"/>
          <w:szCs w:val="24"/>
          <w:rtl/>
        </w:rPr>
        <w:t>בסוף שנת 2005 פורסם דו"ח מבקר המדינה, שקרא להסדרת פעילותם ומעמדם של תאגידים הפועלים בתחומי הרשויות המקומיות. הובהר בדו"ח, בין השאר, כי רשות מקומית רשאית לתקצב אך ורק תאגיד עירוני, שהינו תאגיד המצוי בשליטת הרשות המקומית. לגבי תאגיד שאינו בשליטת הרשות המקומית</w:t>
      </w:r>
      <w:r w:rsidR="001C0383">
        <w:rPr>
          <w:rFonts w:cs="David" w:hint="cs"/>
          <w:sz w:val="24"/>
          <w:szCs w:val="24"/>
          <w:rtl/>
        </w:rPr>
        <w:t xml:space="preserve">, </w:t>
      </w:r>
      <w:r w:rsidRPr="00110FB3" w:rsidR="00F01004">
        <w:rPr>
          <w:rFonts w:cs="David" w:hint="cs"/>
          <w:sz w:val="24"/>
          <w:szCs w:val="24"/>
          <w:rtl/>
        </w:rPr>
        <w:t>אין הרשות המקומית רשאית לתקצבו</w:t>
      </w:r>
      <w:r w:rsidR="008B7F3D">
        <w:rPr>
          <w:rFonts w:cs="David" w:hint="cs"/>
          <w:sz w:val="24"/>
          <w:szCs w:val="24"/>
          <w:rtl/>
        </w:rPr>
        <w:t>, אלא ליתן לו תמיכה כספית בלבד,</w:t>
      </w:r>
      <w:r w:rsidRPr="00110FB3" w:rsidR="00F01004">
        <w:rPr>
          <w:rFonts w:cs="David" w:hint="cs"/>
          <w:sz w:val="24"/>
          <w:szCs w:val="24"/>
          <w:rtl/>
        </w:rPr>
        <w:t xml:space="preserve"> בהתאם לנוהל תמיכות.</w:t>
      </w:r>
      <w:r w:rsidR="008B7F3D">
        <w:rPr>
          <w:rFonts w:cs="David" w:hint="cs"/>
          <w:sz w:val="24"/>
          <w:szCs w:val="24"/>
          <w:rtl/>
        </w:rPr>
        <w:t xml:space="preserve"> </w:t>
      </w:r>
    </w:p>
    <w:p w:rsidR="00DB1BE8" w:rsidP="00E11438">
      <w:pPr>
        <w:ind w:left="0" w:right="0"/>
        <w:jc w:val="both"/>
        <w:rPr>
          <w:rFonts w:cs="David" w:hint="cs"/>
          <w:sz w:val="24"/>
          <w:szCs w:val="24"/>
          <w:rtl/>
        </w:rPr>
      </w:pPr>
    </w:p>
    <w:p w:rsidR="0090595B" w:rsidP="00630BF2">
      <w:pPr>
        <w:ind w:left="0" w:right="0"/>
        <w:jc w:val="both"/>
        <w:rPr>
          <w:rFonts w:cs="David" w:hint="cs"/>
          <w:sz w:val="24"/>
          <w:szCs w:val="24"/>
          <w:rtl/>
        </w:rPr>
      </w:pPr>
      <w:r w:rsidR="008B7F3D">
        <w:rPr>
          <w:rFonts w:cs="David" w:hint="cs"/>
          <w:sz w:val="24"/>
          <w:szCs w:val="24"/>
          <w:rtl/>
        </w:rPr>
        <w:t>קיימים תאגידים</w:t>
      </w:r>
      <w:r w:rsidR="00E11438">
        <w:rPr>
          <w:rFonts w:cs="David" w:hint="cs"/>
          <w:sz w:val="24"/>
          <w:szCs w:val="24"/>
          <w:rtl/>
        </w:rPr>
        <w:t xml:space="preserve"> שונים</w:t>
      </w:r>
      <w:r w:rsidR="008B7F3D">
        <w:rPr>
          <w:rFonts w:cs="David" w:hint="cs"/>
          <w:sz w:val="24"/>
          <w:szCs w:val="24"/>
          <w:rtl/>
        </w:rPr>
        <w:t>, כדוגמת המתנ"סים</w:t>
      </w:r>
      <w:r w:rsidR="00E11438">
        <w:rPr>
          <w:rFonts w:cs="David" w:hint="cs"/>
          <w:sz w:val="24"/>
          <w:szCs w:val="24"/>
          <w:rtl/>
        </w:rPr>
        <w:t xml:space="preserve">, הפועלים בתחומי </w:t>
      </w:r>
      <w:r w:rsidR="00630BF2">
        <w:rPr>
          <w:rFonts w:cs="David" w:hint="cs"/>
          <w:sz w:val="24"/>
          <w:szCs w:val="24"/>
          <w:rtl/>
        </w:rPr>
        <w:t>העירייה</w:t>
      </w:r>
      <w:r w:rsidR="00E11438">
        <w:rPr>
          <w:rFonts w:cs="David" w:hint="cs"/>
          <w:sz w:val="24"/>
          <w:szCs w:val="24"/>
          <w:rtl/>
        </w:rPr>
        <w:t xml:space="preserve"> למטרות חינוך, תרבות, רווחה וכד'</w:t>
      </w:r>
      <w:r w:rsidR="007A6C1F">
        <w:rPr>
          <w:rFonts w:cs="David" w:hint="cs"/>
          <w:sz w:val="24"/>
          <w:szCs w:val="24"/>
          <w:rtl/>
        </w:rPr>
        <w:t>, ש</w:t>
      </w:r>
      <w:r w:rsidR="00E11438">
        <w:rPr>
          <w:rFonts w:cs="David" w:hint="cs"/>
          <w:sz w:val="24"/>
          <w:szCs w:val="24"/>
          <w:rtl/>
        </w:rPr>
        <w:t>אינם תאגידים עירוניים</w:t>
      </w:r>
      <w:r w:rsidR="007A6C1F">
        <w:rPr>
          <w:rFonts w:cs="David" w:hint="cs"/>
          <w:sz w:val="24"/>
          <w:szCs w:val="24"/>
          <w:rtl/>
        </w:rPr>
        <w:t>. מאחר ש</w:t>
      </w:r>
      <w:r w:rsidR="00E11438">
        <w:rPr>
          <w:rFonts w:cs="David" w:hint="cs"/>
          <w:sz w:val="24"/>
          <w:szCs w:val="24"/>
          <w:rtl/>
        </w:rPr>
        <w:t xml:space="preserve">דרוש שיתוף פעולה הדוק בינם לבין </w:t>
      </w:r>
      <w:r w:rsidR="00630BF2">
        <w:rPr>
          <w:rFonts w:cs="David" w:hint="cs"/>
          <w:sz w:val="24"/>
          <w:szCs w:val="24"/>
          <w:rtl/>
        </w:rPr>
        <w:t>העירייה</w:t>
      </w:r>
      <w:r w:rsidR="00E11438">
        <w:rPr>
          <w:rFonts w:cs="David" w:hint="cs"/>
          <w:sz w:val="24"/>
          <w:szCs w:val="24"/>
          <w:rtl/>
        </w:rPr>
        <w:t xml:space="preserve"> על </w:t>
      </w:r>
      <w:r w:rsidRPr="00110FB3" w:rsidR="00F5407D">
        <w:rPr>
          <w:rFonts w:cs="David" w:hint="cs"/>
          <w:sz w:val="24"/>
          <w:szCs w:val="24"/>
          <w:rtl/>
        </w:rPr>
        <w:t xml:space="preserve">מנת </w:t>
      </w:r>
      <w:r w:rsidR="007A6C1F">
        <w:rPr>
          <w:rFonts w:cs="David" w:hint="cs"/>
          <w:sz w:val="24"/>
          <w:szCs w:val="24"/>
          <w:rtl/>
        </w:rPr>
        <w:t xml:space="preserve">להבטיח את פעילותם הציבורית, </w:t>
      </w:r>
      <w:r w:rsidR="00630BF2">
        <w:rPr>
          <w:rFonts w:cs="David" w:hint="cs"/>
          <w:sz w:val="24"/>
          <w:szCs w:val="24"/>
          <w:rtl/>
        </w:rPr>
        <w:t>העיריות</w:t>
      </w:r>
      <w:r w:rsidR="007A6C1F">
        <w:rPr>
          <w:rFonts w:cs="David" w:hint="cs"/>
          <w:sz w:val="24"/>
          <w:szCs w:val="24"/>
          <w:rtl/>
        </w:rPr>
        <w:t xml:space="preserve"> נהגו לתקצבם באופן שוטף. </w:t>
      </w:r>
    </w:p>
    <w:p w:rsidR="0090595B" w:rsidP="007A6C1F">
      <w:pPr>
        <w:ind w:left="0" w:right="0"/>
        <w:jc w:val="both"/>
        <w:rPr>
          <w:rFonts w:cs="David" w:hint="cs"/>
          <w:sz w:val="24"/>
          <w:szCs w:val="24"/>
          <w:rtl/>
        </w:rPr>
      </w:pPr>
    </w:p>
    <w:p w:rsidR="00F5407D" w:rsidRPr="00110FB3" w:rsidP="00630BF2">
      <w:pPr>
        <w:ind w:left="0" w:right="0"/>
        <w:jc w:val="both"/>
        <w:rPr>
          <w:rFonts w:cs="David" w:hint="cs"/>
          <w:sz w:val="24"/>
          <w:szCs w:val="24"/>
        </w:rPr>
      </w:pPr>
      <w:r w:rsidR="0090595B">
        <w:rPr>
          <w:rFonts w:cs="David" w:hint="cs"/>
          <w:sz w:val="24"/>
          <w:szCs w:val="24"/>
          <w:rtl/>
        </w:rPr>
        <w:t xml:space="preserve">לאור </w:t>
      </w:r>
      <w:r w:rsidR="007A6C1F">
        <w:rPr>
          <w:rFonts w:cs="David" w:hint="cs"/>
          <w:sz w:val="24"/>
          <w:szCs w:val="24"/>
          <w:rtl/>
        </w:rPr>
        <w:t xml:space="preserve">הצורך </w:t>
      </w:r>
      <w:r w:rsidRPr="00110FB3">
        <w:rPr>
          <w:rFonts w:cs="David" w:hint="cs"/>
          <w:sz w:val="24"/>
          <w:szCs w:val="24"/>
          <w:rtl/>
        </w:rPr>
        <w:t xml:space="preserve">להסדיר את מעמדם של </w:t>
      </w:r>
      <w:r w:rsidR="00281B22">
        <w:rPr>
          <w:rFonts w:cs="David" w:hint="cs"/>
          <w:sz w:val="24"/>
          <w:szCs w:val="24"/>
          <w:rtl/>
        </w:rPr>
        <w:t>תאגידים אלו</w:t>
      </w:r>
      <w:r w:rsidRPr="00110FB3">
        <w:rPr>
          <w:rFonts w:cs="David" w:hint="cs"/>
          <w:sz w:val="24"/>
          <w:szCs w:val="24"/>
          <w:rtl/>
        </w:rPr>
        <w:t xml:space="preserve"> ואת שיתוף הפעולה בינם לבין </w:t>
      </w:r>
      <w:r w:rsidR="00630BF2">
        <w:rPr>
          <w:rFonts w:cs="David" w:hint="cs"/>
          <w:sz w:val="24"/>
          <w:szCs w:val="24"/>
          <w:rtl/>
        </w:rPr>
        <w:t>העירייה</w:t>
      </w:r>
      <w:r w:rsidRPr="00110FB3">
        <w:rPr>
          <w:rFonts w:cs="David" w:hint="cs"/>
          <w:sz w:val="24"/>
          <w:szCs w:val="24"/>
          <w:rtl/>
        </w:rPr>
        <w:t xml:space="preserve"> בה הם פועלים, מבלי לפגוע בפעילות </w:t>
      </w:r>
      <w:r w:rsidRPr="00110FB3" w:rsidR="005910F5">
        <w:rPr>
          <w:rFonts w:cs="David" w:hint="cs"/>
          <w:sz w:val="24"/>
          <w:szCs w:val="24"/>
          <w:rtl/>
        </w:rPr>
        <w:t xml:space="preserve">הציבורית המבוצעת </w:t>
      </w:r>
      <w:r w:rsidR="00281B22">
        <w:rPr>
          <w:rFonts w:cs="David" w:hint="cs"/>
          <w:sz w:val="24"/>
          <w:szCs w:val="24"/>
          <w:rtl/>
        </w:rPr>
        <w:t>על ידם</w:t>
      </w:r>
      <w:r w:rsidRPr="00110FB3" w:rsidR="005910F5">
        <w:rPr>
          <w:rFonts w:cs="David" w:hint="cs"/>
          <w:sz w:val="24"/>
          <w:szCs w:val="24"/>
          <w:rtl/>
        </w:rPr>
        <w:t xml:space="preserve">, מוצע </w:t>
      </w:r>
      <w:r w:rsidR="0090595B">
        <w:rPr>
          <w:rFonts w:cs="David" w:hint="cs"/>
          <w:sz w:val="24"/>
          <w:szCs w:val="24"/>
          <w:rtl/>
        </w:rPr>
        <w:t xml:space="preserve">לאפשר </w:t>
      </w:r>
      <w:r w:rsidR="00630BF2">
        <w:rPr>
          <w:rFonts w:cs="David" w:hint="cs"/>
          <w:sz w:val="24"/>
          <w:szCs w:val="24"/>
          <w:rtl/>
        </w:rPr>
        <w:t>לעיריות</w:t>
      </w:r>
      <w:r w:rsidR="00281B22">
        <w:rPr>
          <w:rFonts w:cs="David" w:hint="cs"/>
          <w:sz w:val="24"/>
          <w:szCs w:val="24"/>
          <w:rtl/>
        </w:rPr>
        <w:t xml:space="preserve"> ל</w:t>
      </w:r>
      <w:r w:rsidR="0090595B">
        <w:rPr>
          <w:rFonts w:cs="David" w:hint="cs"/>
          <w:sz w:val="24"/>
          <w:szCs w:val="24"/>
          <w:rtl/>
        </w:rPr>
        <w:t>התקשר</w:t>
      </w:r>
      <w:r w:rsidR="00281B22">
        <w:rPr>
          <w:rFonts w:cs="David" w:hint="cs"/>
          <w:sz w:val="24"/>
          <w:szCs w:val="24"/>
          <w:rtl/>
        </w:rPr>
        <w:t xml:space="preserve"> עימם</w:t>
      </w:r>
      <w:r w:rsidR="0090595B">
        <w:rPr>
          <w:rFonts w:cs="David" w:hint="cs"/>
          <w:sz w:val="24"/>
          <w:szCs w:val="24"/>
          <w:rtl/>
        </w:rPr>
        <w:t xml:space="preserve"> בפטור ממכרז </w:t>
      </w:r>
      <w:r w:rsidR="00281B22">
        <w:rPr>
          <w:rFonts w:cs="David" w:hint="cs"/>
          <w:sz w:val="24"/>
          <w:szCs w:val="24"/>
          <w:rtl/>
        </w:rPr>
        <w:t>בתנאים הבאים:</w:t>
      </w:r>
    </w:p>
    <w:p w:rsidR="007E028E" w:rsidRPr="00110FB3" w:rsidP="007E028E">
      <w:pPr>
        <w:ind w:left="0" w:right="0"/>
        <w:jc w:val="both"/>
        <w:rPr>
          <w:rFonts w:cs="David" w:hint="cs"/>
          <w:sz w:val="24"/>
          <w:szCs w:val="24"/>
          <w:rtl/>
        </w:rPr>
      </w:pPr>
    </w:p>
    <w:p w:rsidR="00630BF2" w:rsidP="005910F5">
      <w:pPr>
        <w:numPr>
          <w:ilvl w:val="0"/>
          <w:numId w:val="2"/>
        </w:numPr>
        <w:ind w:left="720" w:right="0"/>
        <w:jc w:val="both"/>
        <w:rPr>
          <w:rFonts w:cs="David" w:hint="cs"/>
          <w:sz w:val="24"/>
          <w:szCs w:val="24"/>
        </w:rPr>
      </w:pPr>
      <w:r>
        <w:rPr>
          <w:rFonts w:cs="David" w:hint="cs"/>
          <w:sz w:val="24"/>
          <w:szCs w:val="24"/>
          <w:rtl/>
        </w:rPr>
        <w:t xml:space="preserve">מהות ההתקשרות הינה ביצוע מיזם </w:t>
      </w:r>
      <w:r w:rsidR="007D62AD">
        <w:rPr>
          <w:rFonts w:cs="David" w:hint="cs"/>
          <w:sz w:val="24"/>
          <w:szCs w:val="24"/>
          <w:rtl/>
        </w:rPr>
        <w:t xml:space="preserve">ללא כוונת רווח למטרות חינוך, תרבות, רווחה או ספורט בתחום העירייה. </w:t>
      </w:r>
      <w:r w:rsidR="00737FE7">
        <w:rPr>
          <w:rFonts w:cs="David" w:hint="cs"/>
          <w:sz w:val="24"/>
          <w:szCs w:val="24"/>
          <w:rtl/>
        </w:rPr>
        <w:t xml:space="preserve">מהות התקנה המוצעת, כמו גם </w:t>
      </w:r>
      <w:r w:rsidR="007D62AD">
        <w:rPr>
          <w:rFonts w:cs="David" w:hint="cs"/>
          <w:sz w:val="24"/>
          <w:szCs w:val="24"/>
          <w:rtl/>
        </w:rPr>
        <w:t>המונ</w:t>
      </w:r>
      <w:r w:rsidR="003E4A66">
        <w:rPr>
          <w:rFonts w:cs="David" w:hint="cs"/>
          <w:sz w:val="24"/>
          <w:szCs w:val="24"/>
          <w:rtl/>
        </w:rPr>
        <w:t xml:space="preserve">ח "מיזם" </w:t>
      </w:r>
      <w:r w:rsidR="00737FE7">
        <w:rPr>
          <w:rFonts w:cs="David" w:hint="cs"/>
          <w:sz w:val="24"/>
          <w:szCs w:val="24"/>
          <w:rtl/>
        </w:rPr>
        <w:t xml:space="preserve">עצמו, </w:t>
      </w:r>
      <w:r w:rsidR="003E4A66">
        <w:rPr>
          <w:rFonts w:cs="David" w:hint="cs"/>
          <w:sz w:val="24"/>
          <w:szCs w:val="24"/>
          <w:rtl/>
        </w:rPr>
        <w:t>לקוח</w:t>
      </w:r>
      <w:r w:rsidR="00737FE7">
        <w:rPr>
          <w:rFonts w:cs="David" w:hint="cs"/>
          <w:sz w:val="24"/>
          <w:szCs w:val="24"/>
          <w:rtl/>
        </w:rPr>
        <w:t>ים</w:t>
      </w:r>
      <w:r w:rsidR="003E4A66">
        <w:rPr>
          <w:rFonts w:cs="David" w:hint="cs"/>
          <w:sz w:val="24"/>
          <w:szCs w:val="24"/>
          <w:rtl/>
        </w:rPr>
        <w:t xml:space="preserve"> מתקנה דומה הקבועה בתקנות חובת המכרזים החלות על המדינה.</w:t>
      </w:r>
    </w:p>
    <w:p w:rsidR="005910F5" w:rsidRPr="00110FB3" w:rsidP="003E4A66">
      <w:pPr>
        <w:numPr>
          <w:ilvl w:val="0"/>
          <w:numId w:val="2"/>
        </w:numPr>
        <w:ind w:left="720" w:right="0"/>
        <w:jc w:val="both"/>
        <w:rPr>
          <w:rFonts w:cs="David" w:hint="cs"/>
          <w:sz w:val="24"/>
          <w:szCs w:val="24"/>
          <w:rtl/>
        </w:rPr>
      </w:pPr>
      <w:r w:rsidRPr="00110FB3" w:rsidR="00124D83">
        <w:rPr>
          <w:rFonts w:cs="David" w:hint="cs"/>
          <w:sz w:val="24"/>
          <w:szCs w:val="24"/>
          <w:rtl/>
        </w:rPr>
        <w:t xml:space="preserve">העירייה </w:t>
      </w:r>
      <w:r w:rsidR="003E4A66">
        <w:rPr>
          <w:rFonts w:cs="David" w:hint="cs"/>
          <w:sz w:val="24"/>
          <w:szCs w:val="24"/>
          <w:rtl/>
        </w:rPr>
        <w:t xml:space="preserve">מתקשרת עם תאגיד שאינו למטרת רווח אשר בו היא </w:t>
      </w:r>
      <w:r w:rsidRPr="00110FB3" w:rsidR="00124D83">
        <w:rPr>
          <w:rFonts w:cs="David" w:hint="cs"/>
          <w:sz w:val="24"/>
          <w:szCs w:val="24"/>
          <w:rtl/>
        </w:rPr>
        <w:t>מחזיקה לפח</w:t>
      </w:r>
      <w:r w:rsidR="003E4A66">
        <w:rPr>
          <w:rFonts w:cs="David" w:hint="cs"/>
          <w:sz w:val="24"/>
          <w:szCs w:val="24"/>
          <w:rtl/>
        </w:rPr>
        <w:t>ות 40% מהונו או מכוח ההצבעה בו.</w:t>
      </w:r>
    </w:p>
    <w:p w:rsidR="005910F5" w:rsidP="003E4A66">
      <w:pPr>
        <w:numPr>
          <w:ilvl w:val="0"/>
          <w:numId w:val="2"/>
        </w:numPr>
        <w:ind w:left="720" w:right="0"/>
        <w:jc w:val="both"/>
        <w:rPr>
          <w:rFonts w:cs="David" w:hint="cs"/>
          <w:sz w:val="24"/>
          <w:szCs w:val="24"/>
        </w:rPr>
      </w:pPr>
      <w:r w:rsidR="00CF5A98">
        <w:rPr>
          <w:rFonts w:cs="David" w:hint="cs"/>
          <w:sz w:val="24"/>
          <w:szCs w:val="24"/>
          <w:rtl/>
        </w:rPr>
        <w:t>התאגיד</w:t>
      </w:r>
      <w:r w:rsidRPr="00110FB3" w:rsidR="007D562D">
        <w:rPr>
          <w:rFonts w:cs="David" w:hint="cs"/>
          <w:sz w:val="24"/>
          <w:szCs w:val="24"/>
          <w:rtl/>
        </w:rPr>
        <w:t xml:space="preserve"> </w:t>
      </w:r>
      <w:r w:rsidRPr="00110FB3" w:rsidR="00AC021B">
        <w:rPr>
          <w:rFonts w:cs="David" w:hint="cs"/>
          <w:sz w:val="24"/>
          <w:szCs w:val="24"/>
          <w:rtl/>
        </w:rPr>
        <w:t>נושא במחצית לפחות מהעלות</w:t>
      </w:r>
      <w:r w:rsidRPr="00110FB3" w:rsidR="00124D83">
        <w:rPr>
          <w:rFonts w:cs="David" w:hint="cs"/>
          <w:sz w:val="24"/>
          <w:szCs w:val="24"/>
          <w:rtl/>
        </w:rPr>
        <w:t>, כאשר לפחות</w:t>
      </w:r>
      <w:r w:rsidRPr="00110FB3" w:rsidR="00057D17">
        <w:rPr>
          <w:rFonts w:cs="David" w:hint="cs"/>
          <w:sz w:val="24"/>
          <w:szCs w:val="24"/>
          <w:rtl/>
        </w:rPr>
        <w:t xml:space="preserve"> עשרה אחוזים מעלות המיזם הינם ממקורות שאינם מתקציב המדינה</w:t>
      </w:r>
      <w:r w:rsidRPr="00110FB3" w:rsidR="007D562D">
        <w:rPr>
          <w:rFonts w:cs="David" w:hint="cs"/>
          <w:sz w:val="24"/>
          <w:szCs w:val="24"/>
          <w:rtl/>
        </w:rPr>
        <w:t>.</w:t>
      </w:r>
    </w:p>
    <w:p w:rsidR="00CF5A98" w:rsidP="003E4A66">
      <w:pPr>
        <w:numPr>
          <w:ilvl w:val="0"/>
          <w:numId w:val="2"/>
        </w:numPr>
        <w:ind w:left="720" w:right="0"/>
        <w:jc w:val="both"/>
        <w:rPr>
          <w:rFonts w:cs="David" w:hint="cs"/>
          <w:sz w:val="24"/>
          <w:szCs w:val="24"/>
        </w:rPr>
      </w:pPr>
      <w:r>
        <w:rPr>
          <w:rFonts w:cs="David" w:hint="cs"/>
          <w:sz w:val="24"/>
          <w:szCs w:val="24"/>
          <w:rtl/>
        </w:rPr>
        <w:t>התקשרויות שיבוצעו על-ידי התאגיד ייעשו במכרז בהתאם לדיני המכרזים החלים על העיריות.</w:t>
      </w:r>
    </w:p>
    <w:p w:rsidR="00CF5A98" w:rsidP="003E4A66">
      <w:pPr>
        <w:numPr>
          <w:ilvl w:val="0"/>
          <w:numId w:val="2"/>
        </w:numPr>
        <w:ind w:left="720" w:right="0"/>
        <w:jc w:val="both"/>
        <w:rPr>
          <w:rFonts w:cs="David" w:hint="cs"/>
          <w:sz w:val="24"/>
          <w:szCs w:val="24"/>
        </w:rPr>
      </w:pPr>
      <w:r>
        <w:rPr>
          <w:rFonts w:cs="David" w:hint="cs"/>
          <w:sz w:val="24"/>
          <w:szCs w:val="24"/>
          <w:rtl/>
        </w:rPr>
        <w:t>מועצת העירייה תאשר מדי שנה תכנית עבודה לביצוע המיזם.</w:t>
      </w:r>
    </w:p>
    <w:p w:rsidR="00CF5A98" w:rsidP="003E4A66">
      <w:pPr>
        <w:numPr>
          <w:ilvl w:val="0"/>
          <w:numId w:val="2"/>
        </w:numPr>
        <w:ind w:left="720" w:right="0"/>
        <w:jc w:val="both"/>
        <w:rPr>
          <w:rFonts w:cs="David" w:hint="cs"/>
          <w:sz w:val="24"/>
          <w:szCs w:val="24"/>
        </w:rPr>
      </w:pPr>
      <w:r>
        <w:rPr>
          <w:rFonts w:cs="David" w:hint="cs"/>
          <w:sz w:val="24"/>
          <w:szCs w:val="24"/>
          <w:rtl/>
        </w:rPr>
        <w:t>העירייה קיבלה אישור שר הפנים להקמת התאגיד כנדרש.</w:t>
      </w:r>
    </w:p>
    <w:p w:rsidR="00CF5A98" w:rsidP="003E4A66">
      <w:pPr>
        <w:numPr>
          <w:ilvl w:val="0"/>
          <w:numId w:val="2"/>
        </w:numPr>
        <w:ind w:left="720" w:right="0"/>
        <w:jc w:val="both"/>
        <w:rPr>
          <w:rFonts w:cs="David" w:hint="cs"/>
          <w:sz w:val="24"/>
          <w:szCs w:val="24"/>
        </w:rPr>
      </w:pPr>
      <w:r>
        <w:rPr>
          <w:rFonts w:cs="David" w:hint="cs"/>
          <w:sz w:val="24"/>
          <w:szCs w:val="24"/>
          <w:rtl/>
        </w:rPr>
        <w:t xml:space="preserve">לתאגיד </w:t>
      </w:r>
      <w:r w:rsidR="00DC6CDF">
        <w:rPr>
          <w:rFonts w:cs="David" w:hint="cs"/>
          <w:sz w:val="24"/>
          <w:szCs w:val="24"/>
          <w:rtl/>
        </w:rPr>
        <w:t>אישור ניהול תקין תקף.</w:t>
      </w:r>
    </w:p>
    <w:p w:rsidR="00DC6CDF" w:rsidP="00DC6CDF">
      <w:pPr>
        <w:ind w:left="0" w:right="0"/>
        <w:jc w:val="both"/>
        <w:rPr>
          <w:rFonts w:cs="David" w:hint="cs"/>
          <w:sz w:val="24"/>
          <w:szCs w:val="24"/>
          <w:rtl/>
        </w:rPr>
      </w:pPr>
    </w:p>
    <w:p w:rsidR="00DC6CDF" w:rsidP="0097783F">
      <w:pPr>
        <w:ind w:left="0" w:right="0"/>
        <w:jc w:val="both"/>
        <w:rPr>
          <w:rFonts w:cs="David" w:hint="cs"/>
          <w:sz w:val="24"/>
          <w:szCs w:val="24"/>
          <w:rtl/>
        </w:rPr>
      </w:pPr>
      <w:r w:rsidR="0097783F">
        <w:rPr>
          <w:rFonts w:cs="David" w:hint="cs"/>
          <w:sz w:val="24"/>
          <w:szCs w:val="24"/>
          <w:rtl/>
        </w:rPr>
        <w:t xml:space="preserve">כך, יתאפשר לעיריות להעמיד את המימון הדרוש לביצוע המיזמים האמורים תוך פיקוח משמעותי ושיתוף פעולה הדוק </w:t>
      </w:r>
      <w:r w:rsidR="00737FE7">
        <w:rPr>
          <w:rFonts w:cs="David" w:hint="cs"/>
          <w:sz w:val="24"/>
          <w:szCs w:val="24"/>
          <w:rtl/>
        </w:rPr>
        <w:t>עם אותם תאגידים הפועלים בתחומן.</w:t>
      </w:r>
    </w:p>
    <w:p w:rsidR="00B249A4" w:rsidP="0097783F">
      <w:pPr>
        <w:ind w:left="0" w:right="0"/>
        <w:jc w:val="both"/>
        <w:rPr>
          <w:rFonts w:cs="David" w:hint="cs"/>
          <w:sz w:val="24"/>
          <w:szCs w:val="24"/>
          <w:rtl/>
        </w:rPr>
      </w:pPr>
    </w:p>
    <w:p w:rsidR="00737FE7" w:rsidP="0097783F">
      <w:pPr>
        <w:ind w:left="0" w:right="0"/>
        <w:jc w:val="both"/>
        <w:rPr>
          <w:rFonts w:cs="David" w:hint="cs"/>
          <w:sz w:val="24"/>
          <w:szCs w:val="24"/>
          <w:rtl/>
        </w:rPr>
      </w:pPr>
      <w:r>
        <w:rPr>
          <w:rFonts w:cs="David" w:hint="cs"/>
          <w:sz w:val="24"/>
          <w:szCs w:val="24"/>
          <w:rtl/>
        </w:rPr>
        <w:t xml:space="preserve">בהשלמה לתקנה זו, </w:t>
      </w:r>
      <w:r w:rsidR="00B249A4">
        <w:rPr>
          <w:rFonts w:cs="David" w:hint="cs"/>
          <w:sz w:val="24"/>
          <w:szCs w:val="24"/>
          <w:rtl/>
        </w:rPr>
        <w:t>תתווסף פסקת משנה (יג), כאמור בסעיף 1(1), שתאפשר השכרת מקרקעין לאותו תאגיד עימו מתקשרת העירייה לביצוע המיזם, שכן לא אחת מיזמים אלה מתבצעים במבנים השייכים לעירייה והשכרתם לתאגיד נדרשת.</w:t>
      </w:r>
    </w:p>
    <w:p w:rsidR="00B249A4" w:rsidP="0097783F">
      <w:pPr>
        <w:ind w:left="0" w:right="0"/>
        <w:jc w:val="both"/>
        <w:rPr>
          <w:rFonts w:cs="David" w:hint="cs"/>
          <w:sz w:val="24"/>
          <w:szCs w:val="24"/>
          <w:rtl/>
        </w:rPr>
      </w:pPr>
    </w:p>
    <w:p w:rsidR="00B249A4" w:rsidP="00411B06">
      <w:pPr>
        <w:ind w:left="0" w:right="0"/>
        <w:jc w:val="both"/>
        <w:rPr>
          <w:rFonts w:cs="David" w:hint="cs"/>
          <w:sz w:val="24"/>
          <w:szCs w:val="24"/>
          <w:rtl/>
        </w:rPr>
      </w:pPr>
      <w:r w:rsidRPr="00633674" w:rsidR="00633674">
        <w:rPr>
          <w:rFonts w:cs="David" w:hint="cs"/>
          <w:b/>
          <w:bCs/>
          <w:sz w:val="24"/>
          <w:szCs w:val="24"/>
          <w:u w:val="single"/>
          <w:rtl/>
        </w:rPr>
        <w:t xml:space="preserve">הוספת פסקה (15) </w:t>
      </w:r>
      <w:r w:rsidR="00411B06">
        <w:rPr>
          <w:rFonts w:cs="David" w:hint="cs"/>
          <w:b/>
          <w:bCs/>
          <w:sz w:val="24"/>
          <w:szCs w:val="24"/>
          <w:u w:val="single"/>
          <w:rtl/>
        </w:rPr>
        <w:t>ו</w:t>
      </w:r>
      <w:r w:rsidR="00516F07">
        <w:rPr>
          <w:rFonts w:cs="David" w:hint="cs"/>
          <w:b/>
          <w:bCs/>
          <w:sz w:val="24"/>
          <w:szCs w:val="24"/>
          <w:u w:val="single"/>
          <w:rtl/>
        </w:rPr>
        <w:t xml:space="preserve">הוספת </w:t>
      </w:r>
      <w:r w:rsidR="00411B06">
        <w:rPr>
          <w:rFonts w:cs="David" w:hint="cs"/>
          <w:b/>
          <w:bCs/>
          <w:sz w:val="24"/>
          <w:szCs w:val="24"/>
          <w:u w:val="single"/>
          <w:rtl/>
        </w:rPr>
        <w:t>תקנה 3א</w:t>
      </w:r>
      <w:r w:rsidRPr="00633674" w:rsidR="00633674">
        <w:rPr>
          <w:rFonts w:cs="David" w:hint="cs"/>
          <w:b/>
          <w:bCs/>
          <w:sz w:val="24"/>
          <w:szCs w:val="24"/>
          <w:u w:val="single"/>
          <w:rtl/>
        </w:rPr>
        <w:t>-</w:t>
      </w:r>
      <w:r w:rsidR="00E16297">
        <w:rPr>
          <w:rFonts w:cs="David" w:hint="cs"/>
          <w:sz w:val="24"/>
          <w:szCs w:val="24"/>
          <w:rtl/>
        </w:rPr>
        <w:t xml:space="preserve"> מוצע </w:t>
      </w:r>
      <w:r w:rsidR="00601BCC">
        <w:rPr>
          <w:rFonts w:cs="David" w:hint="cs"/>
          <w:sz w:val="24"/>
          <w:szCs w:val="24"/>
          <w:rtl/>
        </w:rPr>
        <w:t>לאמץ</w:t>
      </w:r>
      <w:r w:rsidR="00E16297">
        <w:rPr>
          <w:rFonts w:cs="David" w:hint="cs"/>
          <w:sz w:val="24"/>
          <w:szCs w:val="24"/>
          <w:rtl/>
        </w:rPr>
        <w:t xml:space="preserve"> את ההסדר הקבוע בתקנ</w:t>
      </w:r>
      <w:r w:rsidR="00411B06">
        <w:rPr>
          <w:rFonts w:cs="David" w:hint="cs"/>
          <w:sz w:val="24"/>
          <w:szCs w:val="24"/>
          <w:rtl/>
        </w:rPr>
        <w:t>ות</w:t>
      </w:r>
      <w:r w:rsidR="00E16297">
        <w:rPr>
          <w:rFonts w:cs="David" w:hint="cs"/>
          <w:sz w:val="24"/>
          <w:szCs w:val="24"/>
          <w:rtl/>
        </w:rPr>
        <w:t xml:space="preserve"> </w:t>
      </w:r>
      <w:r w:rsidR="00601BCC">
        <w:rPr>
          <w:rFonts w:cs="David" w:hint="cs"/>
          <w:sz w:val="24"/>
          <w:szCs w:val="24"/>
          <w:rtl/>
        </w:rPr>
        <w:t xml:space="preserve">3(30) </w:t>
      </w:r>
      <w:r w:rsidR="00411B06">
        <w:rPr>
          <w:rFonts w:cs="David" w:hint="cs"/>
          <w:sz w:val="24"/>
          <w:szCs w:val="24"/>
          <w:rtl/>
        </w:rPr>
        <w:t xml:space="preserve">ו-3ב </w:t>
      </w:r>
      <w:r w:rsidR="00601BCC">
        <w:rPr>
          <w:rFonts w:cs="David" w:hint="cs"/>
          <w:sz w:val="24"/>
          <w:szCs w:val="24"/>
          <w:rtl/>
        </w:rPr>
        <w:t>לתקנות חובת המכרזים</w:t>
      </w:r>
      <w:r w:rsidR="00633674">
        <w:rPr>
          <w:rFonts w:cs="David" w:hint="cs"/>
          <w:sz w:val="24"/>
          <w:szCs w:val="24"/>
          <w:rtl/>
        </w:rPr>
        <w:t xml:space="preserve">, התשנ"ג-1993, </w:t>
      </w:r>
      <w:r w:rsidR="001303C6">
        <w:rPr>
          <w:rFonts w:cs="David" w:hint="cs"/>
          <w:sz w:val="24"/>
          <w:szCs w:val="24"/>
          <w:rtl/>
        </w:rPr>
        <w:t>המאפשר</w:t>
      </w:r>
      <w:r w:rsidR="00411B06">
        <w:rPr>
          <w:rFonts w:cs="David" w:hint="cs"/>
          <w:sz w:val="24"/>
          <w:szCs w:val="24"/>
          <w:rtl/>
        </w:rPr>
        <w:t>ות</w:t>
      </w:r>
      <w:r w:rsidR="001303C6">
        <w:rPr>
          <w:rFonts w:cs="David" w:hint="cs"/>
          <w:sz w:val="24"/>
          <w:szCs w:val="24"/>
          <w:rtl/>
        </w:rPr>
        <w:t xml:space="preserve"> התקשרות בפטור ממכרז לביצוע מיזם ללא כוונת רווח עם מי שתורם סכום משמעותי, שאינו נמוך ממחצית עלות ביצוע המיזם</w:t>
      </w:r>
      <w:r w:rsidR="00411B06">
        <w:rPr>
          <w:rFonts w:cs="David" w:hint="cs"/>
          <w:sz w:val="24"/>
          <w:szCs w:val="24"/>
          <w:rtl/>
        </w:rPr>
        <w:t>, בהתאם לתנאים הקבועים בתקנות, בשינויים המחויבים</w:t>
      </w:r>
      <w:r w:rsidR="001303C6">
        <w:rPr>
          <w:rFonts w:cs="David" w:hint="cs"/>
          <w:sz w:val="24"/>
          <w:szCs w:val="24"/>
          <w:rtl/>
        </w:rPr>
        <w:t>.</w:t>
      </w:r>
    </w:p>
    <w:p w:rsidR="001303C6" w:rsidRPr="00110FB3" w:rsidP="00601BCC">
      <w:pPr>
        <w:ind w:left="0" w:right="0"/>
        <w:jc w:val="both"/>
        <w:rPr>
          <w:rFonts w:cs="David" w:hint="cs"/>
          <w:sz w:val="24"/>
          <w:szCs w:val="24"/>
        </w:rPr>
      </w:pPr>
      <w:r>
        <w:rPr>
          <w:rFonts w:cs="David" w:hint="cs"/>
          <w:sz w:val="24"/>
          <w:szCs w:val="24"/>
          <w:rtl/>
        </w:rPr>
        <w:t>הוספת פסקה זו תאפשר לעירייה להתקשר עם מי שתורם סכומים משמעותיים לביצוע פרויקטים חברתיים ב</w:t>
      </w:r>
      <w:r w:rsidR="00703609">
        <w:rPr>
          <w:rFonts w:cs="David" w:hint="cs"/>
          <w:sz w:val="24"/>
          <w:szCs w:val="24"/>
          <w:rtl/>
        </w:rPr>
        <w:t>תחום ה</w:t>
      </w:r>
      <w:r>
        <w:rPr>
          <w:rFonts w:cs="David" w:hint="cs"/>
          <w:sz w:val="24"/>
          <w:szCs w:val="24"/>
          <w:rtl/>
        </w:rPr>
        <w:t>עיר הדורשים את מעורבות העירייה.</w:t>
      </w:r>
    </w:p>
    <w:p w:rsidR="00AC021B" w:rsidRPr="00110FB3" w:rsidP="00675910">
      <w:pPr>
        <w:ind w:left="0" w:right="0"/>
        <w:jc w:val="both"/>
        <w:rPr>
          <w:rFonts w:cs="David" w:hint="cs"/>
          <w:sz w:val="24"/>
          <w:szCs w:val="24"/>
          <w:rtl/>
        </w:rPr>
      </w:pPr>
      <w:r w:rsidR="00411B06">
        <w:rPr>
          <w:rFonts w:cs="David" w:hint="cs"/>
          <w:sz w:val="24"/>
          <w:szCs w:val="24"/>
          <w:rtl/>
        </w:rPr>
        <w:t>ראינו לנכון לסטות מהנוסח</w:t>
      </w:r>
      <w:r w:rsidR="00675910">
        <w:rPr>
          <w:rFonts w:cs="David" w:hint="cs"/>
          <w:sz w:val="24"/>
          <w:szCs w:val="24"/>
          <w:rtl/>
        </w:rPr>
        <w:t xml:space="preserve"> הקבוע</w:t>
      </w:r>
      <w:r w:rsidR="00411B06">
        <w:rPr>
          <w:rFonts w:cs="David" w:hint="cs"/>
          <w:sz w:val="24"/>
          <w:szCs w:val="24"/>
          <w:rtl/>
        </w:rPr>
        <w:t xml:space="preserve"> בתקנות חובת המכרזים ולהדגיש כי מדובר בהתקשרות לרכישת שירותים </w:t>
      </w:r>
      <w:r w:rsidR="00D331C1">
        <w:rPr>
          <w:rFonts w:cs="David" w:hint="cs"/>
          <w:sz w:val="24"/>
          <w:szCs w:val="24"/>
          <w:rtl/>
        </w:rPr>
        <w:t>או ביצוע עבודה בלבד</w:t>
      </w:r>
      <w:r w:rsidR="009D6E24">
        <w:rPr>
          <w:rFonts w:cs="David" w:hint="cs"/>
          <w:sz w:val="24"/>
          <w:szCs w:val="24"/>
          <w:rtl/>
        </w:rPr>
        <w:t xml:space="preserve">. כמו </w:t>
      </w:r>
      <w:r w:rsidR="00D331C1">
        <w:rPr>
          <w:rFonts w:cs="David" w:hint="cs"/>
          <w:sz w:val="24"/>
          <w:szCs w:val="24"/>
          <w:rtl/>
        </w:rPr>
        <w:t>כן</w:t>
      </w:r>
      <w:r w:rsidR="009D6E24">
        <w:rPr>
          <w:rFonts w:cs="David" w:hint="cs"/>
          <w:sz w:val="24"/>
          <w:szCs w:val="24"/>
          <w:rtl/>
        </w:rPr>
        <w:t xml:space="preserve">, </w:t>
      </w:r>
      <w:r w:rsidR="00675910">
        <w:rPr>
          <w:rFonts w:cs="David" w:hint="cs"/>
          <w:sz w:val="24"/>
          <w:szCs w:val="24"/>
          <w:rtl/>
        </w:rPr>
        <w:t>קבענו</w:t>
      </w:r>
      <w:r w:rsidR="00D331C1">
        <w:rPr>
          <w:rFonts w:cs="David" w:hint="cs"/>
          <w:sz w:val="24"/>
          <w:szCs w:val="24"/>
          <w:rtl/>
        </w:rPr>
        <w:t xml:space="preserve"> כי הגורם המאשר את ההתקשרות </w:t>
      </w:r>
      <w:r w:rsidR="009D6E24">
        <w:rPr>
          <w:rFonts w:cs="David" w:hint="cs"/>
          <w:sz w:val="24"/>
          <w:szCs w:val="24"/>
          <w:rtl/>
        </w:rPr>
        <w:t>בהתאם לתקנה 3א(ד)</w:t>
      </w:r>
      <w:r w:rsidR="00675910">
        <w:rPr>
          <w:rFonts w:cs="David" w:hint="cs"/>
          <w:sz w:val="24"/>
          <w:szCs w:val="24"/>
          <w:rtl/>
        </w:rPr>
        <w:t xml:space="preserve"> תהיה מועצת העירייה ולא ועדת המכרזים.</w:t>
      </w:r>
    </w:p>
    <w:p w:rsidR="00477A20" w:rsidRPr="00110FB3">
      <w:pPr>
        <w:ind w:left="0" w:right="0"/>
        <w:jc w:val="both"/>
        <w:rPr>
          <w:rFonts w:cs="David" w:hint="cs"/>
          <w:sz w:val="24"/>
          <w:szCs w:val="24"/>
          <w:rtl/>
        </w:rPr>
      </w:pPr>
    </w:p>
    <w:p w:rsidR="00477A20">
      <w:pPr>
        <w:ind w:left="0" w:right="0"/>
        <w:jc w:val="both"/>
        <w:rPr>
          <w:rFonts w:cs="David" w:hint="cs"/>
          <w:sz w:val="24"/>
          <w:szCs w:val="24"/>
          <w:rtl/>
        </w:rPr>
      </w:pPr>
    </w:p>
    <w:p w:rsidR="00516F07">
      <w:pPr>
        <w:ind w:left="0" w:right="0"/>
        <w:jc w:val="both"/>
        <w:rPr>
          <w:rFonts w:cs="David" w:hint="cs"/>
          <w:sz w:val="24"/>
          <w:szCs w:val="24"/>
          <w:rtl/>
        </w:rPr>
      </w:pPr>
      <w:r>
        <w:rPr>
          <w:rFonts w:cs="David" w:hint="cs"/>
          <w:sz w:val="24"/>
          <w:szCs w:val="24"/>
          <w:rtl/>
        </w:rPr>
        <w:t>אודה להתייחסותך ולהערותייך לנוסח המוצע.</w:t>
      </w:r>
    </w:p>
    <w:p w:rsidR="00516F07">
      <w:pPr>
        <w:ind w:left="0" w:right="0"/>
        <w:jc w:val="both"/>
        <w:rPr>
          <w:rFonts w:cs="David" w:hint="cs"/>
          <w:sz w:val="24"/>
          <w:szCs w:val="24"/>
          <w:rtl/>
        </w:rPr>
      </w:pPr>
    </w:p>
    <w:p w:rsidR="00516F07" w:rsidRPr="00110FB3">
      <w:pPr>
        <w:ind w:left="0" w:right="0"/>
        <w:jc w:val="both"/>
        <w:rPr>
          <w:rFonts w:cs="David" w:hint="cs"/>
          <w:sz w:val="24"/>
          <w:szCs w:val="24"/>
          <w:rtl/>
        </w:rPr>
      </w:pPr>
    </w:p>
    <w:p w:rsidR="00477A20" w:rsidRPr="00110FB3">
      <w:pPr>
        <w:ind w:left="3684" w:right="0"/>
        <w:jc w:val="center"/>
        <w:rPr>
          <w:rFonts w:cs="David"/>
          <w:sz w:val="24"/>
          <w:szCs w:val="24"/>
          <w:rtl/>
        </w:rPr>
      </w:pPr>
      <w:r w:rsidRPr="00110FB3">
        <w:rPr>
          <w:rFonts w:cs="David"/>
          <w:sz w:val="24"/>
          <w:szCs w:val="24"/>
          <w:rtl/>
        </w:rPr>
        <w:t>בכבוד רב,</w:t>
      </w:r>
    </w:p>
    <w:p w:rsidR="00477A20" w:rsidRPr="00110FB3">
      <w:pPr>
        <w:ind w:left="3826" w:right="0"/>
        <w:jc w:val="center"/>
        <w:rPr>
          <w:rFonts w:cs="David"/>
          <w:sz w:val="24"/>
          <w:szCs w:val="24"/>
          <w:rtl/>
        </w:rPr>
      </w:pPr>
    </w:p>
    <w:p w:rsidR="007D70F2" w:rsidP="00057D17">
      <w:pPr>
        <w:ind w:left="3259" w:right="0"/>
        <w:jc w:val="center"/>
        <w:rPr>
          <w:rFonts w:cs="David"/>
          <w:sz w:val="24"/>
          <w:szCs w:val="24"/>
          <w:rtl/>
        </w:rPr>
      </w:pPr>
      <w:bookmarkStart w:id="5" w:name="SignedBy"/>
      <w:bookmarkEnd w:id="5"/>
      <w:r>
        <w:rPr>
          <w:rFonts w:cs="David"/>
          <w:sz w:val="24"/>
          <w:szCs w:val="24"/>
          <w:rtl/>
        </w:rPr>
        <w:tab/>
        <w:tab/>
        <w:t>דרור לוינגר, עו"ד</w:t>
        <w:br/>
        <w:tab/>
        <w:tab/>
        <w:t>עוזר ראשי ליועץ המשפטי</w:t>
      </w:r>
    </w:p>
    <w:sectPr>
      <w:headerReference w:type="even" r:id="rId4"/>
      <w:headerReference w:type="default" r:id="rId5"/>
      <w:footerReference w:type="default" r:id="rId6"/>
      <w:headerReference w:type="first" r:id="rId7"/>
      <w:footerReference w:type="first" r:id="rId8"/>
      <w:endnotePr>
        <w:numFmt w:val="lowerLetter"/>
      </w:endnotePr>
      <w:pgSz w:w="11907" w:h="16840" w:code="9"/>
      <w:pgMar w:top="1814" w:right="1418" w:bottom="1134" w:left="1418" w:header="720" w:footer="454" w:gutter="0"/>
      <w:cols w:space="720"/>
      <w:titlePg/>
      <w:bidi/>
      <w:rtlGutter/>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0000000000000000000"/>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24">
    <w:pPr>
      <w:pStyle w:val="Footer"/>
      <w:pBdr>
        <w:top w:val="single" w:sz="6" w:space="1" w:color="auto"/>
      </w:pBdr>
      <w:ind w:left="0" w:right="0"/>
      <w:jc w:val="both"/>
      <w:rPr>
        <w:b w:val="0"/>
        <w:bCs w:val="0"/>
        <w:rtl/>
      </w:rPr>
    </w:pPr>
    <w:r>
      <w:rPr>
        <w:b w:val="0"/>
        <w:bCs w:val="0"/>
        <w:rtl/>
      </w:rPr>
      <w:t>רח' קפלן 1 ירושלים 91131 ת.ד 13185 טל':02-5317111 פקס':02-5317496</w:t>
      <w:b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24">
    <w:pPr>
      <w:pStyle w:val="Footer"/>
      <w:pBdr>
        <w:top w:val="single" w:sz="6" w:space="1" w:color="auto"/>
      </w:pBdr>
      <w:ind w:left="0" w:right="0"/>
      <w:jc w:val="center"/>
      <w:rPr>
        <w:rFonts w:ascii="Tms Rmn" w:hAnsi="Tms Rmn" w:cs="David" w:hint="cs"/>
        <w:b w:val="0"/>
        <w:bCs w:val="0"/>
        <w:color w:val="000000"/>
        <w:sz w:val="22"/>
        <w:szCs w:val="22"/>
        <w:rtl/>
        <w:lang w:eastAsia="en-US"/>
      </w:rPr>
    </w:pPr>
    <w:r>
      <w:rPr>
        <w:rFonts w:ascii="Wingdings" w:hAnsi="Wingdings" w:cs="David"/>
        <w:b w:val="0"/>
        <w:bCs w:val="0"/>
        <w:sz w:val="22"/>
        <w:szCs w:val="22"/>
      </w:rPr>
      <w:sym w:font="Wingdings" w:char="F02A"/>
    </w:r>
    <w:r>
      <w:rPr>
        <w:rFonts w:cs="David"/>
        <w:b w:val="0"/>
        <w:bCs w:val="0"/>
        <w:sz w:val="22"/>
        <w:szCs w:val="22"/>
        <w:rtl/>
      </w:rPr>
      <w:t xml:space="preserve"> קפלן 2, ת.ד. 6158 ירושלים 91061  טל: </w:t>
    </w:r>
    <w:r>
      <w:rPr>
        <w:rFonts w:ascii="Wingdings" w:hAnsi="Wingdings" w:cs="David"/>
        <w:b w:val="0"/>
        <w:bCs w:val="0"/>
        <w:sz w:val="22"/>
        <w:szCs w:val="22"/>
      </w:rPr>
      <w:sym w:font="Wingdings" w:char="F028"/>
    </w:r>
    <w:r>
      <w:rPr>
        <w:rFonts w:cs="David"/>
        <w:b w:val="0"/>
        <w:bCs w:val="0"/>
        <w:sz w:val="22"/>
        <w:szCs w:val="22"/>
        <w:rtl/>
      </w:rPr>
      <w:t xml:space="preserve"> </w:t>
    </w:r>
    <w:r>
      <w:rPr>
        <w:rFonts w:ascii="Tms Rmn" w:hAnsi="Tms Rmn" w:cs="David" w:hint="cs"/>
        <w:b w:val="0"/>
        <w:bCs w:val="0"/>
        <w:color w:val="000000"/>
        <w:sz w:val="22"/>
        <w:szCs w:val="22"/>
        <w:rtl/>
        <w:lang w:eastAsia="en-US"/>
      </w:rPr>
      <w:t xml:space="preserve">6701433-02 </w:t>
    </w:r>
    <w:r>
      <w:rPr>
        <w:rFonts w:cs="David"/>
        <w:b w:val="0"/>
        <w:bCs w:val="0"/>
        <w:sz w:val="22"/>
        <w:szCs w:val="22"/>
        <w:rtl/>
      </w:rPr>
      <w:t xml:space="preserve">פקס: </w:t>
    </w:r>
    <w:r>
      <w:rPr>
        <w:rFonts w:ascii="Tms Rmn" w:hAnsi="Tms Rmn" w:cs="David" w:hint="cs"/>
        <w:b w:val="0"/>
        <w:bCs w:val="0"/>
        <w:color w:val="000000"/>
        <w:sz w:val="22"/>
        <w:szCs w:val="22"/>
        <w:rtl/>
        <w:lang w:eastAsia="en-US"/>
      </w:rPr>
      <w:t>6701693-02</w:t>
    </w:r>
  </w:p>
  <w:p w:rsidR="00712724">
    <w:pPr>
      <w:pStyle w:val="Footer"/>
      <w:pBdr>
        <w:top w:val="single" w:sz="6" w:space="1" w:color="auto"/>
      </w:pBdr>
      <w:ind w:left="0" w:right="0"/>
      <w:jc w:val="center"/>
      <w:rPr>
        <w:rFonts w:cs="David" w:hint="cs"/>
        <w:b w:val="0"/>
        <w:bCs w:val="0"/>
        <w:sz w:val="22"/>
        <w:szCs w:val="22"/>
        <w:rtl/>
      </w:rPr>
    </w:pPr>
    <w:r>
      <w:rPr>
        <w:rFonts w:cs="David" w:hint="cs"/>
        <w:b w:val="0"/>
        <w:bCs w:val="0"/>
        <w:sz w:val="22"/>
        <w:szCs w:val="22"/>
        <w:rtl/>
        <w:lang w:val="fr-FR"/>
      </w:rPr>
      <w:t>כתובת המשרד</w:t>
    </w:r>
    <w:r>
      <w:rPr>
        <w:rFonts w:hint="cs"/>
        <w:b w:val="0"/>
        <w:bCs w:val="0"/>
        <w:sz w:val="18"/>
        <w:rtl/>
        <w:lang w:val="fr-FR"/>
      </w:rPr>
      <w:t xml:space="preserve">: </w:t>
    </w:r>
    <w:r>
      <w:rPr>
        <w:lang w:val="fr-FR"/>
      </w:rPr>
      <w:t>www.pnim.gov.il</w:t>
    </w:r>
    <w:r>
      <w:rPr>
        <w:rFonts w:hint="cs"/>
        <w:b w:val="0"/>
        <w:bCs w:val="0"/>
        <w:sz w:val="18"/>
        <w:rtl/>
      </w:rPr>
      <w:t xml:space="preserve"> </w:t>
    </w:r>
    <w:r>
      <w:rPr>
        <w:rFonts w:cs="David" w:hint="cs"/>
        <w:b w:val="0"/>
        <w:bCs w:val="0"/>
        <w:sz w:val="22"/>
        <w:szCs w:val="22"/>
        <w:rtl/>
      </w:rPr>
      <w:t>דואר אלקטרוני</w:t>
    </w:r>
    <w:r>
      <w:rPr>
        <w:rFonts w:hint="cs"/>
        <w:b w:val="0"/>
        <w:bCs w:val="0"/>
        <w:sz w:val="18"/>
        <w:rtl/>
      </w:rPr>
      <w:t>:</w:t>
    </w:r>
    <w:r>
      <w:rPr>
        <w:sz w:val="18"/>
        <w:lang w:val="fr-FR"/>
      </w:rPr>
      <w:t xml:space="preserve"> </w:t>
    </w:r>
    <w:r>
      <w:rPr>
        <w:lang w:val="fr-FR"/>
      </w:rPr>
      <w:t>mishpatit@moin.gov.il</w:t>
    </w:r>
  </w:p>
  <w:p w:rsidR="00712724">
    <w:pPr>
      <w:pStyle w:val="Footer"/>
      <w:pBdr>
        <w:top w:val="single" w:sz="6" w:space="1" w:color="auto"/>
      </w:pBdr>
      <w:ind w:left="0" w:right="0"/>
      <w:jc w:val="center"/>
      <w:rPr>
        <w:b w:val="0"/>
        <w:bCs w:val="0"/>
        <w:rtl/>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24">
    <w:pPr>
      <w:pStyle w:val="Header"/>
      <w:framePr w:wrap="around" w:vAnchor="text" w:hAnchor="margin" w:xAlign="center" w:y="1"/>
      <w:ind w:left="0" w:right="0"/>
      <w:jc w:val="both"/>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fldChar w:fldCharType="end"/>
    </w:r>
  </w:p>
  <w:p w:rsidR="00712724">
    <w:pPr>
      <w:pStyle w:val="Header"/>
      <w:ind w:left="0" w:right="0"/>
      <w:jc w:val="both"/>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24">
    <w:pPr>
      <w:pStyle w:val="Header"/>
      <w:framePr w:wrap="around" w:vAnchor="text" w:hAnchor="margin" w:xAlign="center" w:y="1"/>
      <w:ind w:left="0" w:right="0"/>
      <w:jc w:val="both"/>
      <w:rPr>
        <w:rStyle w:val="PageNumber"/>
        <w:rtl/>
      </w:rPr>
    </w:pPr>
    <w:r>
      <w:rPr>
        <w:rStyle w:val="PageNumber"/>
        <w:rtl/>
      </w:rPr>
      <w:fldChar w:fldCharType="begin"/>
    </w:r>
    <w:r>
      <w:rPr>
        <w:rStyle w:val="PageNumber"/>
      </w:rPr>
      <w:instrText xml:space="preserve">PAGE  </w:instrText>
    </w:r>
    <w:r>
      <w:rPr>
        <w:rStyle w:val="PageNumber"/>
        <w:rtl/>
      </w:rPr>
      <w:fldChar w:fldCharType="separate"/>
    </w:r>
    <w:r w:rsidR="001424AD">
      <w:rPr>
        <w:rStyle w:val="PageNumber"/>
        <w:noProof/>
        <w:rtl/>
      </w:rPr>
      <w:t>2</w:t>
    </w:r>
    <w:r>
      <w:rPr>
        <w:rStyle w:val="PageNumber"/>
        <w:rtl/>
      </w:rPr>
      <w:fldChar w:fldCharType="end"/>
    </w:r>
  </w:p>
  <w:p w:rsidR="00712724">
    <w:pPr>
      <w:pStyle w:val="Header"/>
      <w:ind w:left="0" w:right="0"/>
      <w:jc w:val="both"/>
      <w:rPr>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24">
    <w:pPr>
      <w:pStyle w:val="Header"/>
      <w:ind w:left="0" w:right="0"/>
      <w:jc w:val="center"/>
      <w:rPr>
        <w:szCs w:val="28"/>
        <w:rtl/>
      </w:rPr>
    </w:pPr>
    <w:r>
      <w:rPr>
        <w:szCs w:val="28"/>
        <w:rtl/>
      </w:rPr>
      <w:t>מדינת ישראל</w:t>
    </w:r>
  </w:p>
  <w:p w:rsidR="00712724">
    <w:pPr>
      <w:pStyle w:val="Header"/>
      <w:ind w:left="0" w:right="0"/>
      <w:jc w:val="center"/>
      <w:rPr>
        <w:szCs w:val="28"/>
        <w:rtl/>
      </w:rPr>
    </w:pPr>
    <w:r>
      <w:rPr>
        <w:szCs w:val="28"/>
        <w:rtl/>
      </w:rPr>
      <w:t>משרד הפנים</w:t>
    </w:r>
  </w:p>
  <w:p w:rsidR="00712724">
    <w:pPr>
      <w:pStyle w:val="Header"/>
      <w:ind w:left="0" w:right="0"/>
      <w:jc w:val="center"/>
      <w:rPr>
        <w:rtl/>
      </w:rPr>
    </w:pPr>
    <w:r>
      <w:rPr>
        <w:szCs w:val="28"/>
        <w:rtl/>
      </w:rPr>
      <w:t>לשכת היועץ המשפטי</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3716A75A"/>
    <w:lvl w:ilvl="0">
      <w:start w:val="1"/>
      <w:numFmt w:val="decimal"/>
      <w:pStyle w:val="Heading1"/>
      <w:lvlText w:val="%1."/>
      <w:legacy w:legacy="1" w:legacySpace="0" w:legacyIndent="284"/>
      <w:lvlJc w:val="right"/>
      <w:pPr>
        <w:ind w:left="284" w:right="284" w:hanging="284"/>
      </w:pPr>
    </w:lvl>
    <w:lvl w:ilvl="1">
      <w:start w:val="1"/>
      <w:numFmt w:val="decimal"/>
      <w:pStyle w:val="Heading2"/>
      <w:lvlText w:val="%1.%2."/>
      <w:legacy w:legacy="1" w:legacySpace="0" w:legacyIndent="737"/>
      <w:lvlJc w:val="right"/>
      <w:pPr>
        <w:ind w:left="1021" w:right="1021" w:hanging="737"/>
      </w:pPr>
    </w:lvl>
    <w:lvl w:ilvl="2">
      <w:start w:val="1"/>
      <w:numFmt w:val="decimal"/>
      <w:pStyle w:val="Heading3"/>
      <w:lvlText w:val="%1.%2.%3."/>
      <w:legacy w:legacy="1" w:legacySpace="0" w:legacyIndent="794"/>
      <w:lvlJc w:val="right"/>
      <w:pPr>
        <w:ind w:left="1815" w:right="1815" w:hanging="794"/>
      </w:pPr>
    </w:lvl>
    <w:lvl w:ilvl="3">
      <w:start w:val="1"/>
      <w:numFmt w:val="decimal"/>
      <w:pStyle w:val="Heading4"/>
      <w:lvlText w:val="%1.%2.%3.%4."/>
      <w:legacy w:legacy="1" w:legacySpace="0" w:legacyIndent="1021"/>
      <w:lvlJc w:val="right"/>
      <w:pPr>
        <w:ind w:left="2836" w:right="2836" w:hanging="1021"/>
      </w:pPr>
    </w:lvl>
    <w:lvl w:ilvl="4">
      <w:start w:val="1"/>
      <w:numFmt w:val="hebrew1"/>
      <w:pStyle w:val="Heading5"/>
      <w:lvlText w:val="%5."/>
      <w:legacy w:legacy="1" w:legacySpace="0" w:legacyIndent="397"/>
      <w:lvlJc w:val="right"/>
      <w:pPr>
        <w:ind w:left="3233" w:right="3233" w:hanging="397"/>
      </w:pPr>
    </w:lvl>
    <w:lvl w:ilvl="5">
      <w:start w:val="1"/>
      <w:numFmt w:val="decimal"/>
      <w:pStyle w:val="Heading6"/>
      <w:lvlText w:val="%6."/>
      <w:legacy w:legacy="1" w:legacySpace="0" w:legacyIndent="397"/>
      <w:lvlJc w:val="right"/>
      <w:pPr>
        <w:ind w:left="3630" w:right="3630" w:hanging="397"/>
      </w:pPr>
    </w:lvl>
    <w:lvl w:ilvl="6">
      <w:start w:val="0"/>
      <w:numFmt w:val="none"/>
      <w:pStyle w:val="Heading7"/>
      <w:lvlJc w:val="left"/>
      <w:pPr>
        <w:tabs>
          <w:tab w:val="num" w:pos="360"/>
        </w:tabs>
      </w:pPr>
    </w:lvl>
    <w:lvl w:ilvl="7">
      <w:start w:val="0"/>
      <w:numFmt w:val="none"/>
      <w:pStyle w:val="Heading8"/>
      <w:lvlJc w:val="left"/>
      <w:pPr>
        <w:tabs>
          <w:tab w:val="num" w:pos="360"/>
        </w:tabs>
      </w:pPr>
    </w:lvl>
    <w:lvl w:ilvl="8">
      <w:start w:val="1"/>
      <w:numFmt w:val="decimal"/>
      <w:pStyle w:val="Heading9"/>
      <w:lvlText w:val="%9."/>
      <w:legacy w:legacy="1" w:legacySpace="0" w:legacyIndent="709"/>
      <w:lvlJc w:val="center"/>
      <w:pPr>
        <w:ind w:left="5133" w:right="5133" w:hanging="709"/>
      </w:pPr>
    </w:lvl>
  </w:abstractNum>
  <w:abstractNum w:abstractNumId="1">
    <w:nsid w:val="193A7437"/>
    <w:multiLevelType w:val="hybridMultilevel"/>
    <w:tmpl w:val="4956BE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NotTrackMoves/>
  <w:defaultTabStop w:val="170"/>
  <w:drawingGridHorizontalSpacing w:val="120"/>
  <w:drawingGridVerticalSpacing w:val="120"/>
  <w:displayVerticalDrawingGridEvery w:val="0"/>
  <w:doNotUseMarginsForDrawingGridOrigin/>
  <w:drawingGridHorizontalOrigin w:val="1701"/>
  <w:drawingGridVerticalOrigin w:val="1984"/>
  <w:noPunctuationKerning/>
  <w:characterSpacingControl w:val="doNotCompress"/>
  <w:endnotePr>
    <w:numFmt w:val="lowerLetter"/>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6C88"/>
    <w:rsid w:val="0002111D"/>
    <w:rsid w:val="00057D17"/>
    <w:rsid w:val="00095161"/>
    <w:rsid w:val="000B3B77"/>
    <w:rsid w:val="000D78BE"/>
    <w:rsid w:val="00110FB3"/>
    <w:rsid w:val="00124D83"/>
    <w:rsid w:val="00125D2F"/>
    <w:rsid w:val="001303C6"/>
    <w:rsid w:val="001331E6"/>
    <w:rsid w:val="001424AD"/>
    <w:rsid w:val="001C0383"/>
    <w:rsid w:val="001F2372"/>
    <w:rsid w:val="00244187"/>
    <w:rsid w:val="00281B22"/>
    <w:rsid w:val="00285819"/>
    <w:rsid w:val="003E4A66"/>
    <w:rsid w:val="00411B06"/>
    <w:rsid w:val="00437688"/>
    <w:rsid w:val="00456C88"/>
    <w:rsid w:val="004667B4"/>
    <w:rsid w:val="00477A20"/>
    <w:rsid w:val="004A6CAF"/>
    <w:rsid w:val="00516F07"/>
    <w:rsid w:val="005910F5"/>
    <w:rsid w:val="00601BCC"/>
    <w:rsid w:val="00630BF2"/>
    <w:rsid w:val="00633674"/>
    <w:rsid w:val="00675910"/>
    <w:rsid w:val="006D03E8"/>
    <w:rsid w:val="00703609"/>
    <w:rsid w:val="00712724"/>
    <w:rsid w:val="00737FE7"/>
    <w:rsid w:val="007A6C1F"/>
    <w:rsid w:val="007B227A"/>
    <w:rsid w:val="007B299B"/>
    <w:rsid w:val="007C1125"/>
    <w:rsid w:val="007D562D"/>
    <w:rsid w:val="007D62AD"/>
    <w:rsid w:val="007D70F2"/>
    <w:rsid w:val="007E028E"/>
    <w:rsid w:val="008B7F3D"/>
    <w:rsid w:val="008C3D7C"/>
    <w:rsid w:val="008D09AB"/>
    <w:rsid w:val="0090595B"/>
    <w:rsid w:val="0097783F"/>
    <w:rsid w:val="009D6E24"/>
    <w:rsid w:val="00A479B0"/>
    <w:rsid w:val="00A51ADB"/>
    <w:rsid w:val="00A70ED3"/>
    <w:rsid w:val="00A93388"/>
    <w:rsid w:val="00AC021B"/>
    <w:rsid w:val="00AC2999"/>
    <w:rsid w:val="00B249A4"/>
    <w:rsid w:val="00C061AE"/>
    <w:rsid w:val="00CF46F2"/>
    <w:rsid w:val="00CF5A98"/>
    <w:rsid w:val="00D331C1"/>
    <w:rsid w:val="00D3340D"/>
    <w:rsid w:val="00D55149"/>
    <w:rsid w:val="00D90EBE"/>
    <w:rsid w:val="00DB1BE8"/>
    <w:rsid w:val="00DC6CDF"/>
    <w:rsid w:val="00E11438"/>
    <w:rsid w:val="00E16297"/>
    <w:rsid w:val="00E7759F"/>
    <w:rsid w:val="00F01004"/>
    <w:rsid w:val="00F5407D"/>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overflowPunct w:val="0"/>
      <w:autoSpaceDE w:val="0"/>
      <w:autoSpaceDN w:val="0"/>
      <w:bidi/>
      <w:adjustRightInd w:val="0"/>
      <w:jc w:val="both"/>
      <w:textAlignment w:val="baseline"/>
    </w:pPr>
    <w:rPr>
      <w:rFonts w:cs="FrankRuehl"/>
      <w:szCs w:val="26"/>
      <w:lang w:val="en-US" w:eastAsia="he-IL" w:bidi="he-IL"/>
    </w:rPr>
  </w:style>
  <w:style w:type="paragraph" w:styleId="Heading1">
    <w:name w:val="heading 1"/>
    <w:basedOn w:val="Normal"/>
    <w:next w:val="10"/>
    <w:qFormat/>
    <w:pPr>
      <w:keepNext/>
      <w:numPr>
        <w:ilvl w:val="0"/>
        <w:numId w:val="1"/>
      </w:numPr>
      <w:tabs>
        <w:tab w:val="left" w:pos="1800"/>
      </w:tabs>
      <w:ind w:left="284" w:right="0"/>
      <w:jc w:val="both"/>
      <w:outlineLvl w:val="0"/>
    </w:pPr>
    <w:rPr>
      <w:noProof/>
      <w:kern w:val="28"/>
      <w:sz w:val="24"/>
    </w:rPr>
  </w:style>
  <w:style w:type="paragraph" w:styleId="Heading2">
    <w:name w:val="heading 2"/>
    <w:basedOn w:val="Normal"/>
    <w:next w:val="20"/>
    <w:qFormat/>
    <w:pPr>
      <w:numPr>
        <w:ilvl w:val="1"/>
        <w:numId w:val="1"/>
      </w:numPr>
      <w:ind w:left="1021" w:right="0"/>
      <w:jc w:val="both"/>
      <w:outlineLvl w:val="1"/>
    </w:pPr>
    <w:rPr>
      <w:sz w:val="24"/>
    </w:rPr>
  </w:style>
  <w:style w:type="paragraph" w:styleId="Heading3">
    <w:name w:val="heading 3"/>
    <w:basedOn w:val="Normal"/>
    <w:next w:val="30"/>
    <w:qFormat/>
    <w:pPr>
      <w:keepNext/>
      <w:numPr>
        <w:ilvl w:val="2"/>
        <w:numId w:val="1"/>
      </w:numPr>
      <w:tabs>
        <w:tab w:val="left" w:pos="1800"/>
      </w:tabs>
      <w:ind w:left="1815" w:right="0"/>
      <w:jc w:val="both"/>
      <w:outlineLvl w:val="2"/>
    </w:pPr>
    <w:rPr>
      <w:b/>
      <w:noProof/>
      <w:kern w:val="28"/>
      <w:sz w:val="24"/>
    </w:rPr>
  </w:style>
  <w:style w:type="paragraph" w:styleId="Heading4">
    <w:name w:val="heading 4"/>
    <w:basedOn w:val="Normal"/>
    <w:next w:val="4"/>
    <w:qFormat/>
    <w:pPr>
      <w:numPr>
        <w:ilvl w:val="3"/>
        <w:numId w:val="1"/>
      </w:numPr>
      <w:ind w:left="2836" w:right="0"/>
      <w:jc w:val="both"/>
      <w:outlineLvl w:val="3"/>
    </w:pPr>
    <w:rPr>
      <w:b/>
      <w:sz w:val="24"/>
    </w:rPr>
  </w:style>
  <w:style w:type="paragraph" w:styleId="Heading5">
    <w:name w:val="heading 5"/>
    <w:basedOn w:val="Normal"/>
    <w:next w:val="5"/>
    <w:qFormat/>
    <w:pPr>
      <w:keepNext/>
      <w:numPr>
        <w:ilvl w:val="4"/>
        <w:numId w:val="1"/>
      </w:numPr>
      <w:tabs>
        <w:tab w:val="left" w:pos="1800"/>
      </w:tabs>
      <w:ind w:left="3233" w:right="0"/>
      <w:jc w:val="both"/>
      <w:outlineLvl w:val="4"/>
    </w:pPr>
    <w:rPr>
      <w:b/>
      <w:noProof/>
      <w:kern w:val="28"/>
      <w:sz w:val="24"/>
    </w:rPr>
  </w:style>
  <w:style w:type="paragraph" w:styleId="Heading6">
    <w:name w:val="heading 6"/>
    <w:basedOn w:val="Normal"/>
    <w:next w:val="6"/>
    <w:qFormat/>
    <w:pPr>
      <w:numPr>
        <w:ilvl w:val="5"/>
        <w:numId w:val="1"/>
      </w:numPr>
      <w:ind w:left="3630" w:right="0"/>
      <w:jc w:val="both"/>
      <w:outlineLvl w:val="5"/>
    </w:pPr>
    <w:rPr>
      <w:b/>
      <w:sz w:val="24"/>
    </w:rPr>
  </w:style>
  <w:style w:type="paragraph" w:styleId="Heading7">
    <w:name w:val="heading 7"/>
    <w:basedOn w:val="Normal"/>
    <w:next w:val="7"/>
    <w:qFormat/>
    <w:pPr>
      <w:keepNext/>
      <w:numPr>
        <w:ilvl w:val="6"/>
        <w:numId w:val="1"/>
      </w:numPr>
      <w:tabs>
        <w:tab w:val="left" w:pos="1800"/>
      </w:tabs>
      <w:ind w:left="4027" w:right="0"/>
      <w:jc w:val="both"/>
      <w:outlineLvl w:val="6"/>
    </w:pPr>
    <w:rPr>
      <w:b/>
      <w:noProof/>
      <w:kern w:val="28"/>
      <w:sz w:val="24"/>
    </w:rPr>
  </w:style>
  <w:style w:type="paragraph" w:styleId="Heading8">
    <w:name w:val="heading 8"/>
    <w:basedOn w:val="Normal"/>
    <w:next w:val="8"/>
    <w:qFormat/>
    <w:pPr>
      <w:numPr>
        <w:ilvl w:val="7"/>
        <w:numId w:val="1"/>
      </w:numPr>
      <w:ind w:left="4424" w:right="0"/>
      <w:jc w:val="both"/>
      <w:outlineLvl w:val="7"/>
    </w:pPr>
    <w:rPr>
      <w:b/>
      <w:sz w:val="24"/>
    </w:rPr>
  </w:style>
  <w:style w:type="paragraph" w:styleId="Heading9">
    <w:name w:val="heading 9"/>
    <w:basedOn w:val="Normal"/>
    <w:next w:val="Normal"/>
    <w:qFormat/>
    <w:pPr>
      <w:numPr>
        <w:ilvl w:val="8"/>
        <w:numId w:val="1"/>
      </w:numPr>
      <w:spacing w:before="240" w:after="60"/>
      <w:ind w:left="5133" w:right="0"/>
      <w:jc w:val="both"/>
      <w:outlineLvl w:val="8"/>
    </w:pPr>
    <w:rPr>
      <w:b/>
      <w:bCs/>
      <w:i/>
      <w:iCs/>
      <w:sz w:val="18"/>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ind w:left="0" w:right="0"/>
      <w:jc w:val="both"/>
    </w:pPr>
    <w:rPr>
      <w:rFonts w:cs="Narkisim"/>
      <w:b/>
      <w:bCs/>
      <w:szCs w:val="24"/>
    </w:rPr>
  </w:style>
  <w:style w:type="paragraph" w:styleId="Footer">
    <w:name w:val="footer"/>
    <w:basedOn w:val="Normal"/>
    <w:pPr>
      <w:tabs>
        <w:tab w:val="center" w:pos="4320"/>
        <w:tab w:val="right" w:pos="8640"/>
      </w:tabs>
      <w:ind w:left="0" w:right="0"/>
      <w:jc w:val="both"/>
    </w:pPr>
    <w:rPr>
      <w:rFonts w:cs="Narkisim"/>
      <w:b/>
      <w:bCs/>
      <w:szCs w:val="24"/>
    </w:rPr>
  </w:style>
  <w:style w:type="paragraph" w:customStyle="1" w:styleId="a">
    <w:name w:val="בכבוד"/>
    <w:basedOn w:val="Normal"/>
    <w:pPr>
      <w:tabs>
        <w:tab w:val="center" w:pos="5612"/>
      </w:tabs>
      <w:spacing w:line="360" w:lineRule="auto"/>
      <w:ind w:left="0" w:right="0"/>
      <w:jc w:val="both"/>
    </w:pPr>
    <w:rPr>
      <w:sz w:val="24"/>
    </w:rPr>
  </w:style>
  <w:style w:type="paragraph" w:styleId="List">
    <w:name w:val="List"/>
    <w:basedOn w:val="Normal"/>
    <w:pPr>
      <w:ind w:left="283" w:right="0" w:hanging="283"/>
      <w:jc w:val="both"/>
    </w:pPr>
  </w:style>
  <w:style w:type="paragraph" w:styleId="List2">
    <w:name w:val="List 2"/>
    <w:basedOn w:val="Normal"/>
    <w:pPr>
      <w:ind w:left="566" w:right="0" w:hanging="283"/>
      <w:jc w:val="both"/>
    </w:pPr>
  </w:style>
  <w:style w:type="paragraph" w:styleId="List3">
    <w:name w:val="List 3"/>
    <w:basedOn w:val="Normal"/>
    <w:pPr>
      <w:ind w:left="849" w:right="0" w:hanging="283"/>
      <w:jc w:val="both"/>
    </w:pPr>
  </w:style>
  <w:style w:type="paragraph" w:styleId="List4">
    <w:name w:val="List 4"/>
    <w:basedOn w:val="Normal"/>
    <w:pPr>
      <w:ind w:left="1132" w:right="0" w:hanging="283"/>
      <w:jc w:val="both"/>
    </w:pPr>
  </w:style>
  <w:style w:type="paragraph" w:styleId="List5">
    <w:name w:val="List 5"/>
    <w:basedOn w:val="Normal"/>
    <w:pPr>
      <w:ind w:left="1415" w:right="0" w:hanging="283"/>
      <w:jc w:val="both"/>
    </w:pPr>
  </w:style>
  <w:style w:type="paragraph" w:styleId="ListBullet">
    <w:name w:val="List Bullet"/>
    <w:basedOn w:val="Normal"/>
    <w:pPr>
      <w:numPr>
        <w:ilvl w:val="10"/>
        <w:numId w:val="0"/>
      </w:numPr>
      <w:ind w:left="283" w:right="0" w:hanging="283"/>
      <w:jc w:val="both"/>
    </w:pPr>
  </w:style>
  <w:style w:type="paragraph" w:styleId="ListBullet2">
    <w:name w:val="List Bullet 2"/>
    <w:basedOn w:val="Normal"/>
    <w:pPr>
      <w:numPr>
        <w:ilvl w:val="10"/>
        <w:numId w:val="0"/>
      </w:numPr>
      <w:ind w:left="566" w:right="0" w:hanging="283"/>
      <w:jc w:val="both"/>
    </w:pPr>
  </w:style>
  <w:style w:type="paragraph" w:styleId="ListBullet3">
    <w:name w:val="List Bullet 3"/>
    <w:basedOn w:val="Normal"/>
    <w:pPr>
      <w:numPr>
        <w:ilvl w:val="10"/>
        <w:numId w:val="0"/>
      </w:numPr>
      <w:ind w:left="849" w:right="0" w:hanging="283"/>
      <w:jc w:val="both"/>
    </w:pPr>
  </w:style>
  <w:style w:type="paragraph" w:styleId="ListBullet4">
    <w:name w:val="List Bullet 4"/>
    <w:basedOn w:val="Normal"/>
    <w:pPr>
      <w:numPr>
        <w:ilvl w:val="10"/>
        <w:numId w:val="0"/>
      </w:numPr>
      <w:ind w:left="1132" w:right="0" w:hanging="283"/>
      <w:jc w:val="both"/>
    </w:pPr>
  </w:style>
  <w:style w:type="paragraph" w:styleId="ListBullet5">
    <w:name w:val="List Bullet 5"/>
    <w:basedOn w:val="Normal"/>
    <w:pPr>
      <w:numPr>
        <w:ilvl w:val="10"/>
        <w:numId w:val="0"/>
      </w:numPr>
      <w:ind w:left="1415" w:right="0" w:hanging="283"/>
      <w:jc w:val="both"/>
    </w:pPr>
  </w:style>
  <w:style w:type="paragraph" w:styleId="ListContinue">
    <w:name w:val="List Continue"/>
    <w:basedOn w:val="Normal"/>
    <w:pPr>
      <w:spacing w:after="120"/>
      <w:ind w:left="283" w:right="0"/>
      <w:jc w:val="both"/>
    </w:pPr>
  </w:style>
  <w:style w:type="paragraph" w:styleId="ListContinue2">
    <w:name w:val="List Continue 2"/>
    <w:basedOn w:val="Normal"/>
    <w:pPr>
      <w:spacing w:after="120"/>
      <w:ind w:left="566" w:right="0"/>
      <w:jc w:val="both"/>
    </w:pPr>
  </w:style>
  <w:style w:type="paragraph" w:styleId="ListContinue3">
    <w:name w:val="List Continue 3"/>
    <w:basedOn w:val="Normal"/>
    <w:pPr>
      <w:spacing w:after="120"/>
      <w:ind w:left="849" w:right="0"/>
      <w:jc w:val="both"/>
    </w:pPr>
  </w:style>
  <w:style w:type="paragraph" w:styleId="ListContinue4">
    <w:name w:val="List Continue 4"/>
    <w:basedOn w:val="Normal"/>
    <w:pPr>
      <w:spacing w:after="120"/>
      <w:ind w:left="1132" w:right="0"/>
      <w:jc w:val="both"/>
    </w:pPr>
  </w:style>
  <w:style w:type="paragraph" w:styleId="ListContinue5">
    <w:name w:val="List Continue 5"/>
    <w:basedOn w:val="Normal"/>
    <w:pPr>
      <w:spacing w:after="120"/>
      <w:ind w:left="1415" w:right="0"/>
      <w:jc w:val="both"/>
    </w:pPr>
  </w:style>
  <w:style w:type="paragraph" w:styleId="ListNumber">
    <w:name w:val="List Number"/>
    <w:basedOn w:val="Normal"/>
    <w:pPr>
      <w:numPr>
        <w:ilvl w:val="11"/>
        <w:numId w:val="0"/>
      </w:numPr>
      <w:ind w:left="283" w:right="0" w:hanging="283"/>
      <w:jc w:val="both"/>
    </w:pPr>
  </w:style>
  <w:style w:type="paragraph" w:styleId="ListNumber2">
    <w:name w:val="List Number 2"/>
    <w:basedOn w:val="Normal"/>
    <w:pPr>
      <w:numPr>
        <w:ilvl w:val="11"/>
        <w:numId w:val="0"/>
      </w:numPr>
      <w:ind w:left="566" w:right="0" w:hanging="283"/>
      <w:jc w:val="both"/>
    </w:pPr>
  </w:style>
  <w:style w:type="paragraph" w:styleId="ListNumber3">
    <w:name w:val="List Number 3"/>
    <w:basedOn w:val="Normal"/>
    <w:pPr>
      <w:numPr>
        <w:ilvl w:val="11"/>
        <w:numId w:val="0"/>
      </w:numPr>
      <w:ind w:left="849" w:right="0" w:hanging="283"/>
      <w:jc w:val="both"/>
    </w:pPr>
  </w:style>
  <w:style w:type="paragraph" w:styleId="ListNumber4">
    <w:name w:val="List Number 4"/>
    <w:basedOn w:val="Normal"/>
    <w:pPr>
      <w:numPr>
        <w:ilvl w:val="11"/>
        <w:numId w:val="0"/>
      </w:numPr>
      <w:ind w:left="1132" w:right="0" w:hanging="283"/>
      <w:jc w:val="both"/>
    </w:pPr>
  </w:style>
  <w:style w:type="paragraph" w:styleId="ListNumber5">
    <w:name w:val="List Number 5"/>
    <w:basedOn w:val="Normal"/>
    <w:pPr>
      <w:numPr>
        <w:ilvl w:val="11"/>
        <w:numId w:val="0"/>
      </w:numPr>
      <w:ind w:left="1415" w:right="0" w:hanging="283"/>
      <w:jc w:val="both"/>
    </w:pPr>
  </w:style>
  <w:style w:type="character" w:styleId="PageNumber">
    <w:name w:val="page number"/>
    <w:basedOn w:val="DefaultParagraphFont"/>
  </w:style>
  <w:style w:type="paragraph" w:customStyle="1" w:styleId="1">
    <w:name w:val="כותרת1"/>
    <w:basedOn w:val="Normal"/>
    <w:next w:val="Normal"/>
    <w:pPr>
      <w:spacing w:after="240"/>
      <w:ind w:left="0" w:right="0"/>
      <w:jc w:val="center"/>
    </w:pPr>
    <w:rPr>
      <w:b/>
      <w:bCs/>
      <w:sz w:val="40"/>
      <w:szCs w:val="48"/>
    </w:rPr>
  </w:style>
  <w:style w:type="paragraph" w:customStyle="1" w:styleId="2">
    <w:name w:val="כותרת2"/>
    <w:basedOn w:val="Normal"/>
    <w:next w:val="Normal"/>
    <w:pPr>
      <w:spacing w:before="120" w:after="240"/>
      <w:ind w:left="0" w:right="0"/>
      <w:jc w:val="center"/>
    </w:pPr>
    <w:rPr>
      <w:b/>
      <w:bCs/>
      <w:sz w:val="32"/>
      <w:szCs w:val="40"/>
    </w:rPr>
  </w:style>
  <w:style w:type="paragraph" w:customStyle="1" w:styleId="3">
    <w:name w:val="כותרת3"/>
    <w:basedOn w:val="Normal"/>
    <w:next w:val="Normal"/>
    <w:pPr>
      <w:spacing w:before="120" w:after="240"/>
      <w:ind w:left="0" w:right="0"/>
      <w:jc w:val="center"/>
    </w:pPr>
    <w:rPr>
      <w:b/>
      <w:bCs/>
      <w:sz w:val="26"/>
      <w:szCs w:val="32"/>
    </w:rPr>
  </w:style>
  <w:style w:type="paragraph" w:customStyle="1" w:styleId="10">
    <w:name w:val="פיסקה1"/>
    <w:basedOn w:val="Normal"/>
    <w:pPr>
      <w:tabs>
        <w:tab w:val="left" w:pos="1800"/>
      </w:tabs>
      <w:ind w:left="284" w:right="0"/>
      <w:jc w:val="both"/>
    </w:pPr>
    <w:rPr>
      <w:noProof/>
      <w:sz w:val="24"/>
    </w:rPr>
  </w:style>
  <w:style w:type="paragraph" w:customStyle="1" w:styleId="20">
    <w:name w:val="פיסקה2"/>
    <w:basedOn w:val="Normal"/>
    <w:pPr>
      <w:tabs>
        <w:tab w:val="left" w:pos="1800"/>
      </w:tabs>
      <w:ind w:left="1021" w:right="0"/>
      <w:jc w:val="both"/>
    </w:pPr>
    <w:rPr>
      <w:noProof/>
      <w:sz w:val="24"/>
    </w:rPr>
  </w:style>
  <w:style w:type="paragraph" w:customStyle="1" w:styleId="30">
    <w:name w:val="פיסקה3"/>
    <w:basedOn w:val="Normal"/>
    <w:pPr>
      <w:tabs>
        <w:tab w:val="left" w:pos="1800"/>
      </w:tabs>
      <w:ind w:left="1814" w:right="0"/>
      <w:jc w:val="both"/>
    </w:pPr>
    <w:rPr>
      <w:b/>
      <w:noProof/>
      <w:sz w:val="24"/>
    </w:rPr>
  </w:style>
  <w:style w:type="paragraph" w:customStyle="1" w:styleId="4">
    <w:name w:val="פיסקה4"/>
    <w:basedOn w:val="Normal"/>
    <w:pPr>
      <w:ind w:left="2835" w:right="0"/>
      <w:jc w:val="both"/>
    </w:pPr>
    <w:rPr>
      <w:noProof/>
      <w:sz w:val="24"/>
    </w:rPr>
  </w:style>
  <w:style w:type="paragraph" w:customStyle="1" w:styleId="5">
    <w:name w:val="פיסקה5"/>
    <w:basedOn w:val="Normal"/>
    <w:pPr>
      <w:ind w:left="3232" w:right="0"/>
      <w:jc w:val="both"/>
    </w:pPr>
    <w:rPr>
      <w:noProof/>
      <w:sz w:val="24"/>
    </w:rPr>
  </w:style>
  <w:style w:type="paragraph" w:customStyle="1" w:styleId="6">
    <w:name w:val="פיסקה6"/>
    <w:basedOn w:val="Normal"/>
    <w:pPr>
      <w:ind w:left="3629" w:right="0"/>
      <w:jc w:val="both"/>
    </w:pPr>
    <w:rPr>
      <w:sz w:val="24"/>
    </w:rPr>
  </w:style>
  <w:style w:type="paragraph" w:customStyle="1" w:styleId="7">
    <w:name w:val="פיסקה7"/>
    <w:basedOn w:val="Normal"/>
    <w:pPr>
      <w:ind w:left="4026" w:right="0"/>
      <w:jc w:val="both"/>
    </w:pPr>
    <w:rPr>
      <w:sz w:val="24"/>
    </w:rPr>
  </w:style>
  <w:style w:type="paragraph" w:customStyle="1" w:styleId="8">
    <w:name w:val="פיסקה8"/>
    <w:basedOn w:val="Normal"/>
    <w:pPr>
      <w:ind w:left="4423" w:right="0"/>
      <w:jc w:val="both"/>
    </w:pPr>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footer" Target="footer2.xml" /><Relationship Id="rId9" Type="http://schemas.openxmlformats.org/officeDocument/2006/relationships/numbering" Target="numbering.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