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20BD1" w:rsidP="008A46B1" w14:paraId="449BFC8C" w14:textId="77777777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21 מרץ 2021</w:t>
      </w:r>
    </w:p>
    <w:p w:rsidR="00A20BD1" w:rsidP="00A20BD1" w14:paraId="2F345C6E" w14:textId="77777777">
      <w:pPr>
        <w:spacing w:after="120"/>
        <w:jc w:val="right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‏ח</w:t>
      </w:r>
      <w:r>
        <w:rPr>
          <w:rFonts w:cs="David"/>
          <w:sz w:val="24"/>
          <w:szCs w:val="24"/>
          <w:rtl/>
          <w:lang w:eastAsia="en-US"/>
        </w:rPr>
        <w:t>' ניסן, תשפ"א</w:t>
      </w:r>
    </w:p>
    <w:p w:rsidR="00C30D84" w:rsidRPr="00C30D84" w:rsidP="004A22EB" w14:paraId="06CAAC13" w14:textId="77777777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 w:rsidRPr="00C30D84">
        <w:rPr>
          <w:rFonts w:cs="David" w:hint="cs"/>
          <w:sz w:val="24"/>
          <w:szCs w:val="24"/>
          <w:rtl/>
          <w:lang w:eastAsia="en-US"/>
        </w:rPr>
        <w:t>מס' סימוכין: 3044-21-00</w:t>
      </w:r>
      <w:r w:rsidR="004A22EB">
        <w:rPr>
          <w:rFonts w:cs="David" w:hint="cs"/>
          <w:sz w:val="24"/>
          <w:szCs w:val="24"/>
          <w:rtl/>
          <w:lang w:eastAsia="en-US"/>
        </w:rPr>
        <w:t>07</w:t>
      </w:r>
    </w:p>
    <w:p w:rsidR="00E423C7" w:rsidP="00983F4C" w14:paraId="28380CA7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לכבוד </w:t>
      </w:r>
    </w:p>
    <w:p w:rsidR="003C3402" w:rsidP="00983F4C" w14:paraId="094A1B8B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>התנועה לחופש המידע</w:t>
      </w:r>
    </w:p>
    <w:p w:rsidR="00667D9D" w:rsidP="00983F4C" w14:paraId="7B0F51CC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hyperlink r:id="rId5" w:history="1">
        <w:r w:rsidRPr="004124F0" w:rsidR="005B564B">
          <w:rPr>
            <w:rStyle w:val="Hyperlink"/>
            <w:rFonts w:cs="David"/>
            <w:b/>
            <w:bCs/>
            <w:sz w:val="24"/>
            <w:szCs w:val="24"/>
            <w:lang w:eastAsia="en-US"/>
          </w:rPr>
          <w:t>shaiklot@gmail.com</w:t>
        </w:r>
      </w:hyperlink>
    </w:p>
    <w:p w:rsidR="005B564B" w:rsidRPr="005B564B" w:rsidP="00983F4C" w14:paraId="15C2090E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A20BD1" w:rsidP="00983F4C" w14:paraId="4FE220FF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 w14:paraId="3118B858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 w14:paraId="1C64DC6A" w14:textId="77777777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Pr="008A46B1" w:rsidP="008E4B77" w14:paraId="64689D2E" w14:textId="77777777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Pr="00504A70" w:rsidR="00CE6A7C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br/>
      </w:r>
    </w:p>
    <w:p w:rsidR="005B564B" w:rsidP="005B564B" w14:paraId="1C62E347" w14:textId="77777777">
      <w:pPr>
        <w:rPr>
          <w:rtl/>
        </w:rPr>
      </w:pPr>
    </w:p>
    <w:p w:rsidR="008E4B77" w:rsidRPr="008E4B77" w:rsidP="0017496E" w14:paraId="11AE5F21" w14:textId="77777777">
      <w:pPr>
        <w:pStyle w:val="ListParagraph"/>
        <w:numPr>
          <w:ilvl w:val="0"/>
          <w:numId w:val="6"/>
        </w:numPr>
        <w:spacing w:after="120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  <w:r w:rsidRPr="008E4B77">
        <w:rPr>
          <w:rFonts w:cs="David"/>
          <w:sz w:val="24"/>
          <w:szCs w:val="24"/>
          <w:rtl/>
        </w:rPr>
        <w:t>מרבית נהלי הרשות שלהם נגיעה או חשיבות לציבור מפורסמים באתר הרשות ומעודכנים באופן שוטף</w:t>
      </w:r>
      <w:r w:rsidR="00B618CA">
        <w:rPr>
          <w:rFonts w:cs="David" w:hint="cs"/>
          <w:sz w:val="24"/>
          <w:szCs w:val="24"/>
          <w:rtl/>
        </w:rPr>
        <w:t>.</w:t>
      </w:r>
    </w:p>
    <w:p w:rsidR="008E4B77" w:rsidRPr="008E4B77" w:rsidP="0017496E" w14:paraId="69843460" w14:textId="77777777">
      <w:pPr>
        <w:pStyle w:val="ListParagraph"/>
        <w:numPr>
          <w:ilvl w:val="0"/>
          <w:numId w:val="6"/>
        </w:numPr>
        <w:spacing w:after="120"/>
        <w:jc w:val="both"/>
        <w:rPr>
          <w:rFonts w:cs="David"/>
          <w:sz w:val="24"/>
          <w:szCs w:val="24"/>
        </w:rPr>
      </w:pPr>
      <w:r w:rsidRPr="008E4B77">
        <w:rPr>
          <w:rFonts w:cs="David"/>
          <w:sz w:val="24"/>
          <w:szCs w:val="24"/>
          <w:rtl/>
        </w:rPr>
        <w:t>הנהלים המפורסמים כיום באתר הרשות:</w:t>
      </w:r>
    </w:p>
    <w:p w:rsidR="008E4B77" w:rsidRPr="008E4B77" w:rsidP="008E4B77" w14:paraId="0FDA3A58" w14:textId="77777777">
      <w:pPr>
        <w:spacing w:after="120"/>
        <w:rPr>
          <w:rFonts w:cs="David"/>
          <w:sz w:val="24"/>
          <w:szCs w:val="24"/>
          <w:lang w:eastAsia="en-US"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/>
      </w:tblPr>
      <w:tblGrid>
        <w:gridCol w:w="1625"/>
        <w:gridCol w:w="6661"/>
      </w:tblGrid>
      <w:tr w14:paraId="01C6FC86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09"/>
        </w:trPr>
        <w:tc>
          <w:tcPr>
            <w:tcW w:w="3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41FCF1EC" w14:textId="77777777">
            <w:pPr>
              <w:spacing w:after="120"/>
              <w:rPr>
                <w:rFonts w:cs="David"/>
                <w:sz w:val="24"/>
                <w:szCs w:val="24"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שם הנוהל </w:t>
            </w:r>
          </w:p>
        </w:tc>
        <w:tc>
          <w:tcPr>
            <w:tcW w:w="8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1FD9CE2B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>לינק</w:t>
            </w:r>
          </w:p>
        </w:tc>
      </w:tr>
      <w:tr w14:paraId="44FEBACE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452"/>
        </w:trPr>
        <w:tc>
          <w:tcPr>
            <w:tcW w:w="3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B77" w:rsidRPr="008E4B77" w:rsidP="008E4B77" w14:paraId="49D25D4C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>נוהל פתיחת תיק תביעה על סכום קצוב</w:t>
            </w:r>
          </w:p>
          <w:p w:rsidR="008E4B77" w:rsidRPr="008E4B77" w:rsidP="008E4B77" w14:paraId="2652046E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8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18CA" w:rsidP="008E4B77" w14:paraId="3380B5F2" w14:textId="77777777">
            <w:pPr>
              <w:spacing w:after="120"/>
              <w:rPr>
                <w:rFonts w:cs="David"/>
                <w:sz w:val="24"/>
                <w:szCs w:val="24"/>
                <w:lang w:eastAsia="en-US"/>
              </w:rPr>
            </w:pPr>
            <w:hyperlink r:id="rId6" w:history="1">
              <w:r w:rsidRPr="008E4B77" w:rsidR="008E4B77">
                <w:rPr>
                  <w:rFonts w:cs="David"/>
                  <w:sz w:val="24"/>
                  <w:szCs w:val="24"/>
                  <w:lang w:eastAsia="en-US"/>
                </w:rPr>
                <w:t>https://www.gov.il/he/departments/policies/opening-specified-amount-file-regulation</w:t>
              </w:r>
            </w:hyperlink>
          </w:p>
          <w:p w:rsidR="008E4B77" w:rsidRPr="008E4B77" w:rsidP="008E4B77" w14:paraId="6BD0D16A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14:paraId="644411BB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09"/>
        </w:trPr>
        <w:tc>
          <w:tcPr>
            <w:tcW w:w="3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7B514EDE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>נוהל פתיחת תיק שטרות והמחאות</w:t>
            </w:r>
          </w:p>
        </w:tc>
        <w:tc>
          <w:tcPr>
            <w:tcW w:w="8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794B9946" w14:textId="77777777">
            <w:pPr>
              <w:spacing w:after="120"/>
              <w:rPr>
                <w:rFonts w:cs="David"/>
                <w:sz w:val="24"/>
                <w:szCs w:val="24"/>
                <w:lang w:eastAsia="en-US"/>
              </w:rPr>
            </w:pPr>
            <w:hyperlink r:id="rId7" w:history="1">
              <w:r w:rsidRPr="008E4B77">
                <w:rPr>
                  <w:rFonts w:cs="David"/>
                  <w:sz w:val="24"/>
                  <w:szCs w:val="24"/>
                  <w:lang w:eastAsia="en-US"/>
                </w:rPr>
                <w:t>https://www.gov.il/he/departments/policies/opening-notes-and-checks-file-regulation</w:t>
              </w:r>
            </w:hyperlink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14:paraId="3448D039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209"/>
        </w:trPr>
        <w:tc>
          <w:tcPr>
            <w:tcW w:w="3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22692427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>נוהל פתיחת פסק דין כספי</w:t>
            </w:r>
          </w:p>
        </w:tc>
        <w:tc>
          <w:tcPr>
            <w:tcW w:w="8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369CB141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hyperlink r:id="rId8" w:history="1">
              <w:r w:rsidRPr="008E4B77">
                <w:rPr>
                  <w:rFonts w:cs="David"/>
                  <w:sz w:val="24"/>
                  <w:szCs w:val="24"/>
                  <w:lang w:eastAsia="en-US"/>
                </w:rPr>
                <w:t>https://www.gov.il/he/departments/policies/opening-monetary-verdict-file-regulation</w:t>
              </w:r>
            </w:hyperlink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14:paraId="0F33BB1F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198"/>
        </w:trPr>
        <w:tc>
          <w:tcPr>
            <w:tcW w:w="3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6868EABA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נוהל ייפוי </w:t>
            </w: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>כח</w:t>
            </w: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  <w:tc>
          <w:tcPr>
            <w:tcW w:w="8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1C01E17A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hyperlink r:id="rId9" w:history="1">
              <w:r w:rsidRPr="008E4B77">
                <w:rPr>
                  <w:rFonts w:cs="David"/>
                  <w:sz w:val="24"/>
                  <w:szCs w:val="24"/>
                  <w:lang w:eastAsia="en-US"/>
                </w:rPr>
                <w:t>https://www.gov.il/he/departments/policies/power-of-attorney-regulation</w:t>
              </w:r>
            </w:hyperlink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14:paraId="50F0EDDF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198"/>
        </w:trPr>
        <w:tc>
          <w:tcPr>
            <w:tcW w:w="3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4E9E57C6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>נוהל אשורי מסירת אזהרה לחייב</w:t>
            </w:r>
          </w:p>
        </w:tc>
        <w:tc>
          <w:tcPr>
            <w:tcW w:w="8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2B9A13A8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hyperlink r:id="rId10" w:history="1">
              <w:r w:rsidRPr="008E4B77">
                <w:rPr>
                  <w:rFonts w:cs="David"/>
                  <w:sz w:val="24"/>
                  <w:szCs w:val="24"/>
                  <w:lang w:eastAsia="en-US"/>
                </w:rPr>
                <w:t>https://www.gov.il/he/departments/policies/warning-delivery-to-debtor-regulation</w:t>
              </w:r>
            </w:hyperlink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14:paraId="278518F5" w14:textId="77777777" w:rsidTr="008E4B77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198"/>
        </w:trPr>
        <w:tc>
          <w:tcPr>
            <w:tcW w:w="3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45E255AF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נוהל כינוס נכסים </w:t>
            </w:r>
          </w:p>
        </w:tc>
        <w:tc>
          <w:tcPr>
            <w:tcW w:w="8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4B77" w:rsidRPr="008E4B77" w:rsidP="008E4B77" w14:paraId="16FDF3F7" w14:textId="77777777">
            <w:pPr>
              <w:spacing w:after="120"/>
              <w:rPr>
                <w:rFonts w:cs="David"/>
                <w:sz w:val="24"/>
                <w:szCs w:val="24"/>
                <w:rtl/>
                <w:lang w:eastAsia="en-US"/>
              </w:rPr>
            </w:pPr>
            <w:hyperlink r:id="rId11" w:history="1">
              <w:r w:rsidRPr="008E4B77">
                <w:rPr>
                  <w:rFonts w:cs="David"/>
                  <w:sz w:val="24"/>
                  <w:szCs w:val="24"/>
                  <w:lang w:eastAsia="en-US"/>
                </w:rPr>
                <w:t>https://www.gov.il/he/departments/policies/new_receivership</w:t>
              </w:r>
            </w:hyperlink>
            <w:r w:rsidRPr="008E4B77">
              <w:rPr>
                <w:rFonts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</w:tbl>
    <w:p w:rsidR="008E4B77" w:rsidRPr="008E4B77" w:rsidP="008E4B77" w14:paraId="381B3AC2" w14:textId="77777777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8E4B77" w:rsidRPr="008E4B77" w:rsidP="0017496E" w14:paraId="07A9F075" w14:textId="1A9FE2B6">
      <w:pPr>
        <w:pStyle w:val="ListParagraph"/>
        <w:numPr>
          <w:ilvl w:val="0"/>
          <w:numId w:val="6"/>
        </w:numPr>
        <w:spacing w:after="120"/>
        <w:jc w:val="both"/>
        <w:rPr>
          <w:rFonts w:cs="David"/>
          <w:sz w:val="24"/>
          <w:szCs w:val="24"/>
          <w:rtl/>
        </w:rPr>
      </w:pPr>
      <w:r w:rsidRPr="008E4B77">
        <w:rPr>
          <w:rFonts w:cs="David"/>
          <w:sz w:val="24"/>
          <w:szCs w:val="24"/>
          <w:rtl/>
        </w:rPr>
        <w:t xml:space="preserve">בכוונת הרשות </w:t>
      </w:r>
      <w:r w:rsidR="00B618CA">
        <w:rPr>
          <w:rFonts w:cs="David" w:hint="cs"/>
          <w:sz w:val="24"/>
          <w:szCs w:val="24"/>
          <w:rtl/>
        </w:rPr>
        <w:t xml:space="preserve">לפרסם </w:t>
      </w:r>
      <w:r w:rsidRPr="008E4B77">
        <w:rPr>
          <w:rFonts w:cs="David"/>
          <w:sz w:val="24"/>
          <w:szCs w:val="24"/>
          <w:rtl/>
        </w:rPr>
        <w:t>את כל ה</w:t>
      </w:r>
      <w:r w:rsidR="0017496E">
        <w:rPr>
          <w:rFonts w:cs="Arial" w:hint="cs"/>
          <w:sz w:val="24"/>
          <w:szCs w:val="24"/>
          <w:rtl/>
        </w:rPr>
        <w:t xml:space="preserve">נהלים </w:t>
      </w:r>
      <w:r w:rsidRPr="008E4B77">
        <w:rPr>
          <w:rFonts w:cs="David"/>
          <w:sz w:val="24"/>
          <w:szCs w:val="24"/>
          <w:rtl/>
        </w:rPr>
        <w:t xml:space="preserve"> באתר ונושא זה </w:t>
      </w:r>
      <w:r w:rsidR="0017496E">
        <w:rPr>
          <w:rFonts w:cs="Arial" w:hint="cs"/>
          <w:sz w:val="24"/>
          <w:szCs w:val="24"/>
          <w:rtl/>
        </w:rPr>
        <w:t>מ</w:t>
      </w:r>
      <w:r w:rsidRPr="008E4B77">
        <w:rPr>
          <w:rFonts w:cs="David"/>
          <w:sz w:val="24"/>
          <w:szCs w:val="24"/>
          <w:rtl/>
        </w:rPr>
        <w:t>ופיע בתכנית העבודה. מאחר והנהלים משתנים מעת לעת</w:t>
      </w:r>
      <w:r w:rsidR="00B618CA">
        <w:rPr>
          <w:rFonts w:cs="David" w:hint="cs"/>
          <w:sz w:val="24"/>
          <w:szCs w:val="24"/>
          <w:rtl/>
        </w:rPr>
        <w:t>,</w:t>
      </w:r>
      <w:r w:rsidRPr="008E4B77">
        <w:rPr>
          <w:rFonts w:cs="David"/>
          <w:sz w:val="24"/>
          <w:szCs w:val="24"/>
          <w:rtl/>
        </w:rPr>
        <w:t xml:space="preserve"> יש צורך בפיתוח מחשובי (</w:t>
      </w:r>
      <w:r w:rsidRPr="008E4B77">
        <w:rPr>
          <w:rFonts w:cs="David"/>
          <w:sz w:val="24"/>
          <w:szCs w:val="24"/>
          <w:rtl/>
        </w:rPr>
        <w:t>דשבורד</w:t>
      </w:r>
      <w:r w:rsidRPr="008E4B77">
        <w:rPr>
          <w:rFonts w:cs="David"/>
          <w:sz w:val="24"/>
          <w:szCs w:val="24"/>
          <w:rtl/>
        </w:rPr>
        <w:t xml:space="preserve">) אשר </w:t>
      </w:r>
      <w:r w:rsidR="00A708DC">
        <w:rPr>
          <w:rFonts w:cs="David" w:hint="cs"/>
          <w:sz w:val="24"/>
          <w:szCs w:val="24"/>
          <w:rtl/>
        </w:rPr>
        <w:t xml:space="preserve">באמצעותו </w:t>
      </w:r>
      <w:r w:rsidRPr="008E4B77">
        <w:rPr>
          <w:rFonts w:cs="David"/>
          <w:sz w:val="24"/>
          <w:szCs w:val="24"/>
          <w:rtl/>
        </w:rPr>
        <w:t>כל שינוי</w:t>
      </w:r>
      <w:r w:rsidR="00B618CA">
        <w:rPr>
          <w:rFonts w:cs="David" w:hint="cs"/>
          <w:sz w:val="24"/>
          <w:szCs w:val="24"/>
          <w:rtl/>
        </w:rPr>
        <w:t xml:space="preserve"> בנוהל</w:t>
      </w:r>
      <w:r w:rsidR="00A708DC">
        <w:rPr>
          <w:rFonts w:cs="David" w:hint="cs"/>
          <w:sz w:val="24"/>
          <w:szCs w:val="24"/>
          <w:rtl/>
        </w:rPr>
        <w:t xml:space="preserve"> יעודכן באופן אוטומטי</w:t>
      </w:r>
      <w:r w:rsidR="00B618CA">
        <w:rPr>
          <w:rFonts w:cs="David" w:hint="cs"/>
          <w:sz w:val="24"/>
          <w:szCs w:val="24"/>
          <w:rtl/>
        </w:rPr>
        <w:t xml:space="preserve"> בכל המקומות</w:t>
      </w:r>
      <w:r w:rsidR="00A708DC">
        <w:rPr>
          <w:rFonts w:cs="David" w:hint="cs"/>
          <w:sz w:val="24"/>
          <w:szCs w:val="24"/>
          <w:rtl/>
        </w:rPr>
        <w:t xml:space="preserve"> הנוספים</w:t>
      </w:r>
      <w:r w:rsidR="00B618CA">
        <w:rPr>
          <w:rFonts w:cs="David" w:hint="cs"/>
          <w:sz w:val="24"/>
          <w:szCs w:val="24"/>
          <w:rtl/>
        </w:rPr>
        <w:t xml:space="preserve"> בהם מפורסם</w:t>
      </w:r>
      <w:r w:rsidRPr="008E4B77">
        <w:rPr>
          <w:rFonts w:cs="David"/>
          <w:sz w:val="24"/>
          <w:szCs w:val="24"/>
          <w:rtl/>
        </w:rPr>
        <w:t xml:space="preserve"> ועל כן יש צורך בהתקשרות עם חברות</w:t>
      </w:r>
      <w:r w:rsidR="00A708DC">
        <w:rPr>
          <w:rFonts w:cs="David" w:hint="cs"/>
          <w:sz w:val="24"/>
          <w:szCs w:val="24"/>
          <w:rtl/>
        </w:rPr>
        <w:t>,</w:t>
      </w:r>
      <w:r w:rsidRPr="008E4B77">
        <w:rPr>
          <w:rFonts w:cs="David"/>
          <w:sz w:val="24"/>
          <w:szCs w:val="24"/>
          <w:rtl/>
        </w:rPr>
        <w:t xml:space="preserve"> אשר זהו תחום מומחיותן. הנושא לא הושלם עד כה בשל היעדר תקציב אולם נמצא על שולחן העבודה של הרשות</w:t>
      </w:r>
      <w:r w:rsidR="00B618CA">
        <w:rPr>
          <w:rFonts w:cs="David" w:hint="cs"/>
          <w:sz w:val="24"/>
          <w:szCs w:val="24"/>
          <w:rtl/>
        </w:rPr>
        <w:t xml:space="preserve">. </w:t>
      </w:r>
    </w:p>
    <w:p w:rsidR="008E4B77" w:rsidRPr="008E4B77" w:rsidP="0017496E" w14:paraId="1D7A7306" w14:textId="77777777">
      <w:pPr>
        <w:pStyle w:val="ListParagraph"/>
        <w:numPr>
          <w:ilvl w:val="0"/>
          <w:numId w:val="6"/>
        </w:numPr>
        <w:spacing w:after="120"/>
        <w:jc w:val="both"/>
        <w:rPr>
          <w:rFonts w:ascii="Times New Roman" w:hAnsi="Times New Roman" w:cs="David"/>
          <w:sz w:val="24"/>
          <w:szCs w:val="24"/>
        </w:rPr>
      </w:pPr>
      <w:r w:rsidRPr="008E4B77">
        <w:rPr>
          <w:rFonts w:cs="David"/>
          <w:sz w:val="24"/>
          <w:szCs w:val="24"/>
          <w:rtl/>
        </w:rPr>
        <w:t xml:space="preserve">מבלי להתייחס באופן פרטני למקרים אשר הועלו בפנייתך אבהיר כי ככל שיש השגה או תלונה על דרך הטיפול בבקשות בלשכות ההוצאה לפועל ניתן להגיש תלונה באתר רשות האכיפה והגביה </w:t>
      </w:r>
      <w:hyperlink r:id="rId12" w:history="1">
        <w:r w:rsidRPr="008E4B77">
          <w:rPr>
            <w:rFonts w:cs="David"/>
            <w:sz w:val="24"/>
            <w:szCs w:val="24"/>
          </w:rPr>
          <w:t>https://www.gov.il/he/Departments/General/public_inquires</w:t>
        </w:r>
      </w:hyperlink>
      <w:r w:rsidR="00B618CA">
        <w:rPr>
          <w:rFonts w:ascii="Arial" w:hAnsi="Arial" w:cs="Arial" w:hint="cs"/>
          <w:color w:val="1F497D"/>
          <w:sz w:val="28"/>
          <w:szCs w:val="28"/>
          <w:rtl/>
        </w:rPr>
        <w:t>.</w:t>
      </w:r>
      <w:r w:rsidRPr="008E4B77">
        <w:rPr>
          <w:rFonts w:ascii="Arial" w:hAnsi="Arial" w:cs="Arial"/>
          <w:color w:val="1F497D"/>
          <w:sz w:val="28"/>
          <w:szCs w:val="28"/>
          <w:rtl/>
        </w:rPr>
        <w:t xml:space="preserve"> </w:t>
      </w:r>
    </w:p>
    <w:p w:rsidR="008E4B77" w:rsidP="0017496E" w14:paraId="7D9B81B2" w14:textId="77777777">
      <w:pPr>
        <w:jc w:val="both"/>
        <w:rPr>
          <w:rFonts w:ascii="Arial" w:hAnsi="Arial" w:cs="Arial"/>
          <w:color w:val="1F497D"/>
          <w:sz w:val="22"/>
          <w:szCs w:val="22"/>
          <w:rtl/>
        </w:rPr>
      </w:pPr>
    </w:p>
    <w:p w:rsidR="008E4B77" w:rsidP="005B564B" w14:paraId="51CB85AB" w14:textId="77777777">
      <w:pPr>
        <w:rPr>
          <w:rtl/>
        </w:rPr>
      </w:pPr>
    </w:p>
    <w:p w:rsidR="008E4B77" w:rsidP="005B564B" w14:paraId="07D3E2A4" w14:textId="77777777">
      <w:pPr>
        <w:rPr>
          <w:rtl/>
        </w:rPr>
      </w:pPr>
    </w:p>
    <w:p w:rsidR="008E4B77" w:rsidP="005B564B" w14:paraId="66AA682C" w14:textId="77777777">
      <w:pPr>
        <w:rPr>
          <w:rtl/>
        </w:rPr>
      </w:pPr>
    </w:p>
    <w:p w:rsidR="008E4B77" w:rsidP="005B564B" w14:paraId="326B3B79" w14:textId="77777777">
      <w:pPr>
        <w:rPr>
          <w:rtl/>
        </w:rPr>
      </w:pPr>
    </w:p>
    <w:p w:rsidR="008E4B77" w:rsidP="005B564B" w14:paraId="56D5627A" w14:textId="77777777">
      <w:pPr>
        <w:rPr>
          <w:rtl/>
        </w:rPr>
      </w:pPr>
    </w:p>
    <w:p w:rsidR="008E4B77" w:rsidRPr="008E4B77" w:rsidP="008E4B77" w14:paraId="532FD423" w14:textId="777777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8E4B77">
        <w:rPr>
          <w:rFonts w:ascii="David" w:hAnsi="David" w:cs="David" w:hint="cs"/>
          <w:b/>
          <w:bCs/>
          <w:sz w:val="24"/>
          <w:szCs w:val="24"/>
          <w:rtl/>
        </w:rPr>
        <w:t xml:space="preserve">בברכה, </w:t>
      </w:r>
    </w:p>
    <w:p w:rsidR="00983F4C" w:rsidRPr="005B564B" w:rsidP="008A46B1" w14:paraId="6CEA192E" w14:textId="777777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8A46B1" w:rsidRPr="005B564B" w:rsidP="008A46B1" w14:paraId="6BD4EB13" w14:textId="777777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ממונה על העמדת המידע לציבור</w:t>
      </w:r>
    </w:p>
    <w:p w:rsidR="008A46B1" w:rsidRPr="005B564B" w:rsidP="008A46B1" w14:paraId="624B315C" w14:textId="777777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983F4C" w:rsidRPr="005B564B" w:rsidP="00983F4C" w14:paraId="79B18131" w14:textId="77777777">
      <w:pPr>
        <w:rPr>
          <w:rFonts w:ascii="David" w:hAnsi="David" w:cs="David"/>
          <w:sz w:val="24"/>
          <w:szCs w:val="24"/>
        </w:rPr>
      </w:pPr>
    </w:p>
    <w:p w:rsidR="00417A5D" w14:paraId="29B62EC9" w14:textId="77777777"/>
    <w:sectPr w:rsidSect="008E0812">
      <w:headerReference w:type="default" r:id="rId13"/>
      <w:footerReference w:type="even" r:id="rId14"/>
      <w:footerReference w:type="default" r:id="rId15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14:paraId="56DCC10D" w14:textId="7777777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:rsidP="008E0812" w14:paraId="51A33674" w14:textId="77777777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8E0812" w:rsidRPr="00B05D08" w:rsidP="008E0812" w14:paraId="7D6CD495" w14:textId="77777777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14:paraId="53244D2B" w14:textId="77777777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14:paraId="32B139F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:rsidP="008E0812" w14:paraId="0D9C3311" w14:textId="77777777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E0812" w:rsidP="008E0812" w14:paraId="3C5FB857" w14:textId="7777777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808998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0812" w:rsidP="008E0812" w14:paraId="3F2FBF0B" w14:textId="7777777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:rsidP="008E0812" w14:paraId="25C0CFE1" w14:textId="77777777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8E0812" w:rsidRPr="00245517" w:rsidP="008E0812" w14:paraId="70F3BE21" w14:textId="77777777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8E0812" w:rsidRPr="00B05D08" w:rsidP="008E0812" w14:paraId="51D1FE8F" w14:textId="77777777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B93B3F"/>
    <w:multiLevelType w:val="hybridMultilevel"/>
    <w:tmpl w:val="6EFC241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63A22"/>
    <w:multiLevelType w:val="hybridMultilevel"/>
    <w:tmpl w:val="5E66F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47E63"/>
    <w:multiLevelType w:val="hybridMultilevel"/>
    <w:tmpl w:val="6EFC241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7753F"/>
    <w:multiLevelType w:val="hybridMultilevel"/>
    <w:tmpl w:val="E0CCB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96EC7"/>
    <w:multiLevelType w:val="hybridMultilevel"/>
    <w:tmpl w:val="E1B6806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7496E"/>
    <w:rsid w:val="00197668"/>
    <w:rsid w:val="001B3ECE"/>
    <w:rsid w:val="001B710A"/>
    <w:rsid w:val="00245517"/>
    <w:rsid w:val="0028344F"/>
    <w:rsid w:val="002B64A0"/>
    <w:rsid w:val="003C3402"/>
    <w:rsid w:val="004124F0"/>
    <w:rsid w:val="00417A5D"/>
    <w:rsid w:val="0042543C"/>
    <w:rsid w:val="0043006F"/>
    <w:rsid w:val="00455FF7"/>
    <w:rsid w:val="004A22EB"/>
    <w:rsid w:val="004B4FA0"/>
    <w:rsid w:val="00504A70"/>
    <w:rsid w:val="00505A96"/>
    <w:rsid w:val="0058517C"/>
    <w:rsid w:val="005B31D6"/>
    <w:rsid w:val="005B564B"/>
    <w:rsid w:val="005E1615"/>
    <w:rsid w:val="00667D9D"/>
    <w:rsid w:val="00690592"/>
    <w:rsid w:val="00762F88"/>
    <w:rsid w:val="00842A12"/>
    <w:rsid w:val="00884A69"/>
    <w:rsid w:val="008A46B1"/>
    <w:rsid w:val="008A6B3C"/>
    <w:rsid w:val="008B2A9B"/>
    <w:rsid w:val="008C5D3B"/>
    <w:rsid w:val="008D33FD"/>
    <w:rsid w:val="008E0812"/>
    <w:rsid w:val="008E4B77"/>
    <w:rsid w:val="0091220D"/>
    <w:rsid w:val="00983F4C"/>
    <w:rsid w:val="00A145E2"/>
    <w:rsid w:val="00A20BD1"/>
    <w:rsid w:val="00A3093D"/>
    <w:rsid w:val="00A708DC"/>
    <w:rsid w:val="00B05D08"/>
    <w:rsid w:val="00B16A63"/>
    <w:rsid w:val="00B27C65"/>
    <w:rsid w:val="00B30145"/>
    <w:rsid w:val="00B618CA"/>
    <w:rsid w:val="00BF7E3F"/>
    <w:rsid w:val="00C30D84"/>
    <w:rsid w:val="00CB6F9C"/>
    <w:rsid w:val="00CE6A7C"/>
    <w:rsid w:val="00D3220F"/>
    <w:rsid w:val="00D66CB0"/>
    <w:rsid w:val="00D839C5"/>
    <w:rsid w:val="00DF41E8"/>
    <w:rsid w:val="00E02B0C"/>
    <w:rsid w:val="00E423C7"/>
    <w:rsid w:val="00E440AC"/>
    <w:rsid w:val="00E86B7B"/>
    <w:rsid w:val="00EB6524"/>
    <w:rsid w:val="00F35146"/>
    <w:rsid w:val="00FA2012"/>
    <w:rsid w:val="00FD713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40AC"/>
    <w:rPr>
      <w:color w:val="0563C1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5B564B"/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5B564B"/>
    <w:rPr>
      <w:rFonts w:ascii="Tahoma" w:eastAsia="Times New Roman" w:hAnsi="Tahoma" w:cs="Tahoma"/>
      <w:sz w:val="18"/>
      <w:szCs w:val="18"/>
      <w:lang w:eastAsia="he-IL"/>
    </w:rPr>
  </w:style>
  <w:style w:type="paragraph" w:styleId="FootnoteText">
    <w:name w:val="footnote text"/>
    <w:basedOn w:val="Normal"/>
    <w:link w:val="a3"/>
    <w:uiPriority w:val="99"/>
    <w:semiHidden/>
    <w:unhideWhenUsed/>
    <w:rsid w:val="005B564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3">
    <w:name w:val="טקסט הערת שוליים תו"/>
    <w:basedOn w:val="DefaultParagraphFont"/>
    <w:link w:val="FootnoteText"/>
    <w:uiPriority w:val="99"/>
    <w:semiHidden/>
    <w:rsid w:val="005B56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564B"/>
    <w:rPr>
      <w:vertAlign w:val="superscript"/>
    </w:rPr>
  </w:style>
  <w:style w:type="table" w:styleId="TableGrid">
    <w:name w:val="Table Grid"/>
    <w:basedOn w:val="TableNormal"/>
    <w:uiPriority w:val="39"/>
    <w:rsid w:val="005B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618CA"/>
    <w:rPr>
      <w:sz w:val="16"/>
      <w:szCs w:val="16"/>
    </w:rPr>
  </w:style>
  <w:style w:type="paragraph" w:styleId="CommentText">
    <w:name w:val="annotation text"/>
    <w:basedOn w:val="Normal"/>
    <w:link w:val="a4"/>
    <w:uiPriority w:val="99"/>
    <w:semiHidden/>
    <w:unhideWhenUsed/>
    <w:rsid w:val="00B618CA"/>
    <w:rPr>
      <w:sz w:val="20"/>
      <w:szCs w:val="20"/>
    </w:rPr>
  </w:style>
  <w:style w:type="character" w:customStyle="1" w:styleId="a4">
    <w:name w:val="טקסט הערה תו"/>
    <w:basedOn w:val="DefaultParagraphFont"/>
    <w:link w:val="CommentText"/>
    <w:uiPriority w:val="99"/>
    <w:semiHidden/>
    <w:rsid w:val="00B618C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a5"/>
    <w:uiPriority w:val="99"/>
    <w:semiHidden/>
    <w:unhideWhenUsed/>
    <w:rsid w:val="00B618CA"/>
    <w:rPr>
      <w:b/>
      <w:bCs/>
    </w:rPr>
  </w:style>
  <w:style w:type="character" w:customStyle="1" w:styleId="a5">
    <w:name w:val="נושא הערה תו"/>
    <w:basedOn w:val="a4"/>
    <w:link w:val="CommentSubject"/>
    <w:uiPriority w:val="99"/>
    <w:semiHidden/>
    <w:rsid w:val="00B618CA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.il/he/departments/policies/warning-delivery-to-debtor-regulation" TargetMode="External" /><Relationship Id="rId11" Type="http://schemas.openxmlformats.org/officeDocument/2006/relationships/hyperlink" Target="https://www.gov.il/he/departments/policies/new_receivership" TargetMode="External" /><Relationship Id="rId12" Type="http://schemas.openxmlformats.org/officeDocument/2006/relationships/hyperlink" Target="https://www.gov.il/he/Departments/General/public_inquires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shaiklot@gmail.com" TargetMode="External" /><Relationship Id="rId6" Type="http://schemas.openxmlformats.org/officeDocument/2006/relationships/hyperlink" Target="https://www.gov.il/he/departments/policies/opening-specified-amount-file-regulation" TargetMode="External" /><Relationship Id="rId7" Type="http://schemas.openxmlformats.org/officeDocument/2006/relationships/hyperlink" Target="https://www.gov.il/he/departments/policies/opening-notes-and-checks-file-regulation" TargetMode="External" /><Relationship Id="rId8" Type="http://schemas.openxmlformats.org/officeDocument/2006/relationships/hyperlink" Target="https://www.gov.il/he/departments/policies/opening-monetary-verdict-file-regulation" TargetMode="External" /><Relationship Id="rId9" Type="http://schemas.openxmlformats.org/officeDocument/2006/relationships/hyperlink" Target="https://www.gov.il/he/departments/policies/power-of-attorney-regulation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5A67F-5C62-47B6-B16C-FC4C205C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