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FD77B4" w:rsidP="005307A1">
      <w:pPr>
        <w:ind w:left="-667"/>
        <w:rPr>
          <w:b/>
          <w:bCs/>
          <w:sz w:val="28"/>
          <w:szCs w:val="28"/>
          <w:u w:val="single"/>
          <w:rtl/>
        </w:rPr>
      </w:pPr>
      <w:r w:rsidRPr="005307A1">
        <w:rPr>
          <w:rFonts w:hint="cs"/>
          <w:b/>
          <w:bCs/>
          <w:sz w:val="28"/>
          <w:szCs w:val="28"/>
          <w:u w:val="single"/>
          <w:rtl/>
        </w:rPr>
        <w:t xml:space="preserve">לפרסום - החלטה בבקשת חופש מידע מספר 3056-21-0014 </w:t>
      </w:r>
      <w:r w:rsidRPr="005307A1" w:rsidR="005307A1">
        <w:rPr>
          <w:b/>
          <w:bCs/>
          <w:sz w:val="28"/>
          <w:szCs w:val="28"/>
          <w:u w:val="single"/>
          <w:rtl/>
        </w:rPr>
        <w:t>–</w:t>
      </w:r>
      <w:r w:rsidRPr="005307A1">
        <w:rPr>
          <w:rFonts w:hint="cs"/>
          <w:b/>
          <w:bCs/>
          <w:sz w:val="28"/>
          <w:szCs w:val="28"/>
          <w:u w:val="single"/>
          <w:rtl/>
        </w:rPr>
        <w:t xml:space="preserve"> נקודות</w:t>
      </w:r>
      <w:r w:rsidRPr="005307A1" w:rsidR="005307A1">
        <w:rPr>
          <w:rFonts w:hint="cs"/>
          <w:b/>
          <w:bCs/>
          <w:sz w:val="28"/>
          <w:szCs w:val="28"/>
          <w:u w:val="single"/>
          <w:rtl/>
        </w:rPr>
        <w:t xml:space="preserve"> שירותים חיוניים</w:t>
      </w:r>
    </w:p>
    <w:p w:rsidR="005307A1" w:rsidP="005307A1">
      <w:pPr>
        <w:ind w:left="-667"/>
        <w:rPr>
          <w:b/>
          <w:bCs/>
          <w:sz w:val="28"/>
          <w:szCs w:val="28"/>
          <w:u w:val="single"/>
          <w:rtl/>
        </w:rPr>
      </w:pPr>
    </w:p>
    <w:p w:rsidR="00B32A45" w:rsidP="00B32A45">
      <w:pPr>
        <w:spacing w:after="0" w:line="360" w:lineRule="auto"/>
        <w:ind w:left="84"/>
        <w:jc w:val="both"/>
        <w:rPr>
          <w:rFonts w:ascii="David" w:hAnsi="David" w:cs="David"/>
          <w:sz w:val="24"/>
          <w:szCs w:val="24"/>
        </w:rPr>
      </w:pPr>
      <w:r>
        <w:rPr>
          <w:rFonts w:ascii="David" w:hAnsi="David" w:cs="David"/>
          <w:sz w:val="24"/>
          <w:szCs w:val="24"/>
          <w:rtl/>
        </w:rPr>
        <w:t xml:space="preserve">גברת נכבדה, </w:t>
      </w:r>
    </w:p>
    <w:p w:rsidR="00B32A45" w:rsidP="00B32A45">
      <w:pPr>
        <w:spacing w:after="0" w:line="360" w:lineRule="auto"/>
        <w:ind w:left="84"/>
        <w:jc w:val="both"/>
        <w:rPr>
          <w:rFonts w:ascii="David" w:hAnsi="David" w:cs="David"/>
          <w:sz w:val="24"/>
          <w:szCs w:val="24"/>
          <w:rtl/>
        </w:rPr>
      </w:pPr>
    </w:p>
    <w:p w:rsidR="00B32A45" w:rsidP="00B32A45">
      <w:pPr>
        <w:spacing w:after="0" w:line="360" w:lineRule="auto"/>
        <w:ind w:left="84"/>
        <w:jc w:val="both"/>
        <w:rPr>
          <w:rFonts w:ascii="David" w:hAnsi="David" w:cs="David"/>
          <w:b/>
          <w:bCs/>
          <w:sz w:val="24"/>
          <w:szCs w:val="24"/>
          <w:u w:val="single"/>
          <w:rtl/>
        </w:rPr>
      </w:pPr>
      <w:r>
        <w:rPr>
          <w:rFonts w:ascii="David" w:hAnsi="David" w:cs="David"/>
          <w:b/>
          <w:bCs/>
          <w:sz w:val="24"/>
          <w:szCs w:val="24"/>
          <w:u w:val="single"/>
          <w:rtl/>
        </w:rPr>
        <w:t>הנדון: החלטה בבקשת חופש מידע מספר "3056-21-0014 – נקודות שירותים חיוניים"</w:t>
      </w:r>
    </w:p>
    <w:p w:rsidR="00B32A45" w:rsidP="00B32A45">
      <w:pPr>
        <w:spacing w:after="0" w:line="360" w:lineRule="auto"/>
        <w:jc w:val="both"/>
        <w:rPr>
          <w:rFonts w:ascii="David" w:hAnsi="David" w:cs="David"/>
          <w:sz w:val="24"/>
          <w:szCs w:val="24"/>
          <w:rtl/>
        </w:rPr>
      </w:pPr>
      <w:r>
        <w:rPr>
          <w:rFonts w:ascii="David" w:hAnsi="David" w:cs="David"/>
          <w:sz w:val="24"/>
          <w:szCs w:val="24"/>
        </w:rPr>
        <w:t xml:space="preserve"> </w:t>
      </w:r>
    </w:p>
    <w:p w:rsidR="00B32A45" w:rsidP="00B32A45">
      <w:pPr>
        <w:spacing w:after="120" w:line="360" w:lineRule="auto"/>
        <w:ind w:left="-58"/>
        <w:jc w:val="both"/>
        <w:rPr>
          <w:rFonts w:ascii="David" w:hAnsi="David" w:cs="David"/>
          <w:sz w:val="24"/>
          <w:szCs w:val="24"/>
        </w:rPr>
      </w:pPr>
      <w:r>
        <w:rPr>
          <w:rFonts w:ascii="David" w:hAnsi="David" w:cs="David"/>
          <w:sz w:val="24"/>
          <w:szCs w:val="24"/>
          <w:rtl/>
        </w:rPr>
        <w:t xml:space="preserve">בקשתכם מיום 7.4.21 לקבלת מידע בנושא "נקודות שירותים חיוניים" התקבלה אצלנו, נבחנה ולהלן </w:t>
      </w:r>
      <w:r>
        <w:rPr>
          <w:rFonts w:ascii="David" w:hAnsi="David" w:cs="David"/>
          <w:sz w:val="24"/>
          <w:szCs w:val="24"/>
          <w:rtl/>
        </w:rPr>
        <w:t>התייחסותינו</w:t>
      </w:r>
      <w:r>
        <w:rPr>
          <w:rFonts w:ascii="David" w:hAnsi="David" w:cs="David"/>
          <w:sz w:val="24"/>
          <w:szCs w:val="24"/>
          <w:rtl/>
        </w:rPr>
        <w:t>, המבוססת על מידע שהועבר אלינו ע"י  לשכת התכנון במחוז דרום:</w:t>
      </w:r>
    </w:p>
    <w:p w:rsidR="00B32A45" w:rsidP="00B32A45">
      <w:pPr>
        <w:bidi w:val="0"/>
        <w:spacing w:after="240" w:line="276" w:lineRule="auto"/>
        <w:jc w:val="right"/>
        <w:rPr>
          <w:rFonts w:ascii="David" w:hAnsi="David" w:cs="David"/>
          <w:sz w:val="24"/>
          <w:szCs w:val="24"/>
          <w:rtl/>
        </w:rPr>
      </w:pPr>
      <w:r>
        <w:rPr>
          <w:rFonts w:ascii="David" w:hAnsi="David" w:cs="David"/>
          <w:sz w:val="24"/>
          <w:szCs w:val="24"/>
          <w:rtl/>
        </w:rPr>
        <w:t xml:space="preserve">אתרים לאספקת שירותים חיוניים לאוכלוסייה הבדואית הבלתי-מוסדרת מבוססים על החובה המשפטית שנקבעה לכך בפסיקה. </w:t>
      </w:r>
    </w:p>
    <w:p w:rsidR="00B32A45" w:rsidP="00B32A45">
      <w:pPr>
        <w:bidi w:val="0"/>
        <w:spacing w:after="240" w:line="276" w:lineRule="auto"/>
        <w:jc w:val="right"/>
        <w:rPr>
          <w:rFonts w:ascii="David" w:hAnsi="David" w:cs="David"/>
          <w:sz w:val="24"/>
          <w:szCs w:val="24"/>
          <w:rtl/>
        </w:rPr>
      </w:pPr>
      <w:r>
        <w:rPr>
          <w:rFonts w:ascii="David" w:hAnsi="David" w:cs="David"/>
          <w:sz w:val="24"/>
          <w:szCs w:val="24"/>
          <w:rtl/>
        </w:rPr>
        <w:t>בענין</w:t>
      </w:r>
      <w:r>
        <w:rPr>
          <w:rFonts w:ascii="David" w:hAnsi="David" w:cs="David"/>
          <w:sz w:val="24"/>
          <w:szCs w:val="24"/>
          <w:rtl/>
        </w:rPr>
        <w:t xml:space="preserve"> זה נפנה להחלטת בית המשפט העליון בשבתו כבית משפט גבוה לצדק (בג"ץ 6671/03, </w:t>
      </w:r>
      <w:r>
        <w:rPr>
          <w:rFonts w:ascii="David" w:hAnsi="David" w:cs="David"/>
          <w:sz w:val="24"/>
          <w:szCs w:val="24"/>
          <w:rtl/>
        </w:rPr>
        <w:t>מונג'ד</w:t>
      </w:r>
      <w:r>
        <w:rPr>
          <w:rFonts w:ascii="David" w:hAnsi="David" w:cs="David"/>
          <w:sz w:val="24"/>
          <w:szCs w:val="24"/>
          <w:rtl/>
        </w:rPr>
        <w:t xml:space="preserve"> אבו </w:t>
      </w:r>
      <w:r>
        <w:rPr>
          <w:rFonts w:ascii="David" w:hAnsi="David" w:cs="David"/>
          <w:sz w:val="24"/>
          <w:szCs w:val="24"/>
          <w:rtl/>
        </w:rPr>
        <w:t>גנאם</w:t>
      </w:r>
      <w:r>
        <w:rPr>
          <w:rFonts w:ascii="David" w:hAnsi="David" w:cs="David"/>
          <w:sz w:val="24"/>
          <w:szCs w:val="24"/>
          <w:rtl/>
        </w:rPr>
        <w:t xml:space="preserve"> נ' משרד החינוך) בה נקבע ש"</w:t>
      </w:r>
      <w:r>
        <w:rPr>
          <w:rFonts w:ascii="David" w:hAnsi="David" w:cs="David"/>
          <w:b/>
          <w:bCs/>
          <w:sz w:val="24"/>
          <w:szCs w:val="24"/>
          <w:rtl/>
        </w:rPr>
        <w:t xml:space="preserve">חובת המדינה להקנות לכל ילד חינוך חובה חינם, וכנגדה, זכותו של כל ילד לחינוך כאמור, מחייבים נקיטה באמצעים ראויים על מנת להבטיח שהתכלית החשובה של הקניית חינוך לילדי כל מגזרי </w:t>
      </w:r>
      <w:r>
        <w:rPr>
          <w:rFonts w:ascii="David" w:hAnsi="David" w:cs="David"/>
          <w:b/>
          <w:bCs/>
          <w:sz w:val="24"/>
          <w:szCs w:val="24"/>
          <w:rtl/>
        </w:rPr>
        <w:t>האוכלוסיה</w:t>
      </w:r>
      <w:r>
        <w:rPr>
          <w:rFonts w:ascii="David" w:hAnsi="David" w:cs="David"/>
          <w:b/>
          <w:bCs/>
          <w:sz w:val="24"/>
          <w:szCs w:val="24"/>
          <w:rtl/>
        </w:rPr>
        <w:t xml:space="preserve"> בישראל תוגשם הלכה למעשה. הצהרות בדבר חובת המדינה לספק חינוך חובה חינם ובדבר זכותו של כל ילד לחינוך חינם נותרות ריקות מתוכן, אם לא ננקטים האמצעים המתאימים על מנת להבטיח את הגשמתן והוצאתן מן </w:t>
      </w:r>
      <w:r>
        <w:rPr>
          <w:rFonts w:ascii="David" w:hAnsi="David" w:cs="David"/>
          <w:b/>
          <w:bCs/>
          <w:sz w:val="24"/>
          <w:szCs w:val="24"/>
          <w:rtl/>
        </w:rPr>
        <w:t>הכח</w:t>
      </w:r>
      <w:r>
        <w:rPr>
          <w:rFonts w:ascii="David" w:hAnsi="David" w:cs="David"/>
          <w:b/>
          <w:bCs/>
          <w:sz w:val="24"/>
          <w:szCs w:val="24"/>
          <w:rtl/>
        </w:rPr>
        <w:t xml:space="preserve"> אל הפועל</w:t>
      </w:r>
      <w:r>
        <w:rPr>
          <w:rFonts w:ascii="David" w:hAnsi="David" w:cs="David"/>
          <w:sz w:val="24"/>
          <w:szCs w:val="24"/>
          <w:rtl/>
        </w:rPr>
        <w:t xml:space="preserve">."  </w:t>
      </w:r>
    </w:p>
    <w:p w:rsidR="00B32A45" w:rsidP="00B32A45">
      <w:pPr>
        <w:bidi w:val="0"/>
        <w:spacing w:after="240" w:line="276" w:lineRule="auto"/>
        <w:jc w:val="right"/>
        <w:rPr>
          <w:rFonts w:ascii="David" w:hAnsi="David" w:cs="David"/>
          <w:sz w:val="24"/>
          <w:szCs w:val="24"/>
          <w:rtl/>
        </w:rPr>
      </w:pPr>
      <w:r>
        <w:rPr>
          <w:rFonts w:ascii="David" w:hAnsi="David" w:cs="David"/>
          <w:sz w:val="24"/>
          <w:szCs w:val="24"/>
          <w:rtl/>
        </w:rPr>
        <w:t xml:space="preserve">ובמשך לכך פסק הדין </w:t>
      </w:r>
      <w:r>
        <w:rPr>
          <w:rFonts w:ascii="David" w:hAnsi="David" w:cs="David"/>
          <w:sz w:val="24"/>
          <w:szCs w:val="24"/>
          <w:rtl/>
        </w:rPr>
        <w:t>בבג"צ</w:t>
      </w:r>
      <w:r>
        <w:rPr>
          <w:rFonts w:ascii="David" w:hAnsi="David" w:cs="David"/>
          <w:sz w:val="24"/>
          <w:szCs w:val="24"/>
          <w:rtl/>
        </w:rPr>
        <w:t xml:space="preserve"> 5108/04 (אבו </w:t>
      </w:r>
      <w:r>
        <w:rPr>
          <w:rFonts w:ascii="David" w:hAnsi="David" w:cs="David"/>
          <w:sz w:val="24"/>
          <w:szCs w:val="24"/>
          <w:rtl/>
        </w:rPr>
        <w:t>גודה</w:t>
      </w:r>
      <w:r>
        <w:rPr>
          <w:rFonts w:ascii="David" w:hAnsi="David" w:cs="David"/>
          <w:sz w:val="24"/>
          <w:szCs w:val="24"/>
          <w:rtl/>
        </w:rPr>
        <w:t xml:space="preserve"> נ' שרת החינוך) כי "</w:t>
      </w:r>
      <w:r>
        <w:rPr>
          <w:rFonts w:ascii="David" w:hAnsi="David" w:cs="David"/>
          <w:b/>
          <w:bCs/>
          <w:sz w:val="24"/>
          <w:szCs w:val="24"/>
          <w:rtl/>
        </w:rPr>
        <w:t xml:space="preserve">רבים מבני העדה  </w:t>
      </w:r>
      <w:r>
        <w:rPr>
          <w:rFonts w:ascii="David" w:hAnsi="David" w:cs="David"/>
          <w:sz w:val="24"/>
          <w:szCs w:val="24"/>
          <w:rtl/>
        </w:rPr>
        <w:t>[הבדואית, תג]</w:t>
      </w:r>
      <w:r>
        <w:rPr>
          <w:rFonts w:ascii="David" w:hAnsi="David" w:cs="David"/>
          <w:b/>
          <w:bCs/>
          <w:sz w:val="24"/>
          <w:szCs w:val="24"/>
          <w:rtl/>
        </w:rPr>
        <w:t>, חיים מחוץ להוראותיו של מערך התכנון הקיים. בה בעת, גם לתושבים אלה ישנם צרכים, ועולה שאלת הסדרת סיפוק שירותים חיוניים בעבורם כגון שירותי חינוך ובריאות.... צריך להבטיח כי אלה יהיו נגישים לתלמידים המבקשים ללמוד בהם</w:t>
      </w:r>
      <w:r>
        <w:rPr>
          <w:rFonts w:ascii="David" w:hAnsi="David" w:cs="David"/>
          <w:sz w:val="24"/>
          <w:szCs w:val="24"/>
          <w:rtl/>
        </w:rPr>
        <w:t>."</w:t>
      </w:r>
    </w:p>
    <w:p w:rsidR="00B32A45" w:rsidP="00B32A45">
      <w:pPr>
        <w:bidi w:val="0"/>
        <w:spacing w:after="240" w:line="276" w:lineRule="auto"/>
        <w:jc w:val="right"/>
        <w:rPr>
          <w:rFonts w:ascii="David" w:hAnsi="David" w:cs="David"/>
          <w:sz w:val="24"/>
          <w:szCs w:val="24"/>
          <w:rtl/>
        </w:rPr>
      </w:pPr>
      <w:r>
        <w:rPr>
          <w:rFonts w:ascii="David" w:hAnsi="David" w:cs="David"/>
          <w:sz w:val="24"/>
          <w:szCs w:val="24"/>
          <w:rtl/>
        </w:rPr>
        <w:t>נפנה גם לקביעת בית המשפט בבג"ץ 4540/00 (</w:t>
      </w:r>
      <w:r>
        <w:rPr>
          <w:rFonts w:ascii="David" w:hAnsi="David" w:cs="David"/>
          <w:sz w:val="24"/>
          <w:szCs w:val="24"/>
          <w:rtl/>
        </w:rPr>
        <w:t>לבאד</w:t>
      </w:r>
      <w:r>
        <w:rPr>
          <w:rFonts w:ascii="David" w:hAnsi="David" w:cs="David"/>
          <w:sz w:val="24"/>
          <w:szCs w:val="24"/>
          <w:rtl/>
        </w:rPr>
        <w:t xml:space="preserve"> אבו-</w:t>
      </w:r>
      <w:r>
        <w:rPr>
          <w:rFonts w:ascii="David" w:hAnsi="David" w:cs="David"/>
          <w:sz w:val="24"/>
          <w:szCs w:val="24"/>
          <w:rtl/>
        </w:rPr>
        <w:t>עפאש</w:t>
      </w:r>
      <w:r>
        <w:rPr>
          <w:rFonts w:ascii="David" w:hAnsi="David" w:cs="David"/>
          <w:sz w:val="24"/>
          <w:szCs w:val="24"/>
          <w:rtl/>
        </w:rPr>
        <w:t xml:space="preserve"> ואח' נ' שר הבריאות ואח') כי "</w:t>
      </w:r>
      <w:r>
        <w:rPr>
          <w:rFonts w:ascii="David" w:hAnsi="David" w:cs="David"/>
          <w:b/>
          <w:bCs/>
          <w:sz w:val="24"/>
          <w:szCs w:val="24"/>
          <w:rtl/>
        </w:rPr>
        <w:t>הענקת שירותי בריאות לתושבי ישראל היא חובה לפי החוק, ואין בטעמים של בניה בלתי חוקית על-ידי פלונים כדי להתנער ממנה כשלעצמה; ... ואכן, כל עוד אינו נפסק –</w:t>
      </w:r>
      <w:r>
        <w:rPr>
          <w:rFonts w:ascii="FrankRuehl" w:hAnsi="FrankRuehl"/>
          <w:b/>
          <w:bCs/>
          <w:sz w:val="24"/>
          <w:szCs w:val="24"/>
          <w:rtl/>
        </w:rPr>
        <w:t xml:space="preserve"> </w:t>
      </w:r>
      <w:r>
        <w:rPr>
          <w:rFonts w:ascii="FrankRuehl" w:hAnsi="FrankRuehl"/>
          <w:b/>
          <w:bCs/>
          <w:sz w:val="24"/>
          <w:szCs w:val="24"/>
          <w:rtl/>
        </w:rPr>
        <w:t>ולוא</w:t>
      </w:r>
      <w:r>
        <w:rPr>
          <w:rFonts w:ascii="FrankRuehl" w:hAnsi="FrankRuehl"/>
          <w:b/>
          <w:bCs/>
          <w:sz w:val="24"/>
          <w:szCs w:val="24"/>
          <w:rtl/>
        </w:rPr>
        <w:t xml:space="preserve"> בשל </w:t>
      </w:r>
      <w:r>
        <w:rPr>
          <w:rFonts w:ascii="David" w:hAnsi="David" w:cs="David"/>
          <w:b/>
          <w:bCs/>
          <w:sz w:val="24"/>
          <w:szCs w:val="24"/>
          <w:rtl/>
        </w:rPr>
        <w:t>רפיון יד מסוגים כאלה ואחרים – המשך יישובם של היישובים הלא מוכרים, אין למדינה מנוס אלא להבטיח ליושביהם שירותי בריאות בסיסיים</w:t>
      </w:r>
      <w:r>
        <w:rPr>
          <w:rFonts w:ascii="David" w:hAnsi="David" w:cs="David"/>
          <w:sz w:val="24"/>
          <w:szCs w:val="24"/>
          <w:rtl/>
        </w:rPr>
        <w:t>."</w:t>
      </w:r>
    </w:p>
    <w:p w:rsidR="00B32A45" w:rsidP="00B32A45">
      <w:pPr>
        <w:bidi w:val="0"/>
        <w:spacing w:after="240" w:line="276" w:lineRule="auto"/>
        <w:jc w:val="right"/>
        <w:rPr>
          <w:rFonts w:ascii="David" w:hAnsi="David" w:cs="David"/>
          <w:sz w:val="24"/>
          <w:szCs w:val="24"/>
          <w:rtl/>
        </w:rPr>
      </w:pPr>
      <w:r>
        <w:rPr>
          <w:rFonts w:ascii="David" w:hAnsi="David" w:cs="David"/>
          <w:sz w:val="24"/>
          <w:szCs w:val="24"/>
          <w:rtl/>
        </w:rPr>
        <w:t>בהמשך לכך נפנה להחלטת המועצה הארצית לתכנון ובניה (ישיבה 443 מיום 13.1.2004 ), בה נאמר: "</w:t>
      </w:r>
      <w:r>
        <w:rPr>
          <w:rFonts w:ascii="David" w:hAnsi="David" w:cs="David"/>
          <w:b/>
          <w:bCs/>
          <w:sz w:val="24"/>
          <w:szCs w:val="24"/>
          <w:rtl/>
        </w:rPr>
        <w:t xml:space="preserve">המועצה, לאחר ששמעה את נימוקי נציג משרד הבריאות וממונה מחוז הדרום, בדבר הצורך לספק שירותים חיוניים לאוכלוסייה הבדואית הפזורה במרחב, על מנת לאפשר אספקת שירותים חיוניים ברמה נאותה בתקופת הביניים עד לעת מימושן של כלל התכניות הנמצאות בשלבי הכנה שונים, מחליטה לקבל את התנגדות משרד הבריאות וממונה מחוז הדרום ולאפשר הקמת מבנים יבילים ארעיים לשירותים חיוניים, נשוא </w:t>
      </w:r>
      <w:r>
        <w:rPr>
          <w:rFonts w:ascii="David" w:hAnsi="David" w:cs="David"/>
          <w:b/>
          <w:bCs/>
          <w:sz w:val="24"/>
          <w:szCs w:val="24"/>
          <w:rtl/>
        </w:rPr>
        <w:t>תוכנית</w:t>
      </w:r>
      <w:r>
        <w:rPr>
          <w:rFonts w:ascii="David" w:hAnsi="David" w:cs="David"/>
          <w:b/>
          <w:bCs/>
          <w:sz w:val="24"/>
          <w:szCs w:val="24"/>
          <w:rtl/>
        </w:rPr>
        <w:t xml:space="preserve"> זו, בכלל האתרים שצוינו בטבלה המצורפת כנספח</w:t>
      </w:r>
      <w:r>
        <w:rPr>
          <w:rFonts w:ascii="David" w:hAnsi="David" w:cs="David"/>
          <w:sz w:val="24"/>
          <w:szCs w:val="24"/>
          <w:rtl/>
        </w:rPr>
        <w:t xml:space="preserve">." </w:t>
      </w:r>
    </w:p>
    <w:p w:rsidR="00B32A45" w:rsidP="00B32A45">
      <w:pPr>
        <w:tabs>
          <w:tab w:val="center" w:pos="3918"/>
          <w:tab w:val="center" w:pos="5619"/>
        </w:tabs>
        <w:bidi w:val="0"/>
        <w:spacing w:after="240" w:line="276" w:lineRule="auto"/>
        <w:jc w:val="right"/>
        <w:rPr>
          <w:rFonts w:ascii="David" w:hAnsi="David" w:cs="David"/>
          <w:sz w:val="24"/>
          <w:szCs w:val="24"/>
          <w:rtl/>
        </w:rPr>
      </w:pPr>
      <w:r>
        <w:rPr>
          <w:rFonts w:ascii="David" w:hAnsi="David" w:cs="David"/>
          <w:sz w:val="24"/>
          <w:szCs w:val="24"/>
          <w:rtl/>
        </w:rPr>
        <w:t xml:space="preserve">בהמשך להחלטות השיפוטיות הללו ובהתאם להן אושרה ע"י המועצה הארצית לתכנון ובניה, כבר לפני כמעט שני עשורים, </w:t>
      </w:r>
      <w:r>
        <w:rPr>
          <w:rFonts w:ascii="David" w:hAnsi="David" w:cs="David"/>
          <w:sz w:val="24"/>
          <w:szCs w:val="24"/>
          <w:rtl/>
        </w:rPr>
        <w:t>תמ"מ</w:t>
      </w:r>
      <w:r>
        <w:rPr>
          <w:rFonts w:ascii="David" w:hAnsi="David" w:cs="David"/>
          <w:sz w:val="24"/>
          <w:szCs w:val="24"/>
          <w:rtl/>
        </w:rPr>
        <w:t xml:space="preserve">  4/ 14/ 40 לאספקת שירותים חיוניים לאוכלוסייה הבלתי מוסדרת. בחלוף כמעט שני עשורים אנו מצויים במצב בו היקף האוכלוסייה הבלתי-מוסדרת לא רק שלא פחת אלא אף גדל משמעותית.  </w:t>
      </w:r>
    </w:p>
    <w:p w:rsidR="00B32A45" w:rsidP="00B32A45">
      <w:pPr>
        <w:tabs>
          <w:tab w:val="center" w:pos="3918"/>
          <w:tab w:val="center" w:pos="5619"/>
        </w:tabs>
        <w:bidi w:val="0"/>
        <w:spacing w:after="240" w:line="276" w:lineRule="auto"/>
        <w:jc w:val="right"/>
        <w:rPr>
          <w:rFonts w:ascii="David" w:hAnsi="David" w:cs="David"/>
          <w:sz w:val="24"/>
          <w:szCs w:val="24"/>
          <w:rtl/>
        </w:rPr>
      </w:pPr>
      <w:r>
        <w:rPr>
          <w:rFonts w:ascii="David" w:hAnsi="David" w:cs="David"/>
          <w:sz w:val="24"/>
          <w:szCs w:val="24"/>
          <w:rtl/>
        </w:rPr>
        <w:t xml:space="preserve">לאור האמור מעת לעת בוחנות הרשויות הרלוואנטיות, היינו  הרשות לפיתוח והתיישבות הבדואים בנגב, המועצות האזוריות אל קסום ונווה מדבר (אתן התקשרה מדינת ישראל לאספקת השירותים על אף שהללו מסופקים, לרוב, מחוץ לתחומן המוניציפאלי), משרדי הממשלה השונים (בעיקר החינוך, הבריאות והפנים) ולשכת התכנון המחוזית את הצורך בעדכון רשימת האתרים לשירותים חיוניים המפורטת בנספח א' </w:t>
      </w:r>
      <w:r>
        <w:rPr>
          <w:rFonts w:ascii="David" w:hAnsi="David" w:cs="David"/>
          <w:sz w:val="24"/>
          <w:szCs w:val="24"/>
          <w:rtl/>
        </w:rPr>
        <w:t>לתמ"מ</w:t>
      </w:r>
      <w:r>
        <w:rPr>
          <w:rFonts w:ascii="David" w:hAnsi="David" w:cs="David"/>
          <w:sz w:val="24"/>
          <w:szCs w:val="24"/>
          <w:rtl/>
        </w:rPr>
        <w:t xml:space="preserve"> 4/ 14/ 40 נוכח הגידול בהיקף האוכלוסייה לה יש לתת מענה ולנוכח מיקומה במרחב. </w:t>
      </w:r>
    </w:p>
    <w:p w:rsidR="00B32A45" w:rsidP="00B32A45">
      <w:pPr>
        <w:tabs>
          <w:tab w:val="center" w:pos="3918"/>
          <w:tab w:val="center" w:pos="5619"/>
        </w:tabs>
        <w:bidi w:val="0"/>
        <w:spacing w:line="276" w:lineRule="auto"/>
        <w:jc w:val="right"/>
        <w:rPr>
          <w:rFonts w:ascii="David" w:hAnsi="David" w:cs="David"/>
          <w:sz w:val="24"/>
          <w:szCs w:val="24"/>
          <w:rtl/>
        </w:rPr>
      </w:pPr>
      <w:r>
        <w:rPr>
          <w:rFonts w:ascii="David" w:hAnsi="David" w:cs="David"/>
          <w:sz w:val="24"/>
          <w:szCs w:val="24"/>
          <w:rtl/>
        </w:rPr>
        <w:t xml:space="preserve">הוספה ועדכון אתרים לשירותים חיוניים, נעשית בדרך של עריכת תיקונים </w:t>
      </w:r>
      <w:r>
        <w:rPr>
          <w:rFonts w:ascii="David" w:hAnsi="David" w:cs="David"/>
          <w:sz w:val="24"/>
          <w:szCs w:val="24"/>
          <w:rtl/>
        </w:rPr>
        <w:t>לתמ"מ</w:t>
      </w:r>
      <w:r>
        <w:rPr>
          <w:rFonts w:ascii="David" w:hAnsi="David" w:cs="David"/>
          <w:sz w:val="24"/>
          <w:szCs w:val="24"/>
          <w:rtl/>
        </w:rPr>
        <w:t xml:space="preserve">. עד כה אושרו 6 תיקונים </w:t>
      </w:r>
      <w:r>
        <w:rPr>
          <w:rFonts w:ascii="David" w:hAnsi="David" w:cs="David"/>
          <w:sz w:val="24"/>
          <w:szCs w:val="24"/>
          <w:rtl/>
        </w:rPr>
        <w:t>לתמ"מ</w:t>
      </w:r>
      <w:r>
        <w:rPr>
          <w:rFonts w:ascii="David" w:hAnsi="David" w:cs="David"/>
          <w:sz w:val="24"/>
          <w:szCs w:val="24"/>
          <w:rtl/>
        </w:rPr>
        <w:t xml:space="preserve"> כמפורט להלן:</w:t>
      </w:r>
    </w:p>
    <w:p w:rsidR="00B32A45" w:rsidP="00B32A45">
      <w:pPr>
        <w:tabs>
          <w:tab w:val="center" w:pos="3918"/>
          <w:tab w:val="center" w:pos="5619"/>
        </w:tabs>
        <w:bidi w:val="0"/>
        <w:spacing w:after="240" w:line="276" w:lineRule="auto"/>
        <w:jc w:val="right"/>
        <w:rPr>
          <w:rFonts w:ascii="David" w:hAnsi="David" w:cs="David"/>
          <w:sz w:val="24"/>
          <w:szCs w:val="24"/>
          <w:rtl/>
        </w:rPr>
      </w:pPr>
      <w:r>
        <w:rPr>
          <w:rFonts w:ascii="David" w:hAnsi="David" w:cs="David"/>
          <w:noProof/>
          <w:szCs w:val="20"/>
          <w:lang w:val="he-IL"/>
        </w:rPr>
        <w:drawing>
          <wp:inline distT="0" distB="0" distL="0" distR="0">
            <wp:extent cx="5505450" cy="61341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552011" name="תמונה 3"/>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505450" cy="6134100"/>
                    </a:xfrm>
                    <a:prstGeom prst="rect">
                      <a:avLst/>
                    </a:prstGeom>
                    <a:noFill/>
                    <a:ln>
                      <a:noFill/>
                    </a:ln>
                  </pic:spPr>
                </pic:pic>
              </a:graphicData>
            </a:graphic>
          </wp:inline>
        </w:drawing>
      </w:r>
    </w:p>
    <w:p w:rsidR="00B32A45" w:rsidP="00B32A45">
      <w:pPr>
        <w:tabs>
          <w:tab w:val="center" w:pos="3918"/>
          <w:tab w:val="center" w:pos="5619"/>
        </w:tabs>
        <w:bidi w:val="0"/>
        <w:spacing w:after="240" w:line="276" w:lineRule="auto"/>
        <w:jc w:val="right"/>
        <w:rPr>
          <w:rFonts w:ascii="David" w:hAnsi="David" w:cs="David"/>
          <w:sz w:val="24"/>
          <w:szCs w:val="24"/>
          <w:rtl/>
        </w:rPr>
      </w:pPr>
    </w:p>
    <w:p w:rsidR="00B32A45" w:rsidP="00B32A45">
      <w:pPr>
        <w:tabs>
          <w:tab w:val="center" w:pos="3918"/>
          <w:tab w:val="center" w:pos="5619"/>
        </w:tabs>
        <w:bidi w:val="0"/>
        <w:spacing w:after="240" w:line="276" w:lineRule="auto"/>
        <w:jc w:val="right"/>
        <w:rPr>
          <w:rFonts w:ascii="David" w:hAnsi="David" w:cs="David"/>
          <w:sz w:val="24"/>
          <w:szCs w:val="24"/>
        </w:rPr>
      </w:pPr>
    </w:p>
    <w:p w:rsidR="00B32A45" w:rsidP="00B32A45">
      <w:pPr>
        <w:tabs>
          <w:tab w:val="center" w:pos="3918"/>
          <w:tab w:val="center" w:pos="5619"/>
        </w:tabs>
        <w:bidi w:val="0"/>
        <w:spacing w:after="240" w:line="276" w:lineRule="auto"/>
        <w:jc w:val="right"/>
        <w:rPr>
          <w:rFonts w:ascii="David" w:hAnsi="David" w:cs="David"/>
          <w:sz w:val="24"/>
          <w:szCs w:val="24"/>
        </w:rPr>
      </w:pPr>
    </w:p>
    <w:p w:rsidR="00B32A45" w:rsidP="00B32A45">
      <w:pPr>
        <w:tabs>
          <w:tab w:val="center" w:pos="3918"/>
          <w:tab w:val="center" w:pos="5619"/>
        </w:tabs>
        <w:bidi w:val="0"/>
        <w:spacing w:after="240" w:line="276" w:lineRule="auto"/>
        <w:jc w:val="right"/>
        <w:rPr>
          <w:rFonts w:ascii="David" w:hAnsi="David" w:cs="David"/>
          <w:sz w:val="24"/>
          <w:szCs w:val="24"/>
          <w:rtl/>
        </w:rPr>
      </w:pPr>
      <w:r>
        <w:rPr>
          <w:rFonts w:ascii="David" w:hAnsi="David" w:cs="David"/>
          <w:sz w:val="24"/>
          <w:szCs w:val="24"/>
          <w:rtl/>
        </w:rPr>
        <w:t xml:space="preserve">בעת הנוכחית מקודמת תכנית 4/ 14/ 40/ 2 ב/ 3 המציעה לאפשר הוצאת היתרי בניה למוסדות חינוך </w:t>
      </w:r>
      <w:r>
        <w:rPr>
          <w:rFonts w:ascii="David" w:hAnsi="David" w:cs="David"/>
          <w:b/>
          <w:bCs/>
          <w:sz w:val="24"/>
          <w:szCs w:val="24"/>
          <w:u w:val="single"/>
          <w:rtl/>
        </w:rPr>
        <w:t>קיימים</w:t>
      </w:r>
      <w:r>
        <w:rPr>
          <w:rFonts w:ascii="David" w:hAnsi="David" w:cs="David"/>
          <w:sz w:val="24"/>
          <w:szCs w:val="24"/>
          <w:rtl/>
        </w:rPr>
        <w:t xml:space="preserve"> </w:t>
      </w:r>
      <w:r>
        <w:rPr>
          <w:rFonts w:ascii="David" w:hAnsi="David" w:cs="David"/>
          <w:sz w:val="24"/>
          <w:szCs w:val="24"/>
          <w:rtl/>
        </w:rPr>
        <w:t>באלעזאזמה</w:t>
      </w:r>
      <w:r>
        <w:rPr>
          <w:rFonts w:ascii="David" w:hAnsi="David" w:cs="David"/>
          <w:sz w:val="24"/>
          <w:szCs w:val="24"/>
          <w:rtl/>
        </w:rPr>
        <w:t xml:space="preserve"> (ואדי אל נעם), המופעלים על ידי מדינת ישראל משך עשרות שנים. </w:t>
      </w:r>
    </w:p>
    <w:p w:rsidR="00B32A45" w:rsidP="00B32A45">
      <w:pPr>
        <w:tabs>
          <w:tab w:val="center" w:pos="3918"/>
          <w:tab w:val="center" w:pos="5619"/>
        </w:tabs>
        <w:bidi w:val="0"/>
        <w:spacing w:after="240" w:line="276" w:lineRule="auto"/>
        <w:jc w:val="right"/>
        <w:rPr>
          <w:rFonts w:ascii="David" w:hAnsi="David" w:cs="David"/>
          <w:sz w:val="24"/>
          <w:szCs w:val="24"/>
          <w:rtl/>
        </w:rPr>
      </w:pPr>
      <w:r>
        <w:rPr>
          <w:rFonts w:ascii="David" w:hAnsi="David" w:cs="David"/>
          <w:sz w:val="24"/>
          <w:szCs w:val="24"/>
          <w:rtl/>
        </w:rPr>
        <w:t>מעבר לכך טרם גובשה רשימה של נקודות חדשות מתוכננות, אך נוכח הגידול המשמעותי בהיקף האוכלוסייה הלא-מוסדרת, דומה שאין מנוס מבחינה רחבה ומתן מענה לאוכלוסייה, בהתאם לדין.  ככל שבעתיד יוחלט על ידי גורמי המקצוע כי נדרש ביטול, שינוי או תוספת אתרים לשירותים חיוניים, הדבר יפורט במסמכי תכנית מתאר מחוזית שיוגשו לאישור מוסדות התכנון. במסגרת הליך זה, מסמכי התכנית יהיו זמינים לעיון הציבור בהתאם לסעיף 96 לחוק התכנון והבניה,  תשכ"ה-1965.</w:t>
      </w:r>
    </w:p>
    <w:p w:rsidR="00B32A45" w:rsidP="00B32A45">
      <w:pPr>
        <w:spacing w:after="120" w:line="360" w:lineRule="auto"/>
        <w:ind w:left="510"/>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jc w:val="center"/>
        <w:rPr>
          <w:rFonts w:ascii="David" w:hAnsi="David" w:cs="David"/>
          <w:sz w:val="24"/>
          <w:szCs w:val="24"/>
          <w:rtl/>
        </w:rPr>
      </w:pPr>
      <w:r>
        <w:rPr>
          <w:rFonts w:ascii="David" w:hAnsi="David" w:cs="David"/>
          <w:sz w:val="24"/>
          <w:szCs w:val="24"/>
          <w:rtl/>
        </w:rPr>
        <w:t>בכבוד רב,</w:t>
      </w:r>
    </w:p>
    <w:p w:rsidR="00B32A45" w:rsidP="00B32A45">
      <w:pPr>
        <w:spacing w:after="0" w:line="360" w:lineRule="auto"/>
        <w:ind w:left="84"/>
        <w:jc w:val="center"/>
        <w:rPr>
          <w:rFonts w:ascii="David" w:hAnsi="David" w:cs="David"/>
          <w:sz w:val="24"/>
          <w:szCs w:val="24"/>
          <w:rtl/>
        </w:rPr>
      </w:pPr>
    </w:p>
    <w:p w:rsidR="00B32A45" w:rsidP="00B32A45">
      <w:pPr>
        <w:spacing w:after="0" w:line="360" w:lineRule="auto"/>
        <w:ind w:left="84"/>
        <w:jc w:val="center"/>
        <w:rPr>
          <w:rFonts w:ascii="David" w:hAnsi="David" w:cs="David"/>
          <w:sz w:val="24"/>
          <w:szCs w:val="24"/>
          <w:rtl/>
        </w:rPr>
      </w:pPr>
      <w:r>
        <w:rPr>
          <w:rFonts w:ascii="David" w:hAnsi="David" w:cs="David"/>
          <w:noProof/>
          <w:sz w:val="24"/>
          <w:szCs w:val="24"/>
          <w:lang w:val="he-IL"/>
        </w:rPr>
        <w:drawing>
          <wp:inline distT="0" distB="0" distL="0" distR="0">
            <wp:extent cx="981075" cy="285750"/>
            <wp:effectExtent l="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20836" name="תמונה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981075" cy="285750"/>
                    </a:xfrm>
                    <a:prstGeom prst="rect">
                      <a:avLst/>
                    </a:prstGeom>
                    <a:noFill/>
                    <a:ln>
                      <a:noFill/>
                    </a:ln>
                  </pic:spPr>
                </pic:pic>
              </a:graphicData>
            </a:graphic>
          </wp:inline>
        </w:drawing>
      </w:r>
    </w:p>
    <w:p w:rsidR="00B32A45" w:rsidP="00B32A45">
      <w:pPr>
        <w:spacing w:after="0" w:line="360" w:lineRule="auto"/>
        <w:ind w:left="84"/>
        <w:jc w:val="center"/>
        <w:rPr>
          <w:rFonts w:ascii="David" w:hAnsi="David" w:cs="David"/>
          <w:sz w:val="24"/>
          <w:szCs w:val="24"/>
          <w:rtl/>
        </w:rPr>
      </w:pPr>
      <w:r>
        <w:rPr>
          <w:rFonts w:ascii="David" w:hAnsi="David" w:cs="David"/>
          <w:sz w:val="24"/>
          <w:szCs w:val="24"/>
          <w:rtl/>
        </w:rPr>
        <w:t>רמה קדמי חיים</w:t>
      </w:r>
    </w:p>
    <w:p w:rsidR="00B32A45" w:rsidP="00B32A45">
      <w:pPr>
        <w:spacing w:after="0" w:line="360" w:lineRule="auto"/>
        <w:ind w:left="84"/>
        <w:jc w:val="center"/>
        <w:rPr>
          <w:rFonts w:ascii="David" w:hAnsi="David" w:cs="David"/>
          <w:sz w:val="24"/>
          <w:szCs w:val="24"/>
          <w:rtl/>
        </w:rPr>
      </w:pPr>
      <w:r>
        <w:rPr>
          <w:rFonts w:ascii="David" w:hAnsi="David" w:cs="David"/>
          <w:sz w:val="24"/>
          <w:szCs w:val="24"/>
          <w:rtl/>
        </w:rPr>
        <w:t>הממונה על העמדת מידע לציבור</w:t>
      </w:r>
      <w:r>
        <w:rPr>
          <w:rFonts w:ascii="David" w:hAnsi="David" w:cs="David"/>
          <w:sz w:val="24"/>
          <w:szCs w:val="24"/>
          <w:rtl/>
        </w:rPr>
        <w:br/>
        <w:t>מינהל</w:t>
      </w:r>
      <w:r>
        <w:rPr>
          <w:rFonts w:ascii="David" w:hAnsi="David" w:cs="David"/>
          <w:sz w:val="24"/>
          <w:szCs w:val="24"/>
        </w:rPr>
        <w:t xml:space="preserve"> </w:t>
      </w:r>
      <w:r>
        <w:rPr>
          <w:rFonts w:ascii="David" w:hAnsi="David" w:cs="David"/>
          <w:sz w:val="24"/>
          <w:szCs w:val="24"/>
          <w:rtl/>
        </w:rPr>
        <w:t>התכנון</w:t>
      </w: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tl/>
        </w:rPr>
      </w:pPr>
    </w:p>
    <w:p w:rsidR="00B32A45" w:rsidP="00B32A45">
      <w:pPr>
        <w:spacing w:after="0" w:line="360" w:lineRule="auto"/>
        <w:ind w:left="84"/>
        <w:rPr>
          <w:rFonts w:ascii="David" w:hAnsi="David" w:cs="David"/>
          <w:sz w:val="24"/>
          <w:szCs w:val="24"/>
        </w:rPr>
      </w:pPr>
      <w:r>
        <w:rPr>
          <w:rFonts w:ascii="David" w:hAnsi="David" w:cs="David"/>
          <w:b/>
          <w:bCs/>
          <w:sz w:val="24"/>
          <w:szCs w:val="24"/>
          <w:u w:val="single"/>
          <w:rtl/>
        </w:rPr>
        <w:t>העתק</w:t>
      </w:r>
      <w:r>
        <w:rPr>
          <w:rFonts w:ascii="David" w:hAnsi="David" w:cs="David"/>
          <w:sz w:val="24"/>
          <w:szCs w:val="24"/>
          <w:rtl/>
        </w:rPr>
        <w:t>:</w:t>
      </w:r>
    </w:p>
    <w:p w:rsidR="00B32A45" w:rsidP="00B32A45">
      <w:pPr>
        <w:spacing w:after="0" w:line="360" w:lineRule="auto"/>
        <w:ind w:left="84"/>
        <w:rPr>
          <w:rFonts w:ascii="David" w:hAnsi="David" w:cs="David"/>
          <w:sz w:val="24"/>
          <w:szCs w:val="24"/>
          <w:rtl/>
        </w:rPr>
      </w:pPr>
      <w:r>
        <w:rPr>
          <w:rFonts w:ascii="David" w:hAnsi="David" w:cs="David"/>
          <w:sz w:val="24"/>
          <w:szCs w:val="24"/>
          <w:rtl/>
        </w:rPr>
        <w:t>עו"ד יקירה גבאי, לשכת מנכ"לית, מינהל התכנון</w:t>
      </w:r>
    </w:p>
    <w:p w:rsidR="00B32A45" w:rsidP="00B32A45">
      <w:pPr>
        <w:spacing w:after="0" w:line="360" w:lineRule="auto"/>
        <w:ind w:left="84"/>
        <w:rPr>
          <w:rFonts w:ascii="David" w:hAnsi="David" w:cs="David"/>
          <w:sz w:val="24"/>
          <w:szCs w:val="24"/>
          <w:rtl/>
        </w:rPr>
      </w:pPr>
      <w:r>
        <w:rPr>
          <w:rFonts w:ascii="David" w:hAnsi="David" w:cs="David"/>
          <w:sz w:val="24"/>
          <w:szCs w:val="24"/>
          <w:rtl/>
        </w:rPr>
        <w:t>עו"ד ליטל הילמן, הלשכה המשפטית, מינהל התכנון</w:t>
      </w:r>
    </w:p>
    <w:p w:rsidR="00B32A45" w:rsidP="00B32A45">
      <w:pPr>
        <w:spacing w:after="0" w:line="360" w:lineRule="auto"/>
        <w:ind w:left="84"/>
        <w:rPr>
          <w:rFonts w:ascii="David" w:hAnsi="David" w:cs="David"/>
          <w:sz w:val="24"/>
          <w:szCs w:val="24"/>
          <w:rtl/>
        </w:rPr>
      </w:pPr>
      <w:r>
        <w:rPr>
          <w:rFonts w:ascii="David" w:hAnsi="David" w:cs="David"/>
          <w:sz w:val="24"/>
          <w:szCs w:val="24"/>
          <w:rtl/>
        </w:rPr>
        <w:t>תומר גוטהלף, מתכנן מחוז דרום, מינהל התכנון</w:t>
      </w:r>
    </w:p>
    <w:p w:rsidR="005307A1" w:rsidRPr="005307A1" w:rsidP="005307A1">
      <w:pPr>
        <w:ind w:left="-667"/>
        <w:rPr>
          <w:b/>
          <w:bCs/>
          <w:sz w:val="28"/>
          <w:szCs w:val="28"/>
          <w:u w:val="single"/>
          <w:rtl/>
        </w:rPr>
      </w:pPr>
      <w:bookmarkStart w:id="0" w:name="_GoBack"/>
      <w:bookmarkEnd w:id="0"/>
    </w:p>
    <w:p w:rsidR="005307A1"/>
    <w:sectPr w:rsidSect="005307A1">
      <w:pgSz w:w="11906" w:h="16838"/>
      <w:pgMar w:top="1440" w:right="1800" w:bottom="1440" w:left="567"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B4"/>
    <w:rsid w:val="005307A1"/>
    <w:rsid w:val="007E27FA"/>
    <w:rsid w:val="00B32A45"/>
    <w:rsid w:val="00FD77B4"/>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73FD07B1-CD56-46A4-99C9-4C04ADD4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