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2 -->
  <w:body>
    <w:p w:rsidR="00DC69DA">
      <w:bookmarkStart w:id="0" w:name="_GoBack"/>
      <w:bookmarkEnd w:id="0"/>
      <w:r w:rsidRPr="00E93FE2">
        <w:rPr>
          <w:rFonts w:ascii="Arial" w:hAnsi="Arial" w:cs="Arial"/>
          <w:color w:val="1D5872"/>
          <w:sz w:val="27"/>
          <w:szCs w:val="27"/>
          <w:rtl/>
        </w:rPr>
        <w:t xml:space="preserve">האם על פי נהלי הבקרה על פתיחת תיקים, שנקבעו אחרי דוח מבקר המדינה לשנת 2016, על פי הגדרת תכלית חוק ההוצל"פ "לייעל את הגבייה של הזוכה ושמירה שלא ייפגעו שלא לצורך זכויות של החייב", ההוצאה לפועל פותחת תיק לחייב גם אם הזוכה מצהיר במסמכי הבקשה כי יש בידו אמצעי תשלום תקף של החייב, הרשאה לחיוב חשבון, או שיקים של החייב שלא הופקדו עדיין, וחשבון החייב פעיל ותקין. או שההוצאה לפועל תיידע את הזוכה כי עליו קודם לנסות להשתמש באמצעי החיוב שברשותו, ורק אם לא יצליח לקבל את כספו, יפתחו לו תיק. האם על פי נהלי הבקרה הנ"ל ההוצל"פ תפתח תיק גם במקרה שהיא תקבל מידע מוסמך וחד משמעי, כי הזוכה כלל אינו צריך את ההוצאה לפועל בכדי לגבות את מה שמגיע לו, וכי יש בידו אמצעי תשלום פשוט לקבל באופן </w:t>
      </w:r>
      <w:r w:rsidRPr="00E93FE2">
        <w:rPr>
          <w:rFonts w:ascii="Arial" w:hAnsi="Arial" w:cs="Arial"/>
          <w:color w:val="1D5872"/>
          <w:sz w:val="27"/>
          <w:szCs w:val="27"/>
          <w:rtl/>
        </w:rPr>
        <w:t>מיידי</w:t>
      </w:r>
      <w:r w:rsidRPr="00E93FE2">
        <w:rPr>
          <w:rFonts w:ascii="Arial" w:hAnsi="Arial" w:cs="Arial"/>
          <w:color w:val="1D5872"/>
          <w:sz w:val="27"/>
          <w:szCs w:val="27"/>
          <w:rtl/>
        </w:rPr>
        <w:t xml:space="preserve"> את כספו, ובקשתו לפתיחת תיק בהוצל"פ הינה למטרת עונש וגרימת נזק לשמו של </w:t>
      </w:r>
      <w:r w:rsidRPr="00E93FE2">
        <w:rPr>
          <w:rFonts w:ascii="Arial" w:hAnsi="Arial" w:cs="Arial"/>
          <w:color w:val="1D5872"/>
          <w:sz w:val="27"/>
          <w:szCs w:val="27"/>
          <w:rtl/>
        </w:rPr>
        <w:t>של</w:t>
      </w:r>
      <w:r w:rsidRPr="00E93FE2">
        <w:rPr>
          <w:rFonts w:ascii="Arial" w:hAnsi="Arial" w:cs="Arial"/>
          <w:color w:val="1D5872"/>
          <w:sz w:val="27"/>
          <w:szCs w:val="27"/>
          <w:rtl/>
        </w:rPr>
        <w:t xml:space="preserve"> החייב, </w:t>
      </w:r>
      <w:r>
        <w:rPr>
          <w:rFonts w:ascii="Arial" w:hAnsi="Arial" w:cs="Arial"/>
          <w:color w:val="1D5872"/>
          <w:sz w:val="27"/>
          <w:szCs w:val="27"/>
          <w:highlight w:val="yellow"/>
          <w:rtl/>
        </w:rPr>
        <w:br/>
      </w:r>
    </w:p>
    <w:sectPr w:rsidSect="00842A1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FE2"/>
    <w:rsid w:val="00842A12"/>
    <w:rsid w:val="00DC69DA"/>
    <w:rsid w:val="00E93FE2"/>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5:chartTrackingRefBased/>
  <w15:docId w15:val="{1392297E-74F5-4781-A18E-CE7CAF49E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