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302B86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302B86">
        <w:rPr>
          <w:rFonts w:ascii="David" w:hAnsi="David" w:cs="David" w:hint="cs"/>
          <w:sz w:val="24"/>
          <w:szCs w:val="24"/>
          <w:rtl/>
        </w:rPr>
        <w:t xml:space="preserve">ג' בתשרי </w:t>
      </w:r>
      <w:proofErr w:type="spellStart"/>
      <w:r w:rsidR="00302B86">
        <w:rPr>
          <w:rFonts w:ascii="David" w:hAnsi="David" w:cs="David" w:hint="cs"/>
          <w:sz w:val="24"/>
          <w:szCs w:val="24"/>
          <w:rtl/>
        </w:rPr>
        <w:t>התשע"ט</w:t>
      </w:r>
      <w:proofErr w:type="spellEnd"/>
    </w:p>
    <w:p w:rsidR="00CD1F87" w:rsidRPr="00884A69" w:rsidRDefault="000104A8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09-12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302B86">
            <w:rPr>
              <w:rFonts w:ascii="David" w:hAnsi="David" w:cs="David" w:hint="cs"/>
              <w:sz w:val="24"/>
              <w:szCs w:val="24"/>
              <w:rtl/>
            </w:rPr>
            <w:t>‏12/09/2018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302B86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302B86">
        <w:rPr>
          <w:rFonts w:cs="David" w:hint="cs"/>
          <w:sz w:val="24"/>
          <w:szCs w:val="24"/>
          <w:rtl/>
        </w:rPr>
        <w:t>26</w:t>
      </w:r>
    </w:p>
    <w:p w:rsidR="00CD1F87" w:rsidRDefault="00302B86" w:rsidP="000104A8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="002E67B2" w:rsidRPr="002E67B2">
        <w:rPr>
          <w:rFonts w:ascii="David" w:hAnsi="David" w:cs="David" w:hint="cs"/>
          <w:sz w:val="24"/>
          <w:szCs w:val="24"/>
          <w:rtl/>
        </w:rPr>
        <w:t>לכבוד</w:t>
      </w:r>
      <w:r w:rsidR="002E67B2"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</w:p>
    <w:p w:rsidR="00302B86" w:rsidRPr="002E67B2" w:rsidRDefault="00302B86" w:rsidP="00302B86">
      <w:pPr>
        <w:spacing w:line="360" w:lineRule="auto"/>
        <w:rPr>
          <w:rFonts w:ascii="David" w:hAnsi="David" w:cs="David"/>
          <w:sz w:val="24"/>
          <w:szCs w:val="24"/>
        </w:rPr>
      </w:pPr>
    </w:p>
    <w:p w:rsidR="00CD1F87" w:rsidRPr="003441E6" w:rsidRDefault="003441E6" w:rsidP="00302B86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302B86">
        <w:rPr>
          <w:rFonts w:cs="David" w:hint="cs"/>
          <w:b/>
          <w:bCs/>
          <w:sz w:val="24"/>
          <w:szCs w:val="24"/>
          <w:u w:val="single"/>
          <w:rtl/>
        </w:rPr>
        <w:t>15/08/2018</w:t>
      </w:r>
    </w:p>
    <w:p w:rsidR="00CD1F87" w:rsidRPr="00CD1F87" w:rsidRDefault="00CD1F87" w:rsidP="00CD1F87"/>
    <w:p w:rsidR="00302B86" w:rsidRPr="00302B86" w:rsidRDefault="002E67B2" w:rsidP="00302B86">
      <w:pPr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302B86">
        <w:rPr>
          <w:rFonts w:ascii="David" w:hAnsi="David" w:cs="David" w:hint="cs"/>
          <w:sz w:val="24"/>
          <w:szCs w:val="24"/>
          <w:rtl/>
        </w:rPr>
        <w:t>15/08/2018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6C117B">
        <w:rPr>
          <w:rFonts w:ascii="David" w:hAnsi="David" w:cs="David" w:hint="cs"/>
          <w:sz w:val="24"/>
          <w:szCs w:val="24"/>
          <w:rtl/>
        </w:rPr>
        <w:t xml:space="preserve">מידע אודות </w:t>
      </w:r>
      <w:r w:rsidR="00302B86">
        <w:rPr>
          <w:rFonts w:ascii="David" w:hAnsi="David" w:cs="David" w:hint="cs"/>
          <w:sz w:val="24"/>
          <w:szCs w:val="24"/>
          <w:rtl/>
        </w:rPr>
        <w:t>דיוני רשמים</w:t>
      </w:r>
      <w:r w:rsidR="006C117B">
        <w:rPr>
          <w:rFonts w:ascii="David" w:hAnsi="David" w:cs="David" w:hint="cs"/>
          <w:sz w:val="24"/>
          <w:szCs w:val="24"/>
          <w:rtl/>
        </w:rPr>
        <w:t xml:space="preserve"> ברשות האכיפה והגבייה</w:t>
      </w:r>
      <w:r w:rsidR="00C520FF">
        <w:rPr>
          <w:rFonts w:ascii="David" w:hAnsi="David" w:cs="David" w:hint="cs"/>
          <w:sz w:val="24"/>
          <w:szCs w:val="24"/>
          <w:rtl/>
        </w:rPr>
        <w:t xml:space="preserve">,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  <w:r w:rsidR="006C117B">
        <w:rPr>
          <w:rFonts w:ascii="David" w:hAnsi="David" w:cs="David"/>
          <w:sz w:val="24"/>
          <w:szCs w:val="24"/>
          <w:rtl/>
        </w:rPr>
        <w:br/>
      </w:r>
      <w:r w:rsidR="00302B86">
        <w:rPr>
          <w:rFonts w:ascii="David" w:hAnsi="David" w:cs="David"/>
          <w:sz w:val="24"/>
          <w:szCs w:val="24"/>
          <w:rtl/>
        </w:rPr>
        <w:br/>
      </w:r>
      <w:r w:rsidR="00302B86" w:rsidRPr="00302B86">
        <w:rPr>
          <w:rFonts w:ascii="David" w:eastAsiaTheme="minorHAnsi" w:hAnsi="David" w:cs="David"/>
          <w:b/>
          <w:bCs/>
          <w:sz w:val="24"/>
          <w:szCs w:val="24"/>
          <w:rtl/>
        </w:rPr>
        <w:t>כמות החלטות שניתנו ע"י הרשמים בין השנים 2014-2017</w:t>
      </w:r>
      <w:r w:rsidR="00302B86">
        <w:rPr>
          <w:rFonts w:ascii="David" w:eastAsiaTheme="minorHAnsi" w:hAnsi="David" w:cs="David" w:hint="cs"/>
          <w:b/>
          <w:bCs/>
          <w:sz w:val="24"/>
          <w:szCs w:val="24"/>
          <w:rtl/>
        </w:rPr>
        <w:t>:</w:t>
      </w:r>
    </w:p>
    <w:p w:rsidR="00302B86" w:rsidRP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302B86">
        <w:rPr>
          <w:rFonts w:ascii="David" w:eastAsiaTheme="minorHAnsi" w:hAnsi="David" w:cs="David"/>
          <w:noProof/>
        </w:rPr>
        <w:drawing>
          <wp:inline distT="0" distB="0" distL="0" distR="0" wp14:anchorId="5F80E7EA" wp14:editId="6F4DEB93">
            <wp:extent cx="4559691" cy="1938216"/>
            <wp:effectExtent l="0" t="0" r="12700" b="5080"/>
            <wp:docPr id="2" name="תרשים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02B86" w:rsidRPr="00302B86" w:rsidRDefault="00302B86" w:rsidP="00302B86">
      <w:pPr>
        <w:bidi w:val="0"/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</w:p>
    <w:p w:rsidR="00302B86" w:rsidRPr="00302B86" w:rsidRDefault="00302B86" w:rsidP="00302B86">
      <w:pPr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302B86">
        <w:rPr>
          <w:rFonts w:ascii="David" w:eastAsiaTheme="minorHAnsi" w:hAnsi="David" w:cs="David"/>
          <w:b/>
          <w:bCs/>
          <w:sz w:val="24"/>
          <w:szCs w:val="24"/>
          <w:rtl/>
        </w:rPr>
        <w:lastRenderedPageBreak/>
        <w:t>כמות החלטות שניתנ</w:t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t>ו ע"י רשמים בשנת 2017 לפי לשכות</w:t>
      </w:r>
      <w:r>
        <w:rPr>
          <w:rFonts w:ascii="David" w:eastAsiaTheme="minorHAnsi" w:hAnsi="David" w:cs="David" w:hint="cs"/>
          <w:b/>
          <w:bCs/>
          <w:sz w:val="24"/>
          <w:szCs w:val="24"/>
          <w:rtl/>
        </w:rPr>
        <w:t>:</w:t>
      </w:r>
    </w:p>
    <w:p w:rsidR="00302B86" w:rsidRP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302B86">
        <w:rPr>
          <w:rFonts w:ascii="David" w:eastAsiaTheme="minorHAnsi" w:hAnsi="David" w:cs="David"/>
          <w:noProof/>
        </w:rPr>
        <w:drawing>
          <wp:inline distT="0" distB="0" distL="0" distR="0" wp14:anchorId="1B535200" wp14:editId="667D9D8B">
            <wp:extent cx="4511285" cy="1820985"/>
            <wp:effectExtent l="0" t="0" r="3810" b="8255"/>
            <wp:docPr id="7" name="תרשים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02B86" w:rsidRPr="00302B86" w:rsidRDefault="00302B86" w:rsidP="00302B86">
      <w:pPr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</w:p>
    <w:p w:rsidR="00302B86" w:rsidRPr="00302B86" w:rsidRDefault="00302B86" w:rsidP="00302B86">
      <w:pPr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302B86">
        <w:rPr>
          <w:rFonts w:ascii="David" w:eastAsiaTheme="minorHAnsi" w:hAnsi="David" w:cs="David"/>
          <w:b/>
          <w:bCs/>
          <w:sz w:val="24"/>
          <w:szCs w:val="24"/>
          <w:rtl/>
        </w:rPr>
        <w:t>כמות הדיונים שהתקיימ</w:t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t>ו בשנת 2017 ע"י רשמים לפי לשכות</w:t>
      </w:r>
      <w:r>
        <w:rPr>
          <w:rFonts w:ascii="David" w:eastAsiaTheme="minorHAnsi" w:hAnsi="David" w:cs="David" w:hint="cs"/>
          <w:b/>
          <w:bCs/>
          <w:sz w:val="24"/>
          <w:szCs w:val="24"/>
          <w:rtl/>
        </w:rPr>
        <w:t>:</w:t>
      </w:r>
    </w:p>
    <w:p w:rsidR="00302B86" w:rsidRP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24"/>
          <w:szCs w:val="24"/>
        </w:rPr>
      </w:pPr>
      <w:r w:rsidRPr="00302B86">
        <w:rPr>
          <w:rFonts w:ascii="David" w:eastAsiaTheme="minorHAnsi" w:hAnsi="David" w:cs="David"/>
          <w:noProof/>
        </w:rPr>
        <w:drawing>
          <wp:inline distT="0" distB="0" distL="0" distR="0" wp14:anchorId="7C11CBA3" wp14:editId="51BE2CDE">
            <wp:extent cx="5074285" cy="3071003"/>
            <wp:effectExtent l="0" t="0" r="12065" b="15240"/>
            <wp:docPr id="11" name="תרשים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02B86" w:rsidRPr="00302B86" w:rsidRDefault="00302B86" w:rsidP="00302B86">
      <w:pPr>
        <w:spacing w:line="360" w:lineRule="auto"/>
        <w:rPr>
          <w:rFonts w:ascii="David" w:eastAsiaTheme="minorHAnsi" w:hAnsi="David" w:cs="David"/>
          <w:b/>
          <w:bCs/>
          <w:sz w:val="24"/>
          <w:szCs w:val="24"/>
          <w:rtl/>
        </w:rPr>
      </w:pP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br/>
      </w:r>
      <w:r>
        <w:rPr>
          <w:rFonts w:ascii="David" w:eastAsiaTheme="minorHAnsi" w:hAnsi="David" w:cs="David"/>
          <w:b/>
          <w:bCs/>
          <w:sz w:val="24"/>
          <w:szCs w:val="24"/>
          <w:rtl/>
        </w:rPr>
        <w:lastRenderedPageBreak/>
        <w:br/>
      </w:r>
      <w:r w:rsidRPr="00302B86">
        <w:rPr>
          <w:rFonts w:ascii="David" w:eastAsiaTheme="minorHAnsi" w:hAnsi="David" w:cs="David"/>
          <w:b/>
          <w:bCs/>
          <w:sz w:val="24"/>
          <w:szCs w:val="24"/>
          <w:rtl/>
        </w:rPr>
        <w:t xml:space="preserve"> סוגי הדיונים בשנת 2017</w:t>
      </w:r>
      <w:r>
        <w:rPr>
          <w:rFonts w:ascii="David" w:eastAsiaTheme="minorHAnsi" w:hAnsi="David" w:cs="David" w:hint="cs"/>
          <w:b/>
          <w:bCs/>
          <w:sz w:val="24"/>
          <w:szCs w:val="24"/>
          <w:rtl/>
        </w:rPr>
        <w:t>:</w:t>
      </w:r>
    </w:p>
    <w:p w:rsidR="00302B86" w:rsidRP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b/>
          <w:bCs/>
          <w:sz w:val="32"/>
          <w:szCs w:val="32"/>
          <w:rtl/>
        </w:rPr>
      </w:pPr>
      <w:r w:rsidRPr="00302B86">
        <w:rPr>
          <w:rFonts w:ascii="David" w:eastAsiaTheme="minorHAnsi" w:hAnsi="David" w:cs="David"/>
          <w:noProof/>
        </w:rPr>
        <w:drawing>
          <wp:inline distT="0" distB="0" distL="0" distR="0" wp14:anchorId="07CC15D8" wp14:editId="3B6EC71A">
            <wp:extent cx="5492750" cy="3362325"/>
            <wp:effectExtent l="0" t="0" r="12700" b="9525"/>
            <wp:docPr id="12" name="תרשים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02B86" w:rsidRPr="00302B86" w:rsidRDefault="00302B86" w:rsidP="00302B86">
      <w:pPr>
        <w:rPr>
          <w:rFonts w:ascii="David" w:eastAsiaTheme="minorHAnsi" w:hAnsi="David" w:cs="David"/>
          <w:sz w:val="24"/>
          <w:szCs w:val="24"/>
          <w:rtl/>
        </w:rPr>
      </w:pPr>
    </w:p>
    <w:p w:rsidR="00302B86" w:rsidRPr="00302B86" w:rsidRDefault="00302B86" w:rsidP="00302B86">
      <w:pPr>
        <w:spacing w:line="360" w:lineRule="auto"/>
        <w:rPr>
          <w:rFonts w:ascii="David" w:eastAsiaTheme="minorHAnsi" w:hAnsi="David" w:cs="David"/>
          <w:sz w:val="24"/>
          <w:szCs w:val="24"/>
          <w:rtl/>
        </w:rPr>
      </w:pPr>
      <w:r w:rsidRPr="00302B86">
        <w:rPr>
          <w:rFonts w:ascii="David" w:eastAsiaTheme="minorHAnsi" w:hAnsi="David" w:cs="David"/>
          <w:b/>
          <w:bCs/>
          <w:sz w:val="24"/>
          <w:szCs w:val="24"/>
          <w:rtl/>
        </w:rPr>
        <w:t>ממוצע זמני הדיונים</w:t>
      </w:r>
      <w:r w:rsidRPr="00302B86">
        <w:rPr>
          <w:rFonts w:ascii="David" w:eastAsiaTheme="minorHAnsi" w:hAnsi="David" w:cs="David" w:hint="cs"/>
          <w:b/>
          <w:bCs/>
          <w:sz w:val="24"/>
          <w:szCs w:val="24"/>
          <w:rtl/>
        </w:rPr>
        <w:t xml:space="preserve"> בשנת 2017</w:t>
      </w:r>
      <w:r w:rsidRPr="00302B86">
        <w:rPr>
          <w:rFonts w:ascii="David" w:eastAsiaTheme="minorHAnsi" w:hAnsi="David" w:cs="David"/>
          <w:sz w:val="24"/>
          <w:szCs w:val="24"/>
          <w:rtl/>
        </w:rPr>
        <w:t xml:space="preserve"> </w:t>
      </w:r>
      <w:r>
        <w:rPr>
          <w:rFonts w:ascii="David" w:eastAsiaTheme="minorHAnsi" w:hAnsi="David" w:cs="David" w:hint="cs"/>
          <w:sz w:val="24"/>
          <w:szCs w:val="24"/>
          <w:rtl/>
        </w:rPr>
        <w:t>:</w:t>
      </w:r>
    </w:p>
    <w:tbl>
      <w:tblPr>
        <w:tblStyle w:val="4-1"/>
        <w:tblpPr w:leftFromText="180" w:rightFromText="180" w:vertAnchor="text" w:tblpXSpec="center" w:tblpY="1"/>
        <w:tblOverlap w:val="never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77"/>
        <w:gridCol w:w="1417"/>
        <w:gridCol w:w="1276"/>
        <w:gridCol w:w="1276"/>
        <w:gridCol w:w="1134"/>
      </w:tblGrid>
      <w:tr w:rsidR="00302B86" w:rsidRPr="00302B86" w:rsidTr="008546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9CC2E5" w:themeFill="accent1" w:themeFillTint="99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color w:val="000000" w:themeColor="text1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  <w:t>סוג דיון</w:t>
            </w:r>
          </w:p>
        </w:tc>
        <w:tc>
          <w:tcPr>
            <w:tcW w:w="1417" w:type="dxa"/>
            <w:shd w:val="clear" w:color="auto" w:fill="9CC2E5" w:themeFill="accent1" w:themeFillTint="99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color w:val="000000" w:themeColor="text1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  <w:t>כללי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  <w:t>מזונות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  <w:t>הפטר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color w:val="000000" w:themeColor="text1"/>
                <w:sz w:val="24"/>
                <w:szCs w:val="24"/>
                <w:rtl/>
              </w:rPr>
              <w:t>כינוס</w:t>
            </w:r>
          </w:p>
        </w:tc>
      </w:tr>
      <w:tr w:rsidR="00302B86" w:rsidRPr="00302B86" w:rsidTr="00854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צו הבאה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11.5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</w:tr>
      <w:tr w:rsidR="00302B86" w:rsidRPr="00302B86" w:rsidTr="0085465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צו מאסר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28.15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</w:tr>
      <w:tr w:rsidR="00302B86" w:rsidRPr="00302B86" w:rsidTr="00854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דיון הפטר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46.78</w:t>
            </w: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</w:tr>
      <w:tr w:rsidR="00302B86" w:rsidRPr="00302B86" w:rsidTr="0085465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דיון חקירת יכולת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46.30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75.20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</w:tr>
      <w:tr w:rsidR="00302B86" w:rsidRPr="00302B86" w:rsidTr="00854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דיון בטענת פרעתי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78.97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93.87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</w:tr>
      <w:tr w:rsidR="00302B86" w:rsidRPr="00302B86" w:rsidTr="0085465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rPr>
                <w:rFonts w:ascii="David" w:eastAsiaTheme="minorHAnsi" w:hAnsi="David" w:cs="David"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sz w:val="24"/>
                <w:szCs w:val="24"/>
                <w:rtl/>
              </w:rPr>
              <w:t>שאר הדיונים</w:t>
            </w:r>
          </w:p>
        </w:tc>
        <w:tc>
          <w:tcPr>
            <w:tcW w:w="1417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  <w:rtl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39.0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62.9</w:t>
            </w:r>
          </w:p>
        </w:tc>
        <w:tc>
          <w:tcPr>
            <w:tcW w:w="1276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hideMark/>
          </w:tcPr>
          <w:p w:rsidR="00302B86" w:rsidRPr="00302B86" w:rsidRDefault="00302B86" w:rsidP="00302B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302B86"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  <w:t>50.7</w:t>
            </w:r>
          </w:p>
        </w:tc>
      </w:tr>
    </w:tbl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</w:p>
    <w:p w:rsidR="00302B86" w:rsidRPr="00302B86" w:rsidRDefault="00302B86" w:rsidP="00302B86">
      <w:pPr>
        <w:spacing w:line="360" w:lineRule="auto"/>
        <w:jc w:val="center"/>
        <w:rPr>
          <w:rFonts w:ascii="David" w:eastAsiaTheme="minorHAnsi" w:hAnsi="David" w:cs="David"/>
          <w:rtl/>
        </w:rPr>
      </w:pPr>
      <w:r w:rsidRPr="00302B86">
        <w:rPr>
          <w:rFonts w:ascii="David" w:eastAsiaTheme="minorHAnsi" w:hAnsi="David" w:cs="David" w:hint="cs"/>
          <w:rtl/>
        </w:rPr>
        <w:t xml:space="preserve">זמני הדיונים מבוססים על תצפיות שבוצעו במסגרת מדידת עומסים שביצע האגף לתכנון ומדיניות בשנת 2017 </w:t>
      </w:r>
    </w:p>
    <w:p w:rsidR="00CD1F87" w:rsidRPr="00CD1F87" w:rsidRDefault="00CD1F87" w:rsidP="00CD1F87"/>
    <w:p w:rsidR="00CD1F87" w:rsidRPr="00A2087B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2087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A2087B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2087B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A2087B" w:rsidSect="002E67B2">
      <w:headerReference w:type="default" r:id="rId11"/>
      <w:footerReference w:type="default" r:id="rId12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104A8"/>
    <w:rsid w:val="0016469E"/>
    <w:rsid w:val="002E67B2"/>
    <w:rsid w:val="00302B86"/>
    <w:rsid w:val="003441E6"/>
    <w:rsid w:val="00395912"/>
    <w:rsid w:val="006C117B"/>
    <w:rsid w:val="006E6D8F"/>
    <w:rsid w:val="009809BF"/>
    <w:rsid w:val="00A2087B"/>
    <w:rsid w:val="00C4736F"/>
    <w:rsid w:val="00C520FF"/>
    <w:rsid w:val="00CD1F87"/>
    <w:rsid w:val="00D3383B"/>
    <w:rsid w:val="00DE28A7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BD38518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table" w:styleId="4-1">
    <w:name w:val="Grid Table 4 Accent 1"/>
    <w:basedOn w:val="a1"/>
    <w:uiPriority w:val="49"/>
    <w:rsid w:val="00302B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495;&#1493;&#1489;&#1512;&#1514;2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495;&#1493;&#1489;&#1512;&#1514;2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&#1495;&#1493;&#1489;&#1512;&#1514;2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&#1495;&#1493;&#1489;&#1512;&#1514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5462668816039986E-17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6D8-4E21-ACB0-3FB933C058EB}"/>
                </c:ext>
              </c:extLst>
            </c:dLbl>
            <c:dLbl>
              <c:idx val="1"/>
              <c:layout>
                <c:manualLayout>
                  <c:x val="-5.0925337632079971E-17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6D8-4E21-ACB0-3FB933C058EB}"/>
                </c:ext>
              </c:extLst>
            </c:dLbl>
            <c:dLbl>
              <c:idx val="2"/>
              <c:layout>
                <c:manualLayout>
                  <c:x val="8.3333333333333332E-3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6D8-4E21-ACB0-3FB933C058EB}"/>
                </c:ext>
              </c:extLst>
            </c:dLbl>
            <c:dLbl>
              <c:idx val="3"/>
              <c:layout>
                <c:manualLayout>
                  <c:x val="1.1111111111111112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6D8-4E21-ACB0-3FB933C058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David" panose="020E0502060401010101" pitchFamily="34" charset="-79"/>
                    <a:ea typeface="+mn-ea"/>
                    <a:cs typeface="David" panose="020E0502060401010101" pitchFamily="34" charset="-79"/>
                  </a:defRPr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גיליון1!$A$4:$A$7</c:f>
              <c:strCach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strCache>
            </c:strRef>
          </c:cat>
          <c:val>
            <c:numRef>
              <c:f>גיליון1!$B$4:$B$7</c:f>
              <c:numCache>
                <c:formatCode>#,##0_);\(#,##0\)</c:formatCode>
                <c:ptCount val="4"/>
                <c:pt idx="0">
                  <c:v>2680012</c:v>
                </c:pt>
                <c:pt idx="1">
                  <c:v>2188591</c:v>
                </c:pt>
                <c:pt idx="2">
                  <c:v>2136472</c:v>
                </c:pt>
                <c:pt idx="3">
                  <c:v>2223130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6D8-4E21-ACB0-3FB933C058E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30967624"/>
        <c:axId val="426048472"/>
        <c:axId val="0"/>
      </c:bar3DChart>
      <c:catAx>
        <c:axId val="430967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48472"/>
        <c:crosses val="autoZero"/>
        <c:auto val="1"/>
        <c:lblAlgn val="ctr"/>
        <c:lblOffset val="100"/>
        <c:noMultiLvlLbl val="0"/>
      </c:catAx>
      <c:valAx>
        <c:axId val="426048472"/>
        <c:scaling>
          <c:orientation val="minMax"/>
          <c:max val="350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30967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1">
          <a:latin typeface="David" panose="020E0502060401010101" pitchFamily="34" charset="-79"/>
          <a:cs typeface="David" panose="020E0502060401010101" pitchFamily="34" charset="-79"/>
        </a:defRPr>
      </a:pPr>
      <a:endParaRPr lang="he-I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160870516185477"/>
          <c:y val="0.10384792178581045"/>
          <c:w val="0.8378357392825897"/>
          <c:h val="0.5147586119890030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David" panose="020E0502060401010101" pitchFamily="34" charset="-79"/>
                    <a:ea typeface="+mn-ea"/>
                    <a:cs typeface="David" panose="020E0502060401010101" pitchFamily="34" charset="-79"/>
                  </a:defRPr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גיליון1!$A$19:$A$37</c:f>
              <c:strCache>
                <c:ptCount val="19"/>
                <c:pt idx="0">
                  <c:v>לשכת תל אביב</c:v>
                </c:pt>
                <c:pt idx="1">
                  <c:v>לשכת חיפה</c:v>
                </c:pt>
                <c:pt idx="2">
                  <c:v>לשכת כפר סבא והרצליה</c:v>
                </c:pt>
                <c:pt idx="3">
                  <c:v>לשכת נתניה</c:v>
                </c:pt>
                <c:pt idx="4">
                  <c:v>לשכת ירושלים</c:v>
                </c:pt>
                <c:pt idx="5">
                  <c:v>לשכת חדרה</c:v>
                </c:pt>
                <c:pt idx="6">
                  <c:v>לשכת ראשון לציון ורחובות</c:v>
                </c:pt>
                <c:pt idx="7">
                  <c:v>לשכת עכו</c:v>
                </c:pt>
                <c:pt idx="8">
                  <c:v>לשכת פתח תקוה</c:v>
                </c:pt>
                <c:pt idx="9">
                  <c:v>לשכת באר שבע</c:v>
                </c:pt>
                <c:pt idx="10">
                  <c:v>לשכת קריות</c:v>
                </c:pt>
                <c:pt idx="11">
                  <c:v>לשכת צפת וקרית שמונה</c:v>
                </c:pt>
                <c:pt idx="12">
                  <c:v>לשכת נצרת ועפולה</c:v>
                </c:pt>
                <c:pt idx="13">
                  <c:v>לשכת רמלה</c:v>
                </c:pt>
                <c:pt idx="14">
                  <c:v>לשכת אשקלון וקרית גת</c:v>
                </c:pt>
                <c:pt idx="15">
                  <c:v>לשכת טבריה ובית שאן</c:v>
                </c:pt>
                <c:pt idx="16">
                  <c:v>לשכת אשדוד</c:v>
                </c:pt>
                <c:pt idx="17">
                  <c:v>לשכת דימונה</c:v>
                </c:pt>
                <c:pt idx="18">
                  <c:v>לשכת אילת</c:v>
                </c:pt>
              </c:strCache>
            </c:strRef>
          </c:cat>
          <c:val>
            <c:numRef>
              <c:f>גיליון1!$B$19:$B$37</c:f>
              <c:numCache>
                <c:formatCode>#,##0_);\(#,##0\)</c:formatCode>
                <c:ptCount val="19"/>
                <c:pt idx="0">
                  <c:v>723500</c:v>
                </c:pt>
                <c:pt idx="1">
                  <c:v>290777</c:v>
                </c:pt>
                <c:pt idx="2">
                  <c:v>168515</c:v>
                </c:pt>
                <c:pt idx="3">
                  <c:v>167057</c:v>
                </c:pt>
                <c:pt idx="4">
                  <c:v>160287</c:v>
                </c:pt>
                <c:pt idx="5">
                  <c:v>99516</c:v>
                </c:pt>
                <c:pt idx="6">
                  <c:v>98521</c:v>
                </c:pt>
                <c:pt idx="7">
                  <c:v>92436</c:v>
                </c:pt>
                <c:pt idx="8">
                  <c:v>75741</c:v>
                </c:pt>
                <c:pt idx="9">
                  <c:v>75257</c:v>
                </c:pt>
                <c:pt idx="10">
                  <c:v>53341</c:v>
                </c:pt>
                <c:pt idx="11">
                  <c:v>51773</c:v>
                </c:pt>
                <c:pt idx="12">
                  <c:v>41754</c:v>
                </c:pt>
                <c:pt idx="13">
                  <c:v>36195</c:v>
                </c:pt>
                <c:pt idx="14">
                  <c:v>22221</c:v>
                </c:pt>
                <c:pt idx="15">
                  <c:v>17875</c:v>
                </c:pt>
                <c:pt idx="16">
                  <c:v>14806</c:v>
                </c:pt>
                <c:pt idx="17">
                  <c:v>6850</c:v>
                </c:pt>
                <c:pt idx="18">
                  <c:v>6345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17-46C5-BF8F-8074DFC9FC9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26055136"/>
        <c:axId val="426059056"/>
        <c:axId val="0"/>
      </c:bar3DChart>
      <c:catAx>
        <c:axId val="426055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324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59056"/>
        <c:crosses val="autoZero"/>
        <c:auto val="1"/>
        <c:lblAlgn val="ctr"/>
        <c:lblOffset val="100"/>
        <c:noMultiLvlLbl val="0"/>
      </c:catAx>
      <c:valAx>
        <c:axId val="426059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\(#,##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55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David" panose="020E0502060401010101" pitchFamily="34" charset="-79"/>
          <a:cs typeface="David" panose="020E0502060401010101" pitchFamily="34" charset="-79"/>
        </a:defRPr>
      </a:pPr>
      <a:endParaRPr lang="he-I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9139681748266012E-2"/>
          <c:y val="7.1851225697379548E-2"/>
          <c:w val="0.87332934590784717"/>
          <c:h val="0.56039330142903732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David" panose="020E0502060401010101" pitchFamily="34" charset="-79"/>
                    <a:ea typeface="+mn-ea"/>
                    <a:cs typeface="David" panose="020E0502060401010101" pitchFamily="34" charset="-79"/>
                  </a:defRPr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גיליון1!$A$44:$A$62</c:f>
              <c:strCache>
                <c:ptCount val="19"/>
                <c:pt idx="0">
                  <c:v>לשכת תל אביב</c:v>
                </c:pt>
                <c:pt idx="1">
                  <c:v>לשכת נתניה</c:v>
                </c:pt>
                <c:pt idx="2">
                  <c:v>לשכת חיפה</c:v>
                </c:pt>
                <c:pt idx="3">
                  <c:v>לשכת באר שבע</c:v>
                </c:pt>
                <c:pt idx="4">
                  <c:v>לשכת ירושלים</c:v>
                </c:pt>
                <c:pt idx="5">
                  <c:v>לשכת כפר סבא והרצליה</c:v>
                </c:pt>
                <c:pt idx="6">
                  <c:v>לשכת ראשון לציון ורחובות</c:v>
                </c:pt>
                <c:pt idx="7">
                  <c:v>לשכת עכו</c:v>
                </c:pt>
                <c:pt idx="8">
                  <c:v>לשכת חדרה</c:v>
                </c:pt>
                <c:pt idx="9">
                  <c:v>לשכת פתח תקוה</c:v>
                </c:pt>
                <c:pt idx="10">
                  <c:v>לשכת קריות</c:v>
                </c:pt>
                <c:pt idx="11">
                  <c:v>לשכת נצרת עפולה</c:v>
                </c:pt>
                <c:pt idx="12">
                  <c:v>לשכת אשקלון וקרית גת</c:v>
                </c:pt>
                <c:pt idx="13">
                  <c:v>לשכת טבריה ובית שאן</c:v>
                </c:pt>
                <c:pt idx="14">
                  <c:v>לשכת צפת וקרית שמונה</c:v>
                </c:pt>
                <c:pt idx="15">
                  <c:v>לשכת רמלה</c:v>
                </c:pt>
                <c:pt idx="16">
                  <c:v>לשכת אשדוד</c:v>
                </c:pt>
                <c:pt idx="17">
                  <c:v>לשכת אילת</c:v>
                </c:pt>
                <c:pt idx="18">
                  <c:v>לשכת דימונה</c:v>
                </c:pt>
              </c:strCache>
            </c:strRef>
          </c:cat>
          <c:val>
            <c:numRef>
              <c:f>גיליון1!$B$44:$B$62</c:f>
              <c:numCache>
                <c:formatCode>_ * #,##0_ ;_ * \-#,##0_ ;_ * "-"??_ ;_ @_ </c:formatCode>
                <c:ptCount val="19"/>
                <c:pt idx="0">
                  <c:v>5432</c:v>
                </c:pt>
                <c:pt idx="1">
                  <c:v>3584</c:v>
                </c:pt>
                <c:pt idx="2">
                  <c:v>3201</c:v>
                </c:pt>
                <c:pt idx="3">
                  <c:v>2075</c:v>
                </c:pt>
                <c:pt idx="4">
                  <c:v>2005</c:v>
                </c:pt>
                <c:pt idx="5">
                  <c:v>1878</c:v>
                </c:pt>
                <c:pt idx="6">
                  <c:v>965</c:v>
                </c:pt>
                <c:pt idx="7">
                  <c:v>860</c:v>
                </c:pt>
                <c:pt idx="8">
                  <c:v>716</c:v>
                </c:pt>
                <c:pt idx="9">
                  <c:v>695</c:v>
                </c:pt>
                <c:pt idx="10">
                  <c:v>594</c:v>
                </c:pt>
                <c:pt idx="11">
                  <c:v>393</c:v>
                </c:pt>
                <c:pt idx="12">
                  <c:v>338</c:v>
                </c:pt>
                <c:pt idx="13">
                  <c:v>274</c:v>
                </c:pt>
                <c:pt idx="14">
                  <c:v>262</c:v>
                </c:pt>
                <c:pt idx="15">
                  <c:v>258</c:v>
                </c:pt>
                <c:pt idx="16">
                  <c:v>255</c:v>
                </c:pt>
                <c:pt idx="17">
                  <c:v>98</c:v>
                </c:pt>
                <c:pt idx="18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60-4A8E-9FEB-DB1555E8F0A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26033184"/>
        <c:axId val="426035144"/>
        <c:axId val="0"/>
      </c:bar3DChart>
      <c:catAx>
        <c:axId val="42603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35144"/>
        <c:crosses val="autoZero"/>
        <c:auto val="1"/>
        <c:lblAlgn val="ctr"/>
        <c:lblOffset val="100"/>
        <c:noMultiLvlLbl val="0"/>
      </c:catAx>
      <c:valAx>
        <c:axId val="426035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33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David" panose="020E0502060401010101" pitchFamily="34" charset="-79"/>
          <a:cs typeface="David" panose="020E0502060401010101" pitchFamily="34" charset="-79"/>
        </a:defRPr>
      </a:pPr>
      <a:endParaRPr lang="he-IL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55068219910572"/>
          <c:y val="0.10015647806711141"/>
          <c:w val="0.86710444205302195"/>
          <c:h val="0.45320576307209626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David" panose="020E0502060401010101" pitchFamily="34" charset="-79"/>
                    <a:ea typeface="+mn-ea"/>
                    <a:cs typeface="David" panose="020E0502060401010101" pitchFamily="34" charset="-79"/>
                  </a:defRPr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גיליון1!$A$68:$A$80</c:f>
              <c:strCache>
                <c:ptCount val="13"/>
                <c:pt idx="0">
                  <c:v>דיון בצו הבאה</c:v>
                </c:pt>
                <c:pt idx="1">
                  <c:v>דיון בצו מאסר</c:v>
                </c:pt>
                <c:pt idx="2">
                  <c:v>דיון בהתיצבות</c:v>
                </c:pt>
                <c:pt idx="3">
                  <c:v>דיון כללי</c:v>
                </c:pt>
                <c:pt idx="4">
                  <c:v>דיון בנושא חקירת צג ג</c:v>
                </c:pt>
                <c:pt idx="5">
                  <c:v>דיון בטענת פרעתי</c:v>
                </c:pt>
                <c:pt idx="6">
                  <c:v>דיון בחקירת יכולת</c:v>
                </c:pt>
                <c:pt idx="7">
                  <c:v>דיון לחייב מועמד להפטר</c:v>
                </c:pt>
                <c:pt idx="8">
                  <c:v>דיון בבירור</c:v>
                </c:pt>
                <c:pt idx="9">
                  <c:v>דיון לחייב משתמט</c:v>
                </c:pt>
                <c:pt idx="10">
                  <c:v>דיון בחיוב צד ג בחוב הפסוק</c:v>
                </c:pt>
                <c:pt idx="11">
                  <c:v>דיון בחיוב נאמן או כונס בחוב הפסוק</c:v>
                </c:pt>
                <c:pt idx="12">
                  <c:v>דיון בהתיצבות לחקירת יכולת</c:v>
                </c:pt>
              </c:strCache>
            </c:strRef>
          </c:cat>
          <c:val>
            <c:numRef>
              <c:f>גיליון1!$B$68:$B$80</c:f>
              <c:numCache>
                <c:formatCode>#,##0_);\(#,##0\)</c:formatCode>
                <c:ptCount val="13"/>
                <c:pt idx="0">
                  <c:v>14822</c:v>
                </c:pt>
                <c:pt idx="1">
                  <c:v>2085</c:v>
                </c:pt>
                <c:pt idx="2">
                  <c:v>1434</c:v>
                </c:pt>
                <c:pt idx="3">
                  <c:v>1234</c:v>
                </c:pt>
                <c:pt idx="4">
                  <c:v>1226</c:v>
                </c:pt>
                <c:pt idx="5">
                  <c:v>1088</c:v>
                </c:pt>
                <c:pt idx="6">
                  <c:v>896</c:v>
                </c:pt>
                <c:pt idx="7">
                  <c:v>821</c:v>
                </c:pt>
                <c:pt idx="8">
                  <c:v>138</c:v>
                </c:pt>
                <c:pt idx="9">
                  <c:v>134</c:v>
                </c:pt>
                <c:pt idx="10">
                  <c:v>70</c:v>
                </c:pt>
                <c:pt idx="11">
                  <c:v>9</c:v>
                </c:pt>
                <c:pt idx="1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41-4091-9384-02D0762C7AD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26039064"/>
        <c:axId val="425021272"/>
        <c:axId val="0"/>
      </c:bar3DChart>
      <c:catAx>
        <c:axId val="426039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5021272"/>
        <c:crosses val="autoZero"/>
        <c:auto val="1"/>
        <c:lblAlgn val="ctr"/>
        <c:lblOffset val="100"/>
        <c:noMultiLvlLbl val="0"/>
      </c:catAx>
      <c:valAx>
        <c:axId val="425021272"/>
        <c:scaling>
          <c:orientation val="minMax"/>
          <c:max val="2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\(#,##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David" panose="020E0502060401010101" pitchFamily="34" charset="-79"/>
                <a:ea typeface="+mn-ea"/>
                <a:cs typeface="David" panose="020E0502060401010101" pitchFamily="34" charset="-79"/>
              </a:defRPr>
            </a:pPr>
            <a:endParaRPr lang="he-IL"/>
          </a:p>
        </c:txPr>
        <c:crossAx val="426039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David" panose="020E0502060401010101" pitchFamily="34" charset="-79"/>
          <a:cs typeface="David" panose="020E0502060401010101" pitchFamily="34" charset="-79"/>
        </a:defRPr>
      </a:pPr>
      <a:endParaRPr lang="he-I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EA8CE-BA14-421D-A515-168FDB3E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2018-09-12T06:08:00Z</dcterms:created>
  <dcterms:modified xsi:type="dcterms:W3CDTF">2018-09-12T06:08:00Z</dcterms:modified>
</cp:coreProperties>
</file>