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382910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382910">
        <w:rPr>
          <w:rFonts w:ascii="David" w:hAnsi="David" w:cs="David" w:hint="cs"/>
          <w:sz w:val="24"/>
          <w:szCs w:val="24"/>
          <w:rtl/>
        </w:rPr>
        <w:t>ח</w:t>
      </w:r>
      <w:r w:rsidR="005454AC">
        <w:rPr>
          <w:rFonts w:ascii="David" w:hAnsi="David" w:cs="David" w:hint="cs"/>
          <w:sz w:val="24"/>
          <w:szCs w:val="24"/>
          <w:rtl/>
        </w:rPr>
        <w:t>' בטבת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BD49FA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8-12-16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382910">
            <w:rPr>
              <w:rFonts w:ascii="David" w:hAnsi="David" w:cs="David" w:hint="cs"/>
              <w:sz w:val="24"/>
              <w:szCs w:val="24"/>
              <w:rtl/>
            </w:rPr>
            <w:t>‏16/12/2018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382910" w:rsidRDefault="00C4736F" w:rsidP="00D52110">
      <w:pPr>
        <w:jc w:val="center"/>
        <w:rPr>
          <w:rFonts w:ascii="David" w:hAnsi="David" w:cs="David"/>
          <w:sz w:val="24"/>
          <w:szCs w:val="24"/>
        </w:rPr>
      </w:pPr>
      <w:r w:rsidRPr="00382910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 w:rsidRPr="00382910">
        <w:rPr>
          <w:rFonts w:ascii="David" w:hAnsi="David" w:cs="David" w:hint="cs"/>
          <w:sz w:val="24"/>
          <w:szCs w:val="24"/>
          <w:rtl/>
        </w:rPr>
        <w:t xml:space="preserve">                                         </w:t>
      </w:r>
      <w:r w:rsidRPr="00382910">
        <w:rPr>
          <w:rFonts w:ascii="David" w:hAnsi="David" w:cs="David" w:hint="cs"/>
          <w:sz w:val="24"/>
          <w:szCs w:val="24"/>
          <w:rtl/>
        </w:rPr>
        <w:t>מס סימוכין:</w:t>
      </w:r>
      <w:r w:rsidR="002E67B2" w:rsidRPr="00382910">
        <w:rPr>
          <w:rFonts w:ascii="David" w:hAnsi="David" w:cs="David" w:hint="cs"/>
          <w:sz w:val="24"/>
          <w:szCs w:val="24"/>
          <w:rtl/>
        </w:rPr>
        <w:t xml:space="preserve"> </w:t>
      </w:r>
      <w:r w:rsidR="00382910" w:rsidRPr="00382910">
        <w:rPr>
          <w:rFonts w:ascii="David" w:hAnsi="David" w:cs="David" w:hint="cs"/>
          <w:sz w:val="24"/>
          <w:szCs w:val="24"/>
          <w:rtl/>
        </w:rPr>
        <w:t>3044-18-0034</w:t>
      </w:r>
    </w:p>
    <w:p w:rsidR="005454AC" w:rsidRPr="006914C3" w:rsidRDefault="005454AC" w:rsidP="00BD49FA">
      <w:pPr>
        <w:spacing w:line="276" w:lineRule="auto"/>
        <w:rPr>
          <w:rFonts w:ascii="David" w:hAnsi="David" w:cs="David"/>
          <w:b/>
          <w:bCs/>
          <w:u w:val="single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382910">
        <w:rPr>
          <w:rFonts w:ascii="David" w:hAnsi="David" w:cs="David"/>
          <w:sz w:val="24"/>
          <w:szCs w:val="24"/>
          <w:rtl/>
        </w:rPr>
        <w:br/>
      </w:r>
      <w:r w:rsidR="00382910">
        <w:rPr>
          <w:rFonts w:ascii="David" w:hAnsi="David" w:cs="David"/>
          <w:sz w:val="24"/>
          <w:szCs w:val="24"/>
          <w:rtl/>
        </w:rPr>
        <w:br/>
      </w:r>
      <w:r w:rsidR="00382910">
        <w:rPr>
          <w:rFonts w:ascii="David" w:hAnsi="David" w:cs="David" w:hint="cs"/>
          <w:sz w:val="24"/>
          <w:szCs w:val="24"/>
          <w:rtl/>
        </w:rPr>
        <w:t>התנועה לחופש המידע</w:t>
      </w:r>
      <w:r w:rsidR="00382910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382910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382910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D52110" w:rsidRPr="00382910">
        <w:rPr>
          <w:rFonts w:ascii="David" w:hAnsi="David" w:cs="David"/>
          <w:b/>
          <w:bCs/>
          <w:sz w:val="24"/>
          <w:szCs w:val="24"/>
          <w:u w:val="single"/>
          <w:rtl/>
        </w:rPr>
        <w:t>18</w:t>
      </w:r>
      <w:r w:rsidRPr="00382910">
        <w:rPr>
          <w:rFonts w:ascii="David" w:hAnsi="David" w:cs="David"/>
          <w:b/>
          <w:bCs/>
          <w:sz w:val="24"/>
          <w:szCs w:val="24"/>
          <w:u w:val="single"/>
          <w:rtl/>
        </w:rPr>
        <w:t>/11/2018</w:t>
      </w:r>
    </w:p>
    <w:p w:rsidR="005454AC" w:rsidRPr="00382910" w:rsidRDefault="00382910" w:rsidP="00D52110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rtl/>
        </w:rPr>
        <w:br/>
      </w:r>
      <w:r w:rsidR="005454AC" w:rsidRPr="00382910">
        <w:rPr>
          <w:rFonts w:ascii="David" w:hAnsi="David" w:cs="David"/>
          <w:sz w:val="24"/>
          <w:szCs w:val="24"/>
          <w:rtl/>
        </w:rPr>
        <w:t>במענה לפנייתך מיום 1</w:t>
      </w:r>
      <w:r w:rsidR="00D52110" w:rsidRPr="00382910">
        <w:rPr>
          <w:rFonts w:ascii="David" w:hAnsi="David" w:cs="David"/>
          <w:sz w:val="24"/>
          <w:szCs w:val="24"/>
          <w:rtl/>
        </w:rPr>
        <w:t>8</w:t>
      </w:r>
      <w:r w:rsidR="005454AC" w:rsidRPr="00382910">
        <w:rPr>
          <w:rFonts w:ascii="David" w:hAnsi="David" w:cs="David"/>
          <w:sz w:val="24"/>
          <w:szCs w:val="24"/>
          <w:rtl/>
        </w:rPr>
        <w:t xml:space="preserve">.11.18 באשר לקבלת מידע אודות </w:t>
      </w:r>
      <w:r w:rsidR="00D52110" w:rsidRPr="00382910">
        <w:rPr>
          <w:rFonts w:ascii="David" w:hAnsi="David" w:cs="David"/>
          <w:sz w:val="24"/>
          <w:szCs w:val="24"/>
          <w:rtl/>
        </w:rPr>
        <w:t>מאסר חלף קנס</w:t>
      </w:r>
      <w:r w:rsidR="005454AC" w:rsidRPr="00382910">
        <w:rPr>
          <w:rFonts w:ascii="David" w:hAnsi="David" w:cs="David"/>
          <w:sz w:val="24"/>
          <w:szCs w:val="24"/>
          <w:rtl/>
        </w:rPr>
        <w:t>, הריני להשיבך כדלקמן:</w:t>
      </w:r>
      <w:r>
        <w:rPr>
          <w:rFonts w:ascii="David" w:hAnsi="David" w:cs="David"/>
          <w:sz w:val="24"/>
          <w:szCs w:val="24"/>
          <w:rtl/>
        </w:rPr>
        <w:br/>
      </w:r>
    </w:p>
    <w:p w:rsidR="006914C3" w:rsidRPr="00382910" w:rsidRDefault="00D154EF" w:rsidP="006914C3">
      <w:pPr>
        <w:pStyle w:val="a7"/>
        <w:numPr>
          <w:ilvl w:val="0"/>
          <w:numId w:val="7"/>
        </w:numPr>
        <w:spacing w:line="276" w:lineRule="auto"/>
        <w:rPr>
          <w:rFonts w:ascii="David" w:hAnsi="David" w:cs="David"/>
          <w:sz w:val="24"/>
          <w:szCs w:val="24"/>
        </w:rPr>
      </w:pPr>
      <w:r w:rsidRPr="00382910">
        <w:rPr>
          <w:rFonts w:ascii="David" w:hAnsi="David" w:cs="David" w:hint="cs"/>
          <w:sz w:val="24"/>
          <w:szCs w:val="24"/>
          <w:rtl/>
        </w:rPr>
        <w:t>להלן הנתונים שהתבקשו :</w:t>
      </w:r>
    </w:p>
    <w:p w:rsidR="00732BDB" w:rsidRPr="00382910" w:rsidRDefault="00732BDB" w:rsidP="00732BDB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382910">
        <w:rPr>
          <w:rFonts w:ascii="David" w:hAnsi="David" w:cs="David" w:hint="cs"/>
          <w:sz w:val="24"/>
          <w:szCs w:val="24"/>
          <w:rtl/>
        </w:rPr>
        <w:t xml:space="preserve">הנתונים הוצגו ברמה השנתית ואין חלוקה לפי מחוזות שכן המרכז לגביית קנסות הוא יחידה אחת המטפלת בתיקים אלו: 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1124"/>
        <w:gridCol w:w="2670"/>
        <w:gridCol w:w="1897"/>
        <w:gridCol w:w="1898"/>
        <w:gridCol w:w="1898"/>
      </w:tblGrid>
      <w:tr w:rsidR="006914C3" w:rsidRPr="00382910" w:rsidTr="00382910">
        <w:tc>
          <w:tcPr>
            <w:tcW w:w="1124" w:type="dxa"/>
          </w:tcPr>
          <w:p w:rsidR="006914C3" w:rsidRPr="00382910" w:rsidRDefault="006914C3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70" w:type="dxa"/>
          </w:tcPr>
          <w:p w:rsidR="006914C3" w:rsidRPr="00382910" w:rsidRDefault="006914C3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 xml:space="preserve">מספר פקודות המאסר "חלף קנס" שהופקו </w:t>
            </w:r>
          </w:p>
        </w:tc>
        <w:tc>
          <w:tcPr>
            <w:tcW w:w="1897" w:type="dxa"/>
          </w:tcPr>
          <w:p w:rsidR="006914C3" w:rsidRPr="00382910" w:rsidRDefault="006914C3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מספר הפקודות שנסגרו מסיבת "נאסר"</w:t>
            </w:r>
          </w:p>
        </w:tc>
        <w:tc>
          <w:tcPr>
            <w:tcW w:w="1898" w:type="dxa"/>
          </w:tcPr>
          <w:p w:rsidR="006914C3" w:rsidRPr="00382910" w:rsidRDefault="006914C3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סכום הקרנות בתיקים שנסגרו מסיבת "נאסר"</w:t>
            </w:r>
          </w:p>
        </w:tc>
        <w:tc>
          <w:tcPr>
            <w:tcW w:w="1898" w:type="dxa"/>
          </w:tcPr>
          <w:p w:rsidR="006914C3" w:rsidRPr="00382910" w:rsidRDefault="006914C3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 xml:space="preserve">מספר הפקודות בהם החוב שולם </w:t>
            </w:r>
            <w:r w:rsidR="00D154EF" w:rsidRPr="00382910">
              <w:rPr>
                <w:rStyle w:val="ab"/>
                <w:rFonts w:ascii="David" w:hAnsi="David" w:cs="David"/>
                <w:sz w:val="24"/>
                <w:szCs w:val="24"/>
                <w:rtl/>
              </w:rPr>
              <w:footnoteReference w:id="1"/>
            </w:r>
          </w:p>
        </w:tc>
      </w:tr>
      <w:tr w:rsidR="006914C3" w:rsidRPr="00382910" w:rsidTr="00382910">
        <w:tc>
          <w:tcPr>
            <w:tcW w:w="1124" w:type="dxa"/>
          </w:tcPr>
          <w:p w:rsidR="006914C3" w:rsidRPr="00382910" w:rsidRDefault="006914C3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/>
                <w:sz w:val="24"/>
                <w:szCs w:val="24"/>
                <w:rtl/>
              </w:rPr>
              <w:t>2017</w:t>
            </w:r>
          </w:p>
        </w:tc>
        <w:tc>
          <w:tcPr>
            <w:tcW w:w="2670" w:type="dxa"/>
          </w:tcPr>
          <w:p w:rsidR="006914C3" w:rsidRPr="00382910" w:rsidRDefault="006914C3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2350</w:t>
            </w:r>
          </w:p>
        </w:tc>
        <w:tc>
          <w:tcPr>
            <w:tcW w:w="1897" w:type="dxa"/>
          </w:tcPr>
          <w:p w:rsidR="006914C3" w:rsidRPr="00382910" w:rsidRDefault="006914C3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237</w:t>
            </w:r>
          </w:p>
        </w:tc>
        <w:tc>
          <w:tcPr>
            <w:tcW w:w="1898" w:type="dxa"/>
          </w:tcPr>
          <w:p w:rsidR="006914C3" w:rsidRPr="00382910" w:rsidRDefault="006914C3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3,711,300 ש"ח</w:t>
            </w:r>
          </w:p>
        </w:tc>
        <w:tc>
          <w:tcPr>
            <w:tcW w:w="1898" w:type="dxa"/>
          </w:tcPr>
          <w:p w:rsidR="006914C3" w:rsidRPr="00382910" w:rsidRDefault="00D154EF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2113</w:t>
            </w:r>
          </w:p>
        </w:tc>
      </w:tr>
      <w:tr w:rsidR="006914C3" w:rsidRPr="00382910" w:rsidTr="00382910">
        <w:tc>
          <w:tcPr>
            <w:tcW w:w="1124" w:type="dxa"/>
          </w:tcPr>
          <w:p w:rsidR="006914C3" w:rsidRPr="00382910" w:rsidRDefault="00732BDB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2018</w:t>
            </w:r>
          </w:p>
        </w:tc>
        <w:tc>
          <w:tcPr>
            <w:tcW w:w="2670" w:type="dxa"/>
          </w:tcPr>
          <w:p w:rsidR="006914C3" w:rsidRPr="00382910" w:rsidRDefault="00D154EF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3364</w:t>
            </w:r>
          </w:p>
        </w:tc>
        <w:tc>
          <w:tcPr>
            <w:tcW w:w="1897" w:type="dxa"/>
          </w:tcPr>
          <w:p w:rsidR="006914C3" w:rsidRPr="00382910" w:rsidRDefault="00D154EF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298</w:t>
            </w:r>
          </w:p>
        </w:tc>
        <w:tc>
          <w:tcPr>
            <w:tcW w:w="1898" w:type="dxa"/>
          </w:tcPr>
          <w:p w:rsidR="006914C3" w:rsidRPr="00382910" w:rsidRDefault="00D154EF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 xml:space="preserve">3,674,450 ₪ </w:t>
            </w:r>
          </w:p>
        </w:tc>
        <w:tc>
          <w:tcPr>
            <w:tcW w:w="1898" w:type="dxa"/>
          </w:tcPr>
          <w:p w:rsidR="006914C3" w:rsidRPr="00382910" w:rsidRDefault="00D154EF" w:rsidP="006914C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82910">
              <w:rPr>
                <w:rFonts w:ascii="David" w:hAnsi="David" w:cs="David" w:hint="cs"/>
                <w:sz w:val="24"/>
                <w:szCs w:val="24"/>
                <w:rtl/>
              </w:rPr>
              <w:t>3066</w:t>
            </w:r>
          </w:p>
        </w:tc>
      </w:tr>
    </w:tbl>
    <w:p w:rsidR="006914C3" w:rsidRPr="00382910" w:rsidRDefault="006914C3" w:rsidP="006914C3">
      <w:pPr>
        <w:rPr>
          <w:rFonts w:ascii="David" w:hAnsi="David" w:cs="David"/>
          <w:sz w:val="24"/>
          <w:szCs w:val="24"/>
          <w:rtl/>
        </w:rPr>
      </w:pPr>
    </w:p>
    <w:p w:rsidR="006914C3" w:rsidRPr="00382910" w:rsidRDefault="00D154EF" w:rsidP="00382910">
      <w:pPr>
        <w:pStyle w:val="a7"/>
        <w:numPr>
          <w:ilvl w:val="0"/>
          <w:numId w:val="7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382910">
        <w:rPr>
          <w:rFonts w:ascii="David" w:hAnsi="David" w:cs="David" w:hint="cs"/>
          <w:sz w:val="24"/>
          <w:szCs w:val="24"/>
          <w:rtl/>
        </w:rPr>
        <w:t>יצוין כי במרבית התיקים בהם יש ימי מאסר חלף קנס לא מופעלת פקודת מאסר וכי החייבים משלמים עם נקיטת הליכי גביה מקדימים כגון התרעה או עיקולים וכיו"ב</w:t>
      </w:r>
      <w:r w:rsidR="00382910">
        <w:rPr>
          <w:rFonts w:ascii="David" w:hAnsi="David" w:cs="David" w:hint="cs"/>
          <w:sz w:val="24"/>
          <w:szCs w:val="24"/>
          <w:rtl/>
        </w:rPr>
        <w:t>.</w:t>
      </w:r>
      <w:r w:rsidR="00382910">
        <w:rPr>
          <w:rFonts w:ascii="David" w:hAnsi="David" w:cs="David"/>
          <w:sz w:val="24"/>
          <w:szCs w:val="24"/>
          <w:rtl/>
        </w:rPr>
        <w:br/>
      </w:r>
    </w:p>
    <w:p w:rsidR="00732BDB" w:rsidRPr="00382910" w:rsidRDefault="00732BDB" w:rsidP="00382910">
      <w:pPr>
        <w:pStyle w:val="a7"/>
        <w:numPr>
          <w:ilvl w:val="0"/>
          <w:numId w:val="7"/>
        </w:numPr>
        <w:spacing w:after="0" w:line="276" w:lineRule="auto"/>
        <w:contextualSpacing w:val="0"/>
        <w:rPr>
          <w:rFonts w:ascii="Arial" w:hAnsi="Arial" w:cs="Arial"/>
          <w:color w:val="1F497D"/>
          <w:sz w:val="24"/>
          <w:szCs w:val="24"/>
          <w:rtl/>
        </w:rPr>
      </w:pPr>
      <w:r w:rsidRPr="00382910">
        <w:rPr>
          <w:rFonts w:ascii="David" w:hAnsi="David" w:cs="David"/>
          <w:sz w:val="24"/>
          <w:szCs w:val="24"/>
          <w:rtl/>
        </w:rPr>
        <w:t xml:space="preserve">נוהל פקודת מאסר נמצא בהליכי כתיבה כעת </w:t>
      </w:r>
      <w:r w:rsidRPr="00382910">
        <w:rPr>
          <w:rFonts w:ascii="David" w:hAnsi="David" w:cs="David" w:hint="cs"/>
          <w:sz w:val="24"/>
          <w:szCs w:val="24"/>
          <w:rtl/>
        </w:rPr>
        <w:t xml:space="preserve">לאחר קבלת הנחיות </w:t>
      </w:r>
      <w:r w:rsidRPr="00382910">
        <w:rPr>
          <w:rFonts w:ascii="David" w:hAnsi="David" w:cs="David"/>
          <w:sz w:val="24"/>
          <w:szCs w:val="24"/>
          <w:rtl/>
        </w:rPr>
        <w:t xml:space="preserve"> </w:t>
      </w:r>
      <w:r w:rsidRPr="00382910">
        <w:rPr>
          <w:rFonts w:ascii="David" w:hAnsi="David" w:cs="David" w:hint="cs"/>
          <w:sz w:val="24"/>
          <w:szCs w:val="24"/>
          <w:rtl/>
        </w:rPr>
        <w:t>מהלשכה</w:t>
      </w:r>
      <w:r w:rsidR="00382910">
        <w:rPr>
          <w:rFonts w:ascii="David" w:hAnsi="David" w:cs="David"/>
          <w:sz w:val="24"/>
          <w:szCs w:val="24"/>
          <w:rtl/>
        </w:rPr>
        <w:t xml:space="preserve"> המשפטית</w:t>
      </w:r>
      <w:r w:rsidR="00382910">
        <w:rPr>
          <w:rFonts w:ascii="David" w:hAnsi="David" w:cs="David" w:hint="cs"/>
          <w:sz w:val="24"/>
          <w:szCs w:val="24"/>
          <w:rtl/>
        </w:rPr>
        <w:t>.</w:t>
      </w:r>
      <w:r w:rsidR="00382910">
        <w:rPr>
          <w:rFonts w:ascii="Arial" w:hAnsi="Arial" w:cs="Arial"/>
          <w:color w:val="1F497D"/>
          <w:sz w:val="24"/>
          <w:szCs w:val="24"/>
          <w:rtl/>
        </w:rPr>
        <w:br/>
      </w:r>
    </w:p>
    <w:p w:rsidR="006914C3" w:rsidRPr="00382910" w:rsidRDefault="00732BDB" w:rsidP="00382910">
      <w:pPr>
        <w:pStyle w:val="a7"/>
        <w:numPr>
          <w:ilvl w:val="0"/>
          <w:numId w:val="7"/>
        </w:numPr>
        <w:spacing w:after="0" w:line="276" w:lineRule="auto"/>
        <w:contextualSpacing w:val="0"/>
        <w:rPr>
          <w:rFonts w:ascii="David" w:eastAsiaTheme="minorHAnsi" w:hAnsi="David" w:cs="David"/>
          <w:sz w:val="24"/>
          <w:szCs w:val="24"/>
        </w:rPr>
      </w:pPr>
      <w:r w:rsidRPr="00382910">
        <w:rPr>
          <w:rFonts w:ascii="David" w:hAnsi="David" w:cs="David"/>
          <w:sz w:val="24"/>
          <w:szCs w:val="24"/>
          <w:rtl/>
        </w:rPr>
        <w:t xml:space="preserve">אין בידינו נתונים </w:t>
      </w:r>
      <w:r w:rsidRPr="00382910">
        <w:rPr>
          <w:rFonts w:ascii="David" w:hAnsi="David" w:cs="David" w:hint="cs"/>
          <w:sz w:val="24"/>
          <w:szCs w:val="24"/>
          <w:rtl/>
        </w:rPr>
        <w:t xml:space="preserve">באשר </w:t>
      </w:r>
      <w:r w:rsidRPr="00382910">
        <w:rPr>
          <w:rFonts w:ascii="David" w:hAnsi="David" w:cs="David"/>
          <w:sz w:val="24"/>
          <w:szCs w:val="24"/>
          <w:rtl/>
        </w:rPr>
        <w:t xml:space="preserve"> </w:t>
      </w:r>
      <w:r w:rsidRPr="00382910">
        <w:rPr>
          <w:rFonts w:ascii="David" w:hAnsi="David" w:cs="David" w:hint="cs"/>
          <w:sz w:val="24"/>
          <w:szCs w:val="24"/>
          <w:rtl/>
        </w:rPr>
        <w:t>ל</w:t>
      </w:r>
      <w:r w:rsidRPr="00382910">
        <w:rPr>
          <w:rFonts w:ascii="David" w:hAnsi="David" w:cs="David"/>
          <w:sz w:val="24"/>
          <w:szCs w:val="24"/>
          <w:rtl/>
        </w:rPr>
        <w:t xml:space="preserve">תיקים בהם בית </w:t>
      </w:r>
      <w:r w:rsidRPr="00382910">
        <w:rPr>
          <w:rFonts w:ascii="David" w:hAnsi="David" w:cs="David" w:hint="cs"/>
          <w:sz w:val="24"/>
          <w:szCs w:val="24"/>
          <w:rtl/>
        </w:rPr>
        <w:t>ה</w:t>
      </w:r>
      <w:r w:rsidRPr="00382910">
        <w:rPr>
          <w:rFonts w:ascii="David" w:hAnsi="David" w:cs="David"/>
          <w:sz w:val="24"/>
          <w:szCs w:val="24"/>
          <w:rtl/>
        </w:rPr>
        <w:t xml:space="preserve">משפט ביטל את המאסר חלף קנס אולם </w:t>
      </w:r>
      <w:r w:rsidRPr="00382910">
        <w:rPr>
          <w:rFonts w:ascii="David" w:hAnsi="David" w:cs="David" w:hint="cs"/>
          <w:sz w:val="24"/>
          <w:szCs w:val="24"/>
          <w:rtl/>
        </w:rPr>
        <w:t xml:space="preserve">ידוע  כי </w:t>
      </w:r>
      <w:r w:rsidRPr="00382910">
        <w:rPr>
          <w:rFonts w:ascii="David" w:hAnsi="David" w:cs="David"/>
          <w:sz w:val="24"/>
          <w:szCs w:val="24"/>
          <w:rtl/>
        </w:rPr>
        <w:t xml:space="preserve">יש מקרים שהשופטים מבטלים פקודות מאסר בעקבות בקשות של חייבים. </w:t>
      </w:r>
      <w:r w:rsidRPr="00382910">
        <w:rPr>
          <w:rFonts w:ascii="David" w:hAnsi="David" w:cs="David" w:hint="cs"/>
          <w:sz w:val="24"/>
          <w:szCs w:val="24"/>
          <w:rtl/>
        </w:rPr>
        <w:t xml:space="preserve">יצוין כי </w:t>
      </w:r>
      <w:r w:rsidRPr="00382910">
        <w:rPr>
          <w:rFonts w:ascii="David" w:hAnsi="David" w:cs="David"/>
          <w:sz w:val="24"/>
          <w:szCs w:val="24"/>
          <w:rtl/>
        </w:rPr>
        <w:t>מדי שנה אנו מקבלים החלטות המורות על עיכוב ביצוע פקו</w:t>
      </w:r>
      <w:r w:rsidRPr="00382910">
        <w:rPr>
          <w:rFonts w:ascii="David" w:hAnsi="David" w:cs="David" w:hint="cs"/>
          <w:sz w:val="24"/>
          <w:szCs w:val="24"/>
          <w:rtl/>
        </w:rPr>
        <w:t xml:space="preserve">דת </w:t>
      </w:r>
      <w:r w:rsidRPr="00382910">
        <w:rPr>
          <w:rFonts w:ascii="David" w:hAnsi="David" w:cs="David"/>
          <w:sz w:val="24"/>
          <w:szCs w:val="24"/>
          <w:rtl/>
        </w:rPr>
        <w:t>מאסר, ו</w:t>
      </w:r>
      <w:r w:rsidRPr="00382910">
        <w:rPr>
          <w:rFonts w:ascii="David" w:hAnsi="David" w:cs="David" w:hint="cs"/>
          <w:sz w:val="24"/>
          <w:szCs w:val="24"/>
          <w:rtl/>
        </w:rPr>
        <w:t xml:space="preserve">רק </w:t>
      </w:r>
      <w:r w:rsidRPr="00382910">
        <w:rPr>
          <w:rFonts w:ascii="David" w:hAnsi="David" w:cs="David"/>
          <w:sz w:val="24"/>
          <w:szCs w:val="24"/>
          <w:rtl/>
        </w:rPr>
        <w:t xml:space="preserve">במקרים </w:t>
      </w:r>
      <w:r w:rsidRPr="00382910">
        <w:rPr>
          <w:rFonts w:ascii="David" w:hAnsi="David" w:cs="David" w:hint="cs"/>
          <w:sz w:val="24"/>
          <w:szCs w:val="24"/>
          <w:rtl/>
        </w:rPr>
        <w:t xml:space="preserve">ספורים מורה בית המשפט </w:t>
      </w:r>
      <w:r w:rsidRPr="00382910">
        <w:rPr>
          <w:rFonts w:ascii="David" w:hAnsi="David" w:cs="David"/>
          <w:sz w:val="24"/>
          <w:szCs w:val="24"/>
          <w:rtl/>
        </w:rPr>
        <w:t xml:space="preserve"> על ביטול פקו</w:t>
      </w:r>
      <w:r w:rsidRPr="00382910">
        <w:rPr>
          <w:rFonts w:ascii="David" w:hAnsi="David" w:cs="David" w:hint="cs"/>
          <w:sz w:val="24"/>
          <w:szCs w:val="24"/>
          <w:rtl/>
        </w:rPr>
        <w:t xml:space="preserve">דת </w:t>
      </w:r>
      <w:r w:rsidRPr="00382910">
        <w:rPr>
          <w:rFonts w:ascii="David" w:hAnsi="David" w:cs="David"/>
          <w:sz w:val="24"/>
          <w:szCs w:val="24"/>
          <w:rtl/>
        </w:rPr>
        <w:t>המאסר</w:t>
      </w:r>
      <w:r w:rsidRPr="00382910">
        <w:rPr>
          <w:rFonts w:ascii="Arial" w:hAnsi="Arial" w:cs="Arial"/>
          <w:color w:val="1F497D"/>
          <w:sz w:val="24"/>
          <w:szCs w:val="24"/>
          <w:rtl/>
        </w:rPr>
        <w:t>.</w:t>
      </w:r>
      <w:r w:rsidRPr="00382910">
        <w:rPr>
          <w:rFonts w:ascii="Calibri" w:eastAsiaTheme="minorHAnsi" w:hAnsi="Calibri" w:cs="Calibri" w:hint="cs"/>
          <w:color w:val="1F497D"/>
          <w:sz w:val="24"/>
          <w:szCs w:val="24"/>
          <w:rtl/>
        </w:rPr>
        <w:t xml:space="preserve"> </w:t>
      </w:r>
      <w:r w:rsidRPr="00382910">
        <w:rPr>
          <w:rFonts w:ascii="David" w:eastAsiaTheme="minorHAnsi" w:hAnsi="David" w:cs="David"/>
          <w:sz w:val="24"/>
          <w:szCs w:val="24"/>
          <w:rtl/>
        </w:rPr>
        <w:t>מומלץ לפנות באשר למידע זה לממונה על העמדת המידע לציבור בהנהלת בתי המשפט</w:t>
      </w:r>
      <w:r w:rsidR="00382910">
        <w:rPr>
          <w:rFonts w:ascii="David" w:eastAsiaTheme="minorHAnsi" w:hAnsi="David" w:cs="David" w:hint="cs"/>
          <w:sz w:val="24"/>
          <w:szCs w:val="24"/>
          <w:rtl/>
        </w:rPr>
        <w:t>.</w:t>
      </w:r>
    </w:p>
    <w:p w:rsidR="00CD1F87" w:rsidRPr="00382910" w:rsidRDefault="00382910" w:rsidP="00382910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 w:rsidR="005454AC"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 w:rsidR="005454AC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="005454AC"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5454AC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454AC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454AC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454AC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454AC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454AC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CD1F87" w:rsidRPr="00382910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861" w:rsidRDefault="00777861" w:rsidP="00CD1F87">
      <w:pPr>
        <w:spacing w:after="0" w:line="240" w:lineRule="auto"/>
      </w:pPr>
      <w:r>
        <w:separator/>
      </w:r>
    </w:p>
  </w:endnote>
  <w:endnote w:type="continuationSeparator" w:id="0">
    <w:p w:rsidR="00777861" w:rsidRDefault="00777861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FA1BDF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861" w:rsidRDefault="00777861" w:rsidP="00CD1F87">
      <w:pPr>
        <w:spacing w:after="0" w:line="240" w:lineRule="auto"/>
      </w:pPr>
      <w:r>
        <w:separator/>
      </w:r>
    </w:p>
  </w:footnote>
  <w:footnote w:type="continuationSeparator" w:id="0">
    <w:p w:rsidR="00777861" w:rsidRDefault="00777861" w:rsidP="00CD1F87">
      <w:pPr>
        <w:spacing w:after="0" w:line="240" w:lineRule="auto"/>
      </w:pPr>
      <w:r>
        <w:continuationSeparator/>
      </w:r>
    </w:p>
  </w:footnote>
  <w:footnote w:id="1">
    <w:p w:rsidR="00D154EF" w:rsidRPr="00D154EF" w:rsidRDefault="00D154EF">
      <w:pPr>
        <w:pStyle w:val="a9"/>
        <w:rPr>
          <w:rFonts w:ascii="David" w:hAnsi="David" w:cs="David"/>
          <w:rtl/>
        </w:rPr>
      </w:pPr>
      <w:r w:rsidRPr="00D154EF">
        <w:rPr>
          <w:rStyle w:val="ab"/>
          <w:rFonts w:ascii="David" w:hAnsi="David" w:cs="David"/>
        </w:rPr>
        <w:footnoteRef/>
      </w:r>
      <w:r w:rsidRPr="00D154EF">
        <w:rPr>
          <w:rFonts w:ascii="David" w:hAnsi="David" w:cs="David"/>
          <w:rtl/>
        </w:rPr>
        <w:t xml:space="preserve"> שולם עם קבלת ההתרעה לפני מאסר או במעמד הזימון מהמשטרה לשם המאסר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D6DB1"/>
    <w:multiLevelType w:val="hybridMultilevel"/>
    <w:tmpl w:val="CCE28924"/>
    <w:lvl w:ilvl="0" w:tplc="965260CA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A29BC"/>
    <w:multiLevelType w:val="hybridMultilevel"/>
    <w:tmpl w:val="03C60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10BC5"/>
    <w:multiLevelType w:val="hybridMultilevel"/>
    <w:tmpl w:val="6712A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2E67B2"/>
    <w:rsid w:val="00306634"/>
    <w:rsid w:val="003441E6"/>
    <w:rsid w:val="00382910"/>
    <w:rsid w:val="00395912"/>
    <w:rsid w:val="005454AC"/>
    <w:rsid w:val="006121A7"/>
    <w:rsid w:val="006914C3"/>
    <w:rsid w:val="006C117B"/>
    <w:rsid w:val="006E6D8F"/>
    <w:rsid w:val="00732BDB"/>
    <w:rsid w:val="00777861"/>
    <w:rsid w:val="008A2A53"/>
    <w:rsid w:val="009809BF"/>
    <w:rsid w:val="00A1501D"/>
    <w:rsid w:val="00A2087B"/>
    <w:rsid w:val="00A542FB"/>
    <w:rsid w:val="00BD49FA"/>
    <w:rsid w:val="00C4736F"/>
    <w:rsid w:val="00C520FF"/>
    <w:rsid w:val="00CA6F04"/>
    <w:rsid w:val="00CD1F87"/>
    <w:rsid w:val="00D154EF"/>
    <w:rsid w:val="00D3383B"/>
    <w:rsid w:val="00D52110"/>
    <w:rsid w:val="00DE28A7"/>
    <w:rsid w:val="00E51E91"/>
    <w:rsid w:val="00EA30A9"/>
    <w:rsid w:val="00E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4FBC14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table" w:styleId="a8">
    <w:name w:val="Table Grid"/>
    <w:basedOn w:val="a1"/>
    <w:uiPriority w:val="39"/>
    <w:rsid w:val="00691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D154EF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D154EF"/>
    <w:rPr>
      <w:rFonts w:eastAsiaTheme="minorEastAsia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154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031A30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E89EB-339E-41F4-B037-23C5DAC3C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dcterms:created xsi:type="dcterms:W3CDTF">2018-12-16T12:14:00Z</dcterms:created>
  <dcterms:modified xsi:type="dcterms:W3CDTF">2018-12-16T12:14:00Z</dcterms:modified>
</cp:coreProperties>
</file>