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F55" w:rsidRPr="00974AF4" w:rsidRDefault="00176985" w:rsidP="00176985">
      <w:pPr>
        <w:spacing w:line="360" w:lineRule="auto"/>
        <w:rPr>
          <w:rFonts w:ascii="David" w:hAnsi="David" w:cs="David"/>
          <w:b/>
          <w:bCs/>
          <w:sz w:val="24"/>
          <w:szCs w:val="24"/>
          <w:u w:val="single"/>
        </w:rPr>
      </w:pPr>
      <w:r>
        <w:rPr>
          <w:rFonts w:ascii="David" w:hAnsi="David" w:cs="David" w:hint="cs"/>
          <w:b/>
          <w:bCs/>
          <w:sz w:val="24"/>
          <w:szCs w:val="24"/>
          <w:rtl/>
        </w:rPr>
        <w:t xml:space="preserve"> </w:t>
      </w:r>
      <w:r w:rsidR="00B54F55" w:rsidRPr="00F535E7">
        <w:rPr>
          <w:rFonts w:ascii="David" w:hAnsi="David" w:cs="David" w:hint="cs"/>
          <w:b/>
          <w:bCs/>
          <w:sz w:val="24"/>
          <w:szCs w:val="24"/>
          <w:rtl/>
        </w:rPr>
        <w:t xml:space="preserve"> </w:t>
      </w:r>
      <w:r w:rsidR="00B54F55" w:rsidRPr="00974AF4">
        <w:rPr>
          <w:rFonts w:ascii="David" w:hAnsi="David" w:cs="David"/>
          <w:b/>
          <w:bCs/>
          <w:sz w:val="24"/>
          <w:szCs w:val="24"/>
          <w:u w:val="single"/>
          <w:rtl/>
        </w:rPr>
        <w:t>הנדון: מענה לפנייתך לקבלת מידע בהתאם לחוק חופש המידע מתאריך 17.01.2019</w:t>
      </w:r>
      <w:r>
        <w:rPr>
          <w:rFonts w:ascii="David" w:hAnsi="David" w:cs="David"/>
          <w:b/>
          <w:bCs/>
          <w:sz w:val="24"/>
          <w:szCs w:val="24"/>
          <w:u w:val="single"/>
          <w:rtl/>
        </w:rPr>
        <w:br/>
      </w:r>
      <w:r w:rsidR="00B54F55" w:rsidRPr="00974AF4">
        <w:rPr>
          <w:rFonts w:ascii="David" w:hAnsi="David" w:cs="David"/>
          <w:b/>
          <w:bCs/>
          <w:sz w:val="24"/>
          <w:szCs w:val="24"/>
          <w:u w:val="single"/>
          <w:rtl/>
        </w:rPr>
        <w:br/>
      </w:r>
      <w:r w:rsidR="00B54F55" w:rsidRPr="00974AF4">
        <w:rPr>
          <w:rFonts w:ascii="David" w:hAnsi="David" w:cs="David" w:hint="cs"/>
          <w:b/>
          <w:bCs/>
          <w:sz w:val="24"/>
          <w:szCs w:val="24"/>
          <w:u w:val="single"/>
          <w:rtl/>
        </w:rPr>
        <w:t>א. הפחתת ריביות</w:t>
      </w:r>
    </w:p>
    <w:p w:rsidR="00B54F55" w:rsidRPr="00F66AE9" w:rsidRDefault="00B54F55" w:rsidP="00B54F55">
      <w:pPr>
        <w:spacing w:line="360" w:lineRule="auto"/>
        <w:jc w:val="both"/>
        <w:rPr>
          <w:rFonts w:ascii="Arial" w:hAnsi="Arial" w:cs="Arial"/>
          <w:sz w:val="24"/>
          <w:szCs w:val="24"/>
        </w:rPr>
      </w:pPr>
      <w:r w:rsidRPr="00974AF4">
        <w:rPr>
          <w:rFonts w:ascii="David" w:hAnsi="David" w:cs="David"/>
          <w:sz w:val="24"/>
          <w:szCs w:val="24"/>
          <w:rtl/>
        </w:rPr>
        <w:t xml:space="preserve">1. במקרים בהם החייב טוען להיעדר יכולת כלכלית לתשלום קנס או פיצוי בהתאם לגזר-דינו, בסמכות מנהל המרכז לגביית קנסות להפעיל את שיקול דעתו, לפי סעיף 5 ג' לחוק, ולפרוס את תשלומו של החוב, </w:t>
      </w:r>
      <w:r w:rsidRPr="00974AF4">
        <w:rPr>
          <w:rStyle w:val="default"/>
          <w:rFonts w:ascii="David" w:hAnsi="David" w:cs="David"/>
          <w:b/>
          <w:bCs/>
          <w:sz w:val="24"/>
          <w:szCs w:val="24"/>
          <w:rtl/>
        </w:rPr>
        <w:t>"אם שוכנע כי היו סיבות סבירות לאי תשלום החוב, כולו או חלקו, במועדו, או כי קיימות נסיבות אישיות מיוחדות של החייב המצדיקות פריסה או דחיה של התשלום כאמור".</w:t>
      </w:r>
    </w:p>
    <w:p w:rsidR="00B54F55" w:rsidRPr="00974AF4" w:rsidRDefault="00B54F55" w:rsidP="00B54F55">
      <w:pPr>
        <w:spacing w:line="360" w:lineRule="auto"/>
        <w:jc w:val="both"/>
        <w:rPr>
          <w:rFonts w:ascii="David" w:hAnsi="David" w:cs="David"/>
          <w:sz w:val="24"/>
          <w:szCs w:val="24"/>
          <w:rtl/>
        </w:rPr>
      </w:pPr>
      <w:r w:rsidRPr="00974AF4">
        <w:rPr>
          <w:rFonts w:ascii="David" w:hAnsi="David" w:cs="David"/>
          <w:sz w:val="24"/>
          <w:szCs w:val="24"/>
          <w:rtl/>
        </w:rPr>
        <w:t xml:space="preserve">למעשה, כל בקשה לרבות בקשה של אסיר לפריסת הקנס או הפחתת הפיגורים שנוספה לו נשקלת לגופו של עניין ובנסיבותיו הקונקרטיות של החייב וכאשר מדובר בפיצוי גם בנסיבות נפגע העבירה. טענותיו השונות של החייב נשמעות ונשקלות בכובד ראש על ידי המרכז לגביית קנסות, בהתחשב במהות העבירות בגינן הורשע. </w:t>
      </w:r>
    </w:p>
    <w:p w:rsidR="00B54F55" w:rsidRPr="00974AF4" w:rsidRDefault="00B54F55" w:rsidP="00176985">
      <w:pPr>
        <w:spacing w:line="360" w:lineRule="auto"/>
        <w:jc w:val="both"/>
        <w:rPr>
          <w:rFonts w:ascii="David" w:hAnsi="David" w:cs="David"/>
          <w:sz w:val="24"/>
          <w:szCs w:val="24"/>
          <w:rtl/>
        </w:rPr>
      </w:pPr>
      <w:r w:rsidRPr="00974AF4">
        <w:rPr>
          <w:rFonts w:ascii="David" w:hAnsi="David" w:cs="David"/>
          <w:sz w:val="24"/>
          <w:szCs w:val="24"/>
          <w:rtl/>
        </w:rPr>
        <w:t xml:space="preserve">במסגרת זו, מקום שאדם הורשע ונגזר דינו לשבת שנים ארוכות בין כותלי הכלא, כאשר לצד עונש המאסר, נגזר גם קנס ופיצוי לנפגע עבירה, שואף המרכז לגביית קנסות, בשנים האחרונות, כי הקשר עם האסיר ייווצר, במועד הסמוך לריצוי העונש, כך שיהיה סיפק בידי החייב, שהוא אסיר, לפרוע את החוב או חלקו, עוד בתקופה בה הוא שוהה בין כותלי הכלא. לאחרונה, המרכז שקד ועמל על אגרת לחייב אסיר, אשר תכליתה להציג לפני האסיר את חשיבות פירעון החוב ומציגה לפניו את זכויותיו להפחתה ולפריסת החוב ואת דרכי יצירת הקשר עם המרכז. </w:t>
      </w:r>
    </w:p>
    <w:p w:rsidR="00B54F55" w:rsidRPr="00974AF4" w:rsidRDefault="00B54F55" w:rsidP="00B54F55">
      <w:pPr>
        <w:rPr>
          <w:rFonts w:ascii="David" w:hAnsi="David" w:cs="David"/>
          <w:sz w:val="24"/>
          <w:szCs w:val="24"/>
          <w:rtl/>
        </w:rPr>
      </w:pPr>
      <w:r w:rsidRPr="00974AF4">
        <w:rPr>
          <w:rFonts w:ascii="David" w:hAnsi="David" w:cs="David"/>
          <w:sz w:val="24"/>
          <w:szCs w:val="24"/>
          <w:rtl/>
        </w:rPr>
        <w:t>2. באשר לבקשתכם לקבל מידע על מספר הבקשות להפחתת ריביות על תיקי קנס פלילי, פיצוי לנפגעי עבירה וחובות שאינם קנס פלילי אבהיר כי  אין לי אפשרות להפיק את המידע הנ"ל ממערכת הנתונים ולשם כך נדרשת הפקה מיוחדת.</w:t>
      </w:r>
    </w:p>
    <w:p w:rsidR="00B54F55" w:rsidRPr="00974AF4" w:rsidRDefault="00B54F55" w:rsidP="00B54F55">
      <w:pPr>
        <w:rPr>
          <w:rFonts w:ascii="David" w:hAnsi="David" w:cs="David"/>
          <w:sz w:val="24"/>
          <w:szCs w:val="24"/>
          <w:rtl/>
        </w:rPr>
      </w:pPr>
      <w:r w:rsidRPr="00974AF4">
        <w:rPr>
          <w:rFonts w:ascii="David" w:hAnsi="David" w:cs="David"/>
          <w:sz w:val="24"/>
          <w:szCs w:val="24"/>
          <w:rtl/>
        </w:rPr>
        <w:t>עם זאת, מצרפת את הטבלה הבאה המספקת נתונים על מספר הבקשות להפחתת רביות בכלל התיקים בשנים 2016-2018</w:t>
      </w:r>
      <w:r>
        <w:rPr>
          <w:rFonts w:ascii="David" w:hAnsi="David" w:cs="David" w:hint="cs"/>
          <w:sz w:val="24"/>
          <w:szCs w:val="24"/>
          <w:rtl/>
        </w:rPr>
        <w:t>:</w:t>
      </w:r>
    </w:p>
    <w:tbl>
      <w:tblPr>
        <w:tblStyle w:val="a3"/>
        <w:bidiVisual/>
        <w:tblW w:w="0" w:type="auto"/>
        <w:tblLook w:val="04A0" w:firstRow="1" w:lastRow="0" w:firstColumn="1" w:lastColumn="0" w:noHBand="0" w:noVBand="1"/>
      </w:tblPr>
      <w:tblGrid>
        <w:gridCol w:w="2765"/>
        <w:gridCol w:w="2765"/>
      </w:tblGrid>
      <w:tr w:rsidR="00B54F55" w:rsidRPr="00974AF4" w:rsidTr="003249F8">
        <w:tc>
          <w:tcPr>
            <w:tcW w:w="2765" w:type="dxa"/>
          </w:tcPr>
          <w:p w:rsidR="00B54F55" w:rsidRPr="00974AF4" w:rsidRDefault="00B54F55" w:rsidP="003249F8">
            <w:pPr>
              <w:jc w:val="center"/>
              <w:rPr>
                <w:rFonts w:ascii="David" w:hAnsi="David" w:cs="David"/>
                <w:b/>
                <w:bCs/>
                <w:sz w:val="24"/>
                <w:szCs w:val="24"/>
                <w:rtl/>
              </w:rPr>
            </w:pPr>
            <w:r w:rsidRPr="00974AF4">
              <w:rPr>
                <w:rFonts w:ascii="David" w:hAnsi="David" w:cs="David"/>
                <w:b/>
                <w:bCs/>
                <w:sz w:val="24"/>
                <w:szCs w:val="24"/>
                <w:rtl/>
              </w:rPr>
              <w:t>השנה</w:t>
            </w:r>
          </w:p>
        </w:tc>
        <w:tc>
          <w:tcPr>
            <w:tcW w:w="2765" w:type="dxa"/>
          </w:tcPr>
          <w:p w:rsidR="00B54F55" w:rsidRPr="00974AF4" w:rsidRDefault="00B54F55" w:rsidP="003249F8">
            <w:pPr>
              <w:jc w:val="center"/>
              <w:rPr>
                <w:rFonts w:ascii="David" w:hAnsi="David" w:cs="David"/>
                <w:b/>
                <w:bCs/>
                <w:sz w:val="24"/>
                <w:szCs w:val="24"/>
                <w:rtl/>
              </w:rPr>
            </w:pPr>
            <w:r w:rsidRPr="00974AF4">
              <w:rPr>
                <w:rFonts w:ascii="David" w:hAnsi="David" w:cs="David"/>
                <w:b/>
                <w:bCs/>
                <w:sz w:val="24"/>
                <w:szCs w:val="24"/>
                <w:rtl/>
              </w:rPr>
              <w:t>מספר הבקשות שהוגשו</w:t>
            </w:r>
          </w:p>
        </w:tc>
      </w:tr>
      <w:tr w:rsidR="00B54F55" w:rsidRPr="00974AF4" w:rsidTr="003249F8">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2016</w:t>
            </w:r>
          </w:p>
        </w:tc>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20,932</w:t>
            </w:r>
          </w:p>
        </w:tc>
      </w:tr>
      <w:tr w:rsidR="00B54F55" w:rsidRPr="00974AF4" w:rsidTr="003249F8">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2017</w:t>
            </w:r>
          </w:p>
        </w:tc>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17,763</w:t>
            </w:r>
          </w:p>
        </w:tc>
      </w:tr>
      <w:tr w:rsidR="00B54F55" w:rsidRPr="00974AF4" w:rsidTr="003249F8">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2018</w:t>
            </w:r>
          </w:p>
        </w:tc>
        <w:tc>
          <w:tcPr>
            <w:tcW w:w="2765" w:type="dxa"/>
          </w:tcPr>
          <w:p w:rsidR="00B54F55" w:rsidRPr="00974AF4" w:rsidRDefault="00B54F55" w:rsidP="003249F8">
            <w:pPr>
              <w:jc w:val="center"/>
              <w:rPr>
                <w:rFonts w:ascii="David" w:hAnsi="David" w:cs="David"/>
                <w:sz w:val="24"/>
                <w:szCs w:val="24"/>
                <w:rtl/>
              </w:rPr>
            </w:pPr>
            <w:r w:rsidRPr="00974AF4">
              <w:rPr>
                <w:rFonts w:ascii="David" w:hAnsi="David" w:cs="David"/>
                <w:sz w:val="24"/>
                <w:szCs w:val="24"/>
                <w:rtl/>
              </w:rPr>
              <w:t>25,110</w:t>
            </w:r>
          </w:p>
        </w:tc>
      </w:tr>
    </w:tbl>
    <w:p w:rsidR="00B54F55" w:rsidRPr="00974AF4" w:rsidRDefault="00176985" w:rsidP="00176985">
      <w:pPr>
        <w:rPr>
          <w:rFonts w:ascii="David" w:hAnsi="David" w:cs="David"/>
          <w:sz w:val="24"/>
          <w:szCs w:val="24"/>
          <w:rtl/>
        </w:rPr>
      </w:pPr>
      <w:r>
        <w:rPr>
          <w:rFonts w:ascii="David" w:hAnsi="David" w:cs="David"/>
          <w:sz w:val="24"/>
          <w:szCs w:val="24"/>
          <w:rtl/>
        </w:rPr>
        <w:br/>
      </w:r>
    </w:p>
    <w:p w:rsidR="00B54F55" w:rsidRPr="00974AF4" w:rsidRDefault="00B54F55" w:rsidP="00B54F55">
      <w:pPr>
        <w:rPr>
          <w:rFonts w:ascii="David" w:hAnsi="David" w:cs="David"/>
          <w:sz w:val="24"/>
          <w:szCs w:val="24"/>
          <w:rtl/>
        </w:rPr>
      </w:pPr>
      <w:r w:rsidRPr="00974AF4">
        <w:rPr>
          <w:rFonts w:ascii="David" w:hAnsi="David" w:cs="David"/>
          <w:sz w:val="24"/>
          <w:szCs w:val="24"/>
          <w:rtl/>
        </w:rPr>
        <w:t>3.  באשר למידע המבוקש הנוגע למספר הבקשות שהוגשו מפורט על פי סוגי התיקים (קנס פלילי, פיצוי לנפגעי עבירה וקנסות שאינם פלילים), סכום החוב המצטבר בתיקים בהם הוגשה בקשה להפחתה וסכום ההפחתה נדרשת הפקה מיוחדת כמפורט להלן:</w:t>
      </w:r>
    </w:p>
    <w:tbl>
      <w:tblPr>
        <w:tblpPr w:leftFromText="180" w:rightFromText="180" w:vertAnchor="text" w:horzAnchor="margin" w:tblpY="132"/>
        <w:bidiVisual/>
        <w:tblW w:w="4759"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566"/>
        <w:gridCol w:w="930"/>
        <w:gridCol w:w="1672"/>
        <w:gridCol w:w="1633"/>
        <w:gridCol w:w="2095"/>
      </w:tblGrid>
      <w:tr w:rsidR="00B54F55" w:rsidRPr="00974AF4" w:rsidTr="003249F8">
        <w:trPr>
          <w:trHeight w:val="480"/>
        </w:trPr>
        <w:tc>
          <w:tcPr>
            <w:tcW w:w="969" w:type="pct"/>
            <w:tcBorders>
              <w:bottom w:val="single" w:sz="12" w:space="0" w:color="666666"/>
            </w:tcBorders>
            <w:shd w:val="clear" w:color="auto" w:fill="DEEAF6"/>
          </w:tcPr>
          <w:p w:rsidR="00B54F55" w:rsidRPr="00974AF4" w:rsidRDefault="00B54F55" w:rsidP="003249F8">
            <w:pPr>
              <w:spacing w:after="200" w:line="360" w:lineRule="auto"/>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שם פריט</w:t>
            </w:r>
          </w:p>
        </w:tc>
        <w:tc>
          <w:tcPr>
            <w:tcW w:w="608" w:type="pct"/>
            <w:tcBorders>
              <w:bottom w:val="single" w:sz="12" w:space="0" w:color="666666"/>
            </w:tcBorders>
            <w:shd w:val="clear" w:color="auto" w:fill="DEEAF6"/>
          </w:tcPr>
          <w:p w:rsidR="00B54F55" w:rsidRPr="00974AF4" w:rsidRDefault="00B54F55" w:rsidP="003249F8">
            <w:pPr>
              <w:spacing w:after="200" w:line="360" w:lineRule="auto"/>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כמות</w:t>
            </w:r>
          </w:p>
        </w:tc>
        <w:tc>
          <w:tcPr>
            <w:tcW w:w="1025" w:type="pct"/>
            <w:tcBorders>
              <w:bottom w:val="single" w:sz="12" w:space="0" w:color="666666"/>
            </w:tcBorders>
            <w:shd w:val="clear" w:color="auto" w:fill="DEEAF6"/>
          </w:tcPr>
          <w:p w:rsidR="00B54F55" w:rsidRPr="00974AF4" w:rsidRDefault="00B54F55" w:rsidP="003249F8">
            <w:pPr>
              <w:spacing w:after="200" w:line="360" w:lineRule="auto"/>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עלות ליחידה</w:t>
            </w:r>
          </w:p>
        </w:tc>
        <w:tc>
          <w:tcPr>
            <w:tcW w:w="1053" w:type="pct"/>
            <w:tcBorders>
              <w:bottom w:val="single" w:sz="12" w:space="0" w:color="666666"/>
            </w:tcBorders>
            <w:shd w:val="clear" w:color="auto" w:fill="DEEAF6"/>
          </w:tcPr>
          <w:p w:rsidR="00B54F55" w:rsidRPr="00974AF4" w:rsidRDefault="00B54F55" w:rsidP="003249F8">
            <w:pPr>
              <w:spacing w:after="200" w:line="360" w:lineRule="auto"/>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סה"כ עלות לפריט</w:t>
            </w:r>
          </w:p>
        </w:tc>
        <w:tc>
          <w:tcPr>
            <w:tcW w:w="1345" w:type="pct"/>
            <w:tcBorders>
              <w:bottom w:val="single" w:sz="12" w:space="0" w:color="666666"/>
            </w:tcBorders>
            <w:shd w:val="clear" w:color="auto" w:fill="DEEAF6"/>
          </w:tcPr>
          <w:p w:rsidR="00B54F55" w:rsidRPr="00974AF4" w:rsidRDefault="00B54F55" w:rsidP="003249F8">
            <w:pPr>
              <w:spacing w:after="200" w:line="360" w:lineRule="auto"/>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פירוט</w:t>
            </w:r>
          </w:p>
        </w:tc>
      </w:tr>
      <w:tr w:rsidR="00B54F55" w:rsidRPr="00974AF4" w:rsidTr="003249F8">
        <w:trPr>
          <w:trHeight w:val="389"/>
        </w:trPr>
        <w:tc>
          <w:tcPr>
            <w:tcW w:w="969" w:type="pct"/>
          </w:tcPr>
          <w:p w:rsidR="00B54F55" w:rsidRPr="00974AF4" w:rsidRDefault="00B54F55" w:rsidP="003249F8">
            <w:pPr>
              <w:bidi w:val="0"/>
              <w:ind w:left="805" w:hanging="805"/>
              <w:jc w:val="center"/>
              <w:rPr>
                <w:rFonts w:ascii="David" w:eastAsia="Times New Roman" w:hAnsi="David" w:cs="David"/>
                <w:b/>
                <w:bCs/>
                <w:sz w:val="24"/>
                <w:szCs w:val="24"/>
                <w:rtl/>
              </w:rPr>
            </w:pPr>
            <w:r w:rsidRPr="00974AF4">
              <w:rPr>
                <w:rFonts w:ascii="David" w:eastAsia="Times New Roman" w:hAnsi="David" w:cs="David"/>
                <w:b/>
                <w:bCs/>
                <w:sz w:val="24"/>
                <w:szCs w:val="24"/>
                <w:rtl/>
              </w:rPr>
              <w:t>שעות עבודה</w:t>
            </w:r>
          </w:p>
        </w:tc>
        <w:tc>
          <w:tcPr>
            <w:tcW w:w="608" w:type="pct"/>
          </w:tcPr>
          <w:p w:rsidR="00B54F55" w:rsidRPr="00974AF4" w:rsidRDefault="00B54F55" w:rsidP="003249F8">
            <w:pPr>
              <w:bidi w:val="0"/>
              <w:ind w:left="805" w:hanging="805"/>
              <w:jc w:val="center"/>
              <w:rPr>
                <w:rFonts w:ascii="David" w:eastAsia="Times New Roman" w:hAnsi="David" w:cs="David"/>
                <w:sz w:val="24"/>
                <w:szCs w:val="24"/>
                <w:rtl/>
              </w:rPr>
            </w:pPr>
            <w:r w:rsidRPr="00974AF4">
              <w:rPr>
                <w:rFonts w:ascii="David" w:eastAsia="Times New Roman" w:hAnsi="David" w:cs="David"/>
                <w:sz w:val="24"/>
                <w:szCs w:val="24"/>
                <w:rtl/>
              </w:rPr>
              <w:t>20</w:t>
            </w:r>
            <w:r w:rsidRPr="00974AF4">
              <w:rPr>
                <w:rFonts w:ascii="David" w:eastAsia="Times New Roman" w:hAnsi="David" w:cs="David"/>
                <w:sz w:val="24"/>
                <w:szCs w:val="24"/>
              </w:rPr>
              <w:t>.0</w:t>
            </w:r>
          </w:p>
        </w:tc>
        <w:tc>
          <w:tcPr>
            <w:tcW w:w="1025" w:type="pct"/>
          </w:tcPr>
          <w:p w:rsidR="00B54F55" w:rsidRPr="00974AF4" w:rsidRDefault="00B54F55" w:rsidP="003249F8">
            <w:pPr>
              <w:bidi w:val="0"/>
              <w:ind w:left="805" w:hanging="805"/>
              <w:jc w:val="center"/>
              <w:rPr>
                <w:rFonts w:ascii="David" w:eastAsia="Times New Roman" w:hAnsi="David" w:cs="David"/>
                <w:sz w:val="24"/>
                <w:szCs w:val="24"/>
                <w:rtl/>
              </w:rPr>
            </w:pPr>
            <w:r w:rsidRPr="00974AF4">
              <w:rPr>
                <w:rFonts w:ascii="David" w:eastAsia="Times New Roman" w:hAnsi="David" w:cs="David"/>
                <w:sz w:val="24"/>
                <w:szCs w:val="24"/>
                <w:rtl/>
              </w:rPr>
              <w:t xml:space="preserve">₪ </w:t>
            </w:r>
            <w:r w:rsidRPr="00974AF4">
              <w:rPr>
                <w:rFonts w:ascii="David" w:eastAsia="Times New Roman" w:hAnsi="David" w:cs="David"/>
                <w:sz w:val="24"/>
                <w:szCs w:val="24"/>
              </w:rPr>
              <w:t>30.00</w:t>
            </w:r>
          </w:p>
        </w:tc>
        <w:tc>
          <w:tcPr>
            <w:tcW w:w="1053" w:type="pct"/>
          </w:tcPr>
          <w:p w:rsidR="00B54F55" w:rsidRPr="00974AF4" w:rsidRDefault="00B54F55" w:rsidP="003249F8">
            <w:pPr>
              <w:bidi w:val="0"/>
              <w:ind w:left="805" w:hanging="805"/>
              <w:jc w:val="center"/>
              <w:rPr>
                <w:rFonts w:ascii="David" w:eastAsia="Times New Roman" w:hAnsi="David" w:cs="David"/>
                <w:sz w:val="24"/>
                <w:szCs w:val="24"/>
                <w:rtl/>
              </w:rPr>
            </w:pPr>
            <w:r w:rsidRPr="00974AF4">
              <w:rPr>
                <w:rFonts w:ascii="David" w:eastAsia="Times New Roman" w:hAnsi="David" w:cs="David"/>
                <w:sz w:val="24"/>
                <w:szCs w:val="24"/>
                <w:rtl/>
              </w:rPr>
              <w:t xml:space="preserve">₪ </w:t>
            </w:r>
            <w:r w:rsidRPr="00974AF4">
              <w:rPr>
                <w:rFonts w:ascii="David" w:eastAsia="Times New Roman" w:hAnsi="David" w:cs="David"/>
                <w:sz w:val="24"/>
                <w:szCs w:val="24"/>
              </w:rPr>
              <w:t>600.00</w:t>
            </w:r>
          </w:p>
        </w:tc>
        <w:tc>
          <w:tcPr>
            <w:tcW w:w="1345" w:type="pct"/>
          </w:tcPr>
          <w:p w:rsidR="00B54F55" w:rsidRPr="00974AF4" w:rsidRDefault="00B54F55" w:rsidP="003249F8">
            <w:pPr>
              <w:bidi w:val="0"/>
              <w:rPr>
                <w:rFonts w:ascii="David" w:eastAsia="Times New Roman" w:hAnsi="David" w:cs="David"/>
                <w:sz w:val="24"/>
                <w:szCs w:val="24"/>
                <w:rtl/>
              </w:rPr>
            </w:pPr>
            <w:r w:rsidRPr="00974AF4">
              <w:rPr>
                <w:rFonts w:ascii="David" w:eastAsia="Times New Roman" w:hAnsi="David" w:cs="David"/>
                <w:sz w:val="24"/>
                <w:szCs w:val="24"/>
                <w:rtl/>
              </w:rPr>
              <w:t xml:space="preserve">אפיון אופן שליפת המידע – 3 שעות </w:t>
            </w:r>
          </w:p>
          <w:p w:rsidR="00B54F55" w:rsidRPr="00974AF4" w:rsidRDefault="00B54F55" w:rsidP="003249F8">
            <w:pPr>
              <w:bidi w:val="0"/>
              <w:rPr>
                <w:rFonts w:ascii="David" w:eastAsia="Times New Roman" w:hAnsi="David" w:cs="David"/>
                <w:sz w:val="24"/>
                <w:szCs w:val="24"/>
                <w:rtl/>
              </w:rPr>
            </w:pPr>
            <w:r w:rsidRPr="00974AF4">
              <w:rPr>
                <w:rFonts w:ascii="David" w:eastAsia="Times New Roman" w:hAnsi="David" w:cs="David"/>
                <w:sz w:val="24"/>
                <w:szCs w:val="24"/>
                <w:rtl/>
              </w:rPr>
              <w:t>בנ</w:t>
            </w:r>
            <w:r>
              <w:rPr>
                <w:rFonts w:ascii="David" w:eastAsia="Times New Roman" w:hAnsi="David" w:cs="David"/>
                <w:sz w:val="24"/>
                <w:szCs w:val="24"/>
                <w:rtl/>
              </w:rPr>
              <w:t>יית השאילתות להפקת המידע -8 שעו</w:t>
            </w:r>
            <w:r>
              <w:rPr>
                <w:rFonts w:ascii="David" w:eastAsia="Times New Roman" w:hAnsi="David" w:cs="David" w:hint="cs"/>
                <w:sz w:val="24"/>
                <w:szCs w:val="24"/>
                <w:rtl/>
              </w:rPr>
              <w:t>ת</w:t>
            </w:r>
          </w:p>
          <w:p w:rsidR="00B54F55" w:rsidRPr="00974AF4" w:rsidRDefault="00B54F55" w:rsidP="003249F8">
            <w:pPr>
              <w:bidi w:val="0"/>
              <w:rPr>
                <w:rFonts w:ascii="David" w:eastAsia="Times New Roman" w:hAnsi="David" w:cs="David"/>
                <w:sz w:val="24"/>
                <w:szCs w:val="24"/>
                <w:rtl/>
              </w:rPr>
            </w:pPr>
            <w:r w:rsidRPr="00974AF4">
              <w:rPr>
                <w:rFonts w:ascii="David" w:eastAsia="Times New Roman" w:hAnsi="David" w:cs="David"/>
                <w:sz w:val="24"/>
                <w:szCs w:val="24"/>
                <w:rtl/>
              </w:rPr>
              <w:lastRenderedPageBreak/>
              <w:t>עיבוד , ובדיקות לקובץ– 9 שעות</w:t>
            </w:r>
          </w:p>
        </w:tc>
      </w:tr>
    </w:tbl>
    <w:p w:rsidR="00B54F55" w:rsidRPr="00974AF4" w:rsidRDefault="00B54F55" w:rsidP="00B54F55">
      <w:pPr>
        <w:rPr>
          <w:rFonts w:ascii="David" w:hAnsi="David" w:cs="David"/>
          <w:sz w:val="24"/>
          <w:szCs w:val="24"/>
          <w:rtl/>
        </w:rPr>
      </w:pPr>
    </w:p>
    <w:p w:rsidR="00B54F55" w:rsidRPr="00974AF4" w:rsidRDefault="00B54F55" w:rsidP="00B54F55">
      <w:pPr>
        <w:spacing w:after="200" w:line="360" w:lineRule="auto"/>
        <w:ind w:left="720"/>
        <w:jc w:val="both"/>
        <w:rPr>
          <w:rFonts w:ascii="David" w:eastAsia="Times New Roman" w:hAnsi="David" w:cs="David"/>
          <w:sz w:val="24"/>
          <w:szCs w:val="24"/>
          <w:rtl/>
        </w:rPr>
      </w:pPr>
      <w:r w:rsidRPr="00974AF4">
        <w:rPr>
          <w:rFonts w:ascii="David" w:eastAsia="Times New Roman" w:hAnsi="David" w:cs="David"/>
          <w:sz w:val="24"/>
          <w:szCs w:val="24"/>
          <w:rtl/>
        </w:rPr>
        <w:t>הערות:</w:t>
      </w:r>
    </w:p>
    <w:p w:rsidR="00B54F55" w:rsidRPr="00974AF4" w:rsidRDefault="00B54F55" w:rsidP="00B54F55">
      <w:pPr>
        <w:numPr>
          <w:ilvl w:val="0"/>
          <w:numId w:val="1"/>
        </w:numPr>
        <w:spacing w:after="200" w:line="360" w:lineRule="auto"/>
        <w:jc w:val="both"/>
        <w:rPr>
          <w:rFonts w:ascii="David" w:hAnsi="David" w:cs="David"/>
          <w:sz w:val="24"/>
          <w:szCs w:val="24"/>
        </w:rPr>
      </w:pPr>
      <w:r w:rsidRPr="00974AF4">
        <w:rPr>
          <w:rFonts w:ascii="David" w:hAnsi="David" w:cs="David"/>
          <w:sz w:val="24"/>
          <w:szCs w:val="24"/>
          <w:rtl/>
        </w:rPr>
        <w:t xml:space="preserve">לאור זאת, הנך נדרש לשלם את הסכום בסך 600 ש"ח באמצעות אתר רשות האכיפה והגבייה בכתובת: </w:t>
      </w:r>
      <w:hyperlink r:id="rId5" w:history="1">
        <w:r w:rsidRPr="00974AF4">
          <w:rPr>
            <w:rFonts w:ascii="David" w:hAnsi="David" w:cs="David"/>
            <w:sz w:val="24"/>
            <w:szCs w:val="24"/>
          </w:rPr>
          <w:t>www.eca.gov.il</w:t>
        </w:r>
      </w:hyperlink>
      <w:r w:rsidRPr="00974AF4">
        <w:rPr>
          <w:rFonts w:ascii="David" w:hAnsi="David" w:cs="David"/>
          <w:sz w:val="24"/>
          <w:szCs w:val="24"/>
        </w:rPr>
        <w:t xml:space="preserve"> </w:t>
      </w:r>
      <w:r w:rsidRPr="00974AF4">
        <w:rPr>
          <w:rFonts w:ascii="David" w:hAnsi="David" w:cs="David"/>
          <w:sz w:val="24"/>
          <w:szCs w:val="24"/>
          <w:rtl/>
        </w:rPr>
        <w:t>.</w:t>
      </w:r>
    </w:p>
    <w:p w:rsidR="00B54F55" w:rsidRPr="00974AF4" w:rsidRDefault="00B54F55" w:rsidP="00B54F55">
      <w:pPr>
        <w:numPr>
          <w:ilvl w:val="0"/>
          <w:numId w:val="1"/>
        </w:numPr>
        <w:spacing w:after="200" w:line="360" w:lineRule="auto"/>
        <w:jc w:val="both"/>
        <w:rPr>
          <w:rFonts w:ascii="David" w:hAnsi="David" w:cs="David"/>
          <w:sz w:val="24"/>
          <w:szCs w:val="24"/>
        </w:rPr>
      </w:pPr>
      <w:r w:rsidRPr="00974AF4">
        <w:rPr>
          <w:rFonts w:ascii="David" w:hAnsi="David" w:cs="David"/>
          <w:sz w:val="24"/>
          <w:szCs w:val="24"/>
          <w:rtl/>
        </w:rPr>
        <w:t>כל עוד לא תודיע לנו על הסכמתך לשאת בעלות המשוערת הנ"ל ולא תבצע את התשלום, לא נמשיך את הטיפול בבקשה.</w:t>
      </w:r>
    </w:p>
    <w:p w:rsidR="00B54F55" w:rsidRPr="00974AF4" w:rsidRDefault="00B54F55" w:rsidP="00B54F55">
      <w:pPr>
        <w:numPr>
          <w:ilvl w:val="0"/>
          <w:numId w:val="1"/>
        </w:numPr>
        <w:spacing w:after="200" w:line="360" w:lineRule="auto"/>
        <w:jc w:val="both"/>
        <w:rPr>
          <w:rFonts w:ascii="David" w:hAnsi="David" w:cs="David"/>
          <w:sz w:val="24"/>
          <w:szCs w:val="24"/>
        </w:rPr>
      </w:pPr>
      <w:r w:rsidRPr="00974AF4">
        <w:rPr>
          <w:rFonts w:ascii="David" w:hAnsi="David" w:cs="David"/>
          <w:sz w:val="24"/>
          <w:szCs w:val="24"/>
          <w:rtl/>
        </w:rPr>
        <w:t>על ההחלטה כנגד האגרות המפורטות לעיל ניתן להגיש ערעור לבית משפט השלום בתוך 30 יום.</w:t>
      </w:r>
    </w:p>
    <w:p w:rsidR="00B54F55" w:rsidRPr="00974AF4" w:rsidRDefault="00B54F55" w:rsidP="00B54F55">
      <w:pPr>
        <w:spacing w:line="360" w:lineRule="auto"/>
        <w:rPr>
          <w:rFonts w:ascii="David" w:hAnsi="David" w:cs="David"/>
          <w:b/>
          <w:bCs/>
          <w:sz w:val="24"/>
          <w:szCs w:val="24"/>
          <w:u w:val="single"/>
        </w:rPr>
      </w:pPr>
      <w:r w:rsidRPr="00974AF4">
        <w:rPr>
          <w:rFonts w:ascii="David" w:hAnsi="David" w:cs="David" w:hint="cs"/>
          <w:b/>
          <w:bCs/>
          <w:sz w:val="24"/>
          <w:szCs w:val="24"/>
          <w:u w:val="single"/>
          <w:rtl/>
        </w:rPr>
        <w:t>ב.  עיקולים על כספי קנטינה</w:t>
      </w:r>
    </w:p>
    <w:p w:rsidR="00B54F55" w:rsidRPr="00974AF4" w:rsidRDefault="00B54F55" w:rsidP="00B54F55">
      <w:pPr>
        <w:spacing w:line="360" w:lineRule="auto"/>
        <w:jc w:val="both"/>
        <w:rPr>
          <w:rFonts w:ascii="David" w:hAnsi="David" w:cs="David"/>
          <w:sz w:val="24"/>
          <w:szCs w:val="24"/>
          <w:rtl/>
        </w:rPr>
      </w:pPr>
      <w:r w:rsidRPr="00974AF4">
        <w:rPr>
          <w:rFonts w:ascii="David" w:hAnsi="David" w:cs="David"/>
          <w:sz w:val="24"/>
          <w:szCs w:val="24"/>
          <w:rtl/>
        </w:rPr>
        <w:t>ככלל, ישנם אסירים המבקשים להיכנס להסדר ושהסכומים ישולמו מחשבון הקנטינה שלהם. הם חותמים בפני שלם הכלא על אישור וזה מעביר, חודש בחודשו, את הסכומים שהוסכם עליהם (הסדרים) למרכז לגביית קנסות.  במקרים מסוימים המרכז פועל להטלת עיקולים על כספי הקנטינה של האסיר וזאת כאשר האסיר לא נכנס להסדר רצוני מול המרכז וכאשר ישנן אינדיקציות שהאסיר משתכר בכלא או שבני משפחתו מפקידים בעבורו כספים. עד כה ננקט הליך עיקול קנטינה במקרים ספורים. בכל מקרה ככל צד ג' אצלו מוטל עיקול, על השב"ס להשיב לצו עיקול לפי הדין.</w:t>
      </w:r>
    </w:p>
    <w:p w:rsidR="00B54F55" w:rsidRPr="00974AF4" w:rsidRDefault="00B54F55" w:rsidP="00B54F55">
      <w:pPr>
        <w:spacing w:line="360" w:lineRule="auto"/>
        <w:jc w:val="both"/>
        <w:rPr>
          <w:rFonts w:ascii="David" w:hAnsi="David" w:cs="David"/>
          <w:sz w:val="24"/>
          <w:szCs w:val="24"/>
          <w:rtl/>
        </w:rPr>
      </w:pPr>
      <w:r w:rsidRPr="00974AF4">
        <w:rPr>
          <w:rFonts w:ascii="David" w:hAnsi="David" w:cs="David"/>
          <w:sz w:val="24"/>
          <w:szCs w:val="24"/>
          <w:rtl/>
        </w:rPr>
        <w:t>לגבי מערכת ההוצאה לפועל ניתן לציין כי אין לנו מידע ביחס לעיקולים שמוטלים על כספי קנטינה מתיקי הוצאה לפועל. בכל מקרה ככל צד ג' אצלו מוטל עיקול, על השב"ס להשיב לצו עיקול לפי הדין.</w:t>
      </w:r>
    </w:p>
    <w:p w:rsidR="00B54F55" w:rsidRPr="00974AF4" w:rsidRDefault="00B54F55" w:rsidP="00B54F55">
      <w:pPr>
        <w:spacing w:line="360" w:lineRule="auto"/>
        <w:jc w:val="both"/>
        <w:rPr>
          <w:rFonts w:ascii="David" w:hAnsi="David" w:cs="David"/>
          <w:sz w:val="24"/>
          <w:szCs w:val="24"/>
          <w:rtl/>
        </w:rPr>
      </w:pPr>
    </w:p>
    <w:p w:rsidR="00176985" w:rsidRPr="00D314BC" w:rsidRDefault="00176985" w:rsidP="00176985">
      <w:pPr>
        <w:jc w:val="center"/>
        <w:rPr>
          <w:rFonts w:ascii="David" w:hAnsi="David" w:cs="David"/>
          <w:b/>
          <w:bCs/>
          <w:sz w:val="24"/>
          <w:szCs w:val="24"/>
          <w:rtl/>
        </w:rPr>
      </w:pPr>
      <w:r w:rsidRPr="00D314BC">
        <w:rPr>
          <w:rFonts w:ascii="David" w:hAnsi="David" w:cs="David"/>
          <w:b/>
          <w:bCs/>
          <w:sz w:val="24"/>
          <w:szCs w:val="24"/>
          <w:rtl/>
        </w:rPr>
        <w:t>בברכה,</w:t>
      </w:r>
    </w:p>
    <w:p w:rsidR="00176985" w:rsidRPr="00A2087B" w:rsidRDefault="00176985" w:rsidP="00176985">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0508B2" w:rsidRPr="00176985" w:rsidRDefault="000508B2">
      <w:bookmarkStart w:id="0" w:name="_GoBack"/>
      <w:bookmarkEnd w:id="0"/>
    </w:p>
    <w:sectPr w:rsidR="000508B2" w:rsidRPr="00176985" w:rsidSect="00AA15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D082D"/>
    <w:multiLevelType w:val="hybridMultilevel"/>
    <w:tmpl w:val="1FEC02D2"/>
    <w:lvl w:ilvl="0" w:tplc="9BAA7074">
      <w:start w:val="1"/>
      <w:numFmt w:val="hebrew1"/>
      <w:lvlText w:val="%1."/>
      <w:lvlJc w:val="left"/>
      <w:pPr>
        <w:ind w:left="1211"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F55"/>
    <w:rsid w:val="000508B2"/>
    <w:rsid w:val="00176985"/>
    <w:rsid w:val="00AA15EE"/>
    <w:rsid w:val="00B54F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DF3D"/>
  <w15:chartTrackingRefBased/>
  <w15:docId w15:val="{6006B14D-A372-4307-8AB1-A51F60AA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F5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4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
    <w:name w:val="default"/>
    <w:basedOn w:val="a0"/>
    <w:rsid w:val="00B54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ca.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2540</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dcterms:created xsi:type="dcterms:W3CDTF">2019-03-03T11:08:00Z</dcterms:created>
  <dcterms:modified xsi:type="dcterms:W3CDTF">2019-03-14T12:24:00Z</dcterms:modified>
</cp:coreProperties>
</file>