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 w:rsidR="001F1DF1" w:rsidRPr="00884A69" w:rsidRDefault="002E67B2" w:rsidP="00C63879">
      <w:pPr>
        <w:spacing w:after="0" w:line="360" w:lineRule="auto"/>
        <w:ind w:left="357"/>
        <w:jc w:val="right"/>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sidR="001F1DF1">
        <w:rPr>
          <w:rFonts w:ascii="David" w:hAnsi="David" w:cs="David" w:hint="cs"/>
          <w:sz w:val="24"/>
          <w:szCs w:val="24"/>
          <w:rtl/>
        </w:rPr>
        <w:t>י</w:t>
      </w:r>
      <w:r w:rsidR="00C63879">
        <w:rPr>
          <w:rFonts w:ascii="David" w:hAnsi="David" w:cs="David" w:hint="cs"/>
          <w:sz w:val="24"/>
          <w:szCs w:val="24"/>
          <w:rtl/>
        </w:rPr>
        <w:t>"ט בתמוז</w:t>
      </w:r>
      <w:r w:rsidR="001F1DF1">
        <w:rPr>
          <w:rFonts w:ascii="David" w:hAnsi="David" w:cs="David" w:hint="cs"/>
          <w:sz w:val="24"/>
          <w:szCs w:val="24"/>
          <w:rtl/>
        </w:rPr>
        <w:t xml:space="preserve"> תשע"ט</w:t>
      </w:r>
    </w:p>
    <w:sdt>
      <w:sdtPr>
        <w:rPr>
          <w:rFonts w:ascii="David" w:hAnsi="David" w:cs="David"/>
          <w:sz w:val="24"/>
          <w:szCs w:val="24"/>
        </w:rPr>
        <w:id w:val="862097589"/>
        <w:placeholder>
          <w:docPart w:val="3D684A293296422AB17EE059154A2B21"/>
        </w:placeholder>
        <w:date w:fullDate="2019-07-22T00:00:00Z">
          <w:dateFormat w:val="dd/MM/yyyy"/>
          <w:lid w:val="he-IL"/>
          <w:storeMappedDataAs w:val="dateTime"/>
          <w:calendar w:val="gregorian"/>
        </w:date>
      </w:sdtPr>
      <w:sdtEndPr/>
      <w:sdtContent>
        <w:p w:rsidR="001F1DF1" w:rsidRPr="00884A69" w:rsidRDefault="00C63879" w:rsidP="001F1DF1">
          <w:pPr>
            <w:bidi w:val="0"/>
            <w:spacing w:after="200" w:line="360" w:lineRule="auto"/>
            <w:ind w:left="360"/>
            <w:rPr>
              <w:rFonts w:ascii="David" w:hAnsi="David" w:cs="David"/>
              <w:sz w:val="24"/>
              <w:szCs w:val="24"/>
            </w:rPr>
          </w:pPr>
          <w:r>
            <w:rPr>
              <w:rFonts w:ascii="David" w:hAnsi="David" w:cs="David" w:hint="cs"/>
              <w:sz w:val="24"/>
              <w:szCs w:val="24"/>
              <w:rtl/>
            </w:rPr>
            <w:t>‏22/07/2019</w:t>
          </w:r>
        </w:p>
      </w:sdtContent>
    </w:sdt>
    <w:p w:rsidR="009A4E21" w:rsidRPr="005454AC" w:rsidRDefault="001F1DF1" w:rsidP="009A4E21">
      <w:pPr>
        <w:rPr>
          <w:rFonts w:cs="David"/>
          <w:b/>
          <w:bCs/>
          <w:sz w:val="24"/>
          <w:szCs w:val="24"/>
        </w:rPr>
      </w:pPr>
      <w:r>
        <w:rPr>
          <w:rFonts w:ascii="David" w:hAnsi="David" w:cs="David" w:hint="cs"/>
          <w:sz w:val="24"/>
          <w:szCs w:val="24"/>
          <w:rtl/>
        </w:rPr>
        <w:t xml:space="preserve">                                                                                                                                  </w:t>
      </w:r>
      <w:r w:rsidRPr="007B1280">
        <w:rPr>
          <w:rFonts w:ascii="David" w:hAnsi="David" w:cs="David" w:hint="cs"/>
          <w:sz w:val="24"/>
          <w:szCs w:val="24"/>
          <w:rtl/>
        </w:rPr>
        <w:t>מס' סימוכין</w:t>
      </w:r>
      <w:r>
        <w:rPr>
          <w:rFonts w:ascii="David" w:hAnsi="David" w:cs="David" w:hint="cs"/>
          <w:sz w:val="24"/>
          <w:szCs w:val="24"/>
          <w:rtl/>
        </w:rPr>
        <w:t xml:space="preserve"> 3044-19-0027</w:t>
      </w:r>
      <w:r>
        <w:rPr>
          <w:rFonts w:ascii="David" w:hAnsi="David" w:cs="David"/>
          <w:sz w:val="24"/>
          <w:szCs w:val="24"/>
          <w:rtl/>
        </w:rPr>
        <w:br/>
      </w:r>
      <w:r w:rsidRPr="00884A69">
        <w:rPr>
          <w:rFonts w:ascii="David" w:hAnsi="David" w:cs="David"/>
          <w:sz w:val="24"/>
          <w:szCs w:val="24"/>
          <w:rtl/>
        </w:rPr>
        <w:t>לכבוד</w:t>
      </w:r>
      <w:r w:rsidR="009A4E21">
        <w:rPr>
          <w:rFonts w:ascii="David" w:hAnsi="David" w:cs="David"/>
          <w:sz w:val="24"/>
          <w:szCs w:val="24"/>
          <w:rtl/>
        </w:rPr>
        <w:br/>
      </w:r>
      <w:bookmarkStart w:id="0" w:name="_GoBack"/>
      <w:bookmarkEnd w:id="0"/>
    </w:p>
    <w:p w:rsidR="005454AC" w:rsidRPr="00D314BC" w:rsidRDefault="005454AC" w:rsidP="001F1DF1">
      <w:pPr>
        <w:tabs>
          <w:tab w:val="left" w:pos="8170"/>
        </w:tabs>
        <w:spacing w:after="0" w:line="360" w:lineRule="auto"/>
        <w:ind w:left="-665"/>
        <w:jc w:val="center"/>
        <w:rPr>
          <w:rFonts w:cs="David"/>
          <w:b/>
          <w:bCs/>
          <w:sz w:val="24"/>
          <w:szCs w:val="24"/>
          <w:u w:val="single"/>
        </w:rPr>
      </w:pPr>
      <w:r w:rsidRPr="005454AC">
        <w:rPr>
          <w:rFonts w:cs="David" w:hint="cs"/>
          <w:b/>
          <w:bCs/>
          <w:sz w:val="24"/>
          <w:szCs w:val="24"/>
          <w:rtl/>
        </w:rPr>
        <w:t xml:space="preserve">                   </w:t>
      </w:r>
      <w:r w:rsidRPr="00D314BC">
        <w:rPr>
          <w:rFonts w:cs="David" w:hint="cs"/>
          <w:b/>
          <w:bCs/>
          <w:sz w:val="24"/>
          <w:szCs w:val="24"/>
          <w:u w:val="single"/>
          <w:rtl/>
        </w:rPr>
        <w:t xml:space="preserve">הנדון: מענה לפנייתך לקבלת מידע בהתאם לחוק חופש המידע מתאריך </w:t>
      </w:r>
      <w:r w:rsidR="000E6704">
        <w:rPr>
          <w:rFonts w:cs="David" w:hint="cs"/>
          <w:b/>
          <w:bCs/>
          <w:sz w:val="24"/>
          <w:szCs w:val="24"/>
          <w:u w:val="single"/>
          <w:rtl/>
        </w:rPr>
        <w:t>26/06/2019</w:t>
      </w:r>
    </w:p>
    <w:p w:rsidR="005454AC" w:rsidRPr="00D314BC" w:rsidRDefault="005454AC" w:rsidP="005454AC">
      <w:pPr>
        <w:rPr>
          <w:sz w:val="24"/>
          <w:szCs w:val="24"/>
        </w:rPr>
      </w:pPr>
    </w:p>
    <w:p w:rsidR="005454AC" w:rsidRDefault="005454AC" w:rsidP="00C860C3">
      <w:pPr>
        <w:spacing w:line="276" w:lineRule="auto"/>
        <w:jc w:val="both"/>
        <w:rPr>
          <w:rFonts w:ascii="David" w:hAnsi="David" w:cs="David"/>
          <w:sz w:val="24"/>
          <w:szCs w:val="24"/>
          <w:rtl/>
        </w:rPr>
      </w:pPr>
      <w:r w:rsidRPr="00D314BC">
        <w:rPr>
          <w:rFonts w:ascii="David" w:hAnsi="David" w:cs="David" w:hint="cs"/>
          <w:sz w:val="24"/>
          <w:szCs w:val="24"/>
          <w:rtl/>
        </w:rPr>
        <w:t>במענה לפנייתך מיום</w:t>
      </w:r>
      <w:r w:rsidR="001F1DF1">
        <w:rPr>
          <w:rFonts w:ascii="David" w:hAnsi="David" w:cs="David" w:hint="cs"/>
          <w:sz w:val="24"/>
          <w:szCs w:val="24"/>
          <w:rtl/>
        </w:rPr>
        <w:t xml:space="preserve"> 26/06/2019 </w:t>
      </w:r>
      <w:r w:rsidRPr="00D314BC">
        <w:rPr>
          <w:rFonts w:ascii="David" w:hAnsi="David" w:cs="David" w:hint="cs"/>
          <w:sz w:val="24"/>
          <w:szCs w:val="24"/>
          <w:rtl/>
        </w:rPr>
        <w:t xml:space="preserve">באשר לקבלת מידע אודות </w:t>
      </w:r>
      <w:r w:rsidR="00EF44E6">
        <w:rPr>
          <w:rFonts w:ascii="David" w:hAnsi="David" w:cs="David" w:hint="cs"/>
          <w:sz w:val="24"/>
          <w:szCs w:val="24"/>
          <w:rtl/>
        </w:rPr>
        <w:t>חובות של אסירים במרכז לגביית קנסות</w:t>
      </w:r>
      <w:r>
        <w:rPr>
          <w:rFonts w:ascii="David" w:hAnsi="David" w:cs="David" w:hint="cs"/>
          <w:sz w:val="24"/>
          <w:szCs w:val="24"/>
          <w:rtl/>
        </w:rPr>
        <w:t>,</w:t>
      </w:r>
      <w:r w:rsidRPr="00D314BC">
        <w:rPr>
          <w:rFonts w:ascii="David" w:hAnsi="David" w:cs="David" w:hint="cs"/>
          <w:sz w:val="24"/>
          <w:szCs w:val="24"/>
          <w:rtl/>
        </w:rPr>
        <w:t xml:space="preserve"> הריני להשיבך כדלקמן:</w:t>
      </w:r>
    </w:p>
    <w:p w:rsidR="003342D7" w:rsidRPr="00C860C3" w:rsidRDefault="00EF44E6" w:rsidP="00B53BE1">
      <w:pPr>
        <w:pStyle w:val="a7"/>
        <w:numPr>
          <w:ilvl w:val="0"/>
          <w:numId w:val="5"/>
        </w:numPr>
        <w:spacing w:line="360" w:lineRule="auto"/>
        <w:jc w:val="both"/>
        <w:rPr>
          <w:rFonts w:ascii="David" w:eastAsiaTheme="minorHAnsi" w:hAnsi="David" w:cs="David"/>
          <w:sz w:val="24"/>
          <w:szCs w:val="24"/>
          <w:rtl/>
        </w:rPr>
      </w:pPr>
      <w:r w:rsidRPr="00EF44E6">
        <w:rPr>
          <w:rFonts w:ascii="David" w:hAnsi="David" w:cs="David"/>
          <w:sz w:val="24"/>
          <w:szCs w:val="24"/>
          <w:rtl/>
        </w:rPr>
        <w:t>אין נוהל מיוחד לגביית חובות של אסירים . הרשות מתייחסת לאסירים כחייבים רגילים</w:t>
      </w:r>
      <w:r w:rsidRPr="00EF44E6">
        <w:rPr>
          <w:rFonts w:ascii="David" w:hAnsi="David" w:cs="David" w:hint="cs"/>
          <w:sz w:val="24"/>
          <w:szCs w:val="24"/>
          <w:rtl/>
        </w:rPr>
        <w:t xml:space="preserve"> אולם </w:t>
      </w:r>
      <w:r w:rsidRPr="00EF44E6">
        <w:rPr>
          <w:rFonts w:ascii="David" w:hAnsi="David" w:cs="David"/>
          <w:sz w:val="24"/>
          <w:szCs w:val="24"/>
          <w:rtl/>
        </w:rPr>
        <w:t xml:space="preserve">מקום שאדם הורשע ונגזר דינו לשבת שנים ארוכות בין כותלי הכלא, כאשר לצד עונש המאסר, נגזר גם קנס ופיצוי לנפגע עבירה, שואף המרכז לגביית קנסות, בשנים האחרונות, כי הקשר עם האסיר ייווצר, במועד הסמוך לריצוי העונש, כך שיהיה סיפק בידי החייב, שהוא אסיר, לפרוע את החוב או חלקו, עוד בתקופה בה הוא שוהה בין כותלי הכלא. </w:t>
      </w:r>
    </w:p>
    <w:p w:rsidR="003342D7" w:rsidRDefault="003342D7" w:rsidP="00C860C3">
      <w:pPr>
        <w:pStyle w:val="a7"/>
        <w:spacing w:line="360" w:lineRule="auto"/>
        <w:jc w:val="both"/>
        <w:rPr>
          <w:rFonts w:ascii="David" w:hAnsi="David" w:cs="David"/>
          <w:sz w:val="24"/>
          <w:szCs w:val="24"/>
          <w:rtl/>
        </w:rPr>
      </w:pPr>
    </w:p>
    <w:p w:rsidR="003342D7" w:rsidRDefault="00EF44E6" w:rsidP="00E57BF8">
      <w:pPr>
        <w:pStyle w:val="a7"/>
        <w:spacing w:line="360" w:lineRule="auto"/>
        <w:jc w:val="both"/>
        <w:rPr>
          <w:rFonts w:ascii="David" w:hAnsi="David" w:cs="David"/>
          <w:sz w:val="24"/>
          <w:szCs w:val="24"/>
          <w:rtl/>
        </w:rPr>
      </w:pPr>
      <w:r w:rsidRPr="00EF44E6">
        <w:rPr>
          <w:rFonts w:ascii="David" w:hAnsi="David" w:cs="David"/>
          <w:sz w:val="24"/>
          <w:szCs w:val="24"/>
          <w:rtl/>
        </w:rPr>
        <w:t>לאחרונה</w:t>
      </w:r>
      <w:r w:rsidR="00285C91">
        <w:rPr>
          <w:rFonts w:ascii="David" w:hAnsi="David" w:cs="David" w:hint="cs"/>
          <w:sz w:val="24"/>
          <w:szCs w:val="24"/>
          <w:rtl/>
        </w:rPr>
        <w:t xml:space="preserve"> פורסמה איגרת </w:t>
      </w:r>
      <w:proofErr w:type="spellStart"/>
      <w:r w:rsidR="00285C91">
        <w:rPr>
          <w:rFonts w:ascii="David" w:hAnsi="David" w:cs="David" w:hint="cs"/>
          <w:sz w:val="24"/>
          <w:szCs w:val="24"/>
          <w:rtl/>
        </w:rPr>
        <w:t>לחי</w:t>
      </w:r>
      <w:r w:rsidR="000A61AA">
        <w:rPr>
          <w:rFonts w:ascii="David" w:hAnsi="David" w:cs="David" w:hint="cs"/>
          <w:sz w:val="24"/>
          <w:szCs w:val="24"/>
          <w:rtl/>
        </w:rPr>
        <w:t>י</w:t>
      </w:r>
      <w:r w:rsidR="00285C91">
        <w:rPr>
          <w:rFonts w:ascii="David" w:hAnsi="David" w:cs="David" w:hint="cs"/>
          <w:sz w:val="24"/>
          <w:szCs w:val="24"/>
          <w:rtl/>
        </w:rPr>
        <w:t>בי</w:t>
      </w:r>
      <w:proofErr w:type="spellEnd"/>
      <w:r w:rsidR="00285C91">
        <w:rPr>
          <w:rFonts w:ascii="David" w:hAnsi="David" w:cs="David" w:hint="cs"/>
          <w:sz w:val="24"/>
          <w:szCs w:val="24"/>
          <w:rtl/>
        </w:rPr>
        <w:t xml:space="preserve"> המרכז ובה </w:t>
      </w:r>
      <w:r w:rsidR="00AD213C">
        <w:rPr>
          <w:rFonts w:ascii="David" w:hAnsi="David" w:cs="David" w:hint="cs"/>
          <w:sz w:val="24"/>
          <w:szCs w:val="24"/>
          <w:rtl/>
        </w:rPr>
        <w:t xml:space="preserve">יש גם </w:t>
      </w:r>
      <w:r w:rsidR="00285C91">
        <w:rPr>
          <w:rFonts w:ascii="David" w:hAnsi="David" w:cs="David" w:hint="cs"/>
          <w:sz w:val="24"/>
          <w:szCs w:val="24"/>
          <w:rtl/>
        </w:rPr>
        <w:t xml:space="preserve">התייחסות ספציפית לחייבים אסירים (מצ"ב) </w:t>
      </w:r>
      <w:r w:rsidR="00AD213C">
        <w:rPr>
          <w:rFonts w:ascii="David" w:hAnsi="David" w:cs="David" w:hint="cs"/>
          <w:sz w:val="24"/>
          <w:szCs w:val="24"/>
          <w:rtl/>
        </w:rPr>
        <w:t>. בחוברת מפורט</w:t>
      </w:r>
      <w:r w:rsidR="000A61AA">
        <w:rPr>
          <w:rFonts w:ascii="David" w:hAnsi="David" w:cs="David" w:hint="cs"/>
          <w:sz w:val="24"/>
          <w:szCs w:val="24"/>
          <w:rtl/>
        </w:rPr>
        <w:t>ות</w:t>
      </w:r>
      <w:r w:rsidR="00AD213C">
        <w:rPr>
          <w:rFonts w:ascii="David" w:hAnsi="David" w:cs="David" w:hint="cs"/>
          <w:sz w:val="24"/>
          <w:szCs w:val="24"/>
          <w:rtl/>
        </w:rPr>
        <w:t xml:space="preserve"> </w:t>
      </w:r>
      <w:r w:rsidR="00285C91">
        <w:rPr>
          <w:rFonts w:ascii="David" w:hAnsi="David" w:cs="David" w:hint="cs"/>
          <w:sz w:val="24"/>
          <w:szCs w:val="24"/>
          <w:rtl/>
        </w:rPr>
        <w:t>דרכי ה</w:t>
      </w:r>
      <w:r w:rsidR="00AD213C">
        <w:rPr>
          <w:rFonts w:ascii="David" w:hAnsi="David" w:cs="David" w:hint="cs"/>
          <w:sz w:val="24"/>
          <w:szCs w:val="24"/>
          <w:rtl/>
        </w:rPr>
        <w:t>התקשרות</w:t>
      </w:r>
      <w:r w:rsidR="00285C91">
        <w:rPr>
          <w:rFonts w:ascii="David" w:hAnsi="David" w:cs="David" w:hint="cs"/>
          <w:sz w:val="24"/>
          <w:szCs w:val="24"/>
          <w:rtl/>
        </w:rPr>
        <w:t xml:space="preserve"> </w:t>
      </w:r>
      <w:r w:rsidR="000A61AA">
        <w:rPr>
          <w:rFonts w:ascii="David" w:hAnsi="David" w:cs="David" w:hint="cs"/>
          <w:sz w:val="24"/>
          <w:szCs w:val="24"/>
          <w:rtl/>
        </w:rPr>
        <w:t xml:space="preserve">אל המרכז , גם ללא סיוע של עורכי דין , באופן ברור, פשוט </w:t>
      </w:r>
      <w:r w:rsidR="00285C91">
        <w:rPr>
          <w:rFonts w:ascii="David" w:hAnsi="David" w:cs="David" w:hint="cs"/>
          <w:sz w:val="24"/>
          <w:szCs w:val="24"/>
          <w:rtl/>
        </w:rPr>
        <w:t xml:space="preserve"> </w:t>
      </w:r>
      <w:r w:rsidR="000A61AA">
        <w:rPr>
          <w:rFonts w:ascii="David" w:hAnsi="David" w:cs="David" w:hint="cs"/>
          <w:sz w:val="24"/>
          <w:szCs w:val="24"/>
          <w:rtl/>
        </w:rPr>
        <w:t>ונגיש</w:t>
      </w:r>
      <w:r w:rsidR="00285C91">
        <w:rPr>
          <w:rFonts w:ascii="David" w:hAnsi="David" w:cs="David" w:hint="cs"/>
          <w:sz w:val="24"/>
          <w:szCs w:val="24"/>
          <w:rtl/>
        </w:rPr>
        <w:t xml:space="preserve"> לכל</w:t>
      </w:r>
      <w:r w:rsidR="000A61AA">
        <w:rPr>
          <w:rFonts w:ascii="David" w:hAnsi="David" w:cs="David" w:hint="cs"/>
          <w:sz w:val="24"/>
          <w:szCs w:val="24"/>
          <w:rtl/>
        </w:rPr>
        <w:t xml:space="preserve"> וללא הצורך בטפסים מיוחדים </w:t>
      </w:r>
      <w:r w:rsidR="00285C91">
        <w:rPr>
          <w:rFonts w:ascii="David" w:hAnsi="David" w:cs="David" w:hint="cs"/>
          <w:sz w:val="24"/>
          <w:szCs w:val="24"/>
          <w:rtl/>
        </w:rPr>
        <w:t xml:space="preserve">. </w:t>
      </w:r>
      <w:r w:rsidRPr="00EF44E6">
        <w:rPr>
          <w:rFonts w:ascii="David" w:hAnsi="David" w:cs="David"/>
          <w:sz w:val="24"/>
          <w:szCs w:val="24"/>
          <w:rtl/>
        </w:rPr>
        <w:t xml:space="preserve">האיגרת </w:t>
      </w:r>
      <w:r>
        <w:rPr>
          <w:rFonts w:ascii="David" w:hAnsi="David" w:cs="David" w:hint="cs"/>
          <w:sz w:val="24"/>
          <w:szCs w:val="24"/>
          <w:rtl/>
        </w:rPr>
        <w:t>נמסרת</w:t>
      </w:r>
      <w:r w:rsidRPr="00EF44E6">
        <w:rPr>
          <w:rFonts w:ascii="David" w:hAnsi="David" w:cs="David"/>
          <w:sz w:val="24"/>
          <w:szCs w:val="24"/>
          <w:rtl/>
        </w:rPr>
        <w:t xml:space="preserve"> לחייב אסיר בתקופת קליטתו במתקן הכליאה על פי שיקול דעת שב"ס וכן בכל מפגש של החייב עם נציגי המרכז לגביית קנסות. בעניין זה ומעבר לכך, בשנ</w:t>
      </w:r>
      <w:r w:rsidR="00E57BF8">
        <w:rPr>
          <w:rFonts w:ascii="David" w:hAnsi="David" w:cs="David" w:hint="cs"/>
          <w:sz w:val="24"/>
          <w:szCs w:val="24"/>
          <w:rtl/>
        </w:rPr>
        <w:t>תיים</w:t>
      </w:r>
      <w:r w:rsidRPr="00EF44E6">
        <w:rPr>
          <w:rFonts w:ascii="David" w:hAnsi="David" w:cs="David"/>
          <w:sz w:val="24"/>
          <w:szCs w:val="24"/>
          <w:rtl/>
        </w:rPr>
        <w:t xml:space="preserve"> האחרונ</w:t>
      </w:r>
      <w:r w:rsidR="00E57BF8">
        <w:rPr>
          <w:rFonts w:ascii="David" w:hAnsi="David" w:cs="David" w:hint="cs"/>
          <w:sz w:val="24"/>
          <w:szCs w:val="24"/>
          <w:rtl/>
        </w:rPr>
        <w:t>ות</w:t>
      </w:r>
      <w:r w:rsidRPr="00EF44E6">
        <w:rPr>
          <w:rFonts w:ascii="David" w:hAnsi="David" w:cs="David"/>
          <w:sz w:val="24"/>
          <w:szCs w:val="24"/>
          <w:rtl/>
        </w:rPr>
        <w:t xml:space="preserve">, הוקצו משאבים על ידי המרכז לגביית קנסות כדי לקיים מפגשים עם אסירים בין כותלי הכלא, על מנת להניעם </w:t>
      </w:r>
      <w:r w:rsidR="00007AAA">
        <w:rPr>
          <w:rFonts w:ascii="David" w:hAnsi="David" w:cs="David" w:hint="cs"/>
          <w:sz w:val="24"/>
          <w:szCs w:val="24"/>
          <w:rtl/>
        </w:rPr>
        <w:t xml:space="preserve">להגיע </w:t>
      </w:r>
      <w:r w:rsidRPr="00EF44E6">
        <w:rPr>
          <w:rFonts w:ascii="David" w:hAnsi="David" w:cs="David"/>
          <w:sz w:val="24"/>
          <w:szCs w:val="24"/>
          <w:rtl/>
        </w:rPr>
        <w:t xml:space="preserve">להסדרים בשלב מוקדם של ריצוי העונש, משאבים שלא מאפשרים עדיין להגיע לכלל האסירים, אך בוודאי שהדבר אינו גורע מחובת אדם שנגזר דינו למאסר, לפנות בעצמו למרכז, על מנת להסדיר את החוב כלפי נפגע העבירה עם תחילת ריצוי העונש. </w:t>
      </w:r>
    </w:p>
    <w:p w:rsidR="00E57BF8" w:rsidRDefault="00E57BF8" w:rsidP="00E57BF8">
      <w:pPr>
        <w:pStyle w:val="a7"/>
        <w:spacing w:line="360" w:lineRule="auto"/>
        <w:jc w:val="both"/>
        <w:rPr>
          <w:rFonts w:ascii="David" w:hAnsi="David" w:cs="David"/>
          <w:sz w:val="24"/>
          <w:szCs w:val="24"/>
          <w:rtl/>
        </w:rPr>
      </w:pPr>
    </w:p>
    <w:p w:rsidR="00E57BF8" w:rsidRDefault="00E57BF8" w:rsidP="00E57BF8">
      <w:pPr>
        <w:pStyle w:val="a7"/>
        <w:spacing w:line="360" w:lineRule="auto"/>
        <w:jc w:val="both"/>
        <w:rPr>
          <w:rFonts w:ascii="David" w:hAnsi="David" w:cs="David"/>
          <w:sz w:val="24"/>
          <w:szCs w:val="24"/>
          <w:rtl/>
        </w:rPr>
      </w:pPr>
      <w:r>
        <w:rPr>
          <w:rFonts w:ascii="David" w:hAnsi="David" w:cs="David" w:hint="cs"/>
          <w:sz w:val="24"/>
          <w:szCs w:val="24"/>
          <w:rtl/>
        </w:rPr>
        <w:t>המרכז מקיים קשרי עבודה שוטפים מול שב"ס ובכלל זה מפגשים ושיחות קבועות עם עובדים סוציאליים הפועלים בתחומי בתי הכלא . בנוסף, נמצא המרכז בקשרי  עבודה עם הרשות לשיקום האסיר המטפלת בחייבים לאחר שחרורם ובין היתר מטפלים גם  בבקשות המוגשות על ידה.</w:t>
      </w:r>
    </w:p>
    <w:p w:rsidR="00E57BF8" w:rsidRDefault="00E57BF8" w:rsidP="00C860C3">
      <w:pPr>
        <w:pStyle w:val="a7"/>
        <w:spacing w:line="360" w:lineRule="auto"/>
        <w:jc w:val="both"/>
        <w:rPr>
          <w:rFonts w:ascii="David" w:hAnsi="David" w:cs="David"/>
          <w:sz w:val="24"/>
          <w:szCs w:val="24"/>
          <w:rtl/>
        </w:rPr>
      </w:pPr>
    </w:p>
    <w:p w:rsidR="00EF44E6" w:rsidRPr="000F6EE1" w:rsidRDefault="003342D7" w:rsidP="00C860C3">
      <w:pPr>
        <w:pStyle w:val="a7"/>
        <w:spacing w:line="360" w:lineRule="auto"/>
        <w:jc w:val="both"/>
        <w:rPr>
          <w:rFonts w:ascii="David" w:eastAsiaTheme="minorHAnsi" w:hAnsi="David" w:cs="David"/>
          <w:sz w:val="24"/>
          <w:szCs w:val="24"/>
          <w:rtl/>
        </w:rPr>
      </w:pPr>
      <w:r>
        <w:rPr>
          <w:rFonts w:ascii="David" w:hAnsi="David" w:cs="David" w:hint="cs"/>
          <w:sz w:val="24"/>
          <w:szCs w:val="24"/>
          <w:rtl/>
        </w:rPr>
        <w:t xml:space="preserve">עוד </w:t>
      </w:r>
      <w:r w:rsidR="00EF44E6" w:rsidRPr="00EF44E6">
        <w:rPr>
          <w:rFonts w:ascii="David" w:hAnsi="David" w:cs="David"/>
          <w:sz w:val="24"/>
          <w:szCs w:val="24"/>
          <w:rtl/>
        </w:rPr>
        <w:t>אציין, כי הסדרי החוב הניתנים לחייב אסיר מתחשבים ב</w:t>
      </w:r>
      <w:r w:rsidR="00B53BE1">
        <w:rPr>
          <w:rFonts w:ascii="David" w:hAnsi="David" w:cs="David" w:hint="cs"/>
          <w:sz w:val="24"/>
          <w:szCs w:val="24"/>
          <w:rtl/>
        </w:rPr>
        <w:t>ין היתר,  גם ב</w:t>
      </w:r>
      <w:r w:rsidR="00EF44E6" w:rsidRPr="00EF44E6">
        <w:rPr>
          <w:rFonts w:ascii="David" w:hAnsi="David" w:cs="David"/>
          <w:sz w:val="24"/>
          <w:szCs w:val="24"/>
          <w:rtl/>
        </w:rPr>
        <w:t>תקופת מאסרו ובהינתן העמדת בטוחות ברות מימוש להבטחת תשלום החוב, המרכז ייטה לילך כברת דרך נוספת לקראת החייב ולאפשר פריסה רחבה יותר לתשלומים</w:t>
      </w:r>
      <w:r w:rsidR="00B53BE1">
        <w:rPr>
          <w:rFonts w:ascii="David" w:hAnsi="David" w:cs="David" w:hint="cs"/>
          <w:sz w:val="24"/>
          <w:szCs w:val="24"/>
          <w:rtl/>
        </w:rPr>
        <w:t>, הכל בהתאם גם לנסיבות הספציפיות של החייב האסיר</w:t>
      </w:r>
      <w:r w:rsidR="00EF44E6" w:rsidRPr="00EF44E6">
        <w:rPr>
          <w:rFonts w:ascii="David" w:hAnsi="David" w:cs="David"/>
          <w:sz w:val="24"/>
          <w:szCs w:val="24"/>
          <w:rtl/>
        </w:rPr>
        <w:t>.</w:t>
      </w:r>
    </w:p>
    <w:tbl>
      <w:tblPr>
        <w:tblpPr w:leftFromText="180" w:rightFromText="180" w:vertAnchor="page" w:horzAnchor="page" w:tblpX="1623" w:tblpY="2926"/>
        <w:bidiVisual/>
        <w:tblW w:w="7978" w:type="dxa"/>
        <w:tblLook w:val="04A0" w:firstRow="1" w:lastRow="0" w:firstColumn="1" w:lastColumn="0" w:noHBand="0" w:noVBand="1"/>
      </w:tblPr>
      <w:tblGrid>
        <w:gridCol w:w="1400"/>
        <w:gridCol w:w="1713"/>
        <w:gridCol w:w="2890"/>
        <w:gridCol w:w="1975"/>
      </w:tblGrid>
      <w:tr w:rsidR="00870CEF" w:rsidRPr="00870CEF" w:rsidTr="000A61AA">
        <w:trPr>
          <w:trHeight w:val="281"/>
        </w:trPr>
        <w:tc>
          <w:tcPr>
            <w:tcW w:w="797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CEF" w:rsidRPr="00870CEF" w:rsidRDefault="000A61AA" w:rsidP="000A61AA">
            <w:pPr>
              <w:spacing w:after="0" w:line="240" w:lineRule="auto"/>
              <w:jc w:val="center"/>
              <w:rPr>
                <w:rFonts w:ascii="David" w:eastAsia="Times New Roman" w:hAnsi="David" w:cs="David"/>
                <w:b/>
                <w:bCs/>
                <w:color w:val="000000"/>
              </w:rPr>
            </w:pPr>
            <w:r w:rsidRPr="000A61AA">
              <w:rPr>
                <w:rFonts w:ascii="David" w:eastAsia="Times New Roman" w:hAnsi="David" w:cs="David"/>
                <w:b/>
                <w:bCs/>
                <w:color w:val="000000"/>
                <w:rtl/>
              </w:rPr>
              <w:lastRenderedPageBreak/>
              <w:t xml:space="preserve">גביה </w:t>
            </w:r>
            <w:r w:rsidR="00870CEF" w:rsidRPr="00870CEF">
              <w:rPr>
                <w:rFonts w:ascii="David" w:eastAsia="Times New Roman" w:hAnsi="David" w:cs="David"/>
                <w:b/>
                <w:bCs/>
                <w:color w:val="000000"/>
                <w:rtl/>
              </w:rPr>
              <w:t>בש"ח</w:t>
            </w:r>
            <w:r>
              <w:rPr>
                <w:rStyle w:val="ac"/>
                <w:rFonts w:ascii="David" w:eastAsia="Times New Roman" w:hAnsi="David" w:cs="David"/>
                <w:b/>
                <w:bCs/>
                <w:color w:val="000000"/>
              </w:rPr>
              <w:footnoteReference w:id="1"/>
            </w:r>
          </w:p>
        </w:tc>
      </w:tr>
      <w:tr w:rsidR="00870CEF" w:rsidRPr="00870CEF" w:rsidTr="000A61AA">
        <w:trPr>
          <w:trHeight w:val="498"/>
        </w:trPr>
        <w:tc>
          <w:tcPr>
            <w:tcW w:w="797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Pr>
              <w:t>2016</w:t>
            </w:r>
          </w:p>
        </w:tc>
      </w:tr>
      <w:tr w:rsidR="000A61AA" w:rsidRPr="00870CEF" w:rsidTr="000A61AA">
        <w:trPr>
          <w:trHeight w:val="845"/>
        </w:trPr>
        <w:tc>
          <w:tcPr>
            <w:tcW w:w="1400"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tl/>
              </w:rPr>
              <w:t>פיצוי בהליך פלילי לנפגעי עברה</w:t>
            </w:r>
          </w:p>
        </w:tc>
        <w:tc>
          <w:tcPr>
            <w:tcW w:w="1713"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קנס פלילי</w:t>
            </w:r>
          </w:p>
        </w:tc>
        <w:tc>
          <w:tcPr>
            <w:tcW w:w="2890"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שאר התיקים</w:t>
            </w:r>
          </w:p>
        </w:tc>
        <w:tc>
          <w:tcPr>
            <w:tcW w:w="1975"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סה</w:t>
            </w:r>
            <w:r w:rsidR="00263871" w:rsidRPr="000A61AA">
              <w:rPr>
                <w:rFonts w:ascii="David" w:eastAsia="Times New Roman" w:hAnsi="David" w:cs="David"/>
                <w:b/>
                <w:bCs/>
                <w:color w:val="000000"/>
                <w:rtl/>
              </w:rPr>
              <w:t>"</w:t>
            </w:r>
            <w:r w:rsidRPr="00870CEF">
              <w:rPr>
                <w:rFonts w:ascii="David" w:eastAsia="Times New Roman" w:hAnsi="David" w:cs="David"/>
                <w:b/>
                <w:bCs/>
                <w:color w:val="000000"/>
                <w:rtl/>
              </w:rPr>
              <w:t>כ</w:t>
            </w:r>
          </w:p>
        </w:tc>
      </w:tr>
      <w:tr w:rsidR="000A61AA" w:rsidRPr="00870CEF" w:rsidTr="000A61AA">
        <w:trPr>
          <w:trHeight w:val="281"/>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Pr>
              <w:t>28,277,922</w:t>
            </w:r>
          </w:p>
        </w:tc>
        <w:tc>
          <w:tcPr>
            <w:tcW w:w="1713"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64,581,232</w:t>
            </w:r>
          </w:p>
        </w:tc>
        <w:tc>
          <w:tcPr>
            <w:tcW w:w="2890"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318,456,423</w:t>
            </w:r>
          </w:p>
        </w:tc>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411,315,577</w:t>
            </w:r>
          </w:p>
        </w:tc>
      </w:tr>
      <w:tr w:rsidR="00870CEF" w:rsidRPr="00870CEF" w:rsidTr="000A61AA">
        <w:trPr>
          <w:trHeight w:val="441"/>
        </w:trPr>
        <w:tc>
          <w:tcPr>
            <w:tcW w:w="797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2017</w:t>
            </w:r>
          </w:p>
        </w:tc>
      </w:tr>
      <w:tr w:rsidR="000A61AA" w:rsidRPr="00870CEF" w:rsidTr="000A61AA">
        <w:trPr>
          <w:trHeight w:val="845"/>
        </w:trPr>
        <w:tc>
          <w:tcPr>
            <w:tcW w:w="1400"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tl/>
              </w:rPr>
              <w:t>פיצוי בהליך פלילי לנפגעי עברה</w:t>
            </w:r>
          </w:p>
        </w:tc>
        <w:tc>
          <w:tcPr>
            <w:tcW w:w="1713"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קנס פלילי</w:t>
            </w:r>
          </w:p>
        </w:tc>
        <w:tc>
          <w:tcPr>
            <w:tcW w:w="2890"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שאר התיקים</w:t>
            </w:r>
          </w:p>
        </w:tc>
        <w:tc>
          <w:tcPr>
            <w:tcW w:w="1975"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סה</w:t>
            </w:r>
            <w:r w:rsidR="00263871" w:rsidRPr="000A61AA">
              <w:rPr>
                <w:rFonts w:ascii="David" w:eastAsia="Times New Roman" w:hAnsi="David" w:cs="David"/>
                <w:b/>
                <w:bCs/>
                <w:color w:val="000000"/>
                <w:rtl/>
              </w:rPr>
              <w:t>"</w:t>
            </w:r>
            <w:r w:rsidRPr="00870CEF">
              <w:rPr>
                <w:rFonts w:ascii="David" w:eastAsia="Times New Roman" w:hAnsi="David" w:cs="David"/>
                <w:b/>
                <w:bCs/>
                <w:color w:val="000000"/>
                <w:rtl/>
              </w:rPr>
              <w:t>כ</w:t>
            </w:r>
          </w:p>
        </w:tc>
      </w:tr>
      <w:tr w:rsidR="000A61AA" w:rsidRPr="00870CEF" w:rsidTr="000A61AA">
        <w:trPr>
          <w:trHeight w:val="281"/>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Pr>
              <w:t>28,565,709</w:t>
            </w:r>
          </w:p>
        </w:tc>
        <w:tc>
          <w:tcPr>
            <w:tcW w:w="1713"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58,180,944</w:t>
            </w:r>
          </w:p>
        </w:tc>
        <w:tc>
          <w:tcPr>
            <w:tcW w:w="2890"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635,830,687</w:t>
            </w:r>
          </w:p>
        </w:tc>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722,577,340</w:t>
            </w:r>
          </w:p>
        </w:tc>
      </w:tr>
      <w:tr w:rsidR="00870CEF" w:rsidRPr="00870CEF" w:rsidTr="000A61AA">
        <w:trPr>
          <w:trHeight w:val="450"/>
        </w:trPr>
        <w:tc>
          <w:tcPr>
            <w:tcW w:w="7978"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2018</w:t>
            </w:r>
          </w:p>
        </w:tc>
      </w:tr>
      <w:tr w:rsidR="000A61AA" w:rsidRPr="00870CEF" w:rsidTr="000A61AA">
        <w:trPr>
          <w:trHeight w:val="845"/>
        </w:trPr>
        <w:tc>
          <w:tcPr>
            <w:tcW w:w="1400"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tl/>
              </w:rPr>
              <w:t>פיצוי בהליך פלילי לנפגעי עברה</w:t>
            </w:r>
          </w:p>
        </w:tc>
        <w:tc>
          <w:tcPr>
            <w:tcW w:w="1713"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קנס פלילי</w:t>
            </w:r>
          </w:p>
        </w:tc>
        <w:tc>
          <w:tcPr>
            <w:tcW w:w="2890"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שאר התיקים</w:t>
            </w:r>
          </w:p>
        </w:tc>
        <w:tc>
          <w:tcPr>
            <w:tcW w:w="1975" w:type="dxa"/>
            <w:tcBorders>
              <w:top w:val="nil"/>
              <w:left w:val="single" w:sz="4" w:space="0" w:color="auto"/>
              <w:bottom w:val="single" w:sz="4" w:space="0" w:color="auto"/>
              <w:right w:val="single" w:sz="4" w:space="0" w:color="auto"/>
            </w:tcBorders>
            <w:shd w:val="clear" w:color="auto" w:fill="auto"/>
            <w:vAlign w:val="bottom"/>
            <w:hideMark/>
          </w:tcPr>
          <w:p w:rsidR="00870CEF" w:rsidRPr="00870CEF" w:rsidRDefault="00870CEF" w:rsidP="000A61AA">
            <w:pPr>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tl/>
              </w:rPr>
              <w:t>סה</w:t>
            </w:r>
            <w:r w:rsidR="00263871" w:rsidRPr="000A61AA">
              <w:rPr>
                <w:rFonts w:ascii="David" w:eastAsia="Times New Roman" w:hAnsi="David" w:cs="David"/>
                <w:b/>
                <w:bCs/>
                <w:color w:val="000000"/>
                <w:rtl/>
              </w:rPr>
              <w:t>"</w:t>
            </w:r>
            <w:r w:rsidRPr="00870CEF">
              <w:rPr>
                <w:rFonts w:ascii="David" w:eastAsia="Times New Roman" w:hAnsi="David" w:cs="David"/>
                <w:b/>
                <w:bCs/>
                <w:color w:val="000000"/>
                <w:rtl/>
              </w:rPr>
              <w:t>כ</w:t>
            </w:r>
          </w:p>
        </w:tc>
      </w:tr>
      <w:tr w:rsidR="000A61AA" w:rsidRPr="00870CEF" w:rsidTr="000A61AA">
        <w:trPr>
          <w:trHeight w:val="281"/>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tl/>
              </w:rPr>
            </w:pPr>
            <w:r w:rsidRPr="00870CEF">
              <w:rPr>
                <w:rFonts w:ascii="David" w:eastAsia="Times New Roman" w:hAnsi="David" w:cs="David"/>
                <w:b/>
                <w:bCs/>
                <w:color w:val="000000"/>
              </w:rPr>
              <w:t>27,704,008</w:t>
            </w:r>
          </w:p>
        </w:tc>
        <w:tc>
          <w:tcPr>
            <w:tcW w:w="1713"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46,800,378</w:t>
            </w:r>
          </w:p>
        </w:tc>
        <w:tc>
          <w:tcPr>
            <w:tcW w:w="2890"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730,421,409</w:t>
            </w:r>
          </w:p>
        </w:tc>
        <w:tc>
          <w:tcPr>
            <w:tcW w:w="1975" w:type="dxa"/>
            <w:tcBorders>
              <w:top w:val="nil"/>
              <w:left w:val="single" w:sz="4" w:space="0" w:color="auto"/>
              <w:bottom w:val="single" w:sz="4" w:space="0" w:color="auto"/>
              <w:right w:val="single" w:sz="4" w:space="0" w:color="auto"/>
            </w:tcBorders>
            <w:shd w:val="clear" w:color="auto" w:fill="auto"/>
            <w:noWrap/>
            <w:vAlign w:val="bottom"/>
            <w:hideMark/>
          </w:tcPr>
          <w:p w:rsidR="00870CEF" w:rsidRPr="00870CEF" w:rsidRDefault="00870CEF" w:rsidP="000A61AA">
            <w:pPr>
              <w:bidi w:val="0"/>
              <w:spacing w:after="0" w:line="240" w:lineRule="auto"/>
              <w:jc w:val="center"/>
              <w:rPr>
                <w:rFonts w:ascii="David" w:eastAsia="Times New Roman" w:hAnsi="David" w:cs="David"/>
                <w:b/>
                <w:bCs/>
                <w:color w:val="000000"/>
              </w:rPr>
            </w:pPr>
            <w:r w:rsidRPr="00870CEF">
              <w:rPr>
                <w:rFonts w:ascii="David" w:eastAsia="Times New Roman" w:hAnsi="David" w:cs="David"/>
                <w:b/>
                <w:bCs/>
                <w:color w:val="000000"/>
              </w:rPr>
              <w:t>804,925,795</w:t>
            </w:r>
          </w:p>
        </w:tc>
      </w:tr>
    </w:tbl>
    <w:p w:rsidR="00EF44E6" w:rsidRDefault="000F6EE1" w:rsidP="00C860C3">
      <w:pPr>
        <w:pStyle w:val="a7"/>
        <w:numPr>
          <w:ilvl w:val="0"/>
          <w:numId w:val="5"/>
        </w:numPr>
        <w:spacing w:after="0" w:line="360" w:lineRule="auto"/>
        <w:contextualSpacing w:val="0"/>
        <w:jc w:val="both"/>
        <w:rPr>
          <w:rFonts w:ascii="David" w:hAnsi="David" w:cs="David"/>
          <w:sz w:val="24"/>
          <w:szCs w:val="24"/>
        </w:rPr>
      </w:pPr>
      <w:r>
        <w:rPr>
          <w:rFonts w:ascii="David" w:hAnsi="David" w:cs="David"/>
          <w:sz w:val="24"/>
          <w:szCs w:val="24"/>
          <w:rtl/>
        </w:rPr>
        <w:br/>
      </w:r>
      <w:r w:rsidR="00870CEF">
        <w:rPr>
          <w:rFonts w:ascii="David" w:hAnsi="David" w:cs="David"/>
          <w:sz w:val="24"/>
          <w:szCs w:val="24"/>
          <w:rtl/>
        </w:rPr>
        <w:br/>
      </w: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870CEF" w:rsidRDefault="00870CEF" w:rsidP="00870CEF">
      <w:pPr>
        <w:spacing w:after="0" w:line="360" w:lineRule="auto"/>
        <w:jc w:val="both"/>
        <w:rPr>
          <w:rFonts w:ascii="David" w:hAnsi="David" w:cs="David"/>
          <w:sz w:val="24"/>
          <w:szCs w:val="24"/>
          <w:rtl/>
        </w:rPr>
      </w:pPr>
    </w:p>
    <w:p w:rsidR="000463DE" w:rsidRPr="000F6EE1" w:rsidRDefault="000463DE" w:rsidP="00814E16">
      <w:pPr>
        <w:pStyle w:val="a7"/>
        <w:numPr>
          <w:ilvl w:val="0"/>
          <w:numId w:val="5"/>
        </w:numPr>
        <w:spacing w:after="0" w:line="276" w:lineRule="auto"/>
        <w:contextualSpacing w:val="0"/>
        <w:jc w:val="both"/>
        <w:rPr>
          <w:rFonts w:ascii="David" w:hAnsi="David" w:cs="David"/>
          <w:sz w:val="24"/>
          <w:szCs w:val="24"/>
        </w:rPr>
      </w:pPr>
      <w:r w:rsidRPr="000463DE">
        <w:rPr>
          <w:rFonts w:ascii="David" w:hAnsi="David" w:cs="David"/>
          <w:sz w:val="24"/>
          <w:szCs w:val="24"/>
          <w:rtl/>
        </w:rPr>
        <w:t xml:space="preserve">לא ניתן להפיק המידע </w:t>
      </w:r>
      <w:r w:rsidR="00B53BE1">
        <w:rPr>
          <w:rFonts w:ascii="David" w:hAnsi="David" w:cs="David" w:hint="cs"/>
          <w:sz w:val="24"/>
          <w:szCs w:val="24"/>
          <w:rtl/>
        </w:rPr>
        <w:t xml:space="preserve">המבוקש </w:t>
      </w:r>
      <w:r w:rsidRPr="000463DE">
        <w:rPr>
          <w:rFonts w:ascii="David" w:hAnsi="David" w:cs="David"/>
          <w:sz w:val="24"/>
          <w:szCs w:val="24"/>
          <w:rtl/>
        </w:rPr>
        <w:t xml:space="preserve">אודות התיקים בהם הוטל עיקול </w:t>
      </w:r>
      <w:r>
        <w:rPr>
          <w:rFonts w:ascii="David" w:hAnsi="David" w:cs="David" w:hint="cs"/>
          <w:sz w:val="24"/>
          <w:szCs w:val="24"/>
          <w:rtl/>
        </w:rPr>
        <w:t xml:space="preserve">על </w:t>
      </w:r>
      <w:r w:rsidR="00B53BE1">
        <w:rPr>
          <w:rFonts w:ascii="David" w:hAnsi="David" w:cs="David" w:hint="cs"/>
          <w:sz w:val="24"/>
          <w:szCs w:val="24"/>
          <w:rtl/>
        </w:rPr>
        <w:t>חשבון</w:t>
      </w:r>
      <w:r>
        <w:rPr>
          <w:rFonts w:ascii="David" w:hAnsi="David" w:cs="David" w:hint="cs"/>
          <w:sz w:val="24"/>
          <w:szCs w:val="24"/>
          <w:rtl/>
        </w:rPr>
        <w:t xml:space="preserve"> הקנטינה מאחר </w:t>
      </w:r>
      <w:r w:rsidR="00B53BE1">
        <w:rPr>
          <w:rFonts w:ascii="David" w:hAnsi="David" w:cs="David" w:hint="cs"/>
          <w:sz w:val="24"/>
          <w:szCs w:val="24"/>
          <w:rtl/>
        </w:rPr>
        <w:t>ש</w:t>
      </w:r>
      <w:r>
        <w:rPr>
          <w:rFonts w:ascii="David" w:hAnsi="David" w:cs="David" w:hint="cs"/>
          <w:sz w:val="24"/>
          <w:szCs w:val="24"/>
          <w:rtl/>
        </w:rPr>
        <w:t xml:space="preserve">במערכת </w:t>
      </w:r>
      <w:r w:rsidR="00FE49BF">
        <w:rPr>
          <w:rFonts w:ascii="David" w:hAnsi="David" w:cs="David" w:hint="cs"/>
          <w:sz w:val="24"/>
          <w:szCs w:val="24"/>
          <w:rtl/>
        </w:rPr>
        <w:t xml:space="preserve">הממוחשבת של </w:t>
      </w:r>
      <w:r w:rsidR="00B53BE1">
        <w:rPr>
          <w:rFonts w:ascii="David" w:hAnsi="David" w:cs="David" w:hint="cs"/>
          <w:sz w:val="24"/>
          <w:szCs w:val="24"/>
          <w:rtl/>
        </w:rPr>
        <w:t xml:space="preserve">המרכז </w:t>
      </w:r>
      <w:r>
        <w:rPr>
          <w:rFonts w:ascii="David" w:hAnsi="David" w:cs="David" w:hint="cs"/>
          <w:sz w:val="24"/>
          <w:szCs w:val="24"/>
          <w:rtl/>
        </w:rPr>
        <w:t>יש חיווי על פעולת עיקול אך ללא הפירוט של הגורם בו הוטל העיקול</w:t>
      </w:r>
      <w:r w:rsidR="00FE49BF">
        <w:rPr>
          <w:rFonts w:ascii="David" w:hAnsi="David" w:cs="David" w:hint="cs"/>
          <w:sz w:val="24"/>
          <w:szCs w:val="24"/>
          <w:rtl/>
        </w:rPr>
        <w:t xml:space="preserve">, היינו, </w:t>
      </w:r>
      <w:r w:rsidR="00ED2C68">
        <w:rPr>
          <w:rFonts w:ascii="David" w:hAnsi="David" w:cs="David" w:hint="cs"/>
          <w:sz w:val="24"/>
          <w:szCs w:val="24"/>
          <w:rtl/>
        </w:rPr>
        <w:t xml:space="preserve">אין חיווי כי מדובר ב"עיקול על </w:t>
      </w:r>
      <w:r w:rsidR="00FE49BF">
        <w:rPr>
          <w:rFonts w:ascii="David" w:hAnsi="David" w:cs="David" w:hint="cs"/>
          <w:sz w:val="24"/>
          <w:szCs w:val="24"/>
          <w:rtl/>
        </w:rPr>
        <w:t>חשבון קנטינה</w:t>
      </w:r>
      <w:r w:rsidR="00ED2C68">
        <w:rPr>
          <w:rFonts w:ascii="David" w:hAnsi="David" w:cs="David" w:hint="cs"/>
          <w:sz w:val="24"/>
          <w:szCs w:val="24"/>
          <w:rtl/>
        </w:rPr>
        <w:t>"</w:t>
      </w:r>
      <w:r>
        <w:rPr>
          <w:rFonts w:ascii="David" w:hAnsi="David" w:cs="David" w:hint="cs"/>
          <w:sz w:val="24"/>
          <w:szCs w:val="24"/>
          <w:rtl/>
        </w:rPr>
        <w:t>. מידע מסוג זה מצריך עיון בכל תיק בו הוטל עיקול ולפיכך לא אוכל לספק את המידע בשל הקצאת משאבים בלתי סבירה.</w:t>
      </w:r>
    </w:p>
    <w:p w:rsidR="00EF44E6" w:rsidRPr="000463DE" w:rsidRDefault="00EF44E6" w:rsidP="00814E16">
      <w:pPr>
        <w:pStyle w:val="a7"/>
        <w:numPr>
          <w:ilvl w:val="0"/>
          <w:numId w:val="5"/>
        </w:numPr>
        <w:spacing w:after="0" w:line="276" w:lineRule="auto"/>
        <w:contextualSpacing w:val="0"/>
        <w:jc w:val="both"/>
        <w:rPr>
          <w:rFonts w:ascii="David" w:hAnsi="David" w:cs="David"/>
          <w:sz w:val="24"/>
          <w:szCs w:val="24"/>
        </w:rPr>
      </w:pPr>
      <w:r w:rsidRPr="000463DE">
        <w:rPr>
          <w:rFonts w:ascii="David" w:hAnsi="David" w:cs="David"/>
          <w:sz w:val="24"/>
          <w:szCs w:val="24"/>
          <w:rtl/>
        </w:rPr>
        <w:t xml:space="preserve">אין </w:t>
      </w:r>
      <w:r w:rsidR="000463DE" w:rsidRPr="000463DE">
        <w:rPr>
          <w:rFonts w:ascii="David" w:hAnsi="David" w:cs="David" w:hint="cs"/>
          <w:sz w:val="24"/>
          <w:szCs w:val="24"/>
          <w:rtl/>
        </w:rPr>
        <w:t xml:space="preserve">בידינו </w:t>
      </w:r>
      <w:r w:rsidRPr="000463DE">
        <w:rPr>
          <w:rFonts w:ascii="David" w:hAnsi="David" w:cs="David"/>
          <w:sz w:val="24"/>
          <w:szCs w:val="24"/>
          <w:rtl/>
        </w:rPr>
        <w:t xml:space="preserve">מידע לגבי הסכומים המותרים לעיקול בכספי קנטינה ובעניין זה יש לפנות לשב"ס שהוא הגוף המחזיק והמנהל את חשבון הקנטינה עבור האסיר. המרכז </w:t>
      </w:r>
      <w:r w:rsidR="000463DE">
        <w:rPr>
          <w:rFonts w:ascii="David" w:hAnsi="David" w:cs="David" w:hint="cs"/>
          <w:sz w:val="24"/>
          <w:szCs w:val="24"/>
          <w:rtl/>
        </w:rPr>
        <w:t xml:space="preserve">לגביית קנסות </w:t>
      </w:r>
      <w:r w:rsidRPr="000463DE">
        <w:rPr>
          <w:rFonts w:ascii="David" w:hAnsi="David" w:cs="David"/>
          <w:sz w:val="24"/>
          <w:szCs w:val="24"/>
          <w:rtl/>
        </w:rPr>
        <w:t xml:space="preserve">מוסמך להטיל עיקולים </w:t>
      </w:r>
      <w:r w:rsidR="000463DE">
        <w:rPr>
          <w:rFonts w:ascii="David" w:hAnsi="David" w:cs="David" w:hint="cs"/>
          <w:sz w:val="24"/>
          <w:szCs w:val="24"/>
          <w:rtl/>
        </w:rPr>
        <w:t xml:space="preserve">ואינו </w:t>
      </w:r>
      <w:r w:rsidRPr="000463DE">
        <w:rPr>
          <w:rFonts w:ascii="David" w:hAnsi="David" w:cs="David"/>
          <w:sz w:val="24"/>
          <w:szCs w:val="24"/>
          <w:rtl/>
        </w:rPr>
        <w:t xml:space="preserve"> קובע </w:t>
      </w:r>
      <w:r w:rsidR="000463DE">
        <w:rPr>
          <w:rFonts w:ascii="David" w:hAnsi="David" w:cs="David" w:hint="cs"/>
          <w:sz w:val="24"/>
          <w:szCs w:val="24"/>
          <w:rtl/>
        </w:rPr>
        <w:t>את</w:t>
      </w:r>
      <w:r w:rsidRPr="000463DE">
        <w:rPr>
          <w:rFonts w:ascii="David" w:hAnsi="David" w:cs="David"/>
          <w:sz w:val="24"/>
          <w:szCs w:val="24"/>
          <w:rtl/>
        </w:rPr>
        <w:t xml:space="preserve"> הסכומים שצריכים להיות מועברים אליו. </w:t>
      </w:r>
      <w:r w:rsidR="000463DE">
        <w:rPr>
          <w:rFonts w:ascii="David" w:hAnsi="David" w:cs="David" w:hint="cs"/>
          <w:sz w:val="24"/>
          <w:szCs w:val="24"/>
          <w:rtl/>
        </w:rPr>
        <w:t xml:space="preserve">הגופים </w:t>
      </w:r>
      <w:r w:rsidRPr="000463DE">
        <w:rPr>
          <w:rFonts w:ascii="David" w:hAnsi="David" w:cs="David"/>
          <w:sz w:val="24"/>
          <w:szCs w:val="24"/>
          <w:rtl/>
        </w:rPr>
        <w:t xml:space="preserve"> </w:t>
      </w:r>
      <w:r w:rsidR="000463DE">
        <w:rPr>
          <w:rFonts w:ascii="David" w:hAnsi="David" w:cs="David" w:hint="cs"/>
          <w:sz w:val="24"/>
          <w:szCs w:val="24"/>
          <w:rtl/>
        </w:rPr>
        <w:t xml:space="preserve">המקבלים </w:t>
      </w:r>
      <w:r w:rsidRPr="000463DE">
        <w:rPr>
          <w:rFonts w:ascii="David" w:hAnsi="David" w:cs="David"/>
          <w:sz w:val="24"/>
          <w:szCs w:val="24"/>
          <w:rtl/>
        </w:rPr>
        <w:t xml:space="preserve"> עיקול צרי</w:t>
      </w:r>
      <w:r w:rsidR="000463DE">
        <w:rPr>
          <w:rFonts w:ascii="David" w:hAnsi="David" w:cs="David" w:hint="cs"/>
          <w:sz w:val="24"/>
          <w:szCs w:val="24"/>
          <w:rtl/>
        </w:rPr>
        <w:t>כים</w:t>
      </w:r>
      <w:r w:rsidRPr="000463DE">
        <w:rPr>
          <w:rFonts w:ascii="David" w:hAnsi="David" w:cs="David"/>
          <w:sz w:val="24"/>
          <w:szCs w:val="24"/>
          <w:rtl/>
        </w:rPr>
        <w:t xml:space="preserve"> להעביר את הכספים בהתאם להוראות הדין החלות עלי</w:t>
      </w:r>
      <w:r w:rsidR="000463DE">
        <w:rPr>
          <w:rFonts w:ascii="David" w:hAnsi="David" w:cs="David" w:hint="cs"/>
          <w:sz w:val="24"/>
          <w:szCs w:val="24"/>
          <w:rtl/>
        </w:rPr>
        <w:t>הם</w:t>
      </w:r>
      <w:r w:rsidRPr="000463DE">
        <w:rPr>
          <w:rFonts w:ascii="David" w:hAnsi="David" w:cs="David"/>
          <w:sz w:val="24"/>
          <w:szCs w:val="24"/>
          <w:rtl/>
        </w:rPr>
        <w:t xml:space="preserve">. </w:t>
      </w:r>
    </w:p>
    <w:p w:rsidR="00285C91" w:rsidRDefault="00EF44E6" w:rsidP="00814E16">
      <w:pPr>
        <w:pStyle w:val="a7"/>
        <w:numPr>
          <w:ilvl w:val="0"/>
          <w:numId w:val="5"/>
        </w:numPr>
        <w:spacing w:after="0" w:line="276" w:lineRule="auto"/>
        <w:contextualSpacing w:val="0"/>
        <w:jc w:val="both"/>
        <w:rPr>
          <w:rFonts w:ascii="David" w:hAnsi="David" w:cs="David"/>
          <w:sz w:val="24"/>
          <w:szCs w:val="24"/>
        </w:rPr>
      </w:pPr>
      <w:r w:rsidRPr="000F6EE1">
        <w:rPr>
          <w:rFonts w:ascii="David" w:hAnsi="David" w:cs="David"/>
          <w:sz w:val="24"/>
          <w:szCs w:val="24"/>
          <w:rtl/>
        </w:rPr>
        <w:t>המרכז נוקט בהליכי עיקול קנטינה כחלק מהליכי</w:t>
      </w:r>
      <w:r w:rsidR="00ED2C68">
        <w:rPr>
          <w:rFonts w:ascii="David" w:hAnsi="David" w:cs="David" w:hint="cs"/>
          <w:sz w:val="24"/>
          <w:szCs w:val="24"/>
          <w:rtl/>
        </w:rPr>
        <w:t xml:space="preserve"> גביה המבוצעים כלפי חייבים במרכז. המדובר בהליכי</w:t>
      </w:r>
      <w:r w:rsidR="00ED2C68" w:rsidRPr="000F6EE1">
        <w:rPr>
          <w:rFonts w:ascii="David" w:hAnsi="David" w:cs="David" w:hint="cs"/>
          <w:sz w:val="24"/>
          <w:szCs w:val="24"/>
          <w:rtl/>
        </w:rPr>
        <w:t xml:space="preserve"> עיקו</w:t>
      </w:r>
      <w:r w:rsidR="00ED2C68" w:rsidRPr="000F6EE1">
        <w:rPr>
          <w:rFonts w:ascii="David" w:hAnsi="David" w:cs="David" w:hint="eastAsia"/>
          <w:sz w:val="24"/>
          <w:szCs w:val="24"/>
          <w:rtl/>
        </w:rPr>
        <w:t>ל</w:t>
      </w:r>
      <w:r w:rsidRPr="000F6EE1">
        <w:rPr>
          <w:rFonts w:ascii="David" w:hAnsi="David" w:cs="David"/>
          <w:sz w:val="24"/>
          <w:szCs w:val="24"/>
          <w:rtl/>
        </w:rPr>
        <w:t xml:space="preserve"> רגילים. היינו, אם נמסרו </w:t>
      </w:r>
      <w:r w:rsidR="00ED2C68">
        <w:rPr>
          <w:rFonts w:ascii="David" w:hAnsi="David" w:cs="David" w:hint="cs"/>
          <w:sz w:val="24"/>
          <w:szCs w:val="24"/>
          <w:rtl/>
        </w:rPr>
        <w:t xml:space="preserve">כדין </w:t>
      </w:r>
      <w:r w:rsidRPr="000F6EE1">
        <w:rPr>
          <w:rFonts w:ascii="David" w:hAnsi="David" w:cs="David"/>
          <w:sz w:val="24"/>
          <w:szCs w:val="24"/>
          <w:rtl/>
        </w:rPr>
        <w:t>שתי דרישות לתשלום בתיק ניתן לשלוח עיקולי צד ג' בכל מקום, לרבות ב</w:t>
      </w:r>
      <w:r w:rsidR="00ED2C68">
        <w:rPr>
          <w:rFonts w:ascii="David" w:hAnsi="David" w:cs="David" w:hint="cs"/>
          <w:sz w:val="24"/>
          <w:szCs w:val="24"/>
          <w:rtl/>
        </w:rPr>
        <w:t xml:space="preserve">חשבון </w:t>
      </w:r>
      <w:r w:rsidRPr="000F6EE1">
        <w:rPr>
          <w:rFonts w:ascii="David" w:hAnsi="David" w:cs="David"/>
          <w:sz w:val="24"/>
          <w:szCs w:val="24"/>
          <w:rtl/>
        </w:rPr>
        <w:t>קנטינה</w:t>
      </w:r>
      <w:r w:rsidR="00ED2C68">
        <w:rPr>
          <w:rFonts w:ascii="David" w:hAnsi="David" w:cs="David" w:hint="cs"/>
          <w:sz w:val="24"/>
          <w:szCs w:val="24"/>
          <w:rtl/>
        </w:rPr>
        <w:t>,</w:t>
      </w:r>
      <w:r w:rsidRPr="000F6EE1">
        <w:rPr>
          <w:rFonts w:ascii="David" w:hAnsi="David" w:cs="David"/>
          <w:sz w:val="24"/>
          <w:szCs w:val="24"/>
          <w:rtl/>
        </w:rPr>
        <w:t xml:space="preserve"> ככל שידוע כי החייב אסיר. </w:t>
      </w:r>
    </w:p>
    <w:p w:rsidR="00EF44E6" w:rsidRPr="000F6EE1" w:rsidRDefault="00285C91" w:rsidP="00814E16">
      <w:pPr>
        <w:pStyle w:val="a7"/>
        <w:numPr>
          <w:ilvl w:val="0"/>
          <w:numId w:val="5"/>
        </w:numPr>
        <w:spacing w:after="0" w:line="276" w:lineRule="auto"/>
        <w:contextualSpacing w:val="0"/>
        <w:jc w:val="both"/>
        <w:rPr>
          <w:rFonts w:ascii="David" w:hAnsi="David" w:cs="David"/>
          <w:sz w:val="24"/>
          <w:szCs w:val="24"/>
          <w:rtl/>
        </w:rPr>
      </w:pPr>
      <w:r>
        <w:rPr>
          <w:rFonts w:ascii="David" w:hAnsi="David" w:cs="David" w:hint="cs"/>
          <w:sz w:val="24"/>
          <w:szCs w:val="24"/>
          <w:rtl/>
        </w:rPr>
        <w:t xml:space="preserve">יובהר כי המרכז לגביית קנסות </w:t>
      </w:r>
      <w:r w:rsidR="00E57BF8">
        <w:rPr>
          <w:rFonts w:ascii="David" w:hAnsi="David" w:cs="David" w:hint="cs"/>
          <w:sz w:val="24"/>
          <w:szCs w:val="24"/>
          <w:rtl/>
        </w:rPr>
        <w:t xml:space="preserve">אגרות והוצאות </w:t>
      </w:r>
      <w:r>
        <w:rPr>
          <w:rFonts w:ascii="David" w:hAnsi="David" w:cs="David" w:hint="cs"/>
          <w:sz w:val="24"/>
          <w:szCs w:val="24"/>
          <w:rtl/>
        </w:rPr>
        <w:t xml:space="preserve">פועל על מנת לאכוף החלטות שיפוטיות ומשמש כזרוע מבצעת </w:t>
      </w:r>
      <w:r w:rsidR="00E57BF8">
        <w:rPr>
          <w:rFonts w:ascii="David" w:hAnsi="David" w:cs="David" w:hint="cs"/>
          <w:sz w:val="24"/>
          <w:szCs w:val="24"/>
          <w:rtl/>
        </w:rPr>
        <w:t xml:space="preserve">אך הוא אינו </w:t>
      </w:r>
      <w:r>
        <w:rPr>
          <w:rFonts w:ascii="David" w:hAnsi="David" w:cs="David" w:hint="cs"/>
          <w:sz w:val="24"/>
          <w:szCs w:val="24"/>
          <w:rtl/>
        </w:rPr>
        <w:t xml:space="preserve"> הגורם המטיל את הקנסות. </w:t>
      </w:r>
    </w:p>
    <w:p w:rsidR="005454AC" w:rsidRPr="00D314BC" w:rsidRDefault="005454AC" w:rsidP="005454AC">
      <w:pPr>
        <w:rPr>
          <w:sz w:val="24"/>
          <w:szCs w:val="24"/>
        </w:rPr>
      </w:pPr>
    </w:p>
    <w:p w:rsidR="005454AC" w:rsidRPr="00D314BC" w:rsidRDefault="005454AC" w:rsidP="005454AC">
      <w:pPr>
        <w:jc w:val="center"/>
        <w:rPr>
          <w:rFonts w:ascii="David" w:hAnsi="David" w:cs="David"/>
          <w:b/>
          <w:bCs/>
          <w:sz w:val="24"/>
          <w:szCs w:val="24"/>
          <w:rtl/>
        </w:rPr>
      </w:pPr>
      <w:r w:rsidRPr="00D314BC">
        <w:rPr>
          <w:rFonts w:ascii="David" w:hAnsi="David" w:cs="David"/>
          <w:b/>
          <w:bCs/>
          <w:sz w:val="24"/>
          <w:szCs w:val="24"/>
          <w:rtl/>
        </w:rPr>
        <w:t>בברכה,</w:t>
      </w:r>
    </w:p>
    <w:p w:rsidR="00CD1F87" w:rsidRPr="00814E16" w:rsidRDefault="005454AC" w:rsidP="00814E16">
      <w:pPr>
        <w:jc w:val="center"/>
        <w:rPr>
          <w:rFonts w:ascii="David" w:hAnsi="David" w:cs="David"/>
          <w:b/>
          <w:bCs/>
          <w:sz w:val="24"/>
          <w:szCs w:val="24"/>
          <w:rtl/>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sectPr w:rsidR="00CD1F87" w:rsidRPr="00814E16" w:rsidSect="002E67B2">
      <w:headerReference w:type="default" r:id="rId8"/>
      <w:footerReference w:type="default" r:id="rId9"/>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2D7" w:rsidRDefault="003342D7" w:rsidP="00CD1F87">
      <w:pPr>
        <w:spacing w:after="0" w:line="240" w:lineRule="auto"/>
      </w:pPr>
      <w:r>
        <w:separator/>
      </w:r>
    </w:p>
  </w:endnote>
  <w:endnote w:type="continuationSeparator" w:id="0">
    <w:p w:rsidR="003342D7" w:rsidRDefault="003342D7"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D7" w:rsidRPr="00CD1F87" w:rsidRDefault="003342D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CAFC20"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3342D7" w:rsidRDefault="003342D7" w:rsidP="00CD1F87">
    <w:pPr>
      <w:pStyle w:val="a5"/>
      <w:rPr>
        <w:rtl/>
        <w:cs/>
      </w:rPr>
    </w:pPr>
  </w:p>
  <w:p w:rsidR="003342D7" w:rsidRDefault="003342D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2D7" w:rsidRDefault="003342D7" w:rsidP="00CD1F87">
      <w:pPr>
        <w:spacing w:after="0" w:line="240" w:lineRule="auto"/>
      </w:pPr>
      <w:r>
        <w:separator/>
      </w:r>
    </w:p>
  </w:footnote>
  <w:footnote w:type="continuationSeparator" w:id="0">
    <w:p w:rsidR="003342D7" w:rsidRDefault="003342D7" w:rsidP="00CD1F87">
      <w:pPr>
        <w:spacing w:after="0" w:line="240" w:lineRule="auto"/>
      </w:pPr>
      <w:r>
        <w:continuationSeparator/>
      </w:r>
    </w:p>
  </w:footnote>
  <w:footnote w:id="1">
    <w:p w:rsidR="000A61AA" w:rsidRPr="00870CEF" w:rsidRDefault="000A61AA" w:rsidP="000A61AA">
      <w:pPr>
        <w:spacing w:after="0" w:line="360" w:lineRule="auto"/>
        <w:jc w:val="both"/>
        <w:rPr>
          <w:rFonts w:ascii="David" w:hAnsi="David" w:cs="David"/>
          <w:sz w:val="24"/>
          <w:szCs w:val="24"/>
        </w:rPr>
      </w:pPr>
      <w:r>
        <w:rPr>
          <w:rStyle w:val="ac"/>
        </w:rPr>
        <w:footnoteRef/>
      </w:r>
      <w:r>
        <w:rPr>
          <w:rtl/>
        </w:rPr>
        <w:t xml:space="preserve"> </w:t>
      </w:r>
      <w:r>
        <w:rPr>
          <w:rFonts w:ascii="David" w:hAnsi="David" w:cs="David" w:hint="cs"/>
          <w:sz w:val="24"/>
          <w:szCs w:val="24"/>
          <w:rtl/>
        </w:rPr>
        <w:t>יובהר כי אין אפשרות להנפיק מידע לגבי גביה מאסירים  ועל כן המידע בטבלה זו הוא הגביה בכלל התיקים מהסוג שהתבקש בפניה.</w:t>
      </w:r>
    </w:p>
    <w:p w:rsidR="000A61AA" w:rsidRPr="000A61AA" w:rsidRDefault="000A61AA">
      <w:pPr>
        <w:pStyle w:val="aa"/>
        <w:rPr>
          <w:rt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42D7" w:rsidRDefault="003342D7"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3342D7" w:rsidRDefault="003342D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3342D7" w:rsidRPr="00CD1F87" w:rsidRDefault="003342D7"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rsidR="003342D7" w:rsidRPr="00CD1F87" w:rsidRDefault="003342D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3342D7" w:rsidRDefault="003342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5E5E9C"/>
    <w:multiLevelType w:val="hybridMultilevel"/>
    <w:tmpl w:val="9F5614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D87709"/>
    <w:multiLevelType w:val="hybridMultilevel"/>
    <w:tmpl w:val="36A0FC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1"/>
  </w:num>
  <w:num w:numId="4">
    <w:abstractNumId w:val="4"/>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07AAA"/>
    <w:rsid w:val="000463DE"/>
    <w:rsid w:val="000A61AA"/>
    <w:rsid w:val="000B4D95"/>
    <w:rsid w:val="000E6704"/>
    <w:rsid w:val="000F6EE1"/>
    <w:rsid w:val="0016469E"/>
    <w:rsid w:val="0019064E"/>
    <w:rsid w:val="001F1DF1"/>
    <w:rsid w:val="00263871"/>
    <w:rsid w:val="00285C91"/>
    <w:rsid w:val="002B1B2F"/>
    <w:rsid w:val="002D064C"/>
    <w:rsid w:val="002E67B2"/>
    <w:rsid w:val="00306634"/>
    <w:rsid w:val="003342D7"/>
    <w:rsid w:val="003441E6"/>
    <w:rsid w:val="00395912"/>
    <w:rsid w:val="005454AC"/>
    <w:rsid w:val="005E5689"/>
    <w:rsid w:val="006121A7"/>
    <w:rsid w:val="006C117B"/>
    <w:rsid w:val="006E6D8F"/>
    <w:rsid w:val="00700D8B"/>
    <w:rsid w:val="00784CD6"/>
    <w:rsid w:val="00814E16"/>
    <w:rsid w:val="00870CEF"/>
    <w:rsid w:val="009809BF"/>
    <w:rsid w:val="009A4E21"/>
    <w:rsid w:val="00A1501D"/>
    <w:rsid w:val="00A2087B"/>
    <w:rsid w:val="00A542FB"/>
    <w:rsid w:val="00AD213C"/>
    <w:rsid w:val="00B53BE1"/>
    <w:rsid w:val="00C225D4"/>
    <w:rsid w:val="00C4736F"/>
    <w:rsid w:val="00C520FF"/>
    <w:rsid w:val="00C63879"/>
    <w:rsid w:val="00C860C3"/>
    <w:rsid w:val="00CD1F87"/>
    <w:rsid w:val="00D3383B"/>
    <w:rsid w:val="00DE28A7"/>
    <w:rsid w:val="00E51E91"/>
    <w:rsid w:val="00E57BF8"/>
    <w:rsid w:val="00EA30A9"/>
    <w:rsid w:val="00EC6B11"/>
    <w:rsid w:val="00ED2C68"/>
    <w:rsid w:val="00ED4ACE"/>
    <w:rsid w:val="00EF44E6"/>
    <w:rsid w:val="00FE49B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528B17"/>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paragraph" w:styleId="a8">
    <w:name w:val="Balloon Text"/>
    <w:basedOn w:val="a"/>
    <w:link w:val="a9"/>
    <w:uiPriority w:val="99"/>
    <w:semiHidden/>
    <w:unhideWhenUsed/>
    <w:rsid w:val="003342D7"/>
    <w:pPr>
      <w:spacing w:after="0" w:line="240" w:lineRule="auto"/>
    </w:pPr>
    <w:rPr>
      <w:rFonts w:ascii="Tahoma" w:hAnsi="Tahoma" w:cs="Tahoma"/>
      <w:sz w:val="18"/>
      <w:szCs w:val="18"/>
    </w:rPr>
  </w:style>
  <w:style w:type="character" w:customStyle="1" w:styleId="a9">
    <w:name w:val="טקסט בלונים תו"/>
    <w:basedOn w:val="a0"/>
    <w:link w:val="a8"/>
    <w:uiPriority w:val="99"/>
    <w:semiHidden/>
    <w:rsid w:val="003342D7"/>
    <w:rPr>
      <w:rFonts w:ascii="Tahoma" w:eastAsiaTheme="minorEastAsia" w:hAnsi="Tahoma" w:cs="Tahoma"/>
      <w:sz w:val="18"/>
      <w:szCs w:val="18"/>
    </w:rPr>
  </w:style>
  <w:style w:type="paragraph" w:styleId="aa">
    <w:name w:val="footnote text"/>
    <w:basedOn w:val="a"/>
    <w:link w:val="ab"/>
    <w:uiPriority w:val="99"/>
    <w:semiHidden/>
    <w:unhideWhenUsed/>
    <w:rsid w:val="000A61AA"/>
    <w:pPr>
      <w:spacing w:after="0" w:line="240" w:lineRule="auto"/>
    </w:pPr>
    <w:rPr>
      <w:sz w:val="20"/>
      <w:szCs w:val="20"/>
    </w:rPr>
  </w:style>
  <w:style w:type="character" w:customStyle="1" w:styleId="ab">
    <w:name w:val="טקסט הערת שוליים תו"/>
    <w:basedOn w:val="a0"/>
    <w:link w:val="aa"/>
    <w:uiPriority w:val="99"/>
    <w:semiHidden/>
    <w:rsid w:val="000A61AA"/>
    <w:rPr>
      <w:rFonts w:eastAsiaTheme="minorEastAsia"/>
      <w:sz w:val="20"/>
      <w:szCs w:val="20"/>
    </w:rPr>
  </w:style>
  <w:style w:type="character" w:styleId="ac">
    <w:name w:val="footnote reference"/>
    <w:basedOn w:val="a0"/>
    <w:uiPriority w:val="99"/>
    <w:semiHidden/>
    <w:unhideWhenUsed/>
    <w:rsid w:val="000A61A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7352">
      <w:bodyDiv w:val="1"/>
      <w:marLeft w:val="0"/>
      <w:marRight w:val="0"/>
      <w:marTop w:val="0"/>
      <w:marBottom w:val="0"/>
      <w:divBdr>
        <w:top w:val="none" w:sz="0" w:space="0" w:color="auto"/>
        <w:left w:val="none" w:sz="0" w:space="0" w:color="auto"/>
        <w:bottom w:val="none" w:sz="0" w:space="0" w:color="auto"/>
        <w:right w:val="none" w:sz="0" w:space="0" w:color="auto"/>
      </w:divBdr>
    </w:div>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953750754">
      <w:bodyDiv w:val="1"/>
      <w:marLeft w:val="0"/>
      <w:marRight w:val="0"/>
      <w:marTop w:val="0"/>
      <w:marBottom w:val="0"/>
      <w:divBdr>
        <w:top w:val="none" w:sz="0" w:space="0" w:color="auto"/>
        <w:left w:val="none" w:sz="0" w:space="0" w:color="auto"/>
        <w:bottom w:val="none" w:sz="0" w:space="0" w:color="auto"/>
        <w:right w:val="none" w:sz="0" w:space="0" w:color="auto"/>
      </w:divBdr>
    </w:div>
    <w:div w:id="1378163183">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 w:id="177605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D684A293296422AB17EE059154A2B21"/>
        <w:category>
          <w:name w:val="כללי"/>
          <w:gallery w:val="placeholder"/>
        </w:category>
        <w:types>
          <w:type w:val="bbPlcHdr"/>
        </w:types>
        <w:behaviors>
          <w:behavior w:val="content"/>
        </w:behaviors>
        <w:guid w:val="{7904B878-F0DD-42F4-BF20-5479B289A8A0}"/>
      </w:docPartPr>
      <w:docPartBody>
        <w:p w:rsidR="001F62AD" w:rsidRDefault="00D64D9D" w:rsidP="00D64D9D">
          <w:pPr>
            <w:pStyle w:val="3D684A293296422AB17EE059154A2B21"/>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1F62AD"/>
    <w:rsid w:val="002D650A"/>
    <w:rsid w:val="00782ACA"/>
    <w:rsid w:val="00D64D9D"/>
    <w:rsid w:val="00F730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D64D9D"/>
    <w:rPr>
      <w:color w:val="808080"/>
    </w:rPr>
  </w:style>
  <w:style w:type="paragraph" w:customStyle="1" w:styleId="A9D6F5BDA0E743D39B66E88C84E159A2">
    <w:name w:val="A9D6F5BDA0E743D39B66E88C84E159A2"/>
    <w:rsid w:val="002D650A"/>
    <w:pPr>
      <w:bidi/>
    </w:pPr>
  </w:style>
  <w:style w:type="paragraph" w:customStyle="1" w:styleId="3D684A293296422AB17EE059154A2B21">
    <w:name w:val="3D684A293296422AB17EE059154A2B21"/>
    <w:rsid w:val="00D64D9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42E9B-09D2-4D02-B98A-8808C4510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578</Words>
  <Characters>2893</Characters>
  <Application>Microsoft Office Word</Application>
  <DocSecurity>0</DocSecurity>
  <Lines>24</Lines>
  <Paragraphs>6</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cp:lastPrinted>2019-07-22T07:46:00Z</cp:lastPrinted>
  <dcterms:created xsi:type="dcterms:W3CDTF">2019-07-22T07:49:00Z</dcterms:created>
  <dcterms:modified xsi:type="dcterms:W3CDTF">2019-07-22T07:49:00Z</dcterms:modified>
</cp:coreProperties>
</file>