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8DF" w:rsidRDefault="00C308DF" w:rsidP="00940488">
      <w:pPr>
        <w:spacing w:after="0" w:line="240" w:lineRule="auto"/>
        <w:jc w:val="both"/>
        <w:rPr>
          <w:rFonts w:ascii="Calibri" w:eastAsia="Times New Roman" w:hAnsi="Calibri" w:cs="David"/>
          <w:sz w:val="26"/>
          <w:szCs w:val="26"/>
          <w:rtl/>
        </w:rPr>
      </w:pPr>
    </w:p>
    <w:p w:rsidR="00C308DF" w:rsidRDefault="00C308DF" w:rsidP="00C308DF">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‏ד</w:t>
      </w:r>
      <w:r>
        <w:rPr>
          <w:rFonts w:ascii="Calibri" w:eastAsia="Times New Roman" w:hAnsi="Calibri" w:cs="David"/>
          <w:sz w:val="26"/>
          <w:szCs w:val="26"/>
          <w:rtl/>
        </w:rPr>
        <w:t xml:space="preserve">' </w:t>
      </w:r>
      <w:r>
        <w:rPr>
          <w:rFonts w:ascii="Calibri" w:eastAsia="Times New Roman" w:hAnsi="Calibri" w:cs="David" w:hint="eastAsia"/>
          <w:sz w:val="26"/>
          <w:szCs w:val="26"/>
          <w:rtl/>
        </w:rPr>
        <w:t>אדר</w:t>
      </w:r>
      <w:r>
        <w:rPr>
          <w:rFonts w:ascii="Calibri" w:eastAsia="Times New Roman" w:hAnsi="Calibri" w:cs="David"/>
          <w:sz w:val="26"/>
          <w:szCs w:val="26"/>
          <w:rtl/>
        </w:rPr>
        <w:t xml:space="preserve"> </w:t>
      </w:r>
      <w:r>
        <w:rPr>
          <w:rFonts w:ascii="Calibri" w:eastAsia="Times New Roman" w:hAnsi="Calibri" w:cs="David" w:hint="eastAsia"/>
          <w:sz w:val="26"/>
          <w:szCs w:val="26"/>
          <w:rtl/>
        </w:rPr>
        <w:t>תשע</w:t>
      </w:r>
      <w:r>
        <w:rPr>
          <w:rFonts w:ascii="Calibri" w:eastAsia="Times New Roman" w:hAnsi="Calibri" w:cs="David"/>
          <w:sz w:val="26"/>
          <w:szCs w:val="26"/>
          <w:rtl/>
        </w:rPr>
        <w:t>"</w:t>
      </w:r>
      <w:r>
        <w:rPr>
          <w:rFonts w:ascii="Calibri" w:eastAsia="Times New Roman" w:hAnsi="Calibri" w:cs="David" w:hint="eastAsia"/>
          <w:sz w:val="26"/>
          <w:szCs w:val="26"/>
          <w:rtl/>
        </w:rPr>
        <w:t>ח</w:t>
      </w:r>
    </w:p>
    <w:p w:rsidR="00C308DF" w:rsidRDefault="00C308DF" w:rsidP="00C308DF">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Pr>
          <w:rFonts w:ascii="Calibri" w:eastAsia="Times New Roman" w:hAnsi="Calibri" w:cs="David"/>
          <w:sz w:val="26"/>
          <w:szCs w:val="26"/>
          <w:rtl/>
        </w:rPr>
        <w:t xml:space="preserve">19 </w:t>
      </w:r>
      <w:r>
        <w:rPr>
          <w:rFonts w:ascii="Calibri" w:eastAsia="Times New Roman" w:hAnsi="Calibri" w:cs="David" w:hint="eastAsia"/>
          <w:sz w:val="26"/>
          <w:szCs w:val="26"/>
          <w:rtl/>
        </w:rPr>
        <w:t>פברואר</w:t>
      </w:r>
      <w:r>
        <w:rPr>
          <w:rFonts w:ascii="Calibri" w:eastAsia="Times New Roman" w:hAnsi="Calibri" w:cs="David"/>
          <w:sz w:val="26"/>
          <w:szCs w:val="26"/>
          <w:rtl/>
        </w:rPr>
        <w:t xml:space="preserve"> 2018</w:t>
      </w:r>
    </w:p>
    <w:p w:rsidR="00C308DF" w:rsidRDefault="00C308DF" w:rsidP="00940488">
      <w:pPr>
        <w:spacing w:after="0" w:line="240" w:lineRule="auto"/>
        <w:jc w:val="both"/>
        <w:rPr>
          <w:rFonts w:ascii="Calibri" w:eastAsia="Times New Roman" w:hAnsi="Calibri" w:cs="David"/>
          <w:sz w:val="26"/>
          <w:szCs w:val="26"/>
          <w:rtl/>
        </w:rPr>
      </w:pPr>
    </w:p>
    <w:p w:rsidR="00940488" w:rsidRDefault="00940488" w:rsidP="00940488">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77444D" w:rsidRDefault="0077444D" w:rsidP="00940488">
      <w:pPr>
        <w:spacing w:after="0" w:line="240" w:lineRule="auto"/>
        <w:jc w:val="both"/>
        <w:rPr>
          <w:rFonts w:ascii="Calibri" w:eastAsia="Times New Roman" w:hAnsi="Calibri" w:cs="David"/>
          <w:b/>
          <w:bCs/>
          <w:sz w:val="26"/>
          <w:szCs w:val="26"/>
          <w:rtl/>
        </w:rPr>
      </w:pPr>
    </w:p>
    <w:p w:rsidR="00C51629" w:rsidRDefault="00C51629" w:rsidP="00940488">
      <w:pPr>
        <w:spacing w:after="0" w:line="240" w:lineRule="auto"/>
        <w:jc w:val="both"/>
        <w:rPr>
          <w:rFonts w:ascii="Calibri" w:eastAsia="Times New Roman" w:hAnsi="Calibri" w:cs="David"/>
          <w:b/>
          <w:bCs/>
          <w:sz w:val="26"/>
          <w:szCs w:val="26"/>
          <w:rtl/>
        </w:rPr>
      </w:pPr>
    </w:p>
    <w:p w:rsidR="00940488" w:rsidRDefault="00940488" w:rsidP="00940488">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77444D" w:rsidRPr="00940488" w:rsidRDefault="0077444D" w:rsidP="00940488">
      <w:pPr>
        <w:spacing w:after="0" w:line="240" w:lineRule="auto"/>
        <w:jc w:val="both"/>
        <w:rPr>
          <w:rFonts w:ascii="Calibri" w:eastAsia="Times New Roman" w:hAnsi="Calibri" w:cs="David"/>
          <w:b/>
          <w:bCs/>
          <w:sz w:val="26"/>
          <w:szCs w:val="26"/>
          <w:rtl/>
        </w:rPr>
      </w:pPr>
    </w:p>
    <w:p w:rsidR="000832ED" w:rsidRDefault="000832ED" w:rsidP="000832ED">
      <w:pPr>
        <w:spacing w:after="0" w:line="240" w:lineRule="auto"/>
        <w:jc w:val="both"/>
        <w:rPr>
          <w:rFonts w:ascii="Calibri" w:eastAsia="Times New Roman" w:hAnsi="Calibri" w:cs="David"/>
          <w:sz w:val="26"/>
          <w:szCs w:val="26"/>
          <w:u w:val="single"/>
          <w:rtl/>
        </w:rPr>
      </w:pPr>
    </w:p>
    <w:p w:rsidR="00C51629" w:rsidRPr="000832ED" w:rsidRDefault="00C51629" w:rsidP="000832ED">
      <w:pPr>
        <w:spacing w:after="0" w:line="240" w:lineRule="auto"/>
        <w:jc w:val="both"/>
        <w:rPr>
          <w:rFonts w:ascii="Calibri" w:eastAsia="Times New Roman" w:hAnsi="Calibri" w:cs="David"/>
          <w:sz w:val="26"/>
          <w:szCs w:val="26"/>
          <w:u w:val="single"/>
          <w:rtl/>
        </w:rPr>
      </w:pPr>
    </w:p>
    <w:p w:rsidR="0077444D" w:rsidRPr="00940488" w:rsidRDefault="0077444D" w:rsidP="0077444D">
      <w:pPr>
        <w:bidi w:val="0"/>
        <w:spacing w:after="0" w:line="240" w:lineRule="auto"/>
        <w:jc w:val="right"/>
        <w:rPr>
          <w:rFonts w:ascii="Calibri" w:eastAsia="Times New Roman" w:hAnsi="Calibri" w:cs="David"/>
          <w:sz w:val="26"/>
          <w:szCs w:val="26"/>
          <w:u w:val="single"/>
          <w:rtl/>
        </w:rPr>
      </w:pPr>
    </w:p>
    <w:p w:rsidR="00940488" w:rsidRDefault="00940488" w:rsidP="000F0C73">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sidR="007572F2">
        <w:rPr>
          <w:rFonts w:ascii="Calibri" w:eastAsia="Times New Roman" w:hAnsi="Calibri" w:cs="David" w:hint="cs"/>
          <w:b/>
          <w:bCs/>
          <w:sz w:val="28"/>
          <w:szCs w:val="28"/>
          <w:u w:val="single"/>
          <w:rtl/>
        </w:rPr>
        <w:t xml:space="preserve"> </w:t>
      </w:r>
    </w:p>
    <w:p w:rsidR="000F0C73" w:rsidRPr="003A10BA" w:rsidRDefault="000832ED" w:rsidP="00BE4382">
      <w:pPr>
        <w:spacing w:after="0" w:line="240" w:lineRule="auto"/>
        <w:jc w:val="center"/>
        <w:rPr>
          <w:rFonts w:ascii="Calibri" w:eastAsia="Times New Roman" w:hAnsi="Calibri" w:cs="David"/>
          <w:sz w:val="28"/>
          <w:szCs w:val="28"/>
          <w:u w:val="single"/>
          <w:rtl/>
        </w:rPr>
      </w:pPr>
      <w:r>
        <w:rPr>
          <w:rFonts w:ascii="Calibri" w:eastAsia="Times New Roman" w:hAnsi="Calibri" w:cs="David" w:hint="cs"/>
          <w:sz w:val="28"/>
          <w:szCs w:val="28"/>
          <w:u w:val="single"/>
          <w:rtl/>
        </w:rPr>
        <w:t xml:space="preserve">בקשת מידע </w:t>
      </w:r>
      <w:r>
        <w:rPr>
          <w:rFonts w:ascii="Calibri" w:eastAsia="Times New Roman" w:hAnsi="Calibri" w:cs="David"/>
          <w:sz w:val="28"/>
          <w:szCs w:val="28"/>
          <w:u w:val="single"/>
          <w:rtl/>
        </w:rPr>
        <w:t>–</w:t>
      </w:r>
      <w:r>
        <w:rPr>
          <w:rFonts w:ascii="Calibri" w:eastAsia="Times New Roman" w:hAnsi="Calibri" w:cs="David" w:hint="cs"/>
          <w:sz w:val="28"/>
          <w:szCs w:val="28"/>
          <w:u w:val="single"/>
          <w:rtl/>
        </w:rPr>
        <w:t xml:space="preserve"> מפעלי פלסטיקה</w:t>
      </w:r>
    </w:p>
    <w:p w:rsidR="000832ED" w:rsidRPr="000832ED" w:rsidRDefault="000832ED" w:rsidP="000832ED">
      <w:pPr>
        <w:jc w:val="both"/>
        <w:rPr>
          <w:rFonts w:ascii="Arial" w:hAnsi="Arial" w:cs="David"/>
          <w:sz w:val="26"/>
          <w:szCs w:val="26"/>
          <w:rtl/>
        </w:rPr>
      </w:pPr>
    </w:p>
    <w:p w:rsidR="00763BD8" w:rsidRPr="00763BD8" w:rsidRDefault="00763BD8" w:rsidP="00C308DF">
      <w:pPr>
        <w:spacing w:before="240" w:after="0" w:line="360" w:lineRule="auto"/>
        <w:jc w:val="both"/>
        <w:rPr>
          <w:rFonts w:ascii="Arial" w:hAnsi="Arial" w:cs="David"/>
          <w:sz w:val="26"/>
          <w:szCs w:val="26"/>
        </w:rPr>
      </w:pPr>
      <w:r w:rsidRPr="00763BD8">
        <w:rPr>
          <w:rFonts w:ascii="Arial" w:hAnsi="Arial" w:cs="David" w:hint="cs"/>
          <w:sz w:val="26"/>
          <w:szCs w:val="26"/>
          <w:rtl/>
        </w:rPr>
        <w:t xml:space="preserve">קיבלתי </w:t>
      </w:r>
      <w:r>
        <w:rPr>
          <w:rFonts w:ascii="Arial" w:hAnsi="Arial" w:cs="David" w:hint="cs"/>
          <w:sz w:val="26"/>
          <w:szCs w:val="26"/>
          <w:rtl/>
        </w:rPr>
        <w:t xml:space="preserve">בתודה, </w:t>
      </w:r>
      <w:r w:rsidRPr="00763BD8">
        <w:rPr>
          <w:rFonts w:ascii="Arial" w:hAnsi="Arial" w:cs="David" w:hint="cs"/>
          <w:sz w:val="26"/>
          <w:szCs w:val="26"/>
          <w:rtl/>
        </w:rPr>
        <w:t xml:space="preserve">ביום </w:t>
      </w:r>
      <w:r w:rsidR="00C308DF">
        <w:rPr>
          <w:rFonts w:ascii="Arial" w:hAnsi="Arial" w:cs="David" w:hint="cs"/>
          <w:sz w:val="26"/>
          <w:szCs w:val="26"/>
          <w:rtl/>
        </w:rPr>
        <w:t>29.1.18</w:t>
      </w:r>
      <w:r>
        <w:rPr>
          <w:rFonts w:ascii="Arial" w:hAnsi="Arial" w:cs="David" w:hint="cs"/>
          <w:sz w:val="26"/>
          <w:szCs w:val="26"/>
          <w:rtl/>
        </w:rPr>
        <w:t>,</w:t>
      </w:r>
      <w:r w:rsidRPr="00763BD8">
        <w:rPr>
          <w:rFonts w:ascii="Arial" w:hAnsi="Arial" w:cs="David" w:hint="cs"/>
          <w:sz w:val="26"/>
          <w:szCs w:val="26"/>
          <w:rtl/>
        </w:rPr>
        <w:t xml:space="preserve"> את בקשת המידע בנושא שבנדון.</w:t>
      </w:r>
    </w:p>
    <w:p w:rsidR="00763BD8" w:rsidRDefault="00763BD8" w:rsidP="00F00DCC">
      <w:pPr>
        <w:spacing w:before="240" w:after="0" w:line="360" w:lineRule="auto"/>
        <w:jc w:val="both"/>
        <w:rPr>
          <w:rFonts w:ascii="Arial" w:hAnsi="Arial" w:cs="David"/>
          <w:sz w:val="26"/>
          <w:szCs w:val="26"/>
          <w:rtl/>
        </w:rPr>
      </w:pPr>
      <w:r>
        <w:rPr>
          <w:rFonts w:ascii="Arial" w:hAnsi="Arial" w:cs="David" w:hint="cs"/>
          <w:sz w:val="26"/>
          <w:szCs w:val="26"/>
          <w:rtl/>
        </w:rPr>
        <w:t>ב</w:t>
      </w:r>
      <w:r w:rsidR="000F5B56">
        <w:rPr>
          <w:rFonts w:ascii="Arial" w:hAnsi="Arial" w:cs="David" w:hint="cs"/>
          <w:sz w:val="26"/>
          <w:szCs w:val="26"/>
          <w:rtl/>
        </w:rPr>
        <w:t>פניית</w:t>
      </w:r>
      <w:r>
        <w:rPr>
          <w:rFonts w:ascii="Arial" w:hAnsi="Arial" w:cs="David" w:hint="cs"/>
          <w:sz w:val="26"/>
          <w:szCs w:val="26"/>
          <w:rtl/>
        </w:rPr>
        <w:t xml:space="preserve">ך, ביקשת לקבל מידע אודות </w:t>
      </w:r>
      <w:r w:rsidR="00F00DCC">
        <w:rPr>
          <w:rFonts w:ascii="Arial" w:hAnsi="Arial" w:cs="David" w:hint="cs"/>
          <w:sz w:val="26"/>
          <w:szCs w:val="26"/>
          <w:rtl/>
        </w:rPr>
        <w:t>מועד / תאריך הגשת הבקשה כמו גם מועד / תאריך מתן המענק וזאת ביחס ל 14 חברות, אותן מנית במכתבך שלעיל.</w:t>
      </w:r>
    </w:p>
    <w:p w:rsidR="00F00DCC" w:rsidRPr="00F00DCC" w:rsidRDefault="00F00DCC" w:rsidP="00F00DCC">
      <w:pPr>
        <w:spacing w:before="240" w:after="0" w:line="360" w:lineRule="auto"/>
        <w:jc w:val="both"/>
        <w:rPr>
          <w:rFonts w:ascii="Arial" w:hAnsi="Arial" w:cs="David"/>
          <w:b/>
          <w:bCs/>
          <w:sz w:val="26"/>
          <w:szCs w:val="26"/>
          <w:u w:val="single"/>
          <w:rtl/>
        </w:rPr>
      </w:pPr>
      <w:r w:rsidRPr="00F00DCC">
        <w:rPr>
          <w:rFonts w:ascii="Arial" w:hAnsi="Arial" w:cs="David" w:hint="cs"/>
          <w:b/>
          <w:bCs/>
          <w:sz w:val="26"/>
          <w:szCs w:val="26"/>
          <w:u w:val="single"/>
          <w:rtl/>
        </w:rPr>
        <w:t>להלן המידע אותו ביקשת:</w:t>
      </w:r>
    </w:p>
    <w:p w:rsidR="00F00DCC" w:rsidRDefault="00F00DCC" w:rsidP="00F00DCC">
      <w:pPr>
        <w:spacing w:before="240" w:after="0" w:line="360" w:lineRule="auto"/>
        <w:jc w:val="both"/>
        <w:rPr>
          <w:rFonts w:ascii="Arial" w:hAnsi="Arial" w:cs="David"/>
          <w:sz w:val="26"/>
          <w:szCs w:val="26"/>
          <w:rtl/>
        </w:rPr>
      </w:pPr>
      <w:r w:rsidRPr="00121FF4">
        <w:rPr>
          <w:noProof/>
          <w:rtl/>
        </w:rPr>
        <w:drawing>
          <wp:inline distT="0" distB="0" distL="0" distR="0" wp14:anchorId="5CC76683" wp14:editId="68B4914B">
            <wp:extent cx="5462546" cy="3697115"/>
            <wp:effectExtent l="0" t="0" r="508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5236" cy="3698936"/>
                    </a:xfrm>
                    <a:prstGeom prst="rect">
                      <a:avLst/>
                    </a:prstGeom>
                    <a:noFill/>
                    <a:ln>
                      <a:noFill/>
                    </a:ln>
                  </pic:spPr>
                </pic:pic>
              </a:graphicData>
            </a:graphic>
          </wp:inline>
        </w:drawing>
      </w:r>
    </w:p>
    <w:p w:rsidR="00976790" w:rsidRDefault="00976790" w:rsidP="00062DDE">
      <w:pPr>
        <w:spacing w:before="240" w:after="0" w:line="360" w:lineRule="auto"/>
        <w:contextualSpacing/>
        <w:jc w:val="both"/>
        <w:rPr>
          <w:rFonts w:ascii="Arial" w:hAnsi="Arial" w:cs="David"/>
          <w:sz w:val="26"/>
          <w:szCs w:val="26"/>
          <w:rtl/>
        </w:rPr>
      </w:pPr>
    </w:p>
    <w:p w:rsidR="00C51629" w:rsidRDefault="00C51629" w:rsidP="001558D0">
      <w:pPr>
        <w:spacing w:before="240" w:after="0" w:line="360" w:lineRule="auto"/>
        <w:contextualSpacing/>
        <w:jc w:val="both"/>
        <w:rPr>
          <w:rFonts w:ascii="Arial" w:hAnsi="Arial" w:cs="David"/>
          <w:sz w:val="26"/>
          <w:szCs w:val="26"/>
          <w:rtl/>
        </w:rPr>
      </w:pPr>
    </w:p>
    <w:p w:rsidR="00F00DCC" w:rsidRDefault="00F00DCC" w:rsidP="001558D0">
      <w:pPr>
        <w:spacing w:before="240" w:after="0" w:line="360" w:lineRule="auto"/>
        <w:contextualSpacing/>
        <w:jc w:val="both"/>
        <w:rPr>
          <w:rFonts w:ascii="Arial" w:hAnsi="Arial" w:cs="David"/>
          <w:sz w:val="26"/>
          <w:szCs w:val="26"/>
          <w:rtl/>
        </w:rPr>
      </w:pPr>
      <w:r>
        <w:rPr>
          <w:rFonts w:ascii="Arial" w:hAnsi="Arial" w:cs="David" w:hint="cs"/>
          <w:sz w:val="26"/>
          <w:szCs w:val="26"/>
          <w:rtl/>
        </w:rPr>
        <w:lastRenderedPageBreak/>
        <w:t xml:space="preserve">יוער כי באשר לתאריך קבלת המענק, </w:t>
      </w:r>
      <w:bookmarkStart w:id="0" w:name="_GoBack"/>
      <w:bookmarkEnd w:id="0"/>
      <w:r>
        <w:rPr>
          <w:rFonts w:ascii="Arial" w:hAnsi="Arial" w:cs="David" w:hint="cs"/>
          <w:sz w:val="26"/>
          <w:szCs w:val="26"/>
          <w:rtl/>
        </w:rPr>
        <w:t>הרי שזה ניתן לפי פרמטרים שונים וב</w:t>
      </w:r>
      <w:r w:rsidR="001558D0">
        <w:rPr>
          <w:rFonts w:ascii="Arial" w:hAnsi="Arial" w:cs="David" w:hint="cs"/>
          <w:sz w:val="26"/>
          <w:szCs w:val="26"/>
          <w:rtl/>
        </w:rPr>
        <w:t>כ</w:t>
      </w:r>
      <w:r>
        <w:rPr>
          <w:rFonts w:ascii="Arial" w:hAnsi="Arial" w:cs="David" w:hint="cs"/>
          <w:sz w:val="26"/>
          <w:szCs w:val="26"/>
          <w:rtl/>
        </w:rPr>
        <w:t xml:space="preserve">מה "פעימות". </w:t>
      </w:r>
    </w:p>
    <w:p w:rsidR="001558D0" w:rsidRDefault="00F00DCC" w:rsidP="001558D0">
      <w:pPr>
        <w:spacing w:before="240" w:after="0" w:line="360" w:lineRule="auto"/>
        <w:jc w:val="both"/>
        <w:rPr>
          <w:rFonts w:ascii="Arial" w:hAnsi="Arial" w:cs="David"/>
          <w:sz w:val="26"/>
          <w:szCs w:val="26"/>
          <w:rtl/>
        </w:rPr>
      </w:pPr>
      <w:r>
        <w:rPr>
          <w:rFonts w:ascii="Arial" w:hAnsi="Arial" w:cs="David" w:hint="cs"/>
          <w:sz w:val="26"/>
          <w:szCs w:val="26"/>
          <w:rtl/>
        </w:rPr>
        <w:t>משרדנו מוסר לידי</w:t>
      </w:r>
      <w:r w:rsidR="001558D0">
        <w:rPr>
          <w:rFonts w:ascii="Arial" w:hAnsi="Arial" w:cs="David" w:hint="cs"/>
          <w:sz w:val="26"/>
          <w:szCs w:val="26"/>
          <w:rtl/>
        </w:rPr>
        <w:t>יך</w:t>
      </w:r>
      <w:r>
        <w:rPr>
          <w:rFonts w:ascii="Arial" w:hAnsi="Arial" w:cs="David" w:hint="cs"/>
          <w:sz w:val="26"/>
          <w:szCs w:val="26"/>
          <w:rtl/>
        </w:rPr>
        <w:t xml:space="preserve"> את הפעימה הראשונה למתן המענק לגבי כל אחת מהחברות שקיבלו מענק כזה (היכן שלא ניתן מענק </w:t>
      </w:r>
      <w:r>
        <w:rPr>
          <w:rFonts w:ascii="Arial" w:hAnsi="Arial" w:cs="David"/>
          <w:sz w:val="26"/>
          <w:szCs w:val="26"/>
          <w:rtl/>
        </w:rPr>
        <w:t>–</w:t>
      </w:r>
      <w:r>
        <w:rPr>
          <w:rFonts w:ascii="Arial" w:hAnsi="Arial" w:cs="David" w:hint="cs"/>
          <w:sz w:val="26"/>
          <w:szCs w:val="26"/>
          <w:rtl/>
        </w:rPr>
        <w:t xml:space="preserve"> צוין הדבר בטבלה)</w:t>
      </w:r>
      <w:r w:rsidR="001558D0">
        <w:rPr>
          <w:rFonts w:ascii="Arial" w:hAnsi="Arial" w:cs="David" w:hint="cs"/>
          <w:sz w:val="26"/>
          <w:szCs w:val="26"/>
          <w:rtl/>
        </w:rPr>
        <w:t>.</w:t>
      </w:r>
    </w:p>
    <w:p w:rsidR="00F00DCC" w:rsidRDefault="001558D0" w:rsidP="001558D0">
      <w:pPr>
        <w:spacing w:before="240" w:after="0" w:line="360" w:lineRule="auto"/>
        <w:jc w:val="both"/>
        <w:rPr>
          <w:rFonts w:ascii="Arial" w:hAnsi="Arial" w:cs="David"/>
          <w:sz w:val="26"/>
          <w:szCs w:val="26"/>
          <w:rtl/>
        </w:rPr>
      </w:pPr>
      <w:r>
        <w:rPr>
          <w:rFonts w:ascii="Arial" w:hAnsi="Arial" w:cs="David" w:hint="cs"/>
          <w:sz w:val="26"/>
          <w:szCs w:val="26"/>
          <w:rtl/>
        </w:rPr>
        <w:t>הסיבה לכך היא</w:t>
      </w:r>
      <w:r w:rsidR="00F00DCC">
        <w:rPr>
          <w:rFonts w:ascii="Arial" w:hAnsi="Arial" w:cs="David" w:hint="cs"/>
          <w:sz w:val="26"/>
          <w:szCs w:val="26"/>
          <w:rtl/>
        </w:rPr>
        <w:t xml:space="preserve"> שמסירת כלל הפעימות יש ב</w:t>
      </w:r>
      <w:r>
        <w:rPr>
          <w:rFonts w:ascii="Arial" w:hAnsi="Arial" w:cs="David" w:hint="cs"/>
          <w:sz w:val="26"/>
          <w:szCs w:val="26"/>
          <w:rtl/>
        </w:rPr>
        <w:t>ה</w:t>
      </w:r>
      <w:r w:rsidR="00F00DCC">
        <w:rPr>
          <w:rFonts w:ascii="Arial" w:hAnsi="Arial" w:cs="David" w:hint="cs"/>
          <w:sz w:val="26"/>
          <w:szCs w:val="26"/>
          <w:rtl/>
        </w:rPr>
        <w:t xml:space="preserve"> כדי להעיד על תזרים המזומנים של כל חברה וחברה, דבר המהווה סוד מסחרי</w:t>
      </w:r>
      <w:r w:rsidR="007A1239">
        <w:rPr>
          <w:rFonts w:ascii="Arial" w:hAnsi="Arial" w:cs="David" w:hint="cs"/>
          <w:sz w:val="26"/>
          <w:szCs w:val="26"/>
          <w:rtl/>
        </w:rPr>
        <w:t>.</w:t>
      </w:r>
    </w:p>
    <w:p w:rsidR="007A1239" w:rsidRDefault="007A1239" w:rsidP="007A1239">
      <w:pPr>
        <w:spacing w:before="240" w:after="120" w:line="360" w:lineRule="auto"/>
        <w:jc w:val="both"/>
        <w:rPr>
          <w:rFonts w:cs="David"/>
          <w:sz w:val="26"/>
          <w:szCs w:val="26"/>
          <w:rtl/>
        </w:rPr>
      </w:pPr>
      <w:r>
        <w:rPr>
          <w:rFonts w:cs="David" w:hint="cs"/>
          <w:sz w:val="26"/>
          <w:szCs w:val="26"/>
          <w:rtl/>
        </w:rPr>
        <w:t>סע' 9 (ב) (6) לחוק חופש המידע, תשנ"ח -1998, קובע:</w:t>
      </w:r>
    </w:p>
    <w:p w:rsidR="007A1239" w:rsidRPr="00D11636" w:rsidRDefault="007A1239" w:rsidP="007A1239">
      <w:pPr>
        <w:spacing w:before="72" w:after="0" w:line="240" w:lineRule="auto"/>
        <w:ind w:right="1134"/>
        <w:jc w:val="both"/>
        <w:rPr>
          <w:rFonts w:ascii="Times New Roman" w:eastAsia="Times New Roman" w:hAnsi="Times New Roman" w:cs="Times New Roman"/>
          <w:b/>
          <w:bCs/>
          <w:color w:val="000000"/>
          <w:sz w:val="20"/>
          <w:szCs w:val="20"/>
        </w:rPr>
      </w:pPr>
      <w:r w:rsidRPr="00D11636">
        <w:rPr>
          <w:rFonts w:ascii="Times New Roman" w:eastAsia="Times New Roman" w:hAnsi="Times New Roman" w:cs="FrankRuehl" w:hint="cs"/>
          <w:b/>
          <w:bCs/>
          <w:color w:val="000000"/>
          <w:sz w:val="26"/>
          <w:szCs w:val="26"/>
          <w:rtl/>
        </w:rPr>
        <w:t>(ב)  רשות ציבורית אינה חייבת למסור מידע שהוא אחד מאלה:</w:t>
      </w:r>
    </w:p>
    <w:p w:rsidR="007A1239" w:rsidRPr="00D11636" w:rsidRDefault="007A1239" w:rsidP="007A1239">
      <w:pPr>
        <w:tabs>
          <w:tab w:val="left" w:pos="7557"/>
          <w:tab w:val="left" w:pos="8408"/>
        </w:tabs>
        <w:spacing w:before="72" w:after="0" w:line="240" w:lineRule="auto"/>
        <w:jc w:val="both"/>
        <w:rPr>
          <w:rFonts w:ascii="Times New Roman" w:eastAsia="Times New Roman" w:hAnsi="Times New Roman" w:cs="Times New Roman"/>
          <w:b/>
          <w:bCs/>
          <w:color w:val="000000"/>
          <w:sz w:val="20"/>
          <w:szCs w:val="20"/>
          <w:rtl/>
        </w:rPr>
      </w:pPr>
      <w:r w:rsidRPr="00D11636">
        <w:rPr>
          <w:rFonts w:ascii="Times New Roman" w:eastAsia="Times New Roman" w:hAnsi="Times New Roman" w:cs="FrankRuehl" w:hint="cs"/>
          <w:b/>
          <w:bCs/>
          <w:color w:val="000000"/>
          <w:sz w:val="26"/>
          <w:szCs w:val="26"/>
          <w:rtl/>
        </w:rPr>
        <w:t xml:space="preserve">(6)   מידע שהוא סוד מסחרי או סוד מקצועי או שהוא בעל ערך כלכלי, שפרסומו עלול לפגוע פגיעה ממשית בערכו, וכן מידע הנוגע </w:t>
      </w:r>
      <w:proofErr w:type="spellStart"/>
      <w:r w:rsidRPr="00D11636">
        <w:rPr>
          <w:rFonts w:ascii="Times New Roman" w:eastAsia="Times New Roman" w:hAnsi="Times New Roman" w:cs="FrankRuehl" w:hint="cs"/>
          <w:b/>
          <w:bCs/>
          <w:color w:val="000000"/>
          <w:sz w:val="26"/>
          <w:szCs w:val="26"/>
          <w:rtl/>
        </w:rPr>
        <w:t>לענינים</w:t>
      </w:r>
      <w:proofErr w:type="spellEnd"/>
      <w:r w:rsidRPr="00D11636">
        <w:rPr>
          <w:rFonts w:ascii="Times New Roman" w:eastAsia="Times New Roman" w:hAnsi="Times New Roman" w:cs="FrankRuehl" w:hint="cs"/>
          <w:b/>
          <w:bCs/>
          <w:color w:val="000000"/>
          <w:sz w:val="26"/>
          <w:szCs w:val="26"/>
          <w:rtl/>
        </w:rPr>
        <w:t xml:space="preserve"> מסחריים או מקצועיים הקשורים לעסקיו של אדם, שגילויו עלול לפגוע פגיעה ממשית באינטרס מקצועי, מסחרי או כלכלי; </w:t>
      </w:r>
    </w:p>
    <w:p w:rsidR="007A1239" w:rsidRDefault="007A1239" w:rsidP="00B86405">
      <w:pPr>
        <w:spacing w:before="240" w:after="0" w:line="360" w:lineRule="auto"/>
        <w:jc w:val="both"/>
        <w:rPr>
          <w:rStyle w:val="default"/>
          <w:rFonts w:cs="FrankRuehl"/>
          <w:color w:val="000000"/>
          <w:rtl/>
        </w:rPr>
      </w:pPr>
      <w:r>
        <w:rPr>
          <w:rFonts w:cs="David" w:hint="cs"/>
          <w:sz w:val="26"/>
          <w:szCs w:val="26"/>
          <w:rtl/>
        </w:rPr>
        <w:t xml:space="preserve">סע' 5 בחוק עוולות מסחריות, </w:t>
      </w:r>
      <w:r w:rsidRPr="00D11636">
        <w:rPr>
          <w:rFonts w:cs="David" w:hint="cs"/>
          <w:color w:val="000000"/>
          <w:sz w:val="26"/>
          <w:szCs w:val="26"/>
          <w:rtl/>
        </w:rPr>
        <w:t>תשנ"ט-1999,</w:t>
      </w:r>
      <w:r>
        <w:rPr>
          <w:rFonts w:cs="FrankRuehl" w:hint="cs"/>
          <w:color w:val="000000"/>
          <w:sz w:val="26"/>
          <w:szCs w:val="26"/>
          <w:rtl/>
        </w:rPr>
        <w:t xml:space="preserve"> </w:t>
      </w:r>
      <w:r w:rsidRPr="00D11636">
        <w:rPr>
          <w:rFonts w:cs="David" w:hint="cs"/>
          <w:color w:val="000000"/>
          <w:sz w:val="26"/>
          <w:szCs w:val="26"/>
          <w:rtl/>
        </w:rPr>
        <w:t>מגדיר</w:t>
      </w:r>
      <w:r w:rsidRPr="00D11636">
        <w:rPr>
          <w:rStyle w:val="default"/>
          <w:rFonts w:cs="David" w:hint="cs"/>
          <w:color w:val="000000"/>
          <w:rtl/>
        </w:rPr>
        <w:t>:</w:t>
      </w:r>
      <w:r>
        <w:rPr>
          <w:rStyle w:val="default"/>
          <w:rFonts w:cs="FrankRuehl" w:hint="cs"/>
          <w:color w:val="000000"/>
          <w:rtl/>
        </w:rPr>
        <w:t xml:space="preserve"> </w:t>
      </w:r>
    </w:p>
    <w:p w:rsidR="007A1239" w:rsidRPr="00D11636" w:rsidRDefault="007A1239" w:rsidP="007A1239">
      <w:pPr>
        <w:spacing w:after="0" w:line="240" w:lineRule="auto"/>
        <w:jc w:val="both"/>
        <w:rPr>
          <w:rFonts w:cs="David"/>
          <w:b/>
          <w:bCs/>
          <w:sz w:val="26"/>
          <w:szCs w:val="26"/>
          <w:rtl/>
        </w:rPr>
      </w:pPr>
      <w:r w:rsidRPr="00D11636">
        <w:rPr>
          <w:rFonts w:cs="FrankRuehl"/>
          <w:b/>
          <w:bCs/>
          <w:color w:val="000000"/>
          <w:sz w:val="26"/>
          <w:szCs w:val="26"/>
        </w:rPr>
        <w:t>"</w:t>
      </w:r>
      <w:r w:rsidRPr="00D11636">
        <w:rPr>
          <w:rStyle w:val="default"/>
          <w:rFonts w:cs="FrankRuehl" w:hint="cs"/>
          <w:b/>
          <w:bCs/>
          <w:color w:val="000000"/>
          <w:rtl/>
        </w:rPr>
        <w:t>סוד מסחרי</w:t>
      </w:r>
      <w:r w:rsidRPr="00D11636">
        <w:rPr>
          <w:rStyle w:val="default"/>
          <w:rFonts w:cs="FrankRuehl"/>
          <w:b/>
          <w:bCs/>
          <w:color w:val="000000"/>
        </w:rPr>
        <w:t>"</w:t>
      </w:r>
      <w:r w:rsidRPr="00D11636">
        <w:rPr>
          <w:rStyle w:val="default"/>
          <w:rFonts w:cs="FrankRuehl" w:hint="cs"/>
          <w:b/>
          <w:bCs/>
          <w:color w:val="000000"/>
          <w:rtl/>
        </w:rPr>
        <w:t xml:space="preserve">, </w:t>
      </w:r>
      <w:r w:rsidRPr="00D11636">
        <w:rPr>
          <w:rStyle w:val="default"/>
          <w:rFonts w:cs="FrankRuehl"/>
          <w:b/>
          <w:bCs/>
          <w:color w:val="000000"/>
        </w:rPr>
        <w:t>"</w:t>
      </w:r>
      <w:r w:rsidRPr="00D11636">
        <w:rPr>
          <w:rStyle w:val="default"/>
          <w:rFonts w:cs="FrankRuehl" w:hint="cs"/>
          <w:b/>
          <w:bCs/>
          <w:color w:val="000000"/>
          <w:rtl/>
        </w:rPr>
        <w:t>סוד</w:t>
      </w:r>
      <w:r w:rsidRPr="00D11636">
        <w:rPr>
          <w:rStyle w:val="default"/>
          <w:rFonts w:cs="FrankRuehl"/>
          <w:b/>
          <w:bCs/>
          <w:color w:val="000000"/>
        </w:rPr>
        <w:t>"</w:t>
      </w:r>
      <w:r w:rsidRPr="00D11636">
        <w:rPr>
          <w:rStyle w:val="default"/>
          <w:rFonts w:cs="FrankRuehl" w:hint="cs"/>
          <w:b/>
          <w:bCs/>
          <w:color w:val="000000"/>
          <w:rtl/>
        </w:rPr>
        <w:t xml:space="preserve"> - מידע עסקי, מכל סוג, שאינו נחלת הרבים ושאינו ניתן לגילוי כדין בנקל על ידי אחרים, אשר סודיותו מקנה לבעליו יתרון עסקי על פני מתחריו, ובלבד שבעליו נוקט אמצעים סבירים לשמור על סודיותו</w:t>
      </w:r>
      <w:r w:rsidRPr="00D11636">
        <w:rPr>
          <w:rStyle w:val="default"/>
          <w:rFonts w:cs="FrankRuehl" w:hint="cs"/>
          <w:b/>
          <w:bCs/>
          <w:color w:val="000000"/>
        </w:rPr>
        <w:t>;</w:t>
      </w:r>
      <w:r w:rsidRPr="00D11636">
        <w:rPr>
          <w:rFonts w:cs="David" w:hint="cs"/>
          <w:b/>
          <w:bCs/>
          <w:sz w:val="26"/>
          <w:szCs w:val="26"/>
          <w:rtl/>
        </w:rPr>
        <w:t xml:space="preserve"> </w:t>
      </w:r>
    </w:p>
    <w:p w:rsidR="007A1239" w:rsidRDefault="007A1239" w:rsidP="007A1239">
      <w:pPr>
        <w:pStyle w:val="ab"/>
        <w:spacing w:before="240" w:line="360" w:lineRule="auto"/>
        <w:jc w:val="both"/>
        <w:rPr>
          <w:rFonts w:ascii="Arial" w:hAnsi="Arial" w:cs="David"/>
          <w:sz w:val="26"/>
          <w:szCs w:val="26"/>
          <w:rtl/>
        </w:rPr>
      </w:pPr>
      <w:r w:rsidRPr="007C6A57">
        <w:rPr>
          <w:rFonts w:ascii="Arial" w:hAnsi="Arial" w:cs="David" w:hint="cs"/>
          <w:sz w:val="26"/>
          <w:szCs w:val="26"/>
          <w:rtl/>
        </w:rPr>
        <w:t xml:space="preserve">הווי ידוע כי </w:t>
      </w:r>
      <w:r w:rsidRPr="007C6A57">
        <w:rPr>
          <w:rFonts w:ascii="Arial" w:hAnsi="Arial" w:cs="David"/>
          <w:sz w:val="26"/>
          <w:szCs w:val="26"/>
          <w:rtl/>
        </w:rPr>
        <w:t>הזכות להגנה על סוד מסחרי הינה חלק מהזכות להגנה על הקניין</w:t>
      </w:r>
      <w:r w:rsidRPr="007C6A57">
        <w:rPr>
          <w:rFonts w:ascii="Arial" w:hAnsi="Arial" w:cs="David" w:hint="cs"/>
          <w:sz w:val="26"/>
          <w:szCs w:val="26"/>
          <w:rtl/>
        </w:rPr>
        <w:t>,</w:t>
      </w:r>
      <w:r w:rsidRPr="007C6A57">
        <w:rPr>
          <w:rFonts w:ascii="Arial" w:hAnsi="Arial" w:cs="David"/>
          <w:sz w:val="26"/>
          <w:szCs w:val="26"/>
          <w:rtl/>
        </w:rPr>
        <w:t xml:space="preserve"> המוגנת </w:t>
      </w:r>
      <w:hyperlink r:id="rId9" w:history="1">
        <w:r w:rsidRPr="007C6A57">
          <w:rPr>
            <w:rStyle w:val="Hyperlink"/>
            <w:rFonts w:ascii="Arial" w:hAnsi="Arial" w:cs="David"/>
            <w:color w:val="auto"/>
            <w:sz w:val="26"/>
            <w:szCs w:val="26"/>
            <w:u w:val="none"/>
            <w:rtl/>
          </w:rPr>
          <w:t>בסעיף 3</w:t>
        </w:r>
      </w:hyperlink>
      <w:r w:rsidRPr="007C6A57">
        <w:rPr>
          <w:rFonts w:ascii="Arial" w:hAnsi="Arial" w:cs="David"/>
          <w:sz w:val="26"/>
          <w:szCs w:val="26"/>
          <w:rtl/>
        </w:rPr>
        <w:t xml:space="preserve"> ל</w:t>
      </w:r>
      <w:hyperlink r:id="rId10" w:history="1">
        <w:r w:rsidRPr="007C6A57">
          <w:rPr>
            <w:rStyle w:val="Hyperlink"/>
            <w:rFonts w:ascii="Arial" w:hAnsi="Arial" w:cs="David"/>
            <w:color w:val="auto"/>
            <w:sz w:val="26"/>
            <w:szCs w:val="26"/>
            <w:u w:val="none"/>
            <w:rtl/>
          </w:rPr>
          <w:t>חוק יסוד: כבוד האדם וחירותו</w:t>
        </w:r>
      </w:hyperlink>
      <w:r w:rsidRPr="007C6A57">
        <w:rPr>
          <w:rFonts w:ascii="Arial" w:hAnsi="Arial" w:cs="David"/>
          <w:sz w:val="26"/>
          <w:szCs w:val="26"/>
          <w:rtl/>
        </w:rPr>
        <w:t xml:space="preserve">, ולכן זכות זו הינה זכות חוקתית בעלת מעמד גבוה במדרג של זכויות האדם. </w:t>
      </w:r>
    </w:p>
    <w:p w:rsidR="001558D0" w:rsidRPr="004F64AC" w:rsidRDefault="001558D0" w:rsidP="001558D0">
      <w:pPr>
        <w:pStyle w:val="ab"/>
        <w:spacing w:before="240" w:line="360" w:lineRule="auto"/>
        <w:jc w:val="both"/>
        <w:rPr>
          <w:rFonts w:ascii="Arial" w:hAnsi="Arial" w:cs="David"/>
          <w:sz w:val="26"/>
          <w:szCs w:val="26"/>
        </w:rPr>
      </w:pPr>
      <w:r>
        <w:rPr>
          <w:rFonts w:ascii="Arial" w:hAnsi="Arial" w:cs="David" w:hint="cs"/>
          <w:sz w:val="26"/>
          <w:szCs w:val="26"/>
          <w:rtl/>
        </w:rPr>
        <w:t xml:space="preserve">עוד יוער כי </w:t>
      </w:r>
      <w:r w:rsidRPr="004F64AC">
        <w:rPr>
          <w:rFonts w:ascii="Arial" w:hAnsi="Arial" w:cs="David"/>
          <w:sz w:val="26"/>
          <w:szCs w:val="26"/>
          <w:rtl/>
        </w:rPr>
        <w:t>בפס"ד קשת (</w:t>
      </w:r>
      <w:proofErr w:type="spellStart"/>
      <w:r w:rsidRPr="004F64AC">
        <w:rPr>
          <w:rFonts w:ascii="Arial" w:hAnsi="Arial" w:cs="David"/>
          <w:sz w:val="26"/>
          <w:szCs w:val="26"/>
          <w:rtl/>
        </w:rPr>
        <w:t>עע"מ</w:t>
      </w:r>
      <w:proofErr w:type="spellEnd"/>
      <w:r w:rsidRPr="004F64AC">
        <w:rPr>
          <w:rFonts w:ascii="Arial" w:hAnsi="Arial" w:cs="David"/>
          <w:sz w:val="26"/>
          <w:szCs w:val="26"/>
          <w:rtl/>
        </w:rPr>
        <w:t xml:space="preserve"> 10845/06 שידורי קשת בע"מ נ' הרשות השנ</w:t>
      </w:r>
      <w:r w:rsidRPr="004F64AC">
        <w:rPr>
          <w:rFonts w:ascii="Arial" w:hAnsi="Arial" w:cs="David" w:hint="cs"/>
          <w:sz w:val="26"/>
          <w:szCs w:val="26"/>
          <w:rtl/>
        </w:rPr>
        <w:t>י</w:t>
      </w:r>
      <w:r w:rsidRPr="004F64AC">
        <w:rPr>
          <w:rFonts w:ascii="Arial" w:hAnsi="Arial" w:cs="David"/>
          <w:sz w:val="26"/>
          <w:szCs w:val="26"/>
          <w:rtl/>
        </w:rPr>
        <w:t>יה לטלוויזיה ורדיו (פורסם בנבו - 7.2.2008))</w:t>
      </w:r>
      <w:r w:rsidRPr="004F64AC">
        <w:rPr>
          <w:rFonts w:ascii="Arial" w:hAnsi="Arial" w:cs="David" w:hint="cs"/>
          <w:sz w:val="26"/>
          <w:szCs w:val="26"/>
          <w:rtl/>
        </w:rPr>
        <w:t>,</w:t>
      </w:r>
      <w:r w:rsidRPr="004F64AC">
        <w:rPr>
          <w:rFonts w:ascii="Arial" w:hAnsi="Arial" w:cs="David"/>
          <w:sz w:val="26"/>
          <w:szCs w:val="26"/>
          <w:rtl/>
        </w:rPr>
        <w:t xml:space="preserve"> ציין בית המשפט כי מלשון הסעיף, </w:t>
      </w:r>
      <w:r>
        <w:rPr>
          <w:rFonts w:ascii="Arial" w:hAnsi="Arial" w:cs="David" w:hint="cs"/>
          <w:sz w:val="26"/>
          <w:szCs w:val="26"/>
          <w:rtl/>
        </w:rPr>
        <w:t xml:space="preserve">עולה </w:t>
      </w:r>
      <w:r w:rsidRPr="004F64AC">
        <w:rPr>
          <w:rFonts w:ascii="Arial" w:hAnsi="Arial" w:cs="David"/>
          <w:sz w:val="26"/>
          <w:szCs w:val="26"/>
          <w:rtl/>
        </w:rPr>
        <w:t>כי המחוקק כיוון לכך שההגנה המוקנית בסעיף 9(ב)(6) תהא בעלת פרישה רחבה וכי לשיטת בית המשפט</w:t>
      </w:r>
      <w:r w:rsidRPr="004F64AC">
        <w:rPr>
          <w:rFonts w:ascii="Arial" w:hAnsi="Arial" w:cs="David" w:hint="cs"/>
          <w:sz w:val="26"/>
          <w:szCs w:val="26"/>
          <w:rtl/>
        </w:rPr>
        <w:t>,</w:t>
      </w:r>
      <w:r w:rsidRPr="004F64AC">
        <w:rPr>
          <w:rFonts w:ascii="Arial" w:hAnsi="Arial" w:cs="David"/>
          <w:sz w:val="26"/>
          <w:szCs w:val="26"/>
          <w:rtl/>
        </w:rPr>
        <w:t xml:space="preserve"> הדגש במסגרת האיזון הנערך על פי </w:t>
      </w:r>
      <w:hyperlink r:id="rId11" w:history="1">
        <w:r w:rsidRPr="004F64AC">
          <w:rPr>
            <w:rStyle w:val="Hyperlink"/>
            <w:rFonts w:ascii="Arial" w:hAnsi="Arial" w:cs="David"/>
            <w:color w:val="auto"/>
            <w:sz w:val="26"/>
            <w:szCs w:val="26"/>
            <w:u w:val="none"/>
            <w:rtl/>
          </w:rPr>
          <w:t>סעיף 9(ב)(6)</w:t>
        </w:r>
      </w:hyperlink>
      <w:r w:rsidRPr="004F64AC">
        <w:rPr>
          <w:rFonts w:ascii="Arial" w:hAnsi="Arial" w:cs="David"/>
          <w:sz w:val="26"/>
          <w:szCs w:val="26"/>
          <w:rtl/>
        </w:rPr>
        <w:t xml:space="preserve"> לחוק</w:t>
      </w:r>
      <w:r w:rsidRPr="004F64AC">
        <w:rPr>
          <w:rFonts w:ascii="Arial" w:hAnsi="Arial" w:cs="David" w:hint="cs"/>
          <w:sz w:val="26"/>
          <w:szCs w:val="26"/>
          <w:rtl/>
        </w:rPr>
        <w:t>,</w:t>
      </w:r>
      <w:r w:rsidRPr="004F64AC">
        <w:rPr>
          <w:rFonts w:ascii="Arial" w:hAnsi="Arial" w:cs="David"/>
          <w:sz w:val="26"/>
          <w:szCs w:val="26"/>
          <w:rtl/>
        </w:rPr>
        <w:t xml:space="preserve"> הוא על מידת הפגיעה שעלולה להיגרם לבעל המידע עקב גילויו של מידע זה.  </w:t>
      </w:r>
    </w:p>
    <w:p w:rsidR="001558D0" w:rsidRPr="00003D9A" w:rsidRDefault="001558D0" w:rsidP="001558D0">
      <w:pPr>
        <w:pStyle w:val="ab"/>
        <w:spacing w:before="240" w:line="360" w:lineRule="auto"/>
        <w:jc w:val="both"/>
        <w:rPr>
          <w:rFonts w:ascii="Arial" w:hAnsi="Arial" w:cs="David"/>
          <w:sz w:val="26"/>
          <w:szCs w:val="26"/>
          <w:rtl/>
        </w:rPr>
      </w:pPr>
      <w:r>
        <w:rPr>
          <w:rFonts w:ascii="Arial" w:hAnsi="Arial" w:cs="David" w:hint="cs"/>
          <w:sz w:val="26"/>
          <w:szCs w:val="26"/>
          <w:rtl/>
        </w:rPr>
        <w:t>ברי כי מסירת מידע מלא המעיד על תזרים המזומנים של החברות, עתיד להעיד על מצבן הפיננסי, דבר שעלול לפגוע באופן ממשי בחברות ובעסקים שהן מנהלות.</w:t>
      </w:r>
    </w:p>
    <w:p w:rsidR="000832ED" w:rsidRPr="000832ED" w:rsidRDefault="000832ED" w:rsidP="00976790">
      <w:pPr>
        <w:spacing w:before="240" w:after="0" w:line="360" w:lineRule="auto"/>
        <w:contextualSpacing/>
        <w:jc w:val="both"/>
        <w:rPr>
          <w:rFonts w:ascii="Arial" w:hAnsi="Arial" w:cs="David"/>
          <w:sz w:val="26"/>
          <w:szCs w:val="26"/>
          <w:rtl/>
        </w:rPr>
      </w:pPr>
      <w:r w:rsidRPr="000832ED">
        <w:rPr>
          <w:rFonts w:ascii="Arial" w:hAnsi="Arial" w:cs="David"/>
          <w:sz w:val="26"/>
          <w:szCs w:val="26"/>
          <w:rtl/>
        </w:rPr>
        <w:t>כממונה על העמדת מידע לציבור, אשמח לעמוד לרשות</w:t>
      </w:r>
      <w:r w:rsidR="00976790">
        <w:rPr>
          <w:rFonts w:ascii="Arial" w:hAnsi="Arial" w:cs="David" w:hint="cs"/>
          <w:sz w:val="26"/>
          <w:szCs w:val="26"/>
          <w:rtl/>
        </w:rPr>
        <w:t>ך</w:t>
      </w:r>
      <w:r w:rsidRPr="000832ED">
        <w:rPr>
          <w:rFonts w:ascii="Arial" w:hAnsi="Arial" w:cs="David"/>
          <w:sz w:val="26"/>
          <w:szCs w:val="26"/>
          <w:rtl/>
        </w:rPr>
        <w:t xml:space="preserve"> גם בעתיד, באם הדבר יידרש.</w:t>
      </w: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0027A0">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722DC2" w:rsidRPr="00BC3A5B" w:rsidRDefault="00940488" w:rsidP="00BA5B9B">
      <w:pPr>
        <w:spacing w:before="120" w:line="240" w:lineRule="auto"/>
        <w:rPr>
          <w:rtl/>
        </w:rPr>
      </w:pPr>
      <w:r>
        <w:rPr>
          <w:rFonts w:ascii="Arial" w:eastAsia="Times New Roman" w:hAnsi="Arial" w:cs="David" w:hint="cs"/>
          <w:sz w:val="26"/>
          <w:szCs w:val="26"/>
          <w:rtl/>
        </w:rPr>
        <w:t>העתק: עו"ד מורן הרשקוביץ, הלשכה המשפטית</w:t>
      </w:r>
    </w:p>
    <w:sectPr w:rsidR="00722DC2" w:rsidRPr="00BC3A5B" w:rsidSect="00FF22C0">
      <w:headerReference w:type="default" r:id="rId12"/>
      <w:footerReference w:type="default" r:id="rId13"/>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7DB" w:rsidRDefault="00FB67DB">
      <w:pPr>
        <w:spacing w:after="0" w:line="240" w:lineRule="auto"/>
      </w:pPr>
      <w:r>
        <w:separator/>
      </w:r>
    </w:p>
  </w:endnote>
  <w:endnote w:type="continuationSeparator" w:id="0">
    <w:p w:rsidR="00FB67DB" w:rsidRDefault="00FB6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FB67DB" w:rsidP="00584DD8">
    <w:pPr>
      <w:pStyle w:val="a5"/>
      <w:ind w:left="-989"/>
      <w:rPr>
        <w:noProof/>
        <w:rtl/>
      </w:rPr>
    </w:pPr>
  </w:p>
  <w:p w:rsidR="00641AB2" w:rsidRDefault="00FB67DB" w:rsidP="00641AB2">
    <w:pPr>
      <w:pStyle w:val="a5"/>
      <w:ind w:left="-807" w:hanging="199"/>
      <w:rPr>
        <w:sz w:val="20"/>
        <w:szCs w:val="20"/>
        <w:rtl/>
      </w:rPr>
    </w:pPr>
  </w:p>
  <w:p w:rsidR="00415B40" w:rsidRPr="00641AB2" w:rsidRDefault="00FB67DB"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7DB" w:rsidRDefault="00FB67DB">
      <w:pPr>
        <w:spacing w:after="0" w:line="240" w:lineRule="auto"/>
      </w:pPr>
      <w:r>
        <w:separator/>
      </w:r>
    </w:p>
  </w:footnote>
  <w:footnote w:type="continuationSeparator" w:id="0">
    <w:p w:rsidR="00FB67DB" w:rsidRDefault="00FB6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45D62B78" wp14:editId="444E6E37">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E702BC" wp14:editId="2C60961A">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FB67DB"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68D5C51"/>
    <w:multiLevelType w:val="hybridMultilevel"/>
    <w:tmpl w:val="65248AEA"/>
    <w:lvl w:ilvl="0" w:tplc="37F069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21D83"/>
    <w:multiLevelType w:val="hybridMultilevel"/>
    <w:tmpl w:val="60D40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1448CD"/>
    <w:multiLevelType w:val="hybridMultilevel"/>
    <w:tmpl w:val="676C2436"/>
    <w:lvl w:ilvl="0" w:tplc="41C2229E">
      <w:start w:val="1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2"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5"/>
  </w:num>
  <w:num w:numId="3">
    <w:abstractNumId w:val="3"/>
  </w:num>
  <w:num w:numId="4">
    <w:abstractNumId w:val="22"/>
  </w:num>
  <w:num w:numId="5">
    <w:abstractNumId w:val="21"/>
  </w:num>
  <w:num w:numId="6">
    <w:abstractNumId w:val="23"/>
  </w:num>
  <w:num w:numId="7">
    <w:abstractNumId w:val="9"/>
  </w:num>
  <w:num w:numId="8">
    <w:abstractNumId w:val="16"/>
  </w:num>
  <w:num w:numId="9">
    <w:abstractNumId w:val="4"/>
  </w:num>
  <w:num w:numId="10">
    <w:abstractNumId w:val="33"/>
  </w:num>
  <w:num w:numId="11">
    <w:abstractNumId w:val="0"/>
  </w:num>
  <w:num w:numId="12">
    <w:abstractNumId w:val="5"/>
  </w:num>
  <w:num w:numId="13">
    <w:abstractNumId w:val="20"/>
  </w:num>
  <w:num w:numId="14">
    <w:abstractNumId w:val="13"/>
  </w:num>
  <w:num w:numId="15">
    <w:abstractNumId w:val="8"/>
  </w:num>
  <w:num w:numId="16">
    <w:abstractNumId w:val="27"/>
  </w:num>
  <w:num w:numId="17">
    <w:abstractNumId w:val="10"/>
  </w:num>
  <w:num w:numId="18">
    <w:abstractNumId w:val="6"/>
  </w:num>
  <w:num w:numId="19">
    <w:abstractNumId w:val="15"/>
  </w:num>
  <w:num w:numId="20">
    <w:abstractNumId w:val="1"/>
  </w:num>
  <w:num w:numId="21">
    <w:abstractNumId w:val="7"/>
  </w:num>
  <w:num w:numId="22">
    <w:abstractNumId w:val="30"/>
  </w:num>
  <w:num w:numId="23">
    <w:abstractNumId w:val="32"/>
  </w:num>
  <w:num w:numId="24">
    <w:abstractNumId w:val="17"/>
  </w:num>
  <w:num w:numId="25">
    <w:abstractNumId w:val="28"/>
  </w:num>
  <w:num w:numId="26">
    <w:abstractNumId w:val="18"/>
  </w:num>
  <w:num w:numId="27">
    <w:abstractNumId w:val="14"/>
  </w:num>
  <w:num w:numId="28">
    <w:abstractNumId w:val="29"/>
  </w:num>
  <w:num w:numId="29">
    <w:abstractNumId w:val="31"/>
  </w:num>
  <w:num w:numId="30">
    <w:abstractNumId w:val="2"/>
  </w:num>
  <w:num w:numId="31">
    <w:abstractNumId w:val="26"/>
  </w:num>
  <w:num w:numId="32">
    <w:abstractNumId w:val="24"/>
  </w:num>
  <w:num w:numId="33">
    <w:abstractNumId w:val="1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27A0"/>
    <w:rsid w:val="00006075"/>
    <w:rsid w:val="000128A3"/>
    <w:rsid w:val="00062DDE"/>
    <w:rsid w:val="00066931"/>
    <w:rsid w:val="00071852"/>
    <w:rsid w:val="00082953"/>
    <w:rsid w:val="000832ED"/>
    <w:rsid w:val="00086DF3"/>
    <w:rsid w:val="000A1ADA"/>
    <w:rsid w:val="000B3C3D"/>
    <w:rsid w:val="000B3E80"/>
    <w:rsid w:val="000B5D3A"/>
    <w:rsid w:val="000D5843"/>
    <w:rsid w:val="000F0C73"/>
    <w:rsid w:val="000F5B56"/>
    <w:rsid w:val="00110388"/>
    <w:rsid w:val="00121006"/>
    <w:rsid w:val="0012529B"/>
    <w:rsid w:val="001558D0"/>
    <w:rsid w:val="00157DD3"/>
    <w:rsid w:val="00163871"/>
    <w:rsid w:val="00166F32"/>
    <w:rsid w:val="001B660A"/>
    <w:rsid w:val="001D04E6"/>
    <w:rsid w:val="001F2187"/>
    <w:rsid w:val="00201B68"/>
    <w:rsid w:val="002042A7"/>
    <w:rsid w:val="00205008"/>
    <w:rsid w:val="00272556"/>
    <w:rsid w:val="00282B1D"/>
    <w:rsid w:val="00286FA5"/>
    <w:rsid w:val="0028746A"/>
    <w:rsid w:val="00297931"/>
    <w:rsid w:val="002A3BF4"/>
    <w:rsid w:val="002A5F2F"/>
    <w:rsid w:val="002C15B0"/>
    <w:rsid w:val="002C4149"/>
    <w:rsid w:val="002D3F99"/>
    <w:rsid w:val="002D432C"/>
    <w:rsid w:val="002E4707"/>
    <w:rsid w:val="00307DC3"/>
    <w:rsid w:val="00321D8A"/>
    <w:rsid w:val="00340C25"/>
    <w:rsid w:val="0037649F"/>
    <w:rsid w:val="00377CF1"/>
    <w:rsid w:val="00381DB8"/>
    <w:rsid w:val="003A10BA"/>
    <w:rsid w:val="003A28FF"/>
    <w:rsid w:val="003D28A7"/>
    <w:rsid w:val="003E3460"/>
    <w:rsid w:val="004131AA"/>
    <w:rsid w:val="00432EA6"/>
    <w:rsid w:val="00437135"/>
    <w:rsid w:val="00451157"/>
    <w:rsid w:val="00460C23"/>
    <w:rsid w:val="00473D08"/>
    <w:rsid w:val="004A384E"/>
    <w:rsid w:val="004F4064"/>
    <w:rsid w:val="0050197F"/>
    <w:rsid w:val="00523296"/>
    <w:rsid w:val="0054141E"/>
    <w:rsid w:val="005565AE"/>
    <w:rsid w:val="00562704"/>
    <w:rsid w:val="005D01BD"/>
    <w:rsid w:val="005D7899"/>
    <w:rsid w:val="00600552"/>
    <w:rsid w:val="00604AC8"/>
    <w:rsid w:val="00605533"/>
    <w:rsid w:val="00613317"/>
    <w:rsid w:val="00615622"/>
    <w:rsid w:val="00622FD6"/>
    <w:rsid w:val="00685419"/>
    <w:rsid w:val="006A46EC"/>
    <w:rsid w:val="006A4885"/>
    <w:rsid w:val="006A5C8D"/>
    <w:rsid w:val="006B0285"/>
    <w:rsid w:val="006B327A"/>
    <w:rsid w:val="006B7C73"/>
    <w:rsid w:val="006D26B3"/>
    <w:rsid w:val="006D7C6C"/>
    <w:rsid w:val="00722DC2"/>
    <w:rsid w:val="0073107E"/>
    <w:rsid w:val="00732B5A"/>
    <w:rsid w:val="007572F2"/>
    <w:rsid w:val="00760C2D"/>
    <w:rsid w:val="00763BD8"/>
    <w:rsid w:val="0077444D"/>
    <w:rsid w:val="00780162"/>
    <w:rsid w:val="007852A8"/>
    <w:rsid w:val="007A1239"/>
    <w:rsid w:val="007B6A39"/>
    <w:rsid w:val="007B6F18"/>
    <w:rsid w:val="007E4223"/>
    <w:rsid w:val="007F19AE"/>
    <w:rsid w:val="0082268D"/>
    <w:rsid w:val="00824C3A"/>
    <w:rsid w:val="008270FF"/>
    <w:rsid w:val="008540FE"/>
    <w:rsid w:val="008843C9"/>
    <w:rsid w:val="008B0D86"/>
    <w:rsid w:val="008D2031"/>
    <w:rsid w:val="008D42B5"/>
    <w:rsid w:val="008E14E1"/>
    <w:rsid w:val="008F0C52"/>
    <w:rsid w:val="0092026D"/>
    <w:rsid w:val="0093446D"/>
    <w:rsid w:val="00940488"/>
    <w:rsid w:val="0094249F"/>
    <w:rsid w:val="009426DA"/>
    <w:rsid w:val="00956660"/>
    <w:rsid w:val="00975108"/>
    <w:rsid w:val="00975720"/>
    <w:rsid w:val="00976790"/>
    <w:rsid w:val="00986F01"/>
    <w:rsid w:val="009B18C4"/>
    <w:rsid w:val="009B380C"/>
    <w:rsid w:val="009D6DA2"/>
    <w:rsid w:val="009E182F"/>
    <w:rsid w:val="00A01D37"/>
    <w:rsid w:val="00A066EC"/>
    <w:rsid w:val="00A22E81"/>
    <w:rsid w:val="00A25F05"/>
    <w:rsid w:val="00A265AE"/>
    <w:rsid w:val="00A32A9C"/>
    <w:rsid w:val="00A636FC"/>
    <w:rsid w:val="00A6401E"/>
    <w:rsid w:val="00A75FE6"/>
    <w:rsid w:val="00A91F65"/>
    <w:rsid w:val="00AB1BA4"/>
    <w:rsid w:val="00AE4D2C"/>
    <w:rsid w:val="00B0634F"/>
    <w:rsid w:val="00B56A6D"/>
    <w:rsid w:val="00B62C50"/>
    <w:rsid w:val="00B74DD9"/>
    <w:rsid w:val="00B86405"/>
    <w:rsid w:val="00B91A74"/>
    <w:rsid w:val="00BA5B9B"/>
    <w:rsid w:val="00BB1555"/>
    <w:rsid w:val="00BB17A9"/>
    <w:rsid w:val="00BB3A8D"/>
    <w:rsid w:val="00BB71CB"/>
    <w:rsid w:val="00BC3A5B"/>
    <w:rsid w:val="00BE4382"/>
    <w:rsid w:val="00C00893"/>
    <w:rsid w:val="00C05BB2"/>
    <w:rsid w:val="00C225EF"/>
    <w:rsid w:val="00C27B62"/>
    <w:rsid w:val="00C308DF"/>
    <w:rsid w:val="00C42B10"/>
    <w:rsid w:val="00C51629"/>
    <w:rsid w:val="00C53268"/>
    <w:rsid w:val="00C95EE4"/>
    <w:rsid w:val="00CC010E"/>
    <w:rsid w:val="00CE532E"/>
    <w:rsid w:val="00D03A99"/>
    <w:rsid w:val="00D11090"/>
    <w:rsid w:val="00D23590"/>
    <w:rsid w:val="00D47740"/>
    <w:rsid w:val="00D56934"/>
    <w:rsid w:val="00D60939"/>
    <w:rsid w:val="00D74CB3"/>
    <w:rsid w:val="00D87BBF"/>
    <w:rsid w:val="00D96957"/>
    <w:rsid w:val="00DA580F"/>
    <w:rsid w:val="00DB518D"/>
    <w:rsid w:val="00DE1F5E"/>
    <w:rsid w:val="00E116DB"/>
    <w:rsid w:val="00E46659"/>
    <w:rsid w:val="00E56028"/>
    <w:rsid w:val="00E858F9"/>
    <w:rsid w:val="00E872E9"/>
    <w:rsid w:val="00E94CF1"/>
    <w:rsid w:val="00EA21DD"/>
    <w:rsid w:val="00EB2632"/>
    <w:rsid w:val="00ED2DB7"/>
    <w:rsid w:val="00EE21CB"/>
    <w:rsid w:val="00EE6BF6"/>
    <w:rsid w:val="00F00DCC"/>
    <w:rsid w:val="00F01E10"/>
    <w:rsid w:val="00F0721A"/>
    <w:rsid w:val="00F07239"/>
    <w:rsid w:val="00F10A4F"/>
    <w:rsid w:val="00F202CF"/>
    <w:rsid w:val="00F40F22"/>
    <w:rsid w:val="00F76433"/>
    <w:rsid w:val="00F82276"/>
    <w:rsid w:val="00F91DC9"/>
    <w:rsid w:val="00FA0F13"/>
    <w:rsid w:val="00FB3CE5"/>
    <w:rsid w:val="00FB67DB"/>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AF3EE"/>
  <w15:docId w15:val="{CA349048-11E3-461B-8614-1010B65C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E87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C516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72626527">
      <w:bodyDiv w:val="1"/>
      <w:marLeft w:val="0"/>
      <w:marRight w:val="0"/>
      <w:marTop w:val="0"/>
      <w:marBottom w:val="0"/>
      <w:divBdr>
        <w:top w:val="none" w:sz="0" w:space="0" w:color="auto"/>
        <w:left w:val="none" w:sz="0" w:space="0" w:color="auto"/>
        <w:bottom w:val="none" w:sz="0" w:space="0" w:color="auto"/>
        <w:right w:val="none" w:sz="0" w:space="0" w:color="auto"/>
      </w:divBdr>
    </w:div>
    <w:div w:id="272514778">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671373959">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2182158">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23239025">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939134">
      <w:bodyDiv w:val="1"/>
      <w:marLeft w:val="0"/>
      <w:marRight w:val="0"/>
      <w:marTop w:val="0"/>
      <w:marBottom w:val="0"/>
      <w:divBdr>
        <w:top w:val="none" w:sz="0" w:space="0" w:color="auto"/>
        <w:left w:val="none" w:sz="0" w:space="0" w:color="auto"/>
        <w:bottom w:val="none" w:sz="0" w:space="0" w:color="auto"/>
        <w:right w:val="none" w:sz="0" w:space="0" w:color="auto"/>
      </w:divBdr>
    </w:div>
    <w:div w:id="1864900816">
      <w:bodyDiv w:val="1"/>
      <w:marLeft w:val="0"/>
      <w:marRight w:val="0"/>
      <w:marTop w:val="0"/>
      <w:marBottom w:val="0"/>
      <w:divBdr>
        <w:top w:val="none" w:sz="0" w:space="0" w:color="auto"/>
        <w:left w:val="none" w:sz="0" w:space="0" w:color="auto"/>
        <w:bottom w:val="none" w:sz="0" w:space="0" w:color="auto"/>
        <w:right w:val="none" w:sz="0" w:space="0" w:color="auto"/>
      </w:divBdr>
    </w:div>
    <w:div w:id="194178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o.co.il/law/71891/9.b.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evo.co.il/law/70320" TargetMode="External"/><Relationship Id="rId4" Type="http://schemas.openxmlformats.org/officeDocument/2006/relationships/settings" Target="settings.xml"/><Relationship Id="rId9" Type="http://schemas.openxmlformats.org/officeDocument/2006/relationships/hyperlink" Target="http://www.nevo.co.il/law/70320/3"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53FBF-AD17-409A-9F3F-0ED4B1256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40</TotalTime>
  <Pages>2</Pages>
  <Words>337</Words>
  <Characters>1924</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9</cp:revision>
  <cp:lastPrinted>2017-12-06T12:16:00Z</cp:lastPrinted>
  <dcterms:created xsi:type="dcterms:W3CDTF">2017-12-14T14:18:00Z</dcterms:created>
  <dcterms:modified xsi:type="dcterms:W3CDTF">2019-06-24T09:09:00Z</dcterms:modified>
</cp:coreProperties>
</file>