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51" w:rsidRDefault="00DB62AE" w:rsidP="00F63AED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231D51">
        <w:rPr>
          <w:rFonts w:cs="David" w:hint="eastAsia"/>
          <w:color w:val="000000"/>
          <w:sz w:val="26"/>
          <w:szCs w:val="26"/>
          <w:rtl/>
        </w:rPr>
        <w:t>‏כ</w:t>
      </w:r>
      <w:r w:rsidR="00231D51">
        <w:rPr>
          <w:rFonts w:cs="David"/>
          <w:color w:val="000000"/>
          <w:sz w:val="26"/>
          <w:szCs w:val="26"/>
          <w:rtl/>
        </w:rPr>
        <w:t>"ד טבת תש"פ</w:t>
      </w:r>
    </w:p>
    <w:p w:rsidR="00231D51" w:rsidRDefault="00231D51" w:rsidP="00CA5E2A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21 ינואר 2020</w:t>
      </w:r>
    </w:p>
    <w:p w:rsidR="007F62D1" w:rsidRPr="0049777B" w:rsidRDefault="007964F7" w:rsidP="00920127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231D51" w:rsidRPr="00A14A70" w:rsidRDefault="00231D51" w:rsidP="00DF14B2">
      <w:pPr>
        <w:spacing w:after="0" w:line="240" w:lineRule="auto"/>
        <w:jc w:val="both"/>
        <w:rPr>
          <w:rFonts w:cs="David"/>
          <w:b/>
          <w:bCs/>
          <w:color w:val="000000"/>
          <w:sz w:val="26"/>
          <w:szCs w:val="26"/>
          <w:u w:val="single"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920127" w:rsidRDefault="00231D51" w:rsidP="00CA5E2A">
      <w:pPr>
        <w:spacing w:after="0" w:line="240" w:lineRule="auto"/>
        <w:jc w:val="center"/>
        <w:rPr>
          <w:rFonts w:ascii="Calibri" w:eastAsiaTheme="minorHAnsi" w:hAnsi="Calibri" w:cs="David"/>
          <w:i/>
          <w:iCs/>
          <w:sz w:val="26"/>
          <w:szCs w:val="26"/>
          <w:rtl/>
        </w:rPr>
      </w:pPr>
      <w:r w:rsidRPr="00920127">
        <w:rPr>
          <w:rFonts w:ascii="David" w:hAnsi="David" w:cs="David"/>
          <w:i/>
          <w:iCs/>
          <w:sz w:val="24"/>
          <w:szCs w:val="24"/>
          <w:rtl/>
        </w:rPr>
        <w:t>מתן פטור מדו"ח הערכת השפעת רגולציה (</w:t>
      </w:r>
      <w:r w:rsidRPr="00920127">
        <w:rPr>
          <w:rFonts w:ascii="David" w:hAnsi="David" w:cs="David"/>
          <w:i/>
          <w:iCs/>
          <w:sz w:val="24"/>
          <w:szCs w:val="24"/>
        </w:rPr>
        <w:t>RIA</w:t>
      </w:r>
      <w:r w:rsidRPr="00920127">
        <w:rPr>
          <w:rFonts w:ascii="David" w:hAnsi="David" w:cs="David"/>
          <w:i/>
          <w:iCs/>
          <w:sz w:val="24"/>
          <w:szCs w:val="24"/>
          <w:rtl/>
        </w:rPr>
        <w:t>) על ידי השר בשנת 2019</w:t>
      </w:r>
    </w:p>
    <w:p w:rsidR="002048D1" w:rsidRPr="002048D1" w:rsidRDefault="002048D1" w:rsidP="00920127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231D51">
        <w:rPr>
          <w:rFonts w:cs="David" w:hint="cs"/>
          <w:sz w:val="26"/>
          <w:szCs w:val="26"/>
          <w:rtl/>
        </w:rPr>
        <w:t>6.1.20</w:t>
      </w:r>
    </w:p>
    <w:p w:rsidR="00EC0DBE" w:rsidRDefault="0076098F" w:rsidP="0092012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231D51" w:rsidRDefault="00FD09FE" w:rsidP="00920127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במכתב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 xml:space="preserve">אותו 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העברת </w:t>
      </w:r>
      <w:r>
        <w:rPr>
          <w:rFonts w:cs="David" w:hint="cs"/>
          <w:color w:val="000000"/>
          <w:sz w:val="26"/>
          <w:szCs w:val="26"/>
          <w:rtl/>
        </w:rPr>
        <w:t xml:space="preserve">להתייחסות משרדנו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הכלכלה ותעשייה</w:t>
      </w:r>
      <w:r w:rsidR="00EC0DBE" w:rsidRPr="00DF14B2">
        <w:rPr>
          <w:rFonts w:cs="David" w:hint="cs"/>
          <w:color w:val="000000"/>
          <w:sz w:val="26"/>
          <w:szCs w:val="26"/>
          <w:rtl/>
        </w:rPr>
        <w:t>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</w:t>
      </w:r>
      <w:r w:rsidR="00231D51">
        <w:rPr>
          <w:rFonts w:cs="David" w:hint="cs"/>
          <w:color w:val="000000"/>
          <w:sz w:val="26"/>
          <w:szCs w:val="26"/>
          <w:rtl/>
        </w:rPr>
        <w:t>מידע כדלקמן:</w:t>
      </w:r>
    </w:p>
    <w:p w:rsidR="00231D51" w:rsidRPr="00920127" w:rsidRDefault="00231D51" w:rsidP="00920127">
      <w:pPr>
        <w:pStyle w:val="a9"/>
        <w:numPr>
          <w:ilvl w:val="0"/>
          <w:numId w:val="45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20127">
        <w:rPr>
          <w:rFonts w:cs="David"/>
          <w:color w:val="000000"/>
          <w:sz w:val="26"/>
          <w:szCs w:val="26"/>
          <w:rtl/>
        </w:rPr>
        <w:t xml:space="preserve">כלל הבקשות לפטורים לדו"חות הערכות רגולציה שהמשרד ביקש מהשר. </w:t>
      </w:r>
    </w:p>
    <w:p w:rsidR="00231D51" w:rsidRPr="00920127" w:rsidRDefault="00231D51" w:rsidP="00920127">
      <w:pPr>
        <w:pStyle w:val="a9"/>
        <w:numPr>
          <w:ilvl w:val="0"/>
          <w:numId w:val="45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20127">
        <w:rPr>
          <w:rFonts w:cs="David"/>
          <w:color w:val="000000"/>
          <w:sz w:val="26"/>
          <w:szCs w:val="26"/>
          <w:rtl/>
        </w:rPr>
        <w:t xml:space="preserve">אישורי הפטור במידה שניתנו, יחד עם הנמקותיהם והמסמכים שצורפו אליהם. </w:t>
      </w:r>
    </w:p>
    <w:p w:rsidR="00FD09FE" w:rsidRPr="00920127" w:rsidRDefault="00FD09FE" w:rsidP="00920127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20127">
        <w:rPr>
          <w:rFonts w:ascii="Arial" w:hAnsi="Arial" w:cs="David" w:hint="cs"/>
          <w:sz w:val="26"/>
          <w:szCs w:val="26"/>
          <w:rtl/>
        </w:rPr>
        <w:t xml:space="preserve">בקשתך שבסימוכין לקבלת מידע הועברה ליחידה המקצועית הרלוונטית, במקרה דנן,  </w:t>
      </w:r>
      <w:r w:rsidR="00920127">
        <w:rPr>
          <w:rFonts w:ascii="Arial" w:hAnsi="Arial" w:cs="David" w:hint="cs"/>
          <w:sz w:val="26"/>
          <w:szCs w:val="26"/>
          <w:rtl/>
        </w:rPr>
        <w:t>אגף בכיר לאסטרטגיה ותכנון מדיניות</w:t>
      </w:r>
      <w:r w:rsidRPr="00920127">
        <w:rPr>
          <w:rFonts w:ascii="Arial" w:hAnsi="Arial" w:cs="David" w:hint="cs"/>
          <w:sz w:val="26"/>
          <w:szCs w:val="26"/>
          <w:rtl/>
        </w:rPr>
        <w:t xml:space="preserve"> (להלן: "היחידה המקצועית")</w:t>
      </w:r>
      <w:r w:rsidR="00920127">
        <w:rPr>
          <w:rFonts w:ascii="Arial" w:hAnsi="Arial" w:cs="David" w:hint="cs"/>
          <w:sz w:val="26"/>
          <w:szCs w:val="26"/>
          <w:rtl/>
        </w:rPr>
        <w:t xml:space="preserve"> ולהלן התייחסותה:</w:t>
      </w:r>
    </w:p>
    <w:p w:rsidR="00920127" w:rsidRPr="00920127" w:rsidRDefault="00920127" w:rsidP="00920127">
      <w:pPr>
        <w:pStyle w:val="a9"/>
        <w:numPr>
          <w:ilvl w:val="0"/>
          <w:numId w:val="47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920127">
        <w:rPr>
          <w:rFonts w:ascii="Arial" w:hAnsi="Arial" w:cs="David" w:hint="cs"/>
          <w:sz w:val="26"/>
          <w:szCs w:val="26"/>
          <w:rtl/>
        </w:rPr>
        <w:t xml:space="preserve">בשנת 2019, </w:t>
      </w:r>
      <w:r w:rsidRPr="00920127">
        <w:rPr>
          <w:rFonts w:ascii="Arial" w:hAnsi="Arial" w:cs="David"/>
          <w:sz w:val="26"/>
          <w:szCs w:val="26"/>
          <w:rtl/>
        </w:rPr>
        <w:t>אף אחת מיחידות המשרד לא ביקשה מהשר פטור</w:t>
      </w:r>
      <w:r w:rsidRPr="00920127">
        <w:rPr>
          <w:rFonts w:ascii="Arial" w:hAnsi="Arial" w:cs="David" w:hint="cs"/>
          <w:sz w:val="26"/>
          <w:szCs w:val="26"/>
          <w:rtl/>
        </w:rPr>
        <w:t xml:space="preserve"> לדו"חות הערכות רגולציה.</w:t>
      </w:r>
    </w:p>
    <w:p w:rsidR="00231D51" w:rsidRPr="00920127" w:rsidRDefault="00231D51" w:rsidP="00920127">
      <w:pPr>
        <w:pStyle w:val="a9"/>
        <w:numPr>
          <w:ilvl w:val="0"/>
          <w:numId w:val="47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920127">
        <w:rPr>
          <w:rFonts w:ascii="Arial" w:hAnsi="Arial" w:cs="David"/>
          <w:sz w:val="26"/>
          <w:szCs w:val="26"/>
          <w:rtl/>
        </w:rPr>
        <w:t xml:space="preserve">השר לא פטר אף רגולציה מדוח הערכת השפעות בטענה שמדובר ברגולציה שהשפעתה על מפוקחים או על אינטרסים ציבוריים אחרים זניחה (בהתאם להחלטת ממשלה 2118). </w:t>
      </w:r>
    </w:p>
    <w:p w:rsidR="007A1DE0" w:rsidRDefault="00746DA5" w:rsidP="007A1DE0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יובהר </w:t>
      </w:r>
      <w:r w:rsidR="00E72EEC" w:rsidRPr="007A1DE0">
        <w:rPr>
          <w:rFonts w:ascii="Arial" w:hAnsi="Arial" w:cs="David"/>
          <w:sz w:val="26"/>
          <w:szCs w:val="26"/>
          <w:rtl/>
        </w:rPr>
        <w:t>המענה המשרדי לא מתייחס לרשות להגנת הצרכן ולסחר ההוגן</w:t>
      </w:r>
      <w:r w:rsidR="007A1DE0">
        <w:rPr>
          <w:rFonts w:ascii="Arial" w:hAnsi="Arial" w:cs="David" w:hint="cs"/>
          <w:sz w:val="26"/>
          <w:szCs w:val="26"/>
          <w:rtl/>
        </w:rPr>
        <w:t xml:space="preserve"> (להלן: "הרשות")</w:t>
      </w:r>
      <w:r w:rsidR="00E72EEC" w:rsidRPr="007A1DE0">
        <w:rPr>
          <w:rFonts w:ascii="Arial" w:hAnsi="Arial" w:cs="David"/>
          <w:sz w:val="26"/>
          <w:szCs w:val="26"/>
          <w:rtl/>
        </w:rPr>
        <w:t xml:space="preserve">, בה יש מוביל רגולציה וממונה על </w:t>
      </w:r>
      <w:r w:rsidR="007A1DE0">
        <w:rPr>
          <w:rFonts w:ascii="Arial" w:hAnsi="Arial" w:cs="David" w:hint="cs"/>
          <w:sz w:val="26"/>
          <w:szCs w:val="26"/>
          <w:rtl/>
        </w:rPr>
        <w:t xml:space="preserve">יישום </w:t>
      </w:r>
      <w:r w:rsidR="00E72EEC" w:rsidRPr="007A1DE0">
        <w:rPr>
          <w:rFonts w:ascii="Arial" w:hAnsi="Arial" w:cs="David"/>
          <w:sz w:val="26"/>
          <w:szCs w:val="26"/>
          <w:rtl/>
        </w:rPr>
        <w:t>חופש המידע עצמאיים</w:t>
      </w:r>
      <w:r w:rsidR="007A1DE0">
        <w:rPr>
          <w:rFonts w:ascii="Arial" w:hAnsi="Arial" w:cs="David" w:hint="cs"/>
          <w:sz w:val="26"/>
          <w:szCs w:val="26"/>
          <w:rtl/>
        </w:rPr>
        <w:t>.</w:t>
      </w:r>
      <w:r w:rsidR="007A1DE0" w:rsidRPr="007A1DE0">
        <w:rPr>
          <w:rFonts w:ascii="Arial" w:hAnsi="Arial" w:cs="David"/>
          <w:sz w:val="26"/>
          <w:szCs w:val="26"/>
          <w:rtl/>
        </w:rPr>
        <w:t xml:space="preserve"> </w:t>
      </w:r>
    </w:p>
    <w:p w:rsidR="00E72EEC" w:rsidRPr="007A1DE0" w:rsidRDefault="00E72EEC" w:rsidP="007A1DE0">
      <w:p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7A1DE0">
        <w:rPr>
          <w:rFonts w:ascii="Arial" w:hAnsi="Arial" w:cs="David"/>
          <w:sz w:val="26"/>
          <w:szCs w:val="26"/>
          <w:rtl/>
        </w:rPr>
        <w:t>ככל שקיים צורך בבירור הסוגיה גם בהקשר</w:t>
      </w:r>
      <w:r w:rsidR="007A1DE0">
        <w:rPr>
          <w:rFonts w:ascii="Arial" w:hAnsi="Arial" w:cs="David" w:hint="cs"/>
          <w:sz w:val="26"/>
          <w:szCs w:val="26"/>
          <w:rtl/>
        </w:rPr>
        <w:t xml:space="preserve"> הרשות, </w:t>
      </w:r>
      <w:r w:rsidR="007A1DE0" w:rsidRPr="007A1DE0">
        <w:rPr>
          <w:rFonts w:ascii="Arial" w:hAnsi="Arial" w:cs="David"/>
          <w:sz w:val="26"/>
          <w:szCs w:val="26"/>
          <w:rtl/>
        </w:rPr>
        <w:t xml:space="preserve"> עלי</w:t>
      </w:r>
      <w:r w:rsidR="007A1DE0">
        <w:rPr>
          <w:rFonts w:ascii="Arial" w:hAnsi="Arial" w:cs="David" w:hint="cs"/>
          <w:sz w:val="26"/>
          <w:szCs w:val="26"/>
          <w:rtl/>
        </w:rPr>
        <w:t>יך</w:t>
      </w:r>
      <w:r w:rsidR="007A1DE0" w:rsidRPr="007A1DE0">
        <w:rPr>
          <w:rFonts w:ascii="Arial" w:hAnsi="Arial" w:cs="David"/>
          <w:sz w:val="26"/>
          <w:szCs w:val="26"/>
          <w:rtl/>
        </w:rPr>
        <w:t xml:space="preserve"> לפנות אליה</w:t>
      </w:r>
      <w:r w:rsidRPr="007A1DE0">
        <w:rPr>
          <w:rFonts w:ascii="Arial" w:hAnsi="Arial" w:cs="David"/>
          <w:sz w:val="26"/>
          <w:szCs w:val="26"/>
          <w:rtl/>
        </w:rPr>
        <w:t xml:space="preserve"> ישירות.</w:t>
      </w:r>
    </w:p>
    <w:p w:rsidR="00DF14B2" w:rsidRDefault="00DF14B2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A14A70" w:rsidRDefault="00A14A70" w:rsidP="00920127">
      <w:pPr>
        <w:spacing w:before="120" w:after="0" w:line="240" w:lineRule="auto"/>
        <w:rPr>
          <w:rFonts w:cs="David"/>
          <w:sz w:val="26"/>
          <w:szCs w:val="26"/>
          <w:rtl/>
        </w:rPr>
      </w:pPr>
    </w:p>
    <w:p w:rsidR="00920127" w:rsidRDefault="001C087E" w:rsidP="00920127">
      <w:pPr>
        <w:spacing w:before="120" w:after="0" w:line="240" w:lineRule="auto"/>
        <w:rPr>
          <w:rFonts w:cs="David"/>
          <w:sz w:val="26"/>
          <w:szCs w:val="26"/>
          <w:rtl/>
        </w:rPr>
      </w:pPr>
      <w:bookmarkStart w:id="0" w:name="_GoBack"/>
      <w:bookmarkEnd w:id="0"/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</w:p>
    <w:p w:rsidR="001C087E" w:rsidRDefault="00920127" w:rsidP="00152F06">
      <w:pPr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מר דן יונה עמדי, </w:t>
      </w:r>
      <w:r w:rsidRPr="00920127">
        <w:rPr>
          <w:rFonts w:cs="David"/>
          <w:sz w:val="26"/>
          <w:szCs w:val="26"/>
          <w:rtl/>
        </w:rPr>
        <w:t>מנהל תחום מדיניות רגולציה</w:t>
      </w:r>
      <w:r>
        <w:rPr>
          <w:rFonts w:cs="David" w:hint="cs"/>
          <w:sz w:val="26"/>
          <w:szCs w:val="26"/>
          <w:rtl/>
        </w:rPr>
        <w:t xml:space="preserve">, </w:t>
      </w:r>
      <w:r>
        <w:rPr>
          <w:rFonts w:ascii="Arial" w:hAnsi="Arial" w:cs="David" w:hint="cs"/>
          <w:sz w:val="26"/>
          <w:szCs w:val="26"/>
          <w:rtl/>
        </w:rPr>
        <w:t>אגף בכיר לאסטרטגיה ותכנון מדיניות</w:t>
      </w:r>
      <w:r>
        <w:rPr>
          <w:rFonts w:ascii="Arial" w:hAnsi="Arial" w:cs="Arial"/>
          <w:color w:val="1F497D"/>
          <w:rtl/>
        </w:rPr>
        <w:t xml:space="preserve"> </w:t>
      </w:r>
    </w:p>
    <w:sectPr w:rsidR="001C087E" w:rsidSect="008F166A">
      <w:headerReference w:type="default" r:id="rId8"/>
      <w:footerReference w:type="default" r:id="rId9"/>
      <w:pgSz w:w="11906" w:h="16838"/>
      <w:pgMar w:top="2410" w:right="1800" w:bottom="426" w:left="1418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B49" w:rsidRDefault="001F0B49">
      <w:pPr>
        <w:spacing w:after="0" w:line="240" w:lineRule="auto"/>
      </w:pPr>
      <w:r>
        <w:separator/>
      </w:r>
    </w:p>
  </w:endnote>
  <w:endnote w:type="continuationSeparator" w:id="0">
    <w:p w:rsidR="001F0B49" w:rsidRDefault="001F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F0B49" w:rsidP="00584DD8">
    <w:pPr>
      <w:pStyle w:val="a5"/>
      <w:ind w:left="-989"/>
      <w:rPr>
        <w:noProof/>
        <w:rtl/>
      </w:rPr>
    </w:pPr>
  </w:p>
  <w:p w:rsidR="00641AB2" w:rsidRDefault="001F0B4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F0B4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B49" w:rsidRDefault="001F0B49">
      <w:pPr>
        <w:spacing w:after="0" w:line="240" w:lineRule="auto"/>
      </w:pPr>
      <w:r>
        <w:separator/>
      </w:r>
    </w:p>
  </w:footnote>
  <w:footnote w:type="continuationSeparator" w:id="0">
    <w:p w:rsidR="001F0B49" w:rsidRDefault="001F0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8F166A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12EBF6" wp14:editId="3CF31635">
          <wp:simplePos x="0" y="0"/>
          <wp:positionH relativeFrom="column">
            <wp:posOffset>4791479</wp:posOffset>
          </wp:positionH>
          <wp:positionV relativeFrom="paragraph">
            <wp:posOffset>465455</wp:posOffset>
          </wp:positionV>
          <wp:extent cx="646430" cy="800100"/>
          <wp:effectExtent l="0" t="0" r="1270" b="0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4C57816E" wp14:editId="540D2B75">
          <wp:simplePos x="0" y="0"/>
          <wp:positionH relativeFrom="column">
            <wp:posOffset>-280035</wp:posOffset>
          </wp:positionH>
          <wp:positionV relativeFrom="paragraph">
            <wp:posOffset>321310</wp:posOffset>
          </wp:positionV>
          <wp:extent cx="2039620" cy="943610"/>
          <wp:effectExtent l="0" t="0" r="0" b="889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661"/>
    <w:multiLevelType w:val="hybridMultilevel"/>
    <w:tmpl w:val="B3EE5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822E7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D0C07"/>
    <w:multiLevelType w:val="hybridMultilevel"/>
    <w:tmpl w:val="A5CADCA4"/>
    <w:lvl w:ilvl="0" w:tplc="720E114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459DD"/>
    <w:multiLevelType w:val="hybridMultilevel"/>
    <w:tmpl w:val="6A76BE9C"/>
    <w:lvl w:ilvl="0" w:tplc="720E11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D529CA"/>
    <w:multiLevelType w:val="hybridMultilevel"/>
    <w:tmpl w:val="374A6406"/>
    <w:lvl w:ilvl="0" w:tplc="720E11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D451971"/>
    <w:multiLevelType w:val="hybridMultilevel"/>
    <w:tmpl w:val="94529420"/>
    <w:lvl w:ilvl="0" w:tplc="720E11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5"/>
  </w:num>
  <w:num w:numId="3">
    <w:abstractNumId w:val="6"/>
  </w:num>
  <w:num w:numId="4">
    <w:abstractNumId w:val="33"/>
  </w:num>
  <w:num w:numId="5">
    <w:abstractNumId w:val="31"/>
  </w:num>
  <w:num w:numId="6">
    <w:abstractNumId w:val="34"/>
  </w:num>
  <w:num w:numId="7">
    <w:abstractNumId w:val="16"/>
  </w:num>
  <w:num w:numId="8">
    <w:abstractNumId w:val="24"/>
  </w:num>
  <w:num w:numId="9">
    <w:abstractNumId w:val="7"/>
  </w:num>
  <w:num w:numId="10">
    <w:abstractNumId w:val="45"/>
  </w:num>
  <w:num w:numId="11">
    <w:abstractNumId w:val="2"/>
  </w:num>
  <w:num w:numId="12">
    <w:abstractNumId w:val="9"/>
  </w:num>
  <w:num w:numId="13">
    <w:abstractNumId w:val="29"/>
  </w:num>
  <w:num w:numId="14">
    <w:abstractNumId w:val="20"/>
  </w:num>
  <w:num w:numId="15">
    <w:abstractNumId w:val="15"/>
  </w:num>
  <w:num w:numId="16">
    <w:abstractNumId w:val="36"/>
  </w:num>
  <w:num w:numId="17">
    <w:abstractNumId w:val="18"/>
  </w:num>
  <w:num w:numId="18">
    <w:abstractNumId w:val="12"/>
  </w:num>
  <w:num w:numId="19">
    <w:abstractNumId w:val="22"/>
  </w:num>
  <w:num w:numId="20">
    <w:abstractNumId w:val="4"/>
  </w:num>
  <w:num w:numId="21">
    <w:abstractNumId w:val="13"/>
  </w:num>
  <w:num w:numId="22">
    <w:abstractNumId w:val="41"/>
  </w:num>
  <w:num w:numId="23">
    <w:abstractNumId w:val="44"/>
  </w:num>
  <w:num w:numId="24">
    <w:abstractNumId w:val="26"/>
  </w:num>
  <w:num w:numId="25">
    <w:abstractNumId w:val="39"/>
  </w:num>
  <w:num w:numId="26">
    <w:abstractNumId w:val="27"/>
  </w:num>
  <w:num w:numId="27">
    <w:abstractNumId w:val="21"/>
  </w:num>
  <w:num w:numId="28">
    <w:abstractNumId w:val="40"/>
  </w:num>
  <w:num w:numId="29">
    <w:abstractNumId w:val="42"/>
  </w:num>
  <w:num w:numId="30">
    <w:abstractNumId w:val="8"/>
  </w:num>
  <w:num w:numId="31">
    <w:abstractNumId w:val="19"/>
  </w:num>
  <w:num w:numId="32">
    <w:abstractNumId w:val="3"/>
  </w:num>
  <w:num w:numId="33">
    <w:abstractNumId w:val="1"/>
  </w:num>
  <w:num w:numId="34">
    <w:abstractNumId w:val="30"/>
  </w:num>
  <w:num w:numId="35">
    <w:abstractNumId w:val="14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5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</w:num>
  <w:num w:numId="44">
    <w:abstractNumId w:val="23"/>
  </w:num>
  <w:num w:numId="45">
    <w:abstractNumId w:val="25"/>
  </w:num>
  <w:num w:numId="46">
    <w:abstractNumId w:val="3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52F06"/>
    <w:rsid w:val="00155C64"/>
    <w:rsid w:val="00157DD3"/>
    <w:rsid w:val="00163871"/>
    <w:rsid w:val="00171925"/>
    <w:rsid w:val="001A13FF"/>
    <w:rsid w:val="001B08EF"/>
    <w:rsid w:val="001B660A"/>
    <w:rsid w:val="001C087E"/>
    <w:rsid w:val="001C430D"/>
    <w:rsid w:val="001D04E6"/>
    <w:rsid w:val="001F0B49"/>
    <w:rsid w:val="001F5DEB"/>
    <w:rsid w:val="00201B68"/>
    <w:rsid w:val="002048D1"/>
    <w:rsid w:val="00205008"/>
    <w:rsid w:val="0022203B"/>
    <w:rsid w:val="00224505"/>
    <w:rsid w:val="00231D51"/>
    <w:rsid w:val="0023753A"/>
    <w:rsid w:val="002424DB"/>
    <w:rsid w:val="00250F60"/>
    <w:rsid w:val="00272556"/>
    <w:rsid w:val="0027282E"/>
    <w:rsid w:val="00297931"/>
    <w:rsid w:val="002A2F1F"/>
    <w:rsid w:val="002A3BF4"/>
    <w:rsid w:val="002A5F2F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427CF"/>
    <w:rsid w:val="00460C4A"/>
    <w:rsid w:val="00473D08"/>
    <w:rsid w:val="00481F12"/>
    <w:rsid w:val="00483B5E"/>
    <w:rsid w:val="0049777B"/>
    <w:rsid w:val="004A384E"/>
    <w:rsid w:val="004B21B0"/>
    <w:rsid w:val="004C095D"/>
    <w:rsid w:val="004D6858"/>
    <w:rsid w:val="004E3329"/>
    <w:rsid w:val="004F23D5"/>
    <w:rsid w:val="004F5D67"/>
    <w:rsid w:val="00506C93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46DA5"/>
    <w:rsid w:val="007572F2"/>
    <w:rsid w:val="0076098F"/>
    <w:rsid w:val="00760C2D"/>
    <w:rsid w:val="00761DCF"/>
    <w:rsid w:val="00774164"/>
    <w:rsid w:val="007802AD"/>
    <w:rsid w:val="007852A8"/>
    <w:rsid w:val="00790156"/>
    <w:rsid w:val="007964F7"/>
    <w:rsid w:val="007A1DE0"/>
    <w:rsid w:val="007A7CA3"/>
    <w:rsid w:val="007B2814"/>
    <w:rsid w:val="007B6A39"/>
    <w:rsid w:val="007F62D1"/>
    <w:rsid w:val="0082347B"/>
    <w:rsid w:val="00834F64"/>
    <w:rsid w:val="008508FB"/>
    <w:rsid w:val="008540FE"/>
    <w:rsid w:val="008843C9"/>
    <w:rsid w:val="008D14F2"/>
    <w:rsid w:val="008D42B5"/>
    <w:rsid w:val="008F0C52"/>
    <w:rsid w:val="008F1593"/>
    <w:rsid w:val="008F166A"/>
    <w:rsid w:val="009005F6"/>
    <w:rsid w:val="00906CA0"/>
    <w:rsid w:val="00907B22"/>
    <w:rsid w:val="00913549"/>
    <w:rsid w:val="0091529C"/>
    <w:rsid w:val="00920127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751E"/>
    <w:rsid w:val="009B18C4"/>
    <w:rsid w:val="009B380C"/>
    <w:rsid w:val="009C3FDD"/>
    <w:rsid w:val="009D6DA2"/>
    <w:rsid w:val="009E182F"/>
    <w:rsid w:val="00A01D37"/>
    <w:rsid w:val="00A14A70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5E2A"/>
    <w:rsid w:val="00CA6068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6659"/>
    <w:rsid w:val="00E56028"/>
    <w:rsid w:val="00E71AAF"/>
    <w:rsid w:val="00E72EEC"/>
    <w:rsid w:val="00E76E04"/>
    <w:rsid w:val="00E93120"/>
    <w:rsid w:val="00EA2101"/>
    <w:rsid w:val="00EA21DD"/>
    <w:rsid w:val="00EB2632"/>
    <w:rsid w:val="00EB42E9"/>
    <w:rsid w:val="00EC0DBE"/>
    <w:rsid w:val="00ED2DB7"/>
    <w:rsid w:val="00F0721A"/>
    <w:rsid w:val="00F202CF"/>
    <w:rsid w:val="00F42B3F"/>
    <w:rsid w:val="00F51A19"/>
    <w:rsid w:val="00F54338"/>
    <w:rsid w:val="00F5580E"/>
    <w:rsid w:val="00F63AED"/>
    <w:rsid w:val="00FA4F55"/>
    <w:rsid w:val="00FB2847"/>
    <w:rsid w:val="00FB3CE5"/>
    <w:rsid w:val="00FC5187"/>
    <w:rsid w:val="00FD09FE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4DEA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87046-BAAF-4F1C-8B4A-7428FE7AB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7792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153</cp:revision>
  <cp:lastPrinted>2019-04-16T06:21:00Z</cp:lastPrinted>
  <dcterms:created xsi:type="dcterms:W3CDTF">2016-09-20T06:33:00Z</dcterms:created>
  <dcterms:modified xsi:type="dcterms:W3CDTF">2020-03-03T11:49:00Z</dcterms:modified>
</cp:coreProperties>
</file>