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51F" w:rsidRPr="00DE197C" w:rsidRDefault="00ED351F" w:rsidP="00ED351F">
      <w:pPr>
        <w:spacing w:after="0" w:line="240" w:lineRule="auto"/>
        <w:jc w:val="right"/>
        <w:rPr>
          <w:rFonts w:asciiTheme="minorBidi" w:hAnsiTheme="minorBidi"/>
          <w:sz w:val="24"/>
          <w:szCs w:val="24"/>
          <w:rtl/>
        </w:rPr>
      </w:pPr>
      <w:r w:rsidRPr="00DE197C">
        <w:rPr>
          <w:rFonts w:asciiTheme="minorBidi" w:eastAsia="Times New Roman" w:hAnsiTheme="minorBidi"/>
          <w:sz w:val="24"/>
          <w:szCs w:val="24"/>
          <w:rtl/>
        </w:rPr>
        <w:fldChar w:fldCharType="begin"/>
      </w:r>
      <w:r w:rsidRPr="00DE197C">
        <w:rPr>
          <w:rFonts w:asciiTheme="minorBidi" w:eastAsia="Times New Roman" w:hAnsiTheme="minorBidi"/>
          <w:sz w:val="24"/>
          <w:szCs w:val="24"/>
          <w:rtl/>
        </w:rPr>
        <w:instrText xml:space="preserve"> </w:instrText>
      </w:r>
      <w:r w:rsidRPr="00DE197C">
        <w:rPr>
          <w:rFonts w:asciiTheme="minorBidi" w:eastAsia="Times New Roman" w:hAnsiTheme="minorBidi"/>
          <w:sz w:val="24"/>
          <w:szCs w:val="24"/>
        </w:rPr>
        <w:instrText>DATE</w:instrText>
      </w:r>
      <w:r w:rsidRPr="00DE197C">
        <w:rPr>
          <w:rFonts w:asciiTheme="minorBidi" w:eastAsia="Times New Roman" w:hAnsiTheme="minorBidi"/>
          <w:sz w:val="24"/>
          <w:szCs w:val="24"/>
          <w:rtl/>
        </w:rPr>
        <w:instrText xml:space="preserve"> \@ "</w:instrText>
      </w:r>
      <w:r w:rsidRPr="00DE197C">
        <w:rPr>
          <w:rFonts w:asciiTheme="minorBidi" w:eastAsia="Times New Roman" w:hAnsiTheme="minorBidi"/>
          <w:sz w:val="24"/>
          <w:szCs w:val="24"/>
        </w:rPr>
        <w:instrText>dd MMMM yyyy" \h</w:instrText>
      </w:r>
      <w:r w:rsidRPr="00DE197C">
        <w:rPr>
          <w:rFonts w:asciiTheme="minorBidi" w:eastAsia="Times New Roman" w:hAnsiTheme="minorBidi"/>
          <w:sz w:val="24"/>
          <w:szCs w:val="24"/>
          <w:rtl/>
        </w:rPr>
        <w:instrText xml:space="preserve"> </w:instrText>
      </w:r>
      <w:r w:rsidRPr="00DE197C">
        <w:rPr>
          <w:rFonts w:asciiTheme="minorBidi" w:eastAsia="Times New Roman" w:hAnsiTheme="minorBidi"/>
          <w:sz w:val="24"/>
          <w:szCs w:val="24"/>
          <w:rtl/>
        </w:rPr>
        <w:fldChar w:fldCharType="separate"/>
      </w:r>
      <w:r>
        <w:rPr>
          <w:rFonts w:asciiTheme="minorBidi" w:eastAsia="Times New Roman" w:hAnsiTheme="minorBidi"/>
          <w:noProof/>
          <w:sz w:val="24"/>
          <w:szCs w:val="24"/>
          <w:rtl/>
        </w:rPr>
        <w:t>‏ט' אייר תשע"ט</w:t>
      </w:r>
      <w:r w:rsidRPr="00DE197C">
        <w:rPr>
          <w:rFonts w:asciiTheme="minorBidi" w:eastAsia="Times New Roman" w:hAnsiTheme="minorBidi"/>
          <w:sz w:val="24"/>
          <w:szCs w:val="24"/>
          <w:rtl/>
        </w:rPr>
        <w:fldChar w:fldCharType="end"/>
      </w:r>
    </w:p>
    <w:p w:rsidR="00ED351F" w:rsidRDefault="00ED351F" w:rsidP="00ED351F">
      <w:pPr>
        <w:spacing w:line="240" w:lineRule="auto"/>
        <w:jc w:val="right"/>
        <w:rPr>
          <w:rFonts w:asciiTheme="minorBidi" w:hAnsiTheme="minorBidi"/>
          <w:sz w:val="24"/>
          <w:szCs w:val="24"/>
          <w:rtl/>
        </w:rPr>
      </w:pPr>
      <w:r w:rsidRPr="00DE197C">
        <w:rPr>
          <w:rFonts w:asciiTheme="minorBidi" w:hAnsiTheme="minorBidi"/>
          <w:sz w:val="24"/>
          <w:szCs w:val="24"/>
          <w:rtl/>
        </w:rPr>
        <w:t xml:space="preserve">‏ </w:t>
      </w:r>
      <w:r w:rsidRPr="00DE197C">
        <w:rPr>
          <w:rFonts w:asciiTheme="minorBidi" w:hAnsiTheme="minorBidi"/>
          <w:sz w:val="24"/>
          <w:szCs w:val="24"/>
          <w:rtl/>
        </w:rPr>
        <w:fldChar w:fldCharType="begin"/>
      </w:r>
      <w:r w:rsidRPr="00DE197C">
        <w:rPr>
          <w:rFonts w:asciiTheme="minorBidi" w:hAnsiTheme="minorBidi"/>
          <w:sz w:val="24"/>
          <w:szCs w:val="24"/>
          <w:rtl/>
        </w:rPr>
        <w:instrText xml:space="preserve"> </w:instrText>
      </w:r>
      <w:r w:rsidRPr="00DE197C">
        <w:rPr>
          <w:rFonts w:asciiTheme="minorBidi" w:hAnsiTheme="minorBidi"/>
          <w:sz w:val="24"/>
          <w:szCs w:val="24"/>
        </w:rPr>
        <w:instrText>DATE</w:instrText>
      </w:r>
      <w:r w:rsidRPr="00DE197C">
        <w:rPr>
          <w:rFonts w:asciiTheme="minorBidi" w:hAnsiTheme="minorBidi"/>
          <w:sz w:val="24"/>
          <w:szCs w:val="24"/>
          <w:rtl/>
        </w:rPr>
        <w:instrText xml:space="preserve"> \@ "</w:instrText>
      </w:r>
      <w:r w:rsidRPr="00DE197C">
        <w:rPr>
          <w:rFonts w:asciiTheme="minorBidi" w:hAnsiTheme="minorBidi"/>
          <w:sz w:val="24"/>
          <w:szCs w:val="24"/>
        </w:rPr>
        <w:instrText>dd MMMM yyyy</w:instrText>
      </w:r>
      <w:r w:rsidRPr="00DE197C">
        <w:rPr>
          <w:rFonts w:asciiTheme="minorBidi" w:hAnsiTheme="minorBidi"/>
          <w:sz w:val="24"/>
          <w:szCs w:val="24"/>
          <w:rtl/>
        </w:rPr>
        <w:instrText xml:space="preserve">" </w:instrText>
      </w:r>
      <w:r w:rsidRPr="00DE197C">
        <w:rPr>
          <w:rFonts w:asciiTheme="minorBidi" w:hAnsiTheme="minorBidi"/>
          <w:sz w:val="24"/>
          <w:szCs w:val="24"/>
          <w:rtl/>
        </w:rPr>
        <w:fldChar w:fldCharType="separate"/>
      </w:r>
      <w:r>
        <w:rPr>
          <w:rFonts w:asciiTheme="minorBidi" w:hAnsiTheme="minorBidi"/>
          <w:noProof/>
          <w:sz w:val="24"/>
          <w:szCs w:val="24"/>
          <w:rtl/>
        </w:rPr>
        <w:t>‏14 מאי 2019</w:t>
      </w:r>
      <w:r w:rsidRPr="00DE197C">
        <w:rPr>
          <w:rFonts w:asciiTheme="minorBidi" w:hAnsiTheme="minorBidi"/>
          <w:sz w:val="24"/>
          <w:szCs w:val="24"/>
          <w:rtl/>
        </w:rPr>
        <w:fldChar w:fldCharType="end"/>
      </w:r>
    </w:p>
    <w:p w:rsidR="00ED351F" w:rsidRPr="00DE197C" w:rsidRDefault="00ED351F" w:rsidP="00ED351F">
      <w:pPr>
        <w:spacing w:line="240" w:lineRule="auto"/>
        <w:jc w:val="right"/>
        <w:rPr>
          <w:rFonts w:asciiTheme="minorBidi" w:hAnsiTheme="minorBidi"/>
          <w:sz w:val="24"/>
          <w:szCs w:val="24"/>
          <w:rtl/>
        </w:rPr>
      </w:pPr>
    </w:p>
    <w:p w:rsidR="00ED351F" w:rsidRPr="00DE197C" w:rsidRDefault="00ED351F" w:rsidP="00ED351F">
      <w:pPr>
        <w:spacing w:after="0" w:line="240" w:lineRule="auto"/>
        <w:rPr>
          <w:rFonts w:asciiTheme="minorBidi" w:eastAsia="Calibri" w:hAnsiTheme="minorBidi"/>
          <w:sz w:val="24"/>
          <w:szCs w:val="24"/>
          <w:rtl/>
        </w:rPr>
      </w:pPr>
      <w:bookmarkStart w:id="0" w:name="_GoBack"/>
      <w:bookmarkEnd w:id="0"/>
    </w:p>
    <w:p w:rsidR="00ED351F" w:rsidRPr="00DE197C" w:rsidRDefault="00ED351F" w:rsidP="00ED351F">
      <w:pPr>
        <w:spacing w:after="0" w:line="240" w:lineRule="auto"/>
        <w:rPr>
          <w:rFonts w:asciiTheme="minorBidi" w:hAnsiTheme="minorBidi"/>
          <w:b/>
          <w:bCs/>
          <w:sz w:val="24"/>
          <w:szCs w:val="24"/>
          <w:rtl/>
        </w:rPr>
      </w:pPr>
    </w:p>
    <w:p w:rsidR="00ED351F" w:rsidRPr="00DE197C" w:rsidRDefault="00ED351F" w:rsidP="00ED351F">
      <w:pPr>
        <w:spacing w:after="0" w:line="240" w:lineRule="auto"/>
        <w:jc w:val="center"/>
        <w:rPr>
          <w:rFonts w:asciiTheme="minorBidi" w:hAnsiTheme="minorBidi"/>
          <w:b/>
          <w:bCs/>
          <w:sz w:val="24"/>
          <w:szCs w:val="24"/>
          <w:u w:val="single"/>
          <w:rtl/>
        </w:rPr>
      </w:pPr>
      <w:r w:rsidRPr="00DE197C">
        <w:rPr>
          <w:rFonts w:asciiTheme="minorBidi" w:hAnsiTheme="minorBidi"/>
          <w:b/>
          <w:bCs/>
          <w:sz w:val="24"/>
          <w:szCs w:val="24"/>
          <w:u w:val="single"/>
          <w:rtl/>
        </w:rPr>
        <w:t>הנדון: שירות צבאי ישראל - צרפת</w:t>
      </w:r>
    </w:p>
    <w:p w:rsidR="00ED351F" w:rsidRPr="00DE197C" w:rsidRDefault="00ED351F" w:rsidP="00ED351F">
      <w:pPr>
        <w:spacing w:after="0" w:line="240" w:lineRule="auto"/>
        <w:jc w:val="center"/>
        <w:rPr>
          <w:rFonts w:asciiTheme="minorBidi" w:hAnsiTheme="minorBidi"/>
          <w:b/>
          <w:bCs/>
          <w:sz w:val="24"/>
          <w:szCs w:val="24"/>
          <w:rtl/>
        </w:rPr>
      </w:pPr>
      <w:r w:rsidRPr="00DE197C">
        <w:rPr>
          <w:rFonts w:asciiTheme="minorBidi" w:hAnsiTheme="minorBidi"/>
          <w:b/>
          <w:bCs/>
          <w:sz w:val="24"/>
          <w:szCs w:val="24"/>
          <w:rtl/>
        </w:rPr>
        <w:t>סימוכין: פנייתך אלינו מיום 31/1/2019</w:t>
      </w:r>
    </w:p>
    <w:p w:rsidR="00ED351F" w:rsidRPr="00DE197C" w:rsidRDefault="00ED351F" w:rsidP="00ED351F">
      <w:pPr>
        <w:spacing w:after="0" w:line="240" w:lineRule="auto"/>
        <w:rPr>
          <w:rFonts w:asciiTheme="minorBidi" w:hAnsiTheme="minorBidi"/>
          <w:sz w:val="24"/>
          <w:szCs w:val="24"/>
          <w:rtl/>
        </w:rPr>
      </w:pPr>
    </w:p>
    <w:p w:rsidR="00ED351F" w:rsidRPr="00DE197C" w:rsidRDefault="00ED351F" w:rsidP="00ED351F">
      <w:pPr>
        <w:spacing w:after="0" w:line="240" w:lineRule="auto"/>
        <w:jc w:val="both"/>
        <w:rPr>
          <w:rFonts w:asciiTheme="minorBidi" w:eastAsia="Times New Roman" w:hAnsiTheme="minorBidi"/>
          <w:sz w:val="24"/>
          <w:szCs w:val="24"/>
          <w:rtl/>
          <w:lang w:eastAsia="he-IL"/>
        </w:rPr>
      </w:pPr>
      <w:r w:rsidRPr="00DE197C">
        <w:rPr>
          <w:rFonts w:asciiTheme="minorBidi" w:eastAsia="Times New Roman" w:hAnsiTheme="minorBidi"/>
          <w:sz w:val="24"/>
          <w:szCs w:val="24"/>
          <w:rtl/>
          <w:lang w:eastAsia="he-IL"/>
        </w:rPr>
        <w:t xml:space="preserve">שלום רב, </w:t>
      </w:r>
    </w:p>
    <w:p w:rsidR="00ED351F" w:rsidRPr="00DE197C" w:rsidRDefault="00ED351F" w:rsidP="00ED351F">
      <w:pPr>
        <w:spacing w:after="0" w:line="240" w:lineRule="auto"/>
        <w:jc w:val="both"/>
        <w:rPr>
          <w:rFonts w:asciiTheme="minorBidi" w:eastAsia="Times New Roman" w:hAnsiTheme="minorBidi"/>
          <w:sz w:val="24"/>
          <w:szCs w:val="24"/>
          <w:rtl/>
          <w:lang w:eastAsia="he-IL"/>
        </w:rPr>
      </w:pPr>
    </w:p>
    <w:p w:rsidR="00ED351F" w:rsidRPr="00DE197C" w:rsidRDefault="00ED351F" w:rsidP="00ED351F">
      <w:pPr>
        <w:spacing w:line="240" w:lineRule="auto"/>
        <w:jc w:val="both"/>
        <w:rPr>
          <w:rFonts w:asciiTheme="minorBidi" w:hAnsiTheme="minorBidi"/>
          <w:sz w:val="24"/>
          <w:szCs w:val="24"/>
          <w:rtl/>
        </w:rPr>
      </w:pPr>
      <w:r w:rsidRPr="00DE197C">
        <w:rPr>
          <w:rFonts w:asciiTheme="minorBidi" w:hAnsiTheme="minorBidi"/>
          <w:sz w:val="24"/>
          <w:szCs w:val="24"/>
          <w:rtl/>
        </w:rPr>
        <w:t>להלן התייחסותנו לבקשתך שבנדון:</w:t>
      </w:r>
    </w:p>
    <w:p w:rsidR="00ED351F" w:rsidRPr="00DE197C" w:rsidRDefault="00ED351F" w:rsidP="00ED351F">
      <w:pPr>
        <w:spacing w:after="0" w:line="240" w:lineRule="auto"/>
        <w:jc w:val="both"/>
        <w:rPr>
          <w:rFonts w:asciiTheme="minorBidi" w:hAnsiTheme="minorBidi"/>
          <w:sz w:val="24"/>
          <w:szCs w:val="24"/>
          <w:rtl/>
        </w:rPr>
      </w:pPr>
      <w:r w:rsidRPr="00DE197C">
        <w:rPr>
          <w:rFonts w:asciiTheme="minorBidi" w:hAnsiTheme="minorBidi"/>
          <w:sz w:val="24"/>
          <w:szCs w:val="24"/>
          <w:rtl/>
        </w:rPr>
        <w:t>1. בין ישראל לבין צרפת נחתמה בשנת 1959 אמנה שכותרתה "אמנה והסדר מנהלי בין ישראל ובין צרפת בדבר שירותם הצבאי של בעלי אזרחות כפולה". נקודת המוצא שעמדה בבסיס האמנה, הייתה העובדה שבאותה העת הטילו בחוק שתי המדינות, ישראל וצרפת, חובת שירות צבאי משמעותי על אזרחיהן. בשנת 1997 תוקן החוק הצרפתי והושהתה חובת השירות הצבאי. אזרחי צרפת ילידי שנת 1979 ואילך נקראים לפעילות של יום אחד בלבד שנקראת "הכנה להגנה". באמנה האמורה לא קיים אזכור ליום "הכנה להגנה", ומדיניות צה"ל לגבי בעלי אזרחות כפולה ישראלית-צרפתית ילידי 1979 ואילך היא שלא להכיר ביום "הכנה להגנה" כשירות צבאי הפוטר מחובת השירות במדינת ישראל</w:t>
      </w:r>
      <w:r w:rsidRPr="00DE197C">
        <w:rPr>
          <w:rFonts w:asciiTheme="minorBidi" w:hAnsiTheme="minorBidi"/>
          <w:sz w:val="24"/>
          <w:szCs w:val="24"/>
        </w:rPr>
        <w:t>.</w:t>
      </w:r>
    </w:p>
    <w:p w:rsidR="00ED351F" w:rsidRPr="00DE197C" w:rsidRDefault="00ED351F" w:rsidP="00ED351F">
      <w:pPr>
        <w:spacing w:line="240" w:lineRule="auto"/>
        <w:jc w:val="both"/>
        <w:rPr>
          <w:rFonts w:asciiTheme="minorBidi" w:hAnsiTheme="minorBidi"/>
          <w:sz w:val="24"/>
          <w:szCs w:val="24"/>
          <w:rtl/>
        </w:rPr>
      </w:pPr>
      <w:r w:rsidRPr="00DE197C">
        <w:rPr>
          <w:rFonts w:asciiTheme="minorBidi" w:hAnsiTheme="minorBidi"/>
          <w:sz w:val="24"/>
          <w:szCs w:val="24"/>
        </w:rPr>
        <w:t> </w:t>
      </w:r>
    </w:p>
    <w:p w:rsidR="00ED351F" w:rsidRPr="00DE197C" w:rsidRDefault="00ED351F" w:rsidP="00ED351F">
      <w:pPr>
        <w:spacing w:line="240" w:lineRule="auto"/>
        <w:jc w:val="both"/>
        <w:rPr>
          <w:rFonts w:asciiTheme="minorBidi" w:hAnsiTheme="minorBidi"/>
          <w:sz w:val="24"/>
          <w:szCs w:val="24"/>
          <w:rtl/>
        </w:rPr>
      </w:pPr>
      <w:r w:rsidRPr="00DE197C">
        <w:rPr>
          <w:rFonts w:asciiTheme="minorBidi" w:hAnsiTheme="minorBidi"/>
          <w:sz w:val="24"/>
          <w:szCs w:val="24"/>
          <w:rtl/>
        </w:rPr>
        <w:t xml:space="preserve">2. אשר ליתר השאלות המועלות בבקשתך, אין זה ממקומה של רשות ציבורית לספק תשובה שאינה בגדר "מידע" כהגדרת החוק ("כל מידע המצוי ברשות ציבורית, והוא כתוב, מוקלט, מוסרט, מצולם או ממוחשב"; סעיף 2 לחוק חופש המידע, התשנ"ח-1998 (להלן: החוק)), לא כל שכן, לענות על מעין "שאלון" או </w:t>
      </w:r>
      <w:proofErr w:type="spellStart"/>
      <w:r w:rsidRPr="00DE197C">
        <w:rPr>
          <w:rFonts w:asciiTheme="minorBidi" w:hAnsiTheme="minorBidi"/>
          <w:sz w:val="24"/>
          <w:szCs w:val="24"/>
          <w:rtl/>
        </w:rPr>
        <w:t>ליתן</w:t>
      </w:r>
      <w:proofErr w:type="spellEnd"/>
      <w:r w:rsidRPr="00DE197C">
        <w:rPr>
          <w:rFonts w:asciiTheme="minorBidi" w:hAnsiTheme="minorBidi"/>
          <w:sz w:val="24"/>
          <w:szCs w:val="24"/>
          <w:rtl/>
        </w:rPr>
        <w:t xml:space="preserve"> מענה שהוא בגדר ייעוץ משפטי (</w:t>
      </w:r>
      <w:proofErr w:type="spellStart"/>
      <w:r w:rsidRPr="00DE197C">
        <w:rPr>
          <w:rFonts w:asciiTheme="minorBidi" w:hAnsiTheme="minorBidi"/>
          <w:sz w:val="24"/>
          <w:szCs w:val="24"/>
          <w:rtl/>
        </w:rPr>
        <w:t>עע"ם</w:t>
      </w:r>
      <w:proofErr w:type="spellEnd"/>
      <w:r w:rsidRPr="00DE197C">
        <w:rPr>
          <w:rFonts w:asciiTheme="minorBidi" w:hAnsiTheme="minorBidi"/>
          <w:sz w:val="24"/>
          <w:szCs w:val="24"/>
          <w:rtl/>
        </w:rPr>
        <w:t xml:space="preserve"> 6930/12 </w:t>
      </w:r>
      <w:proofErr w:type="spellStart"/>
      <w:r w:rsidRPr="00DE197C">
        <w:rPr>
          <w:rFonts w:asciiTheme="minorBidi" w:hAnsiTheme="minorBidi"/>
          <w:sz w:val="24"/>
          <w:szCs w:val="24"/>
          <w:rtl/>
        </w:rPr>
        <w:t>טירם</w:t>
      </w:r>
      <w:proofErr w:type="spellEnd"/>
      <w:r w:rsidRPr="00DE197C">
        <w:rPr>
          <w:rFonts w:asciiTheme="minorBidi" w:hAnsiTheme="minorBidi"/>
          <w:sz w:val="24"/>
          <w:szCs w:val="24"/>
          <w:rtl/>
        </w:rPr>
        <w:t xml:space="preserve"> נ' משרד </w:t>
      </w:r>
      <w:proofErr w:type="spellStart"/>
      <w:r w:rsidRPr="00DE197C">
        <w:rPr>
          <w:rFonts w:asciiTheme="minorBidi" w:hAnsiTheme="minorBidi"/>
          <w:sz w:val="24"/>
          <w:szCs w:val="24"/>
          <w:rtl/>
        </w:rPr>
        <w:t>הבטחון</w:t>
      </w:r>
      <w:proofErr w:type="spellEnd"/>
      <w:r w:rsidRPr="00DE197C">
        <w:rPr>
          <w:rFonts w:asciiTheme="minorBidi" w:hAnsiTheme="minorBidi"/>
          <w:sz w:val="24"/>
          <w:szCs w:val="24"/>
          <w:rtl/>
        </w:rPr>
        <w:t>, פסקה 6 (8.7.2013); נוהל היחידה הממשלתית לחופש המידע 1.3 "נוהל סיווג בקשות חופש מידע" (19.7.2016)). על כן, אנו דוחים את בקשתך בהקשר לשאלות אלו.  </w:t>
      </w:r>
    </w:p>
    <w:p w:rsidR="00ED351F" w:rsidRPr="00DE197C" w:rsidRDefault="00ED351F" w:rsidP="00ED351F">
      <w:pPr>
        <w:spacing w:line="240" w:lineRule="auto"/>
        <w:jc w:val="both"/>
        <w:rPr>
          <w:rFonts w:asciiTheme="minorBidi" w:hAnsiTheme="minorBidi"/>
          <w:sz w:val="24"/>
          <w:szCs w:val="24"/>
        </w:rPr>
      </w:pPr>
      <w:r w:rsidRPr="00DE197C">
        <w:rPr>
          <w:rFonts w:asciiTheme="minorBidi" w:hAnsiTheme="minorBidi"/>
          <w:sz w:val="24"/>
          <w:szCs w:val="24"/>
          <w:rtl/>
        </w:rPr>
        <w:t xml:space="preserve">3. לתשומת לבך, בהתאם לסעיף 7(ו) לחוק, הנך רשאי להגיש עתירה נגד החלטה זו, תוך 45 ימים לבית המשפט לעניינים </w:t>
      </w:r>
      <w:proofErr w:type="spellStart"/>
      <w:r w:rsidRPr="00DE197C">
        <w:rPr>
          <w:rFonts w:asciiTheme="minorBidi" w:hAnsiTheme="minorBidi"/>
          <w:sz w:val="24"/>
          <w:szCs w:val="24"/>
          <w:rtl/>
        </w:rPr>
        <w:t>מינהליים</w:t>
      </w:r>
      <w:proofErr w:type="spellEnd"/>
      <w:r w:rsidRPr="00DE197C">
        <w:rPr>
          <w:rFonts w:asciiTheme="minorBidi" w:hAnsiTheme="minorBidi"/>
          <w:sz w:val="24"/>
          <w:szCs w:val="24"/>
          <w:rtl/>
        </w:rPr>
        <w:t xml:space="preserve"> בירושלים.</w:t>
      </w:r>
    </w:p>
    <w:p w:rsidR="00ED351F" w:rsidRPr="00DE197C" w:rsidRDefault="00ED351F" w:rsidP="00ED351F">
      <w:pPr>
        <w:spacing w:after="0" w:line="240" w:lineRule="auto"/>
        <w:jc w:val="center"/>
        <w:rPr>
          <w:rFonts w:asciiTheme="minorBidi" w:hAnsiTheme="minorBidi"/>
          <w:sz w:val="24"/>
          <w:szCs w:val="24"/>
          <w:rtl/>
        </w:rPr>
      </w:pPr>
      <w:r w:rsidRPr="00DE197C">
        <w:rPr>
          <w:rFonts w:asciiTheme="minorBidi" w:hAnsiTheme="minorBidi"/>
          <w:sz w:val="24"/>
          <w:szCs w:val="24"/>
          <w:rtl/>
        </w:rPr>
        <w:t xml:space="preserve">                                                                              בברכה,</w:t>
      </w:r>
    </w:p>
    <w:p w:rsidR="00ED351F" w:rsidRPr="00DE197C" w:rsidRDefault="00ED351F" w:rsidP="00ED351F">
      <w:pPr>
        <w:spacing w:after="0" w:line="240" w:lineRule="auto"/>
        <w:jc w:val="center"/>
        <w:rPr>
          <w:rFonts w:asciiTheme="minorBidi" w:hAnsiTheme="minorBidi"/>
          <w:sz w:val="24"/>
          <w:szCs w:val="24"/>
          <w:rtl/>
        </w:rPr>
      </w:pPr>
      <w:r w:rsidRPr="00DE197C">
        <w:rPr>
          <w:rFonts w:asciiTheme="minorBidi" w:hAnsiTheme="minorBidi"/>
          <w:sz w:val="24"/>
          <w:szCs w:val="24"/>
          <w:rtl/>
        </w:rPr>
        <w:t xml:space="preserve">                                                                                 </w:t>
      </w:r>
      <w:r w:rsidRPr="00DE197C">
        <w:rPr>
          <w:rFonts w:asciiTheme="minorBidi" w:hAnsiTheme="minorBidi"/>
          <w:noProof/>
          <w:sz w:val="24"/>
          <w:szCs w:val="24"/>
          <w:rtl/>
        </w:rPr>
        <w:drawing>
          <wp:inline distT="0" distB="0" distL="0" distR="0" wp14:anchorId="33307210" wp14:editId="6494B09E">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DE197C">
        <w:rPr>
          <w:rFonts w:asciiTheme="minorBidi" w:hAnsiTheme="minorBidi"/>
          <w:sz w:val="24"/>
          <w:szCs w:val="24"/>
          <w:rtl/>
        </w:rPr>
        <w:t xml:space="preserve">                                                       </w:t>
      </w:r>
    </w:p>
    <w:p w:rsidR="00ED351F" w:rsidRPr="00DE197C" w:rsidRDefault="00ED351F" w:rsidP="00ED351F">
      <w:pPr>
        <w:spacing w:after="0" w:line="240" w:lineRule="auto"/>
        <w:jc w:val="center"/>
        <w:rPr>
          <w:rFonts w:asciiTheme="minorBidi" w:hAnsiTheme="minorBidi"/>
          <w:sz w:val="24"/>
          <w:szCs w:val="24"/>
          <w:rtl/>
        </w:rPr>
      </w:pPr>
      <w:r w:rsidRPr="00DE197C">
        <w:rPr>
          <w:rFonts w:asciiTheme="minorBidi" w:hAnsiTheme="minorBidi"/>
          <w:sz w:val="24"/>
          <w:szCs w:val="24"/>
          <w:rtl/>
        </w:rPr>
        <w:t xml:space="preserve">                                                                               אריה זיני</w:t>
      </w:r>
    </w:p>
    <w:p w:rsidR="00ED351F" w:rsidRPr="00DE197C" w:rsidRDefault="00ED351F" w:rsidP="00ED351F">
      <w:pPr>
        <w:spacing w:after="0" w:line="240" w:lineRule="auto"/>
        <w:jc w:val="right"/>
        <w:rPr>
          <w:rFonts w:asciiTheme="minorBidi" w:hAnsiTheme="minorBidi"/>
          <w:sz w:val="24"/>
          <w:szCs w:val="24"/>
        </w:rPr>
      </w:pPr>
      <w:r w:rsidRPr="00DE197C">
        <w:rPr>
          <w:rFonts w:asciiTheme="minorBidi" w:hAnsiTheme="minorBidi"/>
          <w:sz w:val="24"/>
          <w:szCs w:val="24"/>
          <w:rtl/>
        </w:rPr>
        <w:t xml:space="preserve">    הממונה על יישום חוק חופש המידע</w:t>
      </w:r>
    </w:p>
    <w:p w:rsidR="00ED351F" w:rsidRPr="00DE197C" w:rsidRDefault="00ED351F" w:rsidP="00ED351F">
      <w:pPr>
        <w:spacing w:line="240" w:lineRule="auto"/>
        <w:rPr>
          <w:rFonts w:asciiTheme="minorBidi" w:hAnsiTheme="minorBidi"/>
          <w:sz w:val="24"/>
          <w:szCs w:val="24"/>
        </w:rPr>
      </w:pPr>
      <w:r w:rsidRPr="00DE197C">
        <w:rPr>
          <w:rFonts w:asciiTheme="minorBidi" w:hAnsiTheme="minorBidi"/>
          <w:sz w:val="24"/>
          <w:szCs w:val="24"/>
          <w:rtl/>
        </w:rPr>
        <w:t xml:space="preserve">                                                                                              משרד החוץ                </w:t>
      </w:r>
    </w:p>
    <w:p w:rsidR="0070499E" w:rsidRPr="00ED351F" w:rsidRDefault="0070499E" w:rsidP="00ED351F"/>
    <w:sectPr w:rsidR="0070499E" w:rsidRPr="00ED351F" w:rsidSect="0030196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51F"/>
    <w:rsid w:val="00301969"/>
    <w:rsid w:val="0070499E"/>
    <w:rsid w:val="009611F8"/>
    <w:rsid w:val="00ED351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BC611"/>
  <w15:chartTrackingRefBased/>
  <w15:docId w15:val="{33165CFB-246B-416A-BB45-47BFF7576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351F"/>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ED35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1553</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2019-05-14T13:05:00Z</dcterms:created>
  <dcterms:modified xsi:type="dcterms:W3CDTF">2019-05-14T13:06:00Z</dcterms:modified>
</cp:coreProperties>
</file>