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2" w:rsidRPr="0099290B" w:rsidRDefault="006B4D52" w:rsidP="006B4D52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99290B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99290B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99290B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משתלמים בחקלאות</w:t>
      </w:r>
    </w:p>
    <w:p w:rsidR="006B4D52" w:rsidRPr="0099290B" w:rsidRDefault="006B4D52" w:rsidP="006B4D52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99290B">
        <w:rPr>
          <w:rFonts w:ascii="David" w:hAnsi="David" w:cs="David"/>
          <w:sz w:val="20"/>
          <w:szCs w:val="20"/>
          <w:rtl/>
        </w:rPr>
        <w:t>סימוכין: פנייתך מיום</w:t>
      </w:r>
      <w:r w:rsidRPr="0099290B">
        <w:rPr>
          <w:rFonts w:ascii="David" w:hAnsi="David" w:cs="David" w:hint="cs"/>
          <w:sz w:val="20"/>
          <w:szCs w:val="20"/>
          <w:rtl/>
        </w:rPr>
        <w:t xml:space="preserve"> 26.3.2019</w:t>
      </w:r>
    </w:p>
    <w:p w:rsidR="006B4D52" w:rsidRPr="0099290B" w:rsidRDefault="006B4D52" w:rsidP="006B4D52">
      <w:pPr>
        <w:spacing w:after="0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99290B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לפנייתך </w:t>
      </w: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>שבסימוכין</w:t>
      </w:r>
      <w:r w:rsidRPr="0099290B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>להלן התייחסותנו:</w:t>
      </w:r>
    </w:p>
    <w:p w:rsidR="006B4D52" w:rsidRPr="0099290B" w:rsidRDefault="006B4D52" w:rsidP="006B4D52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>אשר לבקשתך לקבל את "</w:t>
      </w:r>
      <w:r w:rsidRPr="0099290B">
        <w:rPr>
          <w:rFonts w:ascii="David" w:eastAsia="Times New Roman" w:hAnsi="David" w:cs="David"/>
          <w:sz w:val="24"/>
          <w:szCs w:val="24"/>
          <w:rtl/>
          <w:lang w:eastAsia="he-IL"/>
        </w:rPr>
        <w:t>כל פרוטוקולי הוועדה הבין-משרדית למשתלמים בחקלאות</w:t>
      </w: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>"</w:t>
      </w:r>
      <w:r w:rsidRPr="0099290B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>(להלן: הוועדה) משנת 2015 ואילך (סעיף 1 לבקשה), יצוין כי תוכן דיוני הוועד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 בא</w:t>
      </w: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לידי ביטוי בהחלטותיה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,</w:t>
      </w:r>
      <w:r w:rsidRPr="0099290B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ולא במסגרת פרוטוקולים. מצ"ב כלל החלטות הוועדה שאותרו במשרדנו משנת 2015 ואילך. 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>אשר לבקשותייך בדבר קבלת נוהל "הקובע את סדרי עבודתה וסמכויותיה של ועדת המשתלמים" ונוהל "החולש על הבאתם לישראל של משתלמים בחקלאות בידי מרכזים פרטיים" (סעיפים 2, 4 לבקשה), וכן בקשתך שבסעיף 6, בימים אלו נעשית עבודת מטה בין-משרדי</w:t>
      </w:r>
      <w:r w:rsidRPr="0099290B">
        <w:rPr>
          <w:rFonts w:ascii="David" w:hAnsi="David" w:cs="David" w:hint="eastAsia"/>
          <w:sz w:val="24"/>
          <w:szCs w:val="24"/>
          <w:rtl/>
        </w:rPr>
        <w:t>ת</w:t>
      </w:r>
      <w:r w:rsidRPr="0099290B">
        <w:rPr>
          <w:rFonts w:ascii="David" w:hAnsi="David" w:cs="David" w:hint="cs"/>
          <w:sz w:val="24"/>
          <w:szCs w:val="24"/>
          <w:rtl/>
        </w:rPr>
        <w:t xml:space="preserve"> מקיפה, בראשות משרד המשפטים, שמטרתה להסדיר את תכנית המשתלמים בחקלאות על כלל היבטיה.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>פעולות ה</w:t>
      </w:r>
      <w:r>
        <w:rPr>
          <w:rFonts w:ascii="David" w:hAnsi="David" w:cs="David" w:hint="cs"/>
          <w:sz w:val="24"/>
          <w:szCs w:val="24"/>
          <w:rtl/>
        </w:rPr>
        <w:t>בקרה</w:t>
      </w:r>
      <w:r w:rsidRPr="0099290B">
        <w:rPr>
          <w:rFonts w:ascii="David" w:hAnsi="David" w:cs="David" w:hint="cs"/>
          <w:sz w:val="24"/>
          <w:szCs w:val="24"/>
          <w:rtl/>
        </w:rPr>
        <w:t xml:space="preserve"> שנוקטת הוועדה, ובכללן פגישות וראיונות עם המשתלמים עצמם, אינן מוסדרות בנוהל ספציפי, והן חלק מפעילותה השוטפת של הוועדה למול מרכזי המשתלמים והמשקים (סעיף 8.א לבקשה). </w:t>
      </w:r>
      <w:r>
        <w:rPr>
          <w:rFonts w:ascii="David" w:hAnsi="David" w:cs="David" w:hint="cs"/>
          <w:sz w:val="24"/>
          <w:szCs w:val="24"/>
          <w:rtl/>
        </w:rPr>
        <w:t xml:space="preserve">גם </w:t>
      </w:r>
      <w:r w:rsidRPr="0099290B">
        <w:rPr>
          <w:rFonts w:ascii="David" w:hAnsi="David" w:cs="David" w:hint="cs"/>
          <w:sz w:val="24"/>
          <w:szCs w:val="24"/>
          <w:rtl/>
        </w:rPr>
        <w:t>סוגיה זו עתידה להיות מוסדרת במסגרת עבודה המטה האמורה לעיל.</w:t>
      </w:r>
      <w:r>
        <w:rPr>
          <w:rFonts w:ascii="David" w:hAnsi="David" w:cs="David" w:hint="cs"/>
          <w:sz w:val="24"/>
          <w:szCs w:val="24"/>
          <w:rtl/>
        </w:rPr>
        <w:t xml:space="preserve"> סמכויות הפיקוח והאכיפה בתחום מצויות, כידוע, בידי רשות האוכלוסין וההגירה ומשרד העבודה, הרווחה והשירותים החברתיים. 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>בהתאם לנהוג כיום, שגרירויות ישראל בחו"ל מ</w:t>
      </w:r>
      <w:r>
        <w:rPr>
          <w:rFonts w:ascii="David" w:hAnsi="David" w:cs="David" w:hint="cs"/>
          <w:sz w:val="24"/>
          <w:szCs w:val="24"/>
          <w:rtl/>
        </w:rPr>
        <w:t>לוות</w:t>
      </w:r>
      <w:r w:rsidRPr="0099290B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את</w:t>
      </w:r>
      <w:r w:rsidRPr="0099290B">
        <w:rPr>
          <w:rFonts w:ascii="David" w:hAnsi="David" w:cs="David" w:hint="cs"/>
          <w:sz w:val="24"/>
          <w:szCs w:val="24"/>
          <w:rtl/>
        </w:rPr>
        <w:t xml:space="preserve"> הליכי שיווק </w:t>
      </w:r>
      <w:r>
        <w:rPr>
          <w:rFonts w:ascii="David" w:hAnsi="David" w:cs="David" w:hint="cs"/>
          <w:sz w:val="24"/>
          <w:szCs w:val="24"/>
          <w:rtl/>
        </w:rPr>
        <w:t xml:space="preserve">התכנית </w:t>
      </w:r>
      <w:r w:rsidRPr="0099290B">
        <w:rPr>
          <w:rFonts w:ascii="David" w:hAnsi="David" w:cs="David" w:hint="cs"/>
          <w:sz w:val="24"/>
          <w:szCs w:val="24"/>
          <w:rtl/>
        </w:rPr>
        <w:t>וגיוס המשתלמים בחקלאות אל מול הממשלים במדינות המ</w:t>
      </w:r>
      <w:r>
        <w:rPr>
          <w:rFonts w:ascii="David" w:hAnsi="David" w:cs="David" w:hint="cs"/>
          <w:sz w:val="24"/>
          <w:szCs w:val="24"/>
          <w:rtl/>
        </w:rPr>
        <w:t>וצא</w:t>
      </w:r>
      <w:r w:rsidRPr="0099290B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של המשתלמים </w:t>
      </w:r>
      <w:r w:rsidRPr="0099290B">
        <w:rPr>
          <w:rFonts w:ascii="David" w:hAnsi="David" w:cs="David" w:hint="cs"/>
          <w:sz w:val="24"/>
          <w:szCs w:val="24"/>
          <w:rtl/>
        </w:rPr>
        <w:t xml:space="preserve">(סעיף 11 לבקשה). אף סוגיה זו תוסדר במסגרת עבודה המטה הבין-משרדית. 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 xml:space="preserve">אשר לבקשתך לקבל "פרוטוקול המפרט את האופן בו נתקבלה" החלטת הממשלה מס' 3431 מיום 11.1.2019 (סעיף 9 לבקשה). ככל שהבקשה מכוונת למעשה לפרוטוקול ישיבת הממשלה בה התקבלה ההחלטה האמורה, </w:t>
      </w:r>
      <w:r w:rsidRPr="0099290B">
        <w:rPr>
          <w:rFonts w:ascii="David" w:hAnsi="David" w:cs="David"/>
          <w:sz w:val="24"/>
          <w:szCs w:val="24"/>
          <w:rtl/>
        </w:rPr>
        <w:t xml:space="preserve">מידע זה </w:t>
      </w:r>
      <w:r w:rsidRPr="0099290B">
        <w:rPr>
          <w:rFonts w:ascii="David" w:hAnsi="David" w:cs="David" w:hint="cs"/>
          <w:sz w:val="24"/>
          <w:szCs w:val="24"/>
          <w:rtl/>
        </w:rPr>
        <w:t xml:space="preserve">מטבע הדברים </w:t>
      </w:r>
      <w:r w:rsidRPr="0099290B">
        <w:rPr>
          <w:rFonts w:ascii="David" w:hAnsi="David" w:cs="David"/>
          <w:sz w:val="24"/>
          <w:szCs w:val="24"/>
          <w:rtl/>
        </w:rPr>
        <w:t>לא נוצר בידי משרד החוץ</w:t>
      </w:r>
      <w:r w:rsidRPr="0099290B">
        <w:rPr>
          <w:rFonts w:ascii="David" w:hAnsi="David" w:cs="David" w:hint="cs"/>
          <w:sz w:val="24"/>
          <w:szCs w:val="24"/>
          <w:rtl/>
        </w:rPr>
        <w:t xml:space="preserve">, ואנו מפנים אותך למשרד ראש הממשלה, </w:t>
      </w:r>
      <w:r w:rsidRPr="0099290B">
        <w:rPr>
          <w:rFonts w:ascii="David" w:hAnsi="David" w:cs="David"/>
          <w:sz w:val="24"/>
          <w:szCs w:val="24"/>
          <w:rtl/>
        </w:rPr>
        <w:t>בהתאם לסעיף 8(5) לחוק</w:t>
      </w:r>
      <w:r w:rsidRPr="0099290B">
        <w:rPr>
          <w:rFonts w:ascii="David" w:hAnsi="David" w:cs="David" w:hint="cs"/>
          <w:sz w:val="24"/>
          <w:szCs w:val="24"/>
          <w:rtl/>
        </w:rPr>
        <w:t>.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 xml:space="preserve">לתכנית המשתלמים לא מוקצה כל תקציב על ידי משרד החוץ או כל משרד ממשלתי אחר (סעיף 10 לבקשה). 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>ככלל, במ</w:t>
      </w:r>
      <w:r>
        <w:rPr>
          <w:rFonts w:ascii="David" w:hAnsi="David" w:cs="David" w:hint="cs"/>
          <w:sz w:val="24"/>
          <w:szCs w:val="24"/>
          <w:rtl/>
        </w:rPr>
        <w:t>שרד החוץ ישנה הבחנה בין סיוע בין-</w:t>
      </w:r>
      <w:r w:rsidRPr="0099290B">
        <w:rPr>
          <w:rFonts w:ascii="David" w:hAnsi="David" w:cs="David" w:hint="cs"/>
          <w:sz w:val="24"/>
          <w:szCs w:val="24"/>
          <w:rtl/>
        </w:rPr>
        <w:t>לאומי ישיר שהינו באחריות האג</w:t>
      </w:r>
      <w:r>
        <w:rPr>
          <w:rFonts w:ascii="David" w:hAnsi="David" w:cs="David" w:hint="cs"/>
          <w:sz w:val="24"/>
          <w:szCs w:val="24"/>
          <w:rtl/>
        </w:rPr>
        <w:t>ף לסיוע בין-</w:t>
      </w:r>
      <w:r w:rsidRPr="0099290B">
        <w:rPr>
          <w:rFonts w:ascii="David" w:hAnsi="David" w:cs="David" w:hint="cs"/>
          <w:sz w:val="24"/>
          <w:szCs w:val="24"/>
          <w:rtl/>
        </w:rPr>
        <w:t>לאומי (מש"ב) לבין פעילות כלכלית-מסחרית שהינה באחריות אגף כלכלה</w:t>
      </w:r>
      <w:r>
        <w:rPr>
          <w:rFonts w:ascii="David" w:hAnsi="David" w:cs="David" w:hint="cs"/>
          <w:sz w:val="24"/>
          <w:szCs w:val="24"/>
          <w:rtl/>
        </w:rPr>
        <w:t xml:space="preserve"> במשרד החוץ</w:t>
      </w:r>
      <w:r w:rsidRPr="0099290B">
        <w:rPr>
          <w:rFonts w:ascii="David" w:hAnsi="David" w:cs="David" w:hint="cs"/>
          <w:sz w:val="24"/>
          <w:szCs w:val="24"/>
          <w:rtl/>
        </w:rPr>
        <w:t>. כל העת ננקטים צעדים לטיוב פעולות משרד החוץ בהיבטים אלו, ככל</w:t>
      </w:r>
      <w:r>
        <w:rPr>
          <w:rFonts w:ascii="David" w:hAnsi="David" w:cs="David" w:hint="cs"/>
          <w:sz w:val="24"/>
          <w:szCs w:val="24"/>
          <w:rtl/>
        </w:rPr>
        <w:t xml:space="preserve"> שיש ממשק ביניהן</w:t>
      </w:r>
      <w:r w:rsidRPr="0099290B">
        <w:rPr>
          <w:rFonts w:ascii="David" w:hAnsi="David" w:cs="David" w:hint="cs"/>
          <w:sz w:val="24"/>
          <w:szCs w:val="24"/>
          <w:rtl/>
        </w:rPr>
        <w:t xml:space="preserve">. עם זאת, </w:t>
      </w:r>
      <w:r w:rsidRPr="0099290B">
        <w:rPr>
          <w:rFonts w:ascii="David" w:hAnsi="David" w:cs="David" w:hint="cs"/>
          <w:sz w:val="24"/>
          <w:szCs w:val="24"/>
          <w:rtl/>
        </w:rPr>
        <w:lastRenderedPageBreak/>
        <w:t xml:space="preserve">טרם נקבעו אמות מידות ספציפיות "להבחנה בין סיוע בין-לאומי ישיר לבין פעילות כלכלית-מסחרית" או "כללי מסגרת לפעילות כלכלית-מסחרית" (סעיף 12 לבקשה). </w:t>
      </w:r>
    </w:p>
    <w:p w:rsidR="006B4D52" w:rsidRPr="0099290B" w:rsidRDefault="006B4D52" w:rsidP="006B4D52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 xml:space="preserve">לגבי יתר בקשותיך שבסעיפים 3, 5, ו-11, אלו אינן </w:t>
      </w:r>
      <w:r w:rsidRPr="0099290B">
        <w:rPr>
          <w:rFonts w:ascii="David" w:hAnsi="David" w:cs="David"/>
          <w:sz w:val="24"/>
          <w:szCs w:val="24"/>
          <w:rtl/>
        </w:rPr>
        <w:t>בגדר "מידע" כהגדרת</w:t>
      </w:r>
      <w:r w:rsidRPr="0099290B">
        <w:rPr>
          <w:rFonts w:ascii="David" w:hAnsi="David" w:cs="David" w:hint="cs"/>
          <w:sz w:val="24"/>
          <w:szCs w:val="24"/>
          <w:rtl/>
        </w:rPr>
        <w:t>ו</w:t>
      </w:r>
      <w:r w:rsidRPr="0099290B">
        <w:rPr>
          <w:rFonts w:ascii="David" w:hAnsi="David" w:cs="David"/>
          <w:sz w:val="24"/>
          <w:szCs w:val="24"/>
          <w:rtl/>
        </w:rPr>
        <w:t xml:space="preserve"> </w:t>
      </w:r>
      <w:r w:rsidRPr="0099290B">
        <w:rPr>
          <w:rFonts w:ascii="David" w:hAnsi="David" w:cs="David" w:hint="cs"/>
          <w:sz w:val="24"/>
          <w:szCs w:val="24"/>
          <w:rtl/>
        </w:rPr>
        <w:t>ב</w:t>
      </w:r>
      <w:r w:rsidRPr="0099290B">
        <w:rPr>
          <w:rFonts w:ascii="David" w:hAnsi="David" w:cs="David"/>
          <w:sz w:val="24"/>
          <w:szCs w:val="24"/>
          <w:rtl/>
        </w:rPr>
        <w:t xml:space="preserve">חוק ("כל מידע </w:t>
      </w:r>
      <w:r w:rsidRPr="0099290B">
        <w:rPr>
          <w:rFonts w:ascii="David" w:hAnsi="David" w:cs="David" w:hint="cs"/>
          <w:sz w:val="24"/>
          <w:szCs w:val="24"/>
          <w:rtl/>
        </w:rPr>
        <w:t xml:space="preserve">המצוי ברשות </w:t>
      </w:r>
      <w:r w:rsidRPr="0099290B">
        <w:rPr>
          <w:rFonts w:ascii="David" w:hAnsi="David" w:cs="David"/>
          <w:sz w:val="24"/>
          <w:szCs w:val="24"/>
          <w:rtl/>
        </w:rPr>
        <w:t>ציבורית, והוא כתוב, מוקלט, מוסרט, מצולם או ממוחשב</w:t>
      </w:r>
      <w:r w:rsidRPr="0099290B">
        <w:rPr>
          <w:rFonts w:ascii="David" w:hAnsi="David" w:cs="David" w:hint="cs"/>
          <w:sz w:val="24"/>
          <w:szCs w:val="24"/>
          <w:rtl/>
        </w:rPr>
        <w:t>"; סעיף 2 לחוק), ורשות ציבורית אינה מחויבת, על פי חוק חופש המידע, לענות על מעין "שאלון" (</w:t>
      </w:r>
      <w:proofErr w:type="spellStart"/>
      <w:r w:rsidRPr="0099290B">
        <w:rPr>
          <w:rFonts w:ascii="David" w:hAnsi="David" w:cs="David" w:hint="cs"/>
          <w:sz w:val="24"/>
          <w:szCs w:val="24"/>
          <w:rtl/>
        </w:rPr>
        <w:t>עע"ם</w:t>
      </w:r>
      <w:proofErr w:type="spellEnd"/>
      <w:r w:rsidRPr="0099290B">
        <w:rPr>
          <w:rFonts w:ascii="David" w:hAnsi="David" w:cs="David" w:hint="cs"/>
          <w:sz w:val="24"/>
          <w:szCs w:val="24"/>
          <w:rtl/>
        </w:rPr>
        <w:t xml:space="preserve"> 6930/12 </w:t>
      </w:r>
      <w:proofErr w:type="spellStart"/>
      <w:r w:rsidRPr="0099290B">
        <w:rPr>
          <w:rFonts w:ascii="David" w:hAnsi="David" w:cs="David" w:hint="cs"/>
          <w:sz w:val="24"/>
          <w:szCs w:val="24"/>
          <w:rtl/>
        </w:rPr>
        <w:t>טירם</w:t>
      </w:r>
      <w:proofErr w:type="spellEnd"/>
      <w:r w:rsidRPr="0099290B">
        <w:rPr>
          <w:rFonts w:ascii="David" w:hAnsi="David" w:cs="David" w:hint="cs"/>
          <w:sz w:val="24"/>
          <w:szCs w:val="24"/>
          <w:rtl/>
        </w:rPr>
        <w:t xml:space="preserve"> נ' משרד </w:t>
      </w:r>
      <w:proofErr w:type="spellStart"/>
      <w:r w:rsidRPr="0099290B">
        <w:rPr>
          <w:rFonts w:ascii="David" w:hAnsi="David" w:cs="David" w:hint="cs"/>
          <w:sz w:val="24"/>
          <w:szCs w:val="24"/>
          <w:rtl/>
        </w:rPr>
        <w:t>הבטחון</w:t>
      </w:r>
      <w:proofErr w:type="spellEnd"/>
      <w:r w:rsidRPr="0099290B">
        <w:rPr>
          <w:rFonts w:ascii="David" w:hAnsi="David" w:cs="David" w:hint="cs"/>
          <w:sz w:val="24"/>
          <w:szCs w:val="24"/>
          <w:rtl/>
        </w:rPr>
        <w:t xml:space="preserve">, פסקה 6 (8.7.2013); נוהל היחידה הממשלתית לחופש המידע 1.3 "נוהל סיווג בקשות חופש מידע" (19.7.2016)). על כן, אנו דוחים את בקשתך בהקשר לשאלות אלו. עם זאת, מרבית התשובות לשאלות אלו, כמו גם </w:t>
      </w:r>
      <w:r>
        <w:rPr>
          <w:rFonts w:ascii="David" w:hAnsi="David" w:cs="David" w:hint="cs"/>
          <w:sz w:val="24"/>
          <w:szCs w:val="24"/>
          <w:rtl/>
        </w:rPr>
        <w:t>התשובות</w:t>
      </w:r>
      <w:r w:rsidRPr="0099290B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לסעיפים 7, 8(ב) ו-8(ג)</w:t>
      </w:r>
      <w:r w:rsidRPr="0099290B">
        <w:rPr>
          <w:rFonts w:ascii="David" w:hAnsi="David" w:cs="David" w:hint="cs"/>
          <w:sz w:val="24"/>
          <w:szCs w:val="24"/>
          <w:rtl/>
        </w:rPr>
        <w:t xml:space="preserve">, נמסרו לך במסגרת מענה משרד החקלאות ופיתוח הכפר לבקשת חופש מידע דומה שהוגשה במקביל גם אליהם. </w:t>
      </w:r>
    </w:p>
    <w:p w:rsidR="006B4D52" w:rsidRPr="0099290B" w:rsidRDefault="006B4D52" w:rsidP="006B4D52">
      <w:pPr>
        <w:pStyle w:val="a8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99290B">
        <w:rPr>
          <w:rFonts w:ascii="David" w:eastAsia="Calibri" w:hAnsi="David" w:cs="David"/>
          <w:sz w:val="24"/>
          <w:szCs w:val="24"/>
          <w:rtl/>
        </w:rPr>
        <w:t>בהתאם לסעיף 7(ו) לחוק</w:t>
      </w:r>
      <w:r w:rsidRPr="0099290B">
        <w:rPr>
          <w:rFonts w:ascii="David" w:eastAsia="Calibri" w:hAnsi="David" w:cs="David" w:hint="cs"/>
          <w:sz w:val="24"/>
          <w:szCs w:val="24"/>
          <w:rtl/>
        </w:rPr>
        <w:t>,</w:t>
      </w:r>
      <w:r w:rsidRPr="0099290B">
        <w:rPr>
          <w:rFonts w:ascii="David" w:eastAsia="Calibri" w:hAnsi="David" w:cs="David"/>
          <w:sz w:val="24"/>
          <w:szCs w:val="24"/>
          <w:rtl/>
        </w:rPr>
        <w:t xml:space="preserve"> </w:t>
      </w:r>
      <w:r w:rsidRPr="0099290B">
        <w:rPr>
          <w:rFonts w:ascii="David" w:eastAsia="Calibri" w:hAnsi="David" w:cs="David" w:hint="cs"/>
          <w:sz w:val="24"/>
          <w:szCs w:val="24"/>
          <w:rtl/>
        </w:rPr>
        <w:t>הנך</w:t>
      </w:r>
      <w:r w:rsidRPr="0099290B">
        <w:rPr>
          <w:rFonts w:ascii="David" w:eastAsia="Calibri" w:hAnsi="David" w:cs="David"/>
          <w:sz w:val="24"/>
          <w:szCs w:val="24"/>
          <w:rtl/>
        </w:rPr>
        <w:t xml:space="preserve"> רשאי</w:t>
      </w:r>
      <w:r w:rsidRPr="0099290B">
        <w:rPr>
          <w:rFonts w:ascii="David" w:eastAsia="Calibri" w:hAnsi="David" w:cs="David" w:hint="cs"/>
          <w:sz w:val="24"/>
          <w:szCs w:val="24"/>
          <w:rtl/>
        </w:rPr>
        <w:t>ת</w:t>
      </w:r>
      <w:r w:rsidRPr="0099290B">
        <w:rPr>
          <w:rFonts w:ascii="David" w:eastAsia="Calibri" w:hAnsi="David" w:cs="David"/>
          <w:sz w:val="24"/>
          <w:szCs w:val="24"/>
          <w:rtl/>
        </w:rPr>
        <w:t xml:space="preserve"> להגיש עתירה נגד החלטה זו </w:t>
      </w:r>
      <w:r w:rsidRPr="0099290B">
        <w:rPr>
          <w:rFonts w:ascii="David" w:eastAsia="Calibri" w:hAnsi="David" w:cs="David" w:hint="cs"/>
          <w:sz w:val="24"/>
          <w:szCs w:val="24"/>
          <w:rtl/>
        </w:rPr>
        <w:t>ב</w:t>
      </w:r>
      <w:r w:rsidRPr="0099290B">
        <w:rPr>
          <w:rFonts w:ascii="David" w:eastAsia="Calibri" w:hAnsi="David" w:cs="David"/>
          <w:sz w:val="24"/>
          <w:szCs w:val="24"/>
          <w:rtl/>
        </w:rPr>
        <w:t>תוך 45 ימים לבית המשפט לעניינים מנהליים בירושלים.</w:t>
      </w:r>
    </w:p>
    <w:p w:rsidR="006B4D52" w:rsidRPr="0099290B" w:rsidRDefault="006B4D52" w:rsidP="006B4D5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6B4D52" w:rsidRPr="0099290B" w:rsidRDefault="006B4D52" w:rsidP="006B4D5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6B4D52" w:rsidRDefault="006B4D52" w:rsidP="006B4D5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9290B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 w:rsidRPr="0099290B">
        <w:rPr>
          <w:rFonts w:ascii="David" w:hAnsi="David" w:cs="David" w:hint="cs"/>
          <w:sz w:val="24"/>
          <w:szCs w:val="24"/>
          <w:rtl/>
        </w:rPr>
        <w:t xml:space="preserve"> </w:t>
      </w:r>
      <w:r w:rsidRPr="0099290B">
        <w:rPr>
          <w:rFonts w:ascii="David" w:hAnsi="David" w:cs="David"/>
          <w:sz w:val="24"/>
          <w:szCs w:val="24"/>
          <w:rtl/>
        </w:rPr>
        <w:t xml:space="preserve">                            </w:t>
      </w:r>
      <w:r w:rsidRPr="0099290B">
        <w:rPr>
          <w:rFonts w:ascii="David" w:hAnsi="David" w:cs="David" w:hint="cs"/>
          <w:sz w:val="24"/>
          <w:szCs w:val="24"/>
          <w:rtl/>
        </w:rPr>
        <w:t xml:space="preserve">  </w:t>
      </w:r>
      <w:r w:rsidRPr="0099290B">
        <w:rPr>
          <w:rFonts w:ascii="David" w:hAnsi="David" w:cs="David"/>
          <w:sz w:val="24"/>
          <w:szCs w:val="24"/>
          <w:rtl/>
        </w:rPr>
        <w:t xml:space="preserve">בברכה,      </w:t>
      </w:r>
    </w:p>
    <w:p w:rsidR="006B4D52" w:rsidRPr="0099290B" w:rsidRDefault="006B4D52" w:rsidP="006B4D5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9290B">
        <w:rPr>
          <w:rFonts w:ascii="David" w:hAnsi="David" w:cs="David"/>
          <w:sz w:val="24"/>
          <w:szCs w:val="24"/>
          <w:rtl/>
        </w:rPr>
        <w:t xml:space="preserve">                                                      </w:t>
      </w:r>
      <w:r w:rsidRPr="0099290B">
        <w:rPr>
          <w:rFonts w:ascii="David" w:hAnsi="David" w:cs="David" w:hint="cs"/>
          <w:sz w:val="24"/>
          <w:szCs w:val="24"/>
          <w:rtl/>
        </w:rPr>
        <w:t xml:space="preserve">  </w:t>
      </w:r>
      <w:r w:rsidRPr="0099290B">
        <w:rPr>
          <w:rFonts w:ascii="David" w:hAnsi="David" w:cs="David"/>
          <w:sz w:val="24"/>
          <w:szCs w:val="24"/>
          <w:rtl/>
        </w:rPr>
        <w:t xml:space="preserve">                                            </w:t>
      </w:r>
      <w:r w:rsidRPr="0048202F">
        <w:rPr>
          <w:rFonts w:asciiTheme="minorBidi" w:hAnsiTheme="minorBidi" w:cs="David"/>
          <w:noProof/>
          <w:sz w:val="24"/>
          <w:szCs w:val="24"/>
          <w:rtl/>
        </w:rPr>
        <w:drawing>
          <wp:inline distT="0" distB="0" distL="0" distR="0" wp14:anchorId="0AFF2A96" wp14:editId="7A1184B8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290B">
        <w:rPr>
          <w:rFonts w:ascii="David" w:hAnsi="David" w:cs="David"/>
          <w:sz w:val="24"/>
          <w:szCs w:val="24"/>
          <w:rtl/>
        </w:rPr>
        <w:t xml:space="preserve">              </w:t>
      </w:r>
    </w:p>
    <w:p w:rsidR="006B4D52" w:rsidRPr="0099290B" w:rsidRDefault="006B4D52" w:rsidP="006B4D5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9290B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אריה זיני</w:t>
      </w:r>
    </w:p>
    <w:p w:rsidR="006B4D52" w:rsidRPr="0099290B" w:rsidRDefault="006B4D52" w:rsidP="006B4D52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 w:hint="cs"/>
          <w:sz w:val="24"/>
          <w:szCs w:val="24"/>
          <w:rtl/>
        </w:rPr>
        <w:t xml:space="preserve">    </w:t>
      </w:r>
      <w:r w:rsidRPr="0099290B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6B4D52" w:rsidRPr="0056112D" w:rsidRDefault="006B4D52" w:rsidP="006B4D52">
      <w:pPr>
        <w:rPr>
          <w:rFonts w:ascii="David" w:hAnsi="David" w:cs="David"/>
          <w:sz w:val="24"/>
          <w:szCs w:val="24"/>
        </w:rPr>
      </w:pPr>
      <w:r w:rsidRPr="0099290B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 w:rsidRPr="0099290B">
        <w:rPr>
          <w:rFonts w:ascii="David" w:hAnsi="David" w:cs="David" w:hint="cs"/>
          <w:sz w:val="24"/>
          <w:szCs w:val="24"/>
          <w:rtl/>
        </w:rPr>
        <w:t xml:space="preserve">      </w:t>
      </w:r>
      <w:r w:rsidRPr="0099290B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Pr="006B4D52" w:rsidRDefault="0070499E"/>
    <w:sectPr w:rsidR="0070499E" w:rsidRPr="006B4D52" w:rsidSect="00AB645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E61" w:rsidRPr="00DB48F7" w:rsidRDefault="006B4D52" w:rsidP="00AB645E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305E61" w:rsidRPr="00DB48F7" w:rsidRDefault="006B4D52" w:rsidP="00AB645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305E61" w:rsidRPr="00DB48F7" w:rsidRDefault="006B4D52" w:rsidP="00AB645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P.O. box 3013, Zip </w:t>
    </w:r>
    <w:r w:rsidRPr="00DB48F7">
      <w:rPr>
        <w:rFonts w:ascii="David" w:hAnsi="David" w:cs="David"/>
        <w:sz w:val="24"/>
        <w:szCs w:val="24"/>
      </w:rPr>
      <w:t>Code 91035</w:t>
    </w:r>
  </w:p>
  <w:p w:rsidR="00305E61" w:rsidRPr="00DB48F7" w:rsidRDefault="006B4D52" w:rsidP="00AB645E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305E61" w:rsidRPr="00DB48F7" w:rsidRDefault="006B4D52" w:rsidP="00AB645E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305E61" w:rsidRPr="00DB48F7" w:rsidRDefault="006B4D52" w:rsidP="00AB645E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305E61" w:rsidRPr="00AC4676" w:rsidTr="00AB645E">
      <w:tc>
        <w:tcPr>
          <w:tcW w:w="2654" w:type="dxa"/>
          <w:vAlign w:val="center"/>
        </w:tcPr>
        <w:p w:rsidR="00305E61" w:rsidRPr="00AC4676" w:rsidRDefault="006B4D52" w:rsidP="008A424D">
          <w:pPr>
            <w:spacing w:after="0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305E61" w:rsidRPr="00AC4676" w:rsidRDefault="006B4D52" w:rsidP="00AB645E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305E61" w:rsidRPr="00AC4676" w:rsidRDefault="006B4D52" w:rsidP="00AB645E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3D6DEE70" wp14:editId="3D612471">
                <wp:simplePos x="0" y="0"/>
                <wp:positionH relativeFrom="margin">
                  <wp:align>center</wp:align>
                </wp:positionH>
                <wp:positionV relativeFrom="paragraph">
                  <wp:posOffset>-165735</wp:posOffset>
                </wp:positionV>
                <wp:extent cx="552450" cy="619125"/>
                <wp:effectExtent l="0" t="0" r="0" b="9525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305E61" w:rsidRPr="00AC4676" w:rsidRDefault="006B4D52" w:rsidP="008A424D">
          <w:pPr>
            <w:spacing w:after="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305E61" w:rsidRPr="00AC4676" w:rsidRDefault="006B4D52" w:rsidP="00AB645E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305E61" w:rsidRPr="00AC4676" w:rsidRDefault="006B4D52" w:rsidP="00AB645E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ED44D14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52"/>
    <w:rsid w:val="00301969"/>
    <w:rsid w:val="006B4D52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5C42"/>
  <w15:chartTrackingRefBased/>
  <w15:docId w15:val="{18E6B9CB-3E10-49B9-B9C0-9B07EE05F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D52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D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B4D52"/>
  </w:style>
  <w:style w:type="paragraph" w:styleId="a5">
    <w:name w:val="footer"/>
    <w:basedOn w:val="a"/>
    <w:link w:val="a6"/>
    <w:unhideWhenUsed/>
    <w:rsid w:val="006B4D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6B4D52"/>
  </w:style>
  <w:style w:type="table" w:styleId="a7">
    <w:name w:val="Table Grid"/>
    <w:basedOn w:val="a1"/>
    <w:rsid w:val="006B4D5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B4D5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B4D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2020-02-19T11:31:00Z</dcterms:created>
  <dcterms:modified xsi:type="dcterms:W3CDTF">2020-02-19T11:32:00Z</dcterms:modified>
</cp:coreProperties>
</file>